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754B" w14:textId="359A74C2" w:rsidR="00262111" w:rsidRPr="00E8456D" w:rsidRDefault="00134EB4"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1DF74AD9" wp14:editId="750E031D">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2FF3B34" wp14:editId="22D4A2BD">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48F019A" wp14:editId="28A6170F">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D3D1DE6" wp14:editId="05518273">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CB10029" wp14:editId="6BEE880B">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D5FE543" wp14:editId="4B9B6939">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2EAEFF2" wp14:editId="7AA432E6">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A03B7A9" wp14:editId="1F680970">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2CFD83C8" w14:textId="77777777" w:rsidR="00262111" w:rsidRDefault="00262111" w:rsidP="00AA4AD1">
      <w:pPr>
        <w:jc w:val="center"/>
        <w:rPr>
          <w:noProof/>
        </w:rPr>
      </w:pPr>
    </w:p>
    <w:p w14:paraId="14B558B7" w14:textId="77777777" w:rsidR="00262111" w:rsidRDefault="00262111" w:rsidP="00AA4AD1">
      <w:pPr>
        <w:jc w:val="center"/>
        <w:rPr>
          <w:noProof/>
        </w:rPr>
      </w:pPr>
    </w:p>
    <w:p w14:paraId="3FA41E4A" w14:textId="29161399" w:rsidR="00134EB4" w:rsidRPr="00C315CD" w:rsidRDefault="00C315CD" w:rsidP="00134EB4">
      <w:pPr>
        <w:jc w:val="center"/>
        <w:rPr>
          <w:rFonts w:ascii="Arial" w:hAnsi="Arial" w:cs="Arial"/>
          <w:b/>
          <w:bCs/>
          <w:noProof/>
          <w:sz w:val="36"/>
          <w:szCs w:val="36"/>
          <w:lang w:val="ca-ES"/>
        </w:rPr>
      </w:pPr>
      <w:r w:rsidRPr="00C315CD">
        <w:rPr>
          <w:rFonts w:ascii="Arial" w:hAnsi="Arial" w:cs="Arial"/>
          <w:b/>
          <w:bCs/>
          <w:noProof/>
          <w:sz w:val="36"/>
          <w:szCs w:val="36"/>
          <w:lang w:val="ca-ES"/>
        </w:rPr>
        <w:t>El TSJ té per preparat el recurs de cassació de l'Agència Valenciana Antifrau contra la petició d'expedients d'investigació en curs</w:t>
      </w:r>
    </w:p>
    <w:p w14:paraId="4EFA9ACA" w14:textId="77777777" w:rsidR="00C315CD" w:rsidRPr="00C315CD" w:rsidRDefault="00C315CD" w:rsidP="00134EB4">
      <w:pPr>
        <w:jc w:val="center"/>
        <w:rPr>
          <w:rFonts w:ascii="Arial" w:hAnsi="Arial" w:cs="Arial"/>
          <w:b/>
          <w:bCs/>
          <w:noProof/>
          <w:lang w:val="ca-ES"/>
        </w:rPr>
      </w:pPr>
    </w:p>
    <w:p w14:paraId="36EB9D38" w14:textId="77777777" w:rsidR="00C84852" w:rsidRPr="00C315CD" w:rsidRDefault="00AA4AD1" w:rsidP="00C84852">
      <w:pPr>
        <w:jc w:val="both"/>
        <w:rPr>
          <w:rFonts w:ascii="Arial" w:hAnsi="Arial" w:cs="Arial"/>
          <w:noProof/>
          <w:lang w:val="ca-ES"/>
        </w:rPr>
      </w:pPr>
      <w:r w:rsidRPr="00C315CD">
        <w:rPr>
          <w:rFonts w:ascii="Arial" w:hAnsi="Arial" w:cs="Arial"/>
          <w:b/>
          <w:bCs/>
          <w:noProof/>
          <w:lang w:val="ca-ES"/>
        </w:rPr>
        <w:t xml:space="preserve">València, </w:t>
      </w:r>
      <w:r w:rsidR="00134EB4" w:rsidRPr="00C315CD">
        <w:rPr>
          <w:rFonts w:ascii="Arial" w:hAnsi="Arial" w:cs="Arial"/>
          <w:b/>
          <w:bCs/>
          <w:noProof/>
          <w:lang w:val="ca-ES"/>
        </w:rPr>
        <w:t>23</w:t>
      </w:r>
      <w:r w:rsidRPr="00C315CD">
        <w:rPr>
          <w:rFonts w:ascii="Arial" w:hAnsi="Arial" w:cs="Arial"/>
          <w:b/>
          <w:bCs/>
          <w:noProof/>
          <w:lang w:val="ca-ES"/>
        </w:rPr>
        <w:t xml:space="preserve"> d</w:t>
      </w:r>
      <w:r w:rsidR="00134EB4" w:rsidRPr="00C315CD">
        <w:rPr>
          <w:rFonts w:ascii="Arial" w:hAnsi="Arial" w:cs="Arial"/>
          <w:b/>
          <w:bCs/>
          <w:noProof/>
          <w:lang w:val="ca-ES"/>
        </w:rPr>
        <w:t xml:space="preserve">’abril </w:t>
      </w:r>
      <w:r w:rsidRPr="00C315CD">
        <w:rPr>
          <w:rFonts w:ascii="Arial" w:hAnsi="Arial" w:cs="Arial"/>
          <w:b/>
          <w:bCs/>
          <w:noProof/>
          <w:lang w:val="ca-ES"/>
        </w:rPr>
        <w:t>de 2021.-</w:t>
      </w:r>
      <w:r w:rsidRPr="00C315CD">
        <w:rPr>
          <w:rFonts w:ascii="Arial" w:hAnsi="Arial" w:cs="Arial"/>
          <w:noProof/>
          <w:lang w:val="ca-ES"/>
        </w:rPr>
        <w:t xml:space="preserve"> </w:t>
      </w:r>
      <w:r w:rsidR="00C84852" w:rsidRPr="00C315CD">
        <w:rPr>
          <w:rFonts w:ascii="Arial" w:hAnsi="Arial" w:cs="Arial"/>
          <w:noProof/>
          <w:lang w:val="ca-ES"/>
        </w:rPr>
        <w:t>La Secció Quarta de la Sala contenciosa administrativa del Tribunal Superior de Justícia de la Comunitat Valenciana ha emés un acte en el qual acorda tindre per preparat el recurs de cassació interposat per l'Agència Valenciana Antifrau enfront de la sentència 198/2020 i pel qual s'emplaça a les parts perquè compareguen en el termini de trenta dies.</w:t>
      </w:r>
    </w:p>
    <w:p w14:paraId="07FB3341" w14:textId="1D21886C" w:rsidR="00C84852" w:rsidRPr="00C315CD" w:rsidRDefault="00C84852" w:rsidP="00C84852">
      <w:pPr>
        <w:jc w:val="both"/>
        <w:rPr>
          <w:rFonts w:ascii="Arial" w:hAnsi="Arial" w:cs="Arial"/>
          <w:noProof/>
          <w:lang w:val="ca-ES"/>
        </w:rPr>
      </w:pPr>
      <w:r w:rsidRPr="00C315CD">
        <w:rPr>
          <w:rFonts w:ascii="Arial" w:hAnsi="Arial" w:cs="Arial"/>
          <w:noProof/>
          <w:lang w:val="ca-ES"/>
        </w:rPr>
        <w:t xml:space="preserve">El recurs presentat per l'Agència Valenciana Antifrau </w:t>
      </w:r>
      <w:r w:rsidRPr="00C315CD">
        <w:rPr>
          <w:rFonts w:ascii="Arial" w:hAnsi="Arial" w:cs="Arial"/>
          <w:color w:val="373737"/>
          <w:shd w:val="clear" w:color="auto" w:fill="FFFFFF"/>
          <w:lang w:val="ca-ES"/>
        </w:rPr>
        <w:t>s'interposa</w:t>
      </w:r>
      <w:r w:rsidRPr="00C315CD">
        <w:rPr>
          <w:rFonts w:ascii="Helvetica" w:hAnsi="Helvetica" w:cs="Helvetica"/>
          <w:color w:val="373737"/>
          <w:shd w:val="clear" w:color="auto" w:fill="FFFFFF"/>
          <w:lang w:val="ca-ES"/>
        </w:rPr>
        <w:t xml:space="preserve"> </w:t>
      </w:r>
      <w:r w:rsidRPr="00C315CD">
        <w:rPr>
          <w:rFonts w:ascii="Arial" w:hAnsi="Arial" w:cs="Arial"/>
          <w:noProof/>
          <w:lang w:val="ca-ES"/>
        </w:rPr>
        <w:t>contra la sentència per la qual s'obliga a l</w:t>
      </w:r>
      <w:r w:rsidRPr="00C315CD">
        <w:rPr>
          <w:rFonts w:ascii="Arial" w:hAnsi="Arial" w:cs="Arial"/>
          <w:noProof/>
          <w:lang w:val="ca-ES"/>
        </w:rPr>
        <w:t>’</w:t>
      </w:r>
      <w:r w:rsidRPr="00C315CD">
        <w:rPr>
          <w:rFonts w:ascii="Arial" w:hAnsi="Arial" w:cs="Arial"/>
          <w:noProof/>
          <w:lang w:val="ca-ES"/>
        </w:rPr>
        <w:t>AVAF a entregar expedients que estiguen en aqueixos moments sota investigació als grups parlamentaris que així ho sol·liciten.</w:t>
      </w:r>
    </w:p>
    <w:p w14:paraId="4AEA0A25" w14:textId="79877869" w:rsidR="00C84852" w:rsidRPr="00C315CD" w:rsidRDefault="00C84852" w:rsidP="00C84852">
      <w:pPr>
        <w:jc w:val="both"/>
        <w:rPr>
          <w:rFonts w:ascii="Arial" w:hAnsi="Arial" w:cs="Arial"/>
          <w:noProof/>
          <w:lang w:val="ca-ES"/>
        </w:rPr>
      </w:pPr>
      <w:r w:rsidRPr="00C315CD">
        <w:rPr>
          <w:rFonts w:ascii="Arial" w:hAnsi="Arial" w:cs="Arial"/>
          <w:noProof/>
          <w:lang w:val="ca-ES"/>
        </w:rPr>
        <w:t>L</w:t>
      </w:r>
      <w:r w:rsidRPr="00C315CD">
        <w:rPr>
          <w:rFonts w:ascii="Arial" w:hAnsi="Arial" w:cs="Arial"/>
          <w:noProof/>
          <w:lang w:val="ca-ES"/>
        </w:rPr>
        <w:t>’</w:t>
      </w:r>
      <w:r w:rsidRPr="00C315CD">
        <w:rPr>
          <w:rFonts w:ascii="Arial" w:hAnsi="Arial" w:cs="Arial"/>
          <w:noProof/>
          <w:lang w:val="ca-ES"/>
        </w:rPr>
        <w:t>AVAF sempre ha defensat que el lliurament dels expedients d'investigació que estan oberts i en curs va en contra, conforme estableix la seua Llei reguladora, del deure de confidencialitat i molt especialment perquè posa en perill el desenvolupament i èxit de la seua pròpia labor investigadora posant al descobert fets i actuacions que estan sent en aqueix moment investigats i recaptant elements de prova amb base en el seu caràcter d'autoritat pública i les seues potestats en la lluita contra la corrupció, que afecta també els partits polítics els quals entren dins del seu àmbit d'intervenció.</w:t>
      </w:r>
    </w:p>
    <w:p w14:paraId="0F941CDD" w14:textId="77777777" w:rsidR="00C84852" w:rsidRPr="00C315CD" w:rsidRDefault="00C84852" w:rsidP="00C84852">
      <w:pPr>
        <w:jc w:val="both"/>
        <w:rPr>
          <w:rFonts w:ascii="Arial" w:hAnsi="Arial" w:cs="Arial"/>
          <w:noProof/>
          <w:lang w:val="ca-ES"/>
        </w:rPr>
      </w:pPr>
      <w:r w:rsidRPr="00C315CD">
        <w:rPr>
          <w:rFonts w:ascii="Arial" w:hAnsi="Arial" w:cs="Arial"/>
          <w:noProof/>
          <w:lang w:val="ca-ES"/>
        </w:rPr>
        <w:t>Així mateix, si l'Agència haguera de fer lliurament dels expedients d'investigació sense que haguera finalitzat encara la investigació, s'estaria revelant en molts casos, directament o indirectament, la identitat de les persones denunciants i col·laboradores en la investigació, així com d'aquelles altres que pogueren estar sent investigades, amb la repercussions i represàlies que això podria suposar d'afectació als seus drets constitucionals que han de quedar garantits. L'Agència sosté que els seus expedients d'investigació només es poden entregar a l'autoritat judicial.</w:t>
      </w:r>
    </w:p>
    <w:p w14:paraId="40240195" w14:textId="6C6B373B" w:rsidR="00C84852" w:rsidRPr="00C315CD" w:rsidRDefault="00C84852" w:rsidP="00C84852">
      <w:pPr>
        <w:jc w:val="both"/>
        <w:rPr>
          <w:rFonts w:ascii="Arial" w:hAnsi="Arial" w:cs="Arial"/>
          <w:noProof/>
          <w:lang w:val="ca-ES"/>
        </w:rPr>
      </w:pPr>
      <w:r w:rsidRPr="00C315CD">
        <w:rPr>
          <w:rFonts w:ascii="Arial" w:hAnsi="Arial" w:cs="Arial"/>
          <w:noProof/>
          <w:lang w:val="ca-ES"/>
        </w:rPr>
        <w:t xml:space="preserve">El lliurament d'aquests expedients a un grup polític va en contra a més de la posició mantinguda pel propi Ministeri Fiscal prèvia al dictamen de la citada sentència 180/2020, de la Directiva 2019/1937 de protecció dels </w:t>
      </w:r>
      <w:r w:rsidRPr="00C315CD">
        <w:rPr>
          <w:rFonts w:ascii="Arial" w:hAnsi="Arial" w:cs="Arial"/>
          <w:i/>
          <w:iCs/>
          <w:noProof/>
          <w:lang w:val="ca-ES"/>
        </w:rPr>
        <w:t>whistleblowers</w:t>
      </w:r>
      <w:r w:rsidRPr="00C315CD">
        <w:rPr>
          <w:rFonts w:ascii="Arial" w:hAnsi="Arial" w:cs="Arial"/>
          <w:noProof/>
          <w:lang w:val="ca-ES"/>
        </w:rPr>
        <w:t>, i de les Declaracions que ha vingut aprovant la Xarxa Europea d'Autoritats d'Integritat i Protecció d</w:t>
      </w:r>
      <w:r w:rsidRPr="00C315CD">
        <w:rPr>
          <w:rFonts w:ascii="Arial" w:hAnsi="Arial" w:cs="Arial"/>
          <w:noProof/>
          <w:lang w:val="ca-ES"/>
        </w:rPr>
        <w:t>’</w:t>
      </w:r>
      <w:r w:rsidRPr="00C315CD">
        <w:rPr>
          <w:rFonts w:ascii="Arial" w:hAnsi="Arial" w:cs="Arial"/>
          <w:noProof/>
          <w:lang w:val="ca-ES"/>
        </w:rPr>
        <w:t>Alertadors (NEIWA) composta per autoritats públiques especialitzades que representen a 21 Estats europeus i que tenen com a objectiu la promoció i salvaguarda de la integritat en els seus respectius Estats.</w:t>
      </w:r>
    </w:p>
    <w:p w14:paraId="45723727" w14:textId="405D8CEB" w:rsidR="00AA4AD1" w:rsidRPr="00C315CD" w:rsidRDefault="00C84852" w:rsidP="00C84852">
      <w:pPr>
        <w:jc w:val="both"/>
        <w:rPr>
          <w:lang w:val="ca-ES"/>
        </w:rPr>
      </w:pPr>
      <w:r w:rsidRPr="00C315CD">
        <w:rPr>
          <w:rFonts w:ascii="Arial" w:hAnsi="Arial" w:cs="Arial"/>
          <w:noProof/>
          <w:lang w:val="ca-ES"/>
        </w:rPr>
        <w:t xml:space="preserve">L'Agència mai s'ha mostrat en contra de donar compte de les actuacions d'investigació quan aquestes han finalitzat. Mostra d'això és la publicació de les seues resolucions finals en la seua pàgina web. Tampoc s'ha oposat en cap moment a traslladar qualsevol altra documentació o expedient que tinga relació amb el funcionament administratiu </w:t>
      </w:r>
      <w:r w:rsidRPr="00C315CD">
        <w:rPr>
          <w:rFonts w:ascii="Arial" w:hAnsi="Arial" w:cs="Arial"/>
          <w:noProof/>
          <w:lang w:val="ca-ES"/>
        </w:rPr>
        <w:lastRenderedPageBreak/>
        <w:t>propi de l'entitat; tal com s'està fent amb el lliurament de totes les despeses de caixa fixa, informes, contractes, etc., que han sigut recentment sol·licitats per un grup parlamentari.</w:t>
      </w:r>
    </w:p>
    <w:p w14:paraId="49BAA690" w14:textId="77777777" w:rsidR="0091228C" w:rsidRPr="00C315CD" w:rsidRDefault="0091228C" w:rsidP="00F72EBE">
      <w:pPr>
        <w:jc w:val="both"/>
        <w:rPr>
          <w:rFonts w:ascii="Arial" w:hAnsi="Arial" w:cs="Arial"/>
          <w:b/>
          <w:bCs/>
          <w:noProof/>
          <w:sz w:val="36"/>
          <w:szCs w:val="36"/>
          <w:lang w:val="ca-ES"/>
        </w:rPr>
      </w:pPr>
    </w:p>
    <w:p w14:paraId="1894C286"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2"/>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79A2" w14:textId="77777777" w:rsidR="008B4A30" w:rsidRDefault="008B4A30" w:rsidP="00FB784E">
      <w:pPr>
        <w:spacing w:after="0" w:line="240" w:lineRule="auto"/>
      </w:pPr>
      <w:r>
        <w:separator/>
      </w:r>
    </w:p>
  </w:endnote>
  <w:endnote w:type="continuationSeparator" w:id="0">
    <w:p w14:paraId="437F8C2B" w14:textId="77777777" w:rsidR="008B4A30" w:rsidRDefault="008B4A30"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5A3E"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ADC7" w14:textId="77777777" w:rsidR="008B4A30" w:rsidRDefault="008B4A30" w:rsidP="00FB784E">
      <w:pPr>
        <w:spacing w:after="0" w:line="240" w:lineRule="auto"/>
      </w:pPr>
      <w:r>
        <w:separator/>
      </w:r>
    </w:p>
  </w:footnote>
  <w:footnote w:type="continuationSeparator" w:id="0">
    <w:p w14:paraId="39DB1B02" w14:textId="77777777" w:rsidR="008B4A30" w:rsidRDefault="008B4A30"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4"/>
    <w:rsid w:val="00017D3D"/>
    <w:rsid w:val="00080D1F"/>
    <w:rsid w:val="000B0CCD"/>
    <w:rsid w:val="00123CA7"/>
    <w:rsid w:val="00134EB4"/>
    <w:rsid w:val="002470B6"/>
    <w:rsid w:val="00262111"/>
    <w:rsid w:val="00280C54"/>
    <w:rsid w:val="0033231D"/>
    <w:rsid w:val="003A4E32"/>
    <w:rsid w:val="00516B9D"/>
    <w:rsid w:val="005C7EA5"/>
    <w:rsid w:val="00611CDA"/>
    <w:rsid w:val="00661279"/>
    <w:rsid w:val="00674154"/>
    <w:rsid w:val="006A6A07"/>
    <w:rsid w:val="006B745D"/>
    <w:rsid w:val="007E3C64"/>
    <w:rsid w:val="008568C5"/>
    <w:rsid w:val="008B045D"/>
    <w:rsid w:val="008B4A30"/>
    <w:rsid w:val="0091228C"/>
    <w:rsid w:val="009F6C57"/>
    <w:rsid w:val="00AA4AD1"/>
    <w:rsid w:val="00AF4BDA"/>
    <w:rsid w:val="00BE5481"/>
    <w:rsid w:val="00BF56B9"/>
    <w:rsid w:val="00C2378C"/>
    <w:rsid w:val="00C315CD"/>
    <w:rsid w:val="00C57995"/>
    <w:rsid w:val="00C642E9"/>
    <w:rsid w:val="00C65390"/>
    <w:rsid w:val="00C84852"/>
    <w:rsid w:val="00CA3327"/>
    <w:rsid w:val="00CB3F5A"/>
    <w:rsid w:val="00E8456D"/>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7E54"/>
  <w15:chartTrackingRefBased/>
  <w15:docId w15:val="{4A776105-CD31-4553-B4EF-76219FA7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in.alventosa\Desktop\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Template>
  <TotalTime>8</TotalTime>
  <Pages>2</Pages>
  <Words>466</Words>
  <Characters>2567</Characters>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2021-04-23T09:48:00Z</dcterms:created>
  <dcterms:modified xsi:type="dcterms:W3CDTF">2021-04-23T09:56:00Z</dcterms:modified>
</cp:coreProperties>
</file>