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2.xml" ContentType="application/vnd.openxmlformats-officedocument.themeOverride+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83AE07" w14:textId="12587565" w:rsidR="009D4825" w:rsidRDefault="009D4825">
      <w:pPr>
        <w:rPr>
          <w:rFonts w:ascii="Arial" w:eastAsia="Times New Roman" w:hAnsi="Arial" w:cs="Arial"/>
          <w:color w:val="000000"/>
          <w:sz w:val="60"/>
          <w:szCs w:val="60"/>
          <w:lang w:eastAsia="es-ES"/>
        </w:rPr>
      </w:pPr>
      <w:r>
        <w:rPr>
          <w:rFonts w:ascii="Arial" w:hAnsi="Arial" w:cs="Arial"/>
          <w:color w:val="000000"/>
          <w:sz w:val="60"/>
          <w:szCs w:val="60"/>
        </w:rPr>
        <w:br w:type="page"/>
      </w:r>
    </w:p>
    <w:p w14:paraId="669C5E22" w14:textId="77777777" w:rsidR="003D6956" w:rsidRPr="00DA3DC3" w:rsidRDefault="003D6956" w:rsidP="000E2A66">
      <w:pPr>
        <w:pStyle w:val="NormalWeb"/>
        <w:spacing w:after="0" w:line="240" w:lineRule="auto"/>
        <w:jc w:val="center"/>
        <w:rPr>
          <w:rFonts w:ascii="Arial" w:hAnsi="Arial" w:cs="Arial"/>
          <w:color w:val="000000"/>
          <w:sz w:val="60"/>
          <w:szCs w:val="60"/>
        </w:rPr>
      </w:pPr>
    </w:p>
    <w:p w14:paraId="071C645A" w14:textId="77777777" w:rsidR="003D6956" w:rsidRPr="00DA3DC3" w:rsidRDefault="003D6956" w:rsidP="000E2A66">
      <w:pPr>
        <w:pStyle w:val="NormalWeb"/>
        <w:spacing w:after="0" w:line="240" w:lineRule="auto"/>
        <w:jc w:val="center"/>
        <w:rPr>
          <w:rFonts w:ascii="Arial" w:hAnsi="Arial" w:cs="Arial"/>
          <w:color w:val="000000"/>
          <w:sz w:val="60"/>
          <w:szCs w:val="60"/>
        </w:rPr>
      </w:pPr>
    </w:p>
    <w:p w14:paraId="7CD86909" w14:textId="77777777" w:rsidR="003D6956" w:rsidRPr="00DA3DC3" w:rsidRDefault="003D6956" w:rsidP="000E2A66">
      <w:pPr>
        <w:pStyle w:val="NormalWeb"/>
        <w:spacing w:after="0" w:line="240" w:lineRule="auto"/>
        <w:jc w:val="center"/>
        <w:rPr>
          <w:rFonts w:ascii="Arial" w:hAnsi="Arial" w:cs="Arial"/>
          <w:color w:val="000000"/>
          <w:sz w:val="60"/>
          <w:szCs w:val="60"/>
        </w:rPr>
      </w:pPr>
    </w:p>
    <w:p w14:paraId="43872141" w14:textId="5095AB6A" w:rsidR="000E2A66" w:rsidRPr="00DA3DC3" w:rsidRDefault="000E2A66" w:rsidP="000E2A66">
      <w:pPr>
        <w:pStyle w:val="NormalWeb"/>
        <w:spacing w:after="0" w:line="240" w:lineRule="auto"/>
        <w:jc w:val="center"/>
        <w:rPr>
          <w:rFonts w:ascii="Arial" w:hAnsi="Arial" w:cs="Arial"/>
          <w:b/>
          <w:bCs/>
        </w:rPr>
      </w:pPr>
      <w:r w:rsidRPr="00DA3DC3">
        <w:rPr>
          <w:rFonts w:ascii="Arial" w:hAnsi="Arial" w:cs="Arial"/>
          <w:b/>
          <w:bCs/>
          <w:color w:val="000000"/>
          <w:sz w:val="60"/>
          <w:szCs w:val="60"/>
        </w:rPr>
        <w:t>MEM</w:t>
      </w:r>
      <w:r w:rsidR="00654DF6" w:rsidRPr="00DA3DC3">
        <w:rPr>
          <w:rFonts w:ascii="Arial" w:hAnsi="Arial" w:cs="Arial"/>
          <w:b/>
          <w:bCs/>
          <w:color w:val="000000"/>
          <w:sz w:val="60"/>
          <w:szCs w:val="60"/>
        </w:rPr>
        <w:t>Ò</w:t>
      </w:r>
      <w:r w:rsidRPr="00DA3DC3">
        <w:rPr>
          <w:rFonts w:ascii="Arial" w:hAnsi="Arial" w:cs="Arial"/>
          <w:b/>
          <w:bCs/>
          <w:color w:val="000000"/>
          <w:sz w:val="60"/>
          <w:szCs w:val="60"/>
        </w:rPr>
        <w:t>RIA D</w:t>
      </w:r>
      <w:r w:rsidR="00654DF6" w:rsidRPr="00DA3DC3">
        <w:rPr>
          <w:rFonts w:ascii="Arial" w:hAnsi="Arial" w:cs="Arial"/>
          <w:b/>
          <w:bCs/>
          <w:color w:val="000000"/>
          <w:sz w:val="60"/>
          <w:szCs w:val="60"/>
        </w:rPr>
        <w:t>’</w:t>
      </w:r>
      <w:r w:rsidRPr="00DA3DC3">
        <w:rPr>
          <w:rFonts w:ascii="Arial" w:hAnsi="Arial" w:cs="Arial"/>
          <w:b/>
          <w:bCs/>
          <w:color w:val="000000"/>
          <w:sz w:val="60"/>
          <w:szCs w:val="60"/>
        </w:rPr>
        <w:t>ACTIVI</w:t>
      </w:r>
      <w:r w:rsidR="00654DF6" w:rsidRPr="00DA3DC3">
        <w:rPr>
          <w:rFonts w:ascii="Arial" w:hAnsi="Arial" w:cs="Arial"/>
          <w:b/>
          <w:bCs/>
          <w:color w:val="000000"/>
          <w:sz w:val="60"/>
          <w:szCs w:val="60"/>
        </w:rPr>
        <w:t>TAT</w:t>
      </w:r>
      <w:r w:rsidRPr="00DA3DC3">
        <w:rPr>
          <w:rFonts w:ascii="Arial" w:hAnsi="Arial" w:cs="Arial"/>
          <w:b/>
          <w:bCs/>
          <w:color w:val="000000"/>
          <w:sz w:val="60"/>
          <w:szCs w:val="60"/>
        </w:rPr>
        <w:t xml:space="preserve"> </w:t>
      </w:r>
    </w:p>
    <w:p w14:paraId="32139401" w14:textId="3FC41C68" w:rsidR="000E2A66" w:rsidRPr="00DA3DC3" w:rsidRDefault="000E2A66" w:rsidP="000E2A66">
      <w:pPr>
        <w:pStyle w:val="NormalWeb"/>
        <w:spacing w:after="0" w:line="240" w:lineRule="auto"/>
        <w:jc w:val="center"/>
        <w:rPr>
          <w:rFonts w:ascii="Arial" w:hAnsi="Arial" w:cs="Arial"/>
          <w:b/>
          <w:bCs/>
        </w:rPr>
      </w:pPr>
      <w:r w:rsidRPr="00DA3DC3">
        <w:rPr>
          <w:rFonts w:ascii="Arial" w:hAnsi="Arial" w:cs="Arial"/>
          <w:b/>
          <w:bCs/>
          <w:color w:val="000000"/>
          <w:sz w:val="60"/>
          <w:szCs w:val="60"/>
        </w:rPr>
        <w:t>E</w:t>
      </w:r>
      <w:r w:rsidR="00654DF6" w:rsidRPr="00DA3DC3">
        <w:rPr>
          <w:rFonts w:ascii="Arial" w:hAnsi="Arial" w:cs="Arial"/>
          <w:b/>
          <w:bCs/>
          <w:color w:val="000000"/>
          <w:sz w:val="60"/>
          <w:szCs w:val="60"/>
        </w:rPr>
        <w:t>X</w:t>
      </w:r>
      <w:r w:rsidRPr="00DA3DC3">
        <w:rPr>
          <w:rFonts w:ascii="Arial" w:hAnsi="Arial" w:cs="Arial"/>
          <w:b/>
          <w:bCs/>
          <w:color w:val="000000"/>
          <w:sz w:val="60"/>
          <w:szCs w:val="60"/>
        </w:rPr>
        <w:t>ERCICI 20</w:t>
      </w:r>
      <w:r w:rsidR="00992EC2" w:rsidRPr="00DA3DC3">
        <w:rPr>
          <w:rFonts w:ascii="Arial" w:hAnsi="Arial" w:cs="Arial"/>
          <w:b/>
          <w:bCs/>
          <w:color w:val="000000"/>
          <w:sz w:val="60"/>
          <w:szCs w:val="60"/>
        </w:rPr>
        <w:t>2</w:t>
      </w:r>
      <w:r w:rsidR="00221575">
        <w:rPr>
          <w:rFonts w:ascii="Arial" w:hAnsi="Arial" w:cs="Arial"/>
          <w:b/>
          <w:bCs/>
          <w:color w:val="000000"/>
          <w:sz w:val="60"/>
          <w:szCs w:val="60"/>
        </w:rPr>
        <w:t>1</w:t>
      </w:r>
    </w:p>
    <w:p w14:paraId="3421B897" w14:textId="77777777" w:rsidR="000E2A66" w:rsidRPr="00DA3DC3" w:rsidRDefault="000E2A66" w:rsidP="005945CC">
      <w:pPr>
        <w:pStyle w:val="NormalWeb"/>
        <w:spacing w:after="0" w:line="240" w:lineRule="auto"/>
        <w:jc w:val="center"/>
        <w:rPr>
          <w:rFonts w:ascii="Arial" w:hAnsi="Arial" w:cs="Arial"/>
        </w:rPr>
      </w:pPr>
    </w:p>
    <w:p w14:paraId="0CB3449D" w14:textId="77777777" w:rsidR="000E2A66" w:rsidRPr="00DA3DC3" w:rsidRDefault="000E2A66" w:rsidP="000E2A66">
      <w:pPr>
        <w:pStyle w:val="NormalWeb"/>
        <w:spacing w:after="0" w:line="240" w:lineRule="auto"/>
        <w:jc w:val="center"/>
        <w:rPr>
          <w:rFonts w:ascii="Arial" w:hAnsi="Arial" w:cs="Arial"/>
        </w:rPr>
      </w:pPr>
    </w:p>
    <w:p w14:paraId="195027FB" w14:textId="77777777" w:rsidR="00D82A73" w:rsidRDefault="000E2A66" w:rsidP="000E2A66">
      <w:pPr>
        <w:pStyle w:val="NormalWeb"/>
        <w:spacing w:after="0" w:line="240" w:lineRule="auto"/>
        <w:contextualSpacing/>
        <w:jc w:val="center"/>
        <w:rPr>
          <w:rFonts w:ascii="Arial" w:hAnsi="Arial" w:cs="Arial"/>
          <w:b/>
          <w:bCs/>
          <w:color w:val="9D2235"/>
          <w:sz w:val="30"/>
          <w:szCs w:val="30"/>
        </w:rPr>
      </w:pPr>
      <w:r w:rsidRPr="00DA3DC3">
        <w:rPr>
          <w:rFonts w:ascii="Arial" w:hAnsi="Arial" w:cs="Arial"/>
          <w:b/>
          <w:bCs/>
          <w:color w:val="9D2235"/>
          <w:sz w:val="30"/>
          <w:szCs w:val="30"/>
        </w:rPr>
        <w:t>AG</w:t>
      </w:r>
      <w:r w:rsidR="00654DF6" w:rsidRPr="00DA3DC3">
        <w:rPr>
          <w:rFonts w:ascii="Arial" w:hAnsi="Arial" w:cs="Arial"/>
          <w:b/>
          <w:bCs/>
          <w:color w:val="9D2235"/>
          <w:sz w:val="30"/>
          <w:szCs w:val="30"/>
        </w:rPr>
        <w:t>È</w:t>
      </w:r>
      <w:r w:rsidRPr="00DA3DC3">
        <w:rPr>
          <w:rFonts w:ascii="Arial" w:hAnsi="Arial" w:cs="Arial"/>
          <w:b/>
          <w:bCs/>
          <w:color w:val="9D2235"/>
          <w:sz w:val="30"/>
          <w:szCs w:val="30"/>
        </w:rPr>
        <w:t xml:space="preserve">NCIA DE PREVENCIÓ </w:t>
      </w:r>
      <w:r w:rsidR="00654DF6" w:rsidRPr="00DA3DC3">
        <w:rPr>
          <w:rFonts w:ascii="Arial" w:hAnsi="Arial" w:cs="Arial"/>
          <w:b/>
          <w:bCs/>
          <w:color w:val="9D2235"/>
          <w:sz w:val="30"/>
          <w:szCs w:val="30"/>
        </w:rPr>
        <w:t>I</w:t>
      </w:r>
      <w:r w:rsidRPr="00DA3DC3">
        <w:rPr>
          <w:rFonts w:ascii="Arial" w:hAnsi="Arial" w:cs="Arial"/>
          <w:b/>
          <w:bCs/>
          <w:color w:val="9D2235"/>
          <w:sz w:val="30"/>
          <w:szCs w:val="30"/>
        </w:rPr>
        <w:t xml:space="preserve"> L</w:t>
      </w:r>
      <w:r w:rsidR="00654DF6" w:rsidRPr="00DA3DC3">
        <w:rPr>
          <w:rFonts w:ascii="Arial" w:hAnsi="Arial" w:cs="Arial"/>
          <w:b/>
          <w:bCs/>
          <w:color w:val="9D2235"/>
          <w:sz w:val="30"/>
          <w:szCs w:val="30"/>
        </w:rPr>
        <w:t>LUIT</w:t>
      </w:r>
      <w:r w:rsidRPr="00DA3DC3">
        <w:rPr>
          <w:rFonts w:ascii="Arial" w:hAnsi="Arial" w:cs="Arial"/>
          <w:b/>
          <w:bCs/>
          <w:color w:val="9D2235"/>
          <w:sz w:val="30"/>
          <w:szCs w:val="30"/>
        </w:rPr>
        <w:t>A</w:t>
      </w:r>
    </w:p>
    <w:p w14:paraId="699C56F0" w14:textId="77777777" w:rsidR="00D82A73" w:rsidRDefault="000E2A66" w:rsidP="000E2A66">
      <w:pPr>
        <w:pStyle w:val="NormalWeb"/>
        <w:spacing w:after="0" w:line="240" w:lineRule="auto"/>
        <w:contextualSpacing/>
        <w:jc w:val="center"/>
        <w:rPr>
          <w:rFonts w:ascii="Arial" w:hAnsi="Arial" w:cs="Arial"/>
          <w:b/>
          <w:bCs/>
          <w:color w:val="9D2235"/>
          <w:sz w:val="30"/>
          <w:szCs w:val="30"/>
        </w:rPr>
      </w:pPr>
      <w:r w:rsidRPr="00DA3DC3">
        <w:rPr>
          <w:rFonts w:ascii="Arial" w:hAnsi="Arial" w:cs="Arial"/>
          <w:b/>
          <w:bCs/>
          <w:color w:val="9D2235"/>
          <w:sz w:val="30"/>
          <w:szCs w:val="30"/>
        </w:rPr>
        <w:t>CONTRA EL FRA</w:t>
      </w:r>
      <w:r w:rsidR="002B6E00" w:rsidRPr="00DA3DC3">
        <w:rPr>
          <w:rFonts w:ascii="Arial" w:hAnsi="Arial" w:cs="Arial"/>
          <w:b/>
          <w:bCs/>
          <w:color w:val="9D2235"/>
          <w:sz w:val="30"/>
          <w:szCs w:val="30"/>
        </w:rPr>
        <w:t>U</w:t>
      </w:r>
      <w:r w:rsidRPr="00DA3DC3">
        <w:rPr>
          <w:rFonts w:ascii="Arial" w:hAnsi="Arial" w:cs="Arial"/>
          <w:b/>
          <w:bCs/>
          <w:color w:val="9D2235"/>
          <w:sz w:val="30"/>
          <w:szCs w:val="30"/>
        </w:rPr>
        <w:t xml:space="preserve"> </w:t>
      </w:r>
      <w:r w:rsidR="00654DF6" w:rsidRPr="00DA3DC3">
        <w:rPr>
          <w:rFonts w:ascii="Arial" w:hAnsi="Arial" w:cs="Arial"/>
          <w:b/>
          <w:bCs/>
          <w:color w:val="9D2235"/>
          <w:sz w:val="30"/>
          <w:szCs w:val="30"/>
        </w:rPr>
        <w:t>I</w:t>
      </w:r>
      <w:r w:rsidRPr="00DA3DC3">
        <w:rPr>
          <w:rFonts w:ascii="Arial" w:hAnsi="Arial" w:cs="Arial"/>
          <w:b/>
          <w:bCs/>
          <w:color w:val="9D2235"/>
          <w:sz w:val="30"/>
          <w:szCs w:val="30"/>
        </w:rPr>
        <w:t xml:space="preserve"> LA CORRUPCIÓ</w:t>
      </w:r>
    </w:p>
    <w:p w14:paraId="545BE0A6" w14:textId="1A4BD0F7" w:rsidR="000E2A66" w:rsidRPr="00DA3DC3" w:rsidRDefault="000E2A66" w:rsidP="000E2A66">
      <w:pPr>
        <w:pStyle w:val="NormalWeb"/>
        <w:spacing w:after="0" w:line="240" w:lineRule="auto"/>
        <w:contextualSpacing/>
        <w:jc w:val="center"/>
        <w:rPr>
          <w:rFonts w:ascii="Arial" w:hAnsi="Arial" w:cs="Arial"/>
          <w:b/>
          <w:bCs/>
          <w:color w:val="9D2235"/>
        </w:rPr>
      </w:pPr>
      <w:r w:rsidRPr="00DA3DC3">
        <w:rPr>
          <w:rFonts w:ascii="Arial" w:hAnsi="Arial" w:cs="Arial"/>
          <w:b/>
          <w:bCs/>
          <w:color w:val="9D2235"/>
          <w:sz w:val="30"/>
          <w:szCs w:val="30"/>
        </w:rPr>
        <w:t>DE LA COMUNITAT VALENCIANA</w:t>
      </w:r>
    </w:p>
    <w:p w14:paraId="63C6212F" w14:textId="77777777" w:rsidR="000E2A66" w:rsidRPr="00DA3DC3" w:rsidRDefault="000E2A66" w:rsidP="000E2A66">
      <w:pPr>
        <w:pStyle w:val="NormalWeb"/>
        <w:spacing w:after="0" w:line="240" w:lineRule="auto"/>
        <w:jc w:val="center"/>
        <w:rPr>
          <w:rFonts w:ascii="Arial" w:hAnsi="Arial" w:cs="Arial"/>
        </w:rPr>
      </w:pPr>
    </w:p>
    <w:p w14:paraId="42F402F5" w14:textId="4B37B7FF" w:rsidR="000E2A66" w:rsidRPr="00DA3DC3" w:rsidRDefault="000E2A66" w:rsidP="000E2A66">
      <w:pPr>
        <w:pStyle w:val="NormalWeb"/>
        <w:keepNext/>
        <w:spacing w:after="0" w:line="240" w:lineRule="auto"/>
        <w:jc w:val="center"/>
        <w:rPr>
          <w:rFonts w:ascii="Arial" w:hAnsi="Arial" w:cs="Arial"/>
        </w:rPr>
      </w:pPr>
      <w:r w:rsidRPr="00DA3DC3">
        <w:rPr>
          <w:rFonts w:ascii="Arial" w:hAnsi="Arial" w:cs="Arial"/>
          <w:color w:val="000000"/>
        </w:rPr>
        <w:t xml:space="preserve">València, </w:t>
      </w:r>
      <w:r w:rsidR="00221575">
        <w:rPr>
          <w:rFonts w:ascii="Arial" w:hAnsi="Arial" w:cs="Arial"/>
          <w:color w:val="000000"/>
        </w:rPr>
        <w:t>29</w:t>
      </w:r>
      <w:r w:rsidR="009568B0" w:rsidRPr="00DA3DC3">
        <w:rPr>
          <w:rFonts w:ascii="Arial" w:hAnsi="Arial" w:cs="Arial"/>
          <w:color w:val="000000"/>
        </w:rPr>
        <w:t xml:space="preserve"> de mar</w:t>
      </w:r>
      <w:r w:rsidR="00003F91" w:rsidRPr="00DA3DC3">
        <w:rPr>
          <w:rFonts w:ascii="Arial" w:hAnsi="Arial" w:cs="Arial"/>
          <w:color w:val="000000"/>
        </w:rPr>
        <w:t>ç</w:t>
      </w:r>
      <w:r w:rsidR="009568B0" w:rsidRPr="00DA3DC3">
        <w:rPr>
          <w:rFonts w:ascii="Arial" w:hAnsi="Arial" w:cs="Arial"/>
          <w:color w:val="000000"/>
        </w:rPr>
        <w:t xml:space="preserve"> de 202</w:t>
      </w:r>
      <w:r w:rsidR="00221575">
        <w:rPr>
          <w:rFonts w:ascii="Arial" w:hAnsi="Arial" w:cs="Arial"/>
          <w:color w:val="000000"/>
        </w:rPr>
        <w:t>2</w:t>
      </w:r>
    </w:p>
    <w:p w14:paraId="262246A6" w14:textId="77777777" w:rsidR="00130C46" w:rsidRPr="00DA3DC3" w:rsidRDefault="00130C46">
      <w:pPr>
        <w:rPr>
          <w:rFonts w:ascii="Arial" w:hAnsi="Arial" w:cs="Arial"/>
        </w:rPr>
      </w:pPr>
    </w:p>
    <w:p w14:paraId="0BFD1963" w14:textId="77777777" w:rsidR="000E2A66" w:rsidRPr="00DA3DC3" w:rsidRDefault="000E2A66">
      <w:pPr>
        <w:rPr>
          <w:rFonts w:ascii="Arial" w:hAnsi="Arial" w:cs="Arial"/>
        </w:rPr>
      </w:pPr>
    </w:p>
    <w:p w14:paraId="07C39E98" w14:textId="77777777" w:rsidR="000E2A66" w:rsidRPr="00DA3DC3" w:rsidRDefault="000E2A66">
      <w:pPr>
        <w:rPr>
          <w:rFonts w:ascii="Arial" w:hAnsi="Arial" w:cs="Arial"/>
        </w:rPr>
      </w:pPr>
    </w:p>
    <w:p w14:paraId="76A7E676" w14:textId="77777777" w:rsidR="000E2A66" w:rsidRPr="00DA3DC3" w:rsidRDefault="000E2A66">
      <w:pPr>
        <w:rPr>
          <w:rFonts w:ascii="Arial" w:hAnsi="Arial" w:cs="Arial"/>
        </w:rPr>
      </w:pPr>
    </w:p>
    <w:p w14:paraId="22413461" w14:textId="77777777" w:rsidR="000E2A66" w:rsidRPr="00DA3DC3" w:rsidRDefault="000E2A66">
      <w:pPr>
        <w:rPr>
          <w:rFonts w:ascii="Arial" w:hAnsi="Arial" w:cs="Arial"/>
        </w:rPr>
      </w:pPr>
    </w:p>
    <w:p w14:paraId="3A833C4A" w14:textId="77777777" w:rsidR="000E2A66" w:rsidRPr="00DA3DC3" w:rsidRDefault="000E2A66">
      <w:pPr>
        <w:rPr>
          <w:rFonts w:ascii="Arial" w:hAnsi="Arial" w:cs="Arial"/>
        </w:rPr>
      </w:pPr>
    </w:p>
    <w:p w14:paraId="6BF15D4E" w14:textId="77777777" w:rsidR="000E2A66" w:rsidRPr="00DA3DC3" w:rsidRDefault="000E2A66">
      <w:pPr>
        <w:rPr>
          <w:rFonts w:ascii="Arial" w:hAnsi="Arial" w:cs="Arial"/>
        </w:rPr>
      </w:pPr>
    </w:p>
    <w:p w14:paraId="2595574C" w14:textId="77777777" w:rsidR="000E2A66" w:rsidRPr="00DA3DC3" w:rsidRDefault="000E2A66">
      <w:pPr>
        <w:rPr>
          <w:rFonts w:ascii="Arial" w:hAnsi="Arial" w:cs="Arial"/>
        </w:rPr>
      </w:pPr>
    </w:p>
    <w:p w14:paraId="6D42D00E" w14:textId="77777777" w:rsidR="00DD15BF" w:rsidRPr="00DA3DC3" w:rsidRDefault="00DD15BF">
      <w:pPr>
        <w:rPr>
          <w:rFonts w:ascii="Arial" w:hAnsi="Arial" w:cs="Arial"/>
        </w:rPr>
        <w:sectPr w:rsidR="00DD15BF" w:rsidRPr="00DA3DC3" w:rsidSect="002B6E00">
          <w:headerReference w:type="even" r:id="rId8"/>
          <w:headerReference w:type="default" r:id="rId9"/>
          <w:footerReference w:type="even" r:id="rId10"/>
          <w:footerReference w:type="first" r:id="rId11"/>
          <w:pgSz w:w="11906" w:h="16838"/>
          <w:pgMar w:top="1134" w:right="1701" w:bottom="1985" w:left="1701" w:header="708" w:footer="708" w:gutter="0"/>
          <w:cols w:space="708"/>
          <w:docGrid w:linePitch="360"/>
        </w:sectPr>
      </w:pPr>
    </w:p>
    <w:p w14:paraId="373493EF" w14:textId="77777777" w:rsidR="000E2A66" w:rsidRPr="00DA3DC3" w:rsidRDefault="000E2A66">
      <w:pPr>
        <w:rPr>
          <w:rFonts w:ascii="Arial" w:hAnsi="Arial" w:cs="Arial"/>
        </w:rPr>
      </w:pPr>
    </w:p>
    <w:p w14:paraId="771C128F" w14:textId="77777777" w:rsidR="00DD15BF" w:rsidRPr="00DA3DC3" w:rsidRDefault="00DD15BF">
      <w:pPr>
        <w:rPr>
          <w:rFonts w:ascii="Arial" w:hAnsi="Arial" w:cs="Arial"/>
        </w:rPr>
      </w:pPr>
    </w:p>
    <w:p w14:paraId="0B00F6E2" w14:textId="77777777" w:rsidR="000E2A66" w:rsidRPr="00DA3DC3" w:rsidRDefault="000E2A66">
      <w:pPr>
        <w:rPr>
          <w:rFonts w:ascii="Arial" w:hAnsi="Arial" w:cs="Arial"/>
        </w:rPr>
      </w:pPr>
    </w:p>
    <w:p w14:paraId="3F0BE430" w14:textId="77777777" w:rsidR="000E2A66" w:rsidRPr="00DA3DC3" w:rsidRDefault="000E2A66">
      <w:pPr>
        <w:rPr>
          <w:rFonts w:ascii="Arial" w:hAnsi="Arial" w:cs="Arial"/>
        </w:rPr>
      </w:pPr>
    </w:p>
    <w:p w14:paraId="463DE618" w14:textId="77777777" w:rsidR="000E2A66" w:rsidRPr="00DA3DC3" w:rsidRDefault="000E2A66">
      <w:pPr>
        <w:rPr>
          <w:rFonts w:ascii="Arial" w:hAnsi="Arial" w:cs="Arial"/>
        </w:rPr>
      </w:pPr>
    </w:p>
    <w:p w14:paraId="4FB10CB2" w14:textId="77777777" w:rsidR="000E2A66" w:rsidRPr="00DA3DC3" w:rsidRDefault="000E2A66">
      <w:pPr>
        <w:rPr>
          <w:rFonts w:ascii="Arial" w:hAnsi="Arial" w:cs="Arial"/>
        </w:rPr>
      </w:pPr>
    </w:p>
    <w:p w14:paraId="5640EAAB" w14:textId="77777777" w:rsidR="000E2A66" w:rsidRPr="00DA3DC3" w:rsidRDefault="000E2A66">
      <w:pPr>
        <w:rPr>
          <w:rFonts w:ascii="Arial" w:hAnsi="Arial" w:cs="Arial"/>
        </w:rPr>
      </w:pPr>
    </w:p>
    <w:p w14:paraId="13779271" w14:textId="77777777" w:rsidR="00DD15BF" w:rsidRPr="00DA3DC3" w:rsidRDefault="00DD15BF">
      <w:pPr>
        <w:rPr>
          <w:rFonts w:ascii="Arial" w:hAnsi="Arial" w:cs="Arial"/>
        </w:rPr>
      </w:pPr>
    </w:p>
    <w:p w14:paraId="6D39B73D" w14:textId="77777777" w:rsidR="00DD15BF" w:rsidRPr="00DA3DC3" w:rsidRDefault="00DD15BF">
      <w:pPr>
        <w:rPr>
          <w:rFonts w:ascii="Arial" w:hAnsi="Arial" w:cs="Arial"/>
        </w:rPr>
      </w:pPr>
    </w:p>
    <w:p w14:paraId="5A379638" w14:textId="77777777" w:rsidR="00DD15BF" w:rsidRPr="00DA3DC3" w:rsidRDefault="00DD15BF">
      <w:pPr>
        <w:rPr>
          <w:rFonts w:ascii="Arial" w:hAnsi="Arial" w:cs="Arial"/>
        </w:rPr>
      </w:pPr>
    </w:p>
    <w:p w14:paraId="218AD450" w14:textId="77777777" w:rsidR="00DD15BF" w:rsidRPr="00DA3DC3" w:rsidRDefault="00DD15BF">
      <w:pPr>
        <w:rPr>
          <w:rFonts w:ascii="Arial" w:hAnsi="Arial" w:cs="Arial"/>
        </w:rPr>
      </w:pPr>
    </w:p>
    <w:p w14:paraId="65FFBF1A" w14:textId="77777777" w:rsidR="00DD15BF" w:rsidRPr="00DA3DC3" w:rsidRDefault="00DD15BF">
      <w:pPr>
        <w:rPr>
          <w:rFonts w:ascii="Arial" w:hAnsi="Arial" w:cs="Arial"/>
        </w:rPr>
      </w:pPr>
    </w:p>
    <w:p w14:paraId="1F533192" w14:textId="77777777" w:rsidR="00DD15BF" w:rsidRPr="00DA3DC3" w:rsidRDefault="00DD15BF">
      <w:pPr>
        <w:rPr>
          <w:rFonts w:ascii="Arial" w:hAnsi="Arial" w:cs="Arial"/>
        </w:rPr>
      </w:pPr>
    </w:p>
    <w:p w14:paraId="55A181CF" w14:textId="77777777" w:rsidR="00DD15BF" w:rsidRPr="00DA3DC3" w:rsidRDefault="00DD15BF">
      <w:pPr>
        <w:rPr>
          <w:rFonts w:ascii="Arial" w:hAnsi="Arial" w:cs="Arial"/>
        </w:rPr>
      </w:pPr>
    </w:p>
    <w:p w14:paraId="2FFDBEE3" w14:textId="77777777" w:rsidR="00DD15BF" w:rsidRPr="00DA3DC3" w:rsidRDefault="00DD15BF">
      <w:pPr>
        <w:rPr>
          <w:rFonts w:ascii="Arial" w:hAnsi="Arial" w:cs="Arial"/>
        </w:rPr>
      </w:pPr>
    </w:p>
    <w:p w14:paraId="3490D864" w14:textId="77777777" w:rsidR="00DD15BF" w:rsidRPr="00DA3DC3" w:rsidRDefault="00DD15BF">
      <w:pPr>
        <w:rPr>
          <w:rFonts w:ascii="Arial" w:hAnsi="Arial" w:cs="Arial"/>
        </w:rPr>
      </w:pPr>
    </w:p>
    <w:p w14:paraId="33CA4A92" w14:textId="77777777" w:rsidR="00DD15BF" w:rsidRPr="00DA3DC3" w:rsidRDefault="00DD15BF">
      <w:pPr>
        <w:rPr>
          <w:rFonts w:ascii="Arial" w:hAnsi="Arial" w:cs="Arial"/>
        </w:rPr>
      </w:pPr>
    </w:p>
    <w:p w14:paraId="729B9F7F" w14:textId="77777777" w:rsidR="00DD15BF" w:rsidRPr="00DA3DC3" w:rsidRDefault="00DD15BF">
      <w:pPr>
        <w:rPr>
          <w:rFonts w:ascii="Arial" w:hAnsi="Arial" w:cs="Arial"/>
        </w:rPr>
      </w:pPr>
    </w:p>
    <w:p w14:paraId="5742D0E2" w14:textId="77777777" w:rsidR="00DD15BF" w:rsidRPr="00DA3DC3" w:rsidRDefault="00DD15BF">
      <w:pPr>
        <w:rPr>
          <w:rFonts w:ascii="Arial" w:hAnsi="Arial" w:cs="Arial"/>
        </w:rPr>
      </w:pPr>
    </w:p>
    <w:p w14:paraId="395450C8" w14:textId="77777777" w:rsidR="00DD15BF" w:rsidRPr="00DA3DC3" w:rsidRDefault="00DD15BF">
      <w:pPr>
        <w:rPr>
          <w:rFonts w:ascii="Arial" w:hAnsi="Arial" w:cs="Arial"/>
        </w:rPr>
      </w:pPr>
    </w:p>
    <w:p w14:paraId="72ABEAF6" w14:textId="77777777" w:rsidR="00DD15BF" w:rsidRPr="00DA3DC3" w:rsidRDefault="00DD15BF">
      <w:pPr>
        <w:rPr>
          <w:rFonts w:ascii="Arial" w:hAnsi="Arial" w:cs="Arial"/>
        </w:rPr>
      </w:pPr>
    </w:p>
    <w:p w14:paraId="4861C532" w14:textId="77777777" w:rsidR="00DD15BF" w:rsidRPr="00DA3DC3" w:rsidRDefault="00DD15BF">
      <w:pPr>
        <w:rPr>
          <w:rFonts w:ascii="Arial" w:hAnsi="Arial" w:cs="Arial"/>
        </w:rPr>
      </w:pPr>
    </w:p>
    <w:p w14:paraId="69D6E34E" w14:textId="77777777" w:rsidR="00DD15BF" w:rsidRPr="00DA3DC3" w:rsidRDefault="00DD15BF">
      <w:pPr>
        <w:rPr>
          <w:rFonts w:ascii="Arial" w:hAnsi="Arial" w:cs="Arial"/>
        </w:rPr>
      </w:pPr>
    </w:p>
    <w:p w14:paraId="73DB26DC" w14:textId="6E59BE27" w:rsidR="000E2A66" w:rsidRPr="00DA3DC3" w:rsidRDefault="000E2A66" w:rsidP="000E2A66">
      <w:pPr>
        <w:pStyle w:val="NormalWeb"/>
        <w:spacing w:after="0" w:line="240" w:lineRule="auto"/>
        <w:rPr>
          <w:rFonts w:ascii="Arial" w:hAnsi="Arial" w:cs="Arial"/>
        </w:rPr>
      </w:pPr>
      <w:r w:rsidRPr="00DA3DC3">
        <w:rPr>
          <w:rFonts w:ascii="Arial" w:hAnsi="Arial" w:cs="Arial"/>
          <w:noProof/>
        </w:rPr>
        <w:drawing>
          <wp:anchor distT="57150" distB="57150" distL="57150" distR="57150" simplePos="0" relativeHeight="251656192" behindDoc="0" locked="0" layoutInCell="1" allowOverlap="0" wp14:anchorId="5A1E4B1D" wp14:editId="7CAAA041">
            <wp:simplePos x="0" y="0"/>
            <wp:positionH relativeFrom="column">
              <wp:align>left</wp:align>
            </wp:positionH>
            <wp:positionV relativeFrom="line">
              <wp:posOffset>0</wp:posOffset>
            </wp:positionV>
            <wp:extent cx="1047750" cy="361950"/>
            <wp:effectExtent l="0" t="0" r="0" b="0"/>
            <wp:wrapSquare wrapText="bothSides"/>
            <wp:docPr id="2" name="Imagen 2" descr="C:\Users\ROSA~1.BOR\AppData\Local\Temp\lu13676wmsrqw.tmp\lu13676wmsrsm_tmp_dfb25262bd3e99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1.BOR\AppData\Local\Temp\lu13676wmsrqw.tmp\lu13676wmsrsm_tmp_dfb25262bd3e99f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77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3DC3">
        <w:rPr>
          <w:rFonts w:ascii="Arial" w:hAnsi="Arial" w:cs="Arial"/>
        </w:rPr>
        <w:br w:type="textWrapping" w:clear="left"/>
      </w:r>
      <w:r w:rsidRPr="00DA3DC3">
        <w:rPr>
          <w:rFonts w:ascii="Arial" w:hAnsi="Arial" w:cs="Arial"/>
          <w:b/>
          <w:bCs/>
          <w:sz w:val="18"/>
          <w:szCs w:val="18"/>
        </w:rPr>
        <w:t>Recon</w:t>
      </w:r>
      <w:r w:rsidR="00654DF6" w:rsidRPr="00DA3DC3">
        <w:rPr>
          <w:rFonts w:ascii="Arial" w:hAnsi="Arial" w:cs="Arial"/>
          <w:b/>
          <w:bCs/>
          <w:sz w:val="18"/>
          <w:szCs w:val="18"/>
        </w:rPr>
        <w:t>eixement</w:t>
      </w:r>
      <w:r w:rsidRPr="00DA3DC3">
        <w:rPr>
          <w:rFonts w:ascii="Arial" w:hAnsi="Arial" w:cs="Arial"/>
          <w:b/>
          <w:bCs/>
          <w:sz w:val="18"/>
          <w:szCs w:val="18"/>
        </w:rPr>
        <w:t xml:space="preserve"> – No Comercial – </w:t>
      </w:r>
      <w:r w:rsidR="00654DF6" w:rsidRPr="00DA3DC3">
        <w:rPr>
          <w:rFonts w:ascii="Arial" w:hAnsi="Arial" w:cs="Arial"/>
          <w:b/>
          <w:bCs/>
          <w:sz w:val="18"/>
          <w:szCs w:val="18"/>
        </w:rPr>
        <w:t>Sense</w:t>
      </w:r>
      <w:r w:rsidRPr="00DA3DC3">
        <w:rPr>
          <w:rFonts w:ascii="Arial" w:hAnsi="Arial" w:cs="Arial"/>
          <w:b/>
          <w:bCs/>
          <w:sz w:val="18"/>
          <w:szCs w:val="18"/>
        </w:rPr>
        <w:t xml:space="preserve"> Obra Derivada:</w:t>
      </w:r>
      <w:r w:rsidRPr="00DA3DC3">
        <w:rPr>
          <w:rFonts w:ascii="Arial" w:hAnsi="Arial" w:cs="Arial"/>
          <w:sz w:val="18"/>
          <w:szCs w:val="18"/>
        </w:rPr>
        <w:t xml:space="preserve"> No </w:t>
      </w:r>
      <w:r w:rsidR="00654DF6" w:rsidRPr="00DA3DC3">
        <w:rPr>
          <w:rFonts w:ascii="Arial" w:hAnsi="Arial" w:cs="Arial"/>
          <w:sz w:val="18"/>
          <w:szCs w:val="18"/>
        </w:rPr>
        <w:t>es permet</w:t>
      </w:r>
      <w:r w:rsidRPr="00DA3DC3">
        <w:rPr>
          <w:rFonts w:ascii="Arial" w:hAnsi="Arial" w:cs="Arial"/>
          <w:sz w:val="18"/>
          <w:szCs w:val="18"/>
        </w:rPr>
        <w:t xml:space="preserve"> un us comercial de l</w:t>
      </w:r>
      <w:r w:rsidR="00654DF6" w:rsidRPr="00DA3DC3">
        <w:rPr>
          <w:rFonts w:ascii="Arial" w:hAnsi="Arial" w:cs="Arial"/>
          <w:sz w:val="18"/>
          <w:szCs w:val="18"/>
        </w:rPr>
        <w:t>’</w:t>
      </w:r>
      <w:r w:rsidRPr="00DA3DC3">
        <w:rPr>
          <w:rFonts w:ascii="Arial" w:hAnsi="Arial" w:cs="Arial"/>
          <w:sz w:val="18"/>
          <w:szCs w:val="18"/>
        </w:rPr>
        <w:t xml:space="preserve">obra original ni la </w:t>
      </w:r>
      <w:r w:rsidR="00A80110" w:rsidRPr="00DA3DC3">
        <w:rPr>
          <w:rFonts w:ascii="Arial" w:hAnsi="Arial" w:cs="Arial"/>
          <w:sz w:val="18"/>
          <w:szCs w:val="18"/>
        </w:rPr>
        <w:t>generació</w:t>
      </w:r>
      <w:r w:rsidRPr="00DA3DC3">
        <w:rPr>
          <w:rFonts w:ascii="Arial" w:hAnsi="Arial" w:cs="Arial"/>
          <w:sz w:val="18"/>
          <w:szCs w:val="18"/>
        </w:rPr>
        <w:t>́ d</w:t>
      </w:r>
      <w:r w:rsidR="00654DF6" w:rsidRPr="00DA3DC3">
        <w:rPr>
          <w:rFonts w:ascii="Arial" w:hAnsi="Arial" w:cs="Arial"/>
          <w:sz w:val="18"/>
          <w:szCs w:val="18"/>
        </w:rPr>
        <w:t>’</w:t>
      </w:r>
      <w:r w:rsidRPr="00DA3DC3">
        <w:rPr>
          <w:rFonts w:ascii="Arial" w:hAnsi="Arial" w:cs="Arial"/>
          <w:sz w:val="18"/>
          <w:szCs w:val="18"/>
        </w:rPr>
        <w:t>obr</w:t>
      </w:r>
      <w:r w:rsidR="00654DF6" w:rsidRPr="00DA3DC3">
        <w:rPr>
          <w:rFonts w:ascii="Arial" w:hAnsi="Arial" w:cs="Arial"/>
          <w:sz w:val="18"/>
          <w:szCs w:val="18"/>
        </w:rPr>
        <w:t>e</w:t>
      </w:r>
      <w:r w:rsidRPr="00DA3DC3">
        <w:rPr>
          <w:rFonts w:ascii="Arial" w:hAnsi="Arial" w:cs="Arial"/>
          <w:sz w:val="18"/>
          <w:szCs w:val="18"/>
        </w:rPr>
        <w:t>s derivad</w:t>
      </w:r>
      <w:r w:rsidR="00654DF6" w:rsidRPr="00DA3DC3">
        <w:rPr>
          <w:rFonts w:ascii="Arial" w:hAnsi="Arial" w:cs="Arial"/>
          <w:sz w:val="18"/>
          <w:szCs w:val="18"/>
        </w:rPr>
        <w:t>e</w:t>
      </w:r>
      <w:r w:rsidRPr="00DA3DC3">
        <w:rPr>
          <w:rFonts w:ascii="Arial" w:hAnsi="Arial" w:cs="Arial"/>
          <w:sz w:val="18"/>
          <w:szCs w:val="18"/>
        </w:rPr>
        <w:t xml:space="preserve">s. </w:t>
      </w:r>
    </w:p>
    <w:p w14:paraId="396ECBF8" w14:textId="4A29C8A4" w:rsidR="000E2A66" w:rsidRPr="00DA3DC3" w:rsidRDefault="000E2A66" w:rsidP="000E2A66">
      <w:pPr>
        <w:pStyle w:val="NormalWeb"/>
        <w:spacing w:before="0" w:beforeAutospacing="0" w:after="0" w:line="240" w:lineRule="auto"/>
        <w:rPr>
          <w:rFonts w:ascii="Arial" w:hAnsi="Arial" w:cs="Arial"/>
        </w:rPr>
      </w:pPr>
      <w:r w:rsidRPr="00DA3DC3">
        <w:rPr>
          <w:rFonts w:ascii="Arial" w:hAnsi="Arial" w:cs="Arial"/>
          <w:sz w:val="18"/>
          <w:szCs w:val="18"/>
        </w:rPr>
        <w:t>D</w:t>
      </w:r>
      <w:r w:rsidR="00654DF6" w:rsidRPr="00DA3DC3">
        <w:rPr>
          <w:rFonts w:ascii="Arial" w:hAnsi="Arial" w:cs="Arial"/>
          <w:sz w:val="18"/>
          <w:szCs w:val="18"/>
        </w:rPr>
        <w:t>i</w:t>
      </w:r>
      <w:r w:rsidRPr="00DA3DC3">
        <w:rPr>
          <w:rFonts w:ascii="Arial" w:hAnsi="Arial" w:cs="Arial"/>
          <w:sz w:val="18"/>
          <w:szCs w:val="18"/>
        </w:rPr>
        <w:t>p</w:t>
      </w:r>
      <w:r w:rsidR="00654DF6" w:rsidRPr="00DA3DC3">
        <w:rPr>
          <w:rFonts w:ascii="Arial" w:hAnsi="Arial" w:cs="Arial"/>
          <w:sz w:val="18"/>
          <w:szCs w:val="18"/>
        </w:rPr>
        <w:t>ò</w:t>
      </w:r>
      <w:r w:rsidRPr="00DA3DC3">
        <w:rPr>
          <w:rFonts w:ascii="Arial" w:hAnsi="Arial" w:cs="Arial"/>
          <w:sz w:val="18"/>
          <w:szCs w:val="18"/>
        </w:rPr>
        <w:t>sit legal: V-1285-2018</w:t>
      </w:r>
    </w:p>
    <w:p w14:paraId="6A93C148" w14:textId="13DE7DD8" w:rsidR="000E2A66" w:rsidRPr="00DA3DC3" w:rsidRDefault="000E2A66" w:rsidP="000E2A66">
      <w:pPr>
        <w:pStyle w:val="NormalWeb"/>
        <w:spacing w:before="0" w:beforeAutospacing="0" w:after="0" w:line="240" w:lineRule="auto"/>
        <w:rPr>
          <w:rFonts w:ascii="Arial" w:hAnsi="Arial" w:cs="Arial"/>
        </w:rPr>
      </w:pPr>
      <w:r w:rsidRPr="00DA3DC3">
        <w:rPr>
          <w:rFonts w:ascii="Arial" w:hAnsi="Arial" w:cs="Arial"/>
          <w:sz w:val="18"/>
          <w:szCs w:val="18"/>
        </w:rPr>
        <w:t>Edita: Ag</w:t>
      </w:r>
      <w:r w:rsidR="00654DF6" w:rsidRPr="00DA3DC3">
        <w:rPr>
          <w:rFonts w:ascii="Arial" w:hAnsi="Arial" w:cs="Arial"/>
          <w:sz w:val="18"/>
          <w:szCs w:val="18"/>
        </w:rPr>
        <w:t>è</w:t>
      </w:r>
      <w:r w:rsidRPr="00DA3DC3">
        <w:rPr>
          <w:rFonts w:ascii="Arial" w:hAnsi="Arial" w:cs="Arial"/>
          <w:sz w:val="18"/>
          <w:szCs w:val="18"/>
        </w:rPr>
        <w:t>ncia Valenciana Antifrau</w:t>
      </w:r>
    </w:p>
    <w:p w14:paraId="416ADF57" w14:textId="02CC1484" w:rsidR="000E2A66" w:rsidRPr="00DA3DC3" w:rsidRDefault="000E2A66" w:rsidP="000E2A66">
      <w:pPr>
        <w:pStyle w:val="NormalWeb"/>
        <w:spacing w:before="0" w:beforeAutospacing="0" w:after="0" w:line="240" w:lineRule="auto"/>
        <w:rPr>
          <w:rFonts w:ascii="Arial" w:hAnsi="Arial" w:cs="Arial"/>
        </w:rPr>
      </w:pPr>
      <w:r w:rsidRPr="00DA3DC3">
        <w:rPr>
          <w:rFonts w:ascii="Arial" w:hAnsi="Arial" w:cs="Arial"/>
          <w:sz w:val="18"/>
          <w:szCs w:val="18"/>
        </w:rPr>
        <w:t>Dis</w:t>
      </w:r>
      <w:r w:rsidR="00654DF6" w:rsidRPr="00DA3DC3">
        <w:rPr>
          <w:rFonts w:ascii="Arial" w:hAnsi="Arial" w:cs="Arial"/>
          <w:sz w:val="18"/>
          <w:szCs w:val="18"/>
        </w:rPr>
        <w:t>seny</w:t>
      </w:r>
      <w:r w:rsidRPr="00DA3DC3">
        <w:rPr>
          <w:rFonts w:ascii="Arial" w:hAnsi="Arial" w:cs="Arial"/>
          <w:sz w:val="18"/>
          <w:szCs w:val="18"/>
        </w:rPr>
        <w:t xml:space="preserve"> </w:t>
      </w:r>
      <w:r w:rsidR="00654DF6" w:rsidRPr="00DA3DC3">
        <w:rPr>
          <w:rFonts w:ascii="Arial" w:hAnsi="Arial" w:cs="Arial"/>
          <w:sz w:val="18"/>
          <w:szCs w:val="18"/>
        </w:rPr>
        <w:t>i</w:t>
      </w:r>
      <w:r w:rsidRPr="00DA3DC3">
        <w:rPr>
          <w:rFonts w:ascii="Arial" w:hAnsi="Arial" w:cs="Arial"/>
          <w:sz w:val="18"/>
          <w:szCs w:val="18"/>
        </w:rPr>
        <w:t xml:space="preserve"> maquetació: Ag</w:t>
      </w:r>
      <w:r w:rsidR="00654DF6" w:rsidRPr="00DA3DC3">
        <w:rPr>
          <w:rFonts w:ascii="Arial" w:hAnsi="Arial" w:cs="Arial"/>
          <w:sz w:val="18"/>
          <w:szCs w:val="18"/>
        </w:rPr>
        <w:t>è</w:t>
      </w:r>
      <w:r w:rsidRPr="00DA3DC3">
        <w:rPr>
          <w:rFonts w:ascii="Arial" w:hAnsi="Arial" w:cs="Arial"/>
          <w:sz w:val="18"/>
          <w:szCs w:val="18"/>
        </w:rPr>
        <w:t>ncia Valenciana Antifrau</w:t>
      </w:r>
    </w:p>
    <w:p w14:paraId="3C06F3EF" w14:textId="4B69D30B" w:rsidR="000E2A66" w:rsidRPr="00DA3DC3" w:rsidRDefault="00AF755F" w:rsidP="000E2A66">
      <w:pPr>
        <w:pStyle w:val="NormalWeb"/>
        <w:spacing w:before="0" w:beforeAutospacing="0" w:after="0" w:line="240" w:lineRule="auto"/>
        <w:rPr>
          <w:rFonts w:ascii="Arial" w:hAnsi="Arial" w:cs="Arial"/>
        </w:rPr>
      </w:pPr>
      <w:r w:rsidRPr="00DA3DC3">
        <w:rPr>
          <w:rFonts w:ascii="Arial" w:hAnsi="Arial" w:cs="Arial"/>
          <w:sz w:val="18"/>
          <w:szCs w:val="18"/>
        </w:rPr>
        <w:t>M</w:t>
      </w:r>
      <w:r w:rsidR="000E2A66" w:rsidRPr="00DA3DC3">
        <w:rPr>
          <w:rFonts w:ascii="Arial" w:hAnsi="Arial" w:cs="Arial"/>
          <w:sz w:val="18"/>
          <w:szCs w:val="18"/>
        </w:rPr>
        <w:t>ar</w:t>
      </w:r>
      <w:r w:rsidR="00654DF6" w:rsidRPr="00DA3DC3">
        <w:rPr>
          <w:rFonts w:ascii="Arial" w:hAnsi="Arial" w:cs="Arial"/>
          <w:sz w:val="18"/>
          <w:szCs w:val="18"/>
        </w:rPr>
        <w:t>ç</w:t>
      </w:r>
      <w:r w:rsidR="000E2A66" w:rsidRPr="00DA3DC3">
        <w:rPr>
          <w:rFonts w:ascii="Arial" w:hAnsi="Arial" w:cs="Arial"/>
          <w:sz w:val="18"/>
          <w:szCs w:val="18"/>
        </w:rPr>
        <w:t xml:space="preserve"> de 20</w:t>
      </w:r>
      <w:r w:rsidR="009568B0" w:rsidRPr="00DA3DC3">
        <w:rPr>
          <w:rFonts w:ascii="Arial" w:hAnsi="Arial" w:cs="Arial"/>
          <w:sz w:val="18"/>
          <w:szCs w:val="18"/>
        </w:rPr>
        <w:t>2</w:t>
      </w:r>
      <w:r w:rsidR="00221575">
        <w:rPr>
          <w:rFonts w:ascii="Arial" w:hAnsi="Arial" w:cs="Arial"/>
          <w:sz w:val="18"/>
          <w:szCs w:val="18"/>
        </w:rPr>
        <w:t>2</w:t>
      </w:r>
    </w:p>
    <w:p w14:paraId="71C8DDCE" w14:textId="6321C6E1" w:rsidR="000E2A66" w:rsidRPr="00DA3DC3" w:rsidRDefault="000E2A66" w:rsidP="000E2A66">
      <w:pPr>
        <w:pStyle w:val="NormalWeb"/>
        <w:spacing w:before="0" w:beforeAutospacing="0" w:after="0" w:line="240" w:lineRule="auto"/>
        <w:rPr>
          <w:rFonts w:ascii="Arial" w:hAnsi="Arial" w:cs="Arial"/>
        </w:rPr>
      </w:pPr>
      <w:r w:rsidRPr="00DA3DC3">
        <w:rPr>
          <w:rFonts w:ascii="Arial" w:hAnsi="Arial" w:cs="Arial"/>
          <w:sz w:val="18"/>
          <w:szCs w:val="18"/>
        </w:rPr>
        <w:t xml:space="preserve">Primera </w:t>
      </w:r>
      <w:r w:rsidR="00A80110" w:rsidRPr="00DA3DC3">
        <w:rPr>
          <w:rFonts w:ascii="Arial" w:hAnsi="Arial" w:cs="Arial"/>
          <w:sz w:val="18"/>
          <w:szCs w:val="18"/>
        </w:rPr>
        <w:t>edició</w:t>
      </w:r>
      <w:r w:rsidRPr="00DA3DC3">
        <w:rPr>
          <w:rFonts w:ascii="Arial" w:hAnsi="Arial" w:cs="Arial"/>
          <w:sz w:val="18"/>
          <w:szCs w:val="18"/>
        </w:rPr>
        <w:t xml:space="preserve">́ </w:t>
      </w:r>
    </w:p>
    <w:p w14:paraId="41F21AB4" w14:textId="21AA7A9C" w:rsidR="000E2A66" w:rsidRPr="00DA3DC3" w:rsidRDefault="001A3654" w:rsidP="000E2A66">
      <w:pPr>
        <w:pStyle w:val="NormalWeb"/>
        <w:spacing w:before="0" w:beforeAutospacing="0" w:after="0" w:line="240" w:lineRule="auto"/>
        <w:rPr>
          <w:rFonts w:ascii="Arial" w:hAnsi="Arial" w:cs="Arial"/>
          <w:color w:val="000080"/>
        </w:rPr>
      </w:pPr>
      <w:r>
        <w:rPr>
          <w:rFonts w:ascii="Arial" w:hAnsi="Arial" w:cs="Arial"/>
          <w:sz w:val="18"/>
          <w:szCs w:val="18"/>
        </w:rPr>
        <w:t>A</w:t>
      </w:r>
      <w:r w:rsidR="00654DF6" w:rsidRPr="00DA3DC3">
        <w:rPr>
          <w:rFonts w:ascii="Arial" w:hAnsi="Arial" w:cs="Arial"/>
          <w:sz w:val="18"/>
          <w:szCs w:val="18"/>
        </w:rPr>
        <w:t>quest</w:t>
      </w:r>
      <w:r w:rsidR="000E2A66" w:rsidRPr="00DA3DC3">
        <w:rPr>
          <w:rFonts w:ascii="Arial" w:hAnsi="Arial" w:cs="Arial"/>
          <w:sz w:val="18"/>
          <w:szCs w:val="18"/>
        </w:rPr>
        <w:t xml:space="preserve"> document est</w:t>
      </w:r>
      <w:r w:rsidR="00654DF6" w:rsidRPr="00DA3DC3">
        <w:rPr>
          <w:rFonts w:ascii="Arial" w:hAnsi="Arial" w:cs="Arial"/>
          <w:sz w:val="18"/>
          <w:szCs w:val="18"/>
        </w:rPr>
        <w:t>à</w:t>
      </w:r>
      <w:r w:rsidR="000E2A66" w:rsidRPr="00DA3DC3">
        <w:rPr>
          <w:rFonts w:ascii="Arial" w:hAnsi="Arial" w:cs="Arial"/>
          <w:sz w:val="18"/>
          <w:szCs w:val="18"/>
        </w:rPr>
        <w:t xml:space="preserve"> </w:t>
      </w:r>
      <w:r w:rsidR="00654DF6" w:rsidRPr="00DA3DC3">
        <w:rPr>
          <w:rFonts w:ascii="Arial" w:hAnsi="Arial" w:cs="Arial"/>
          <w:sz w:val="18"/>
          <w:szCs w:val="18"/>
        </w:rPr>
        <w:t>disponible</w:t>
      </w:r>
      <w:r w:rsidR="000E2A66" w:rsidRPr="00DA3DC3">
        <w:rPr>
          <w:rFonts w:ascii="Arial" w:hAnsi="Arial" w:cs="Arial"/>
          <w:sz w:val="18"/>
          <w:szCs w:val="18"/>
        </w:rPr>
        <w:t xml:space="preserve"> en el </w:t>
      </w:r>
      <w:r w:rsidR="00654DF6" w:rsidRPr="00DA3DC3">
        <w:rPr>
          <w:rFonts w:ascii="Arial" w:hAnsi="Arial" w:cs="Arial"/>
          <w:sz w:val="18"/>
          <w:szCs w:val="18"/>
        </w:rPr>
        <w:t>lloc</w:t>
      </w:r>
      <w:r w:rsidR="000E2A66" w:rsidRPr="00DA3DC3">
        <w:rPr>
          <w:rFonts w:ascii="Arial" w:hAnsi="Arial" w:cs="Arial"/>
          <w:sz w:val="18"/>
          <w:szCs w:val="18"/>
        </w:rPr>
        <w:t xml:space="preserve"> web: </w:t>
      </w:r>
      <w:hyperlink r:id="rId13" w:history="1">
        <w:r w:rsidR="000E2A66" w:rsidRPr="00DA3DC3">
          <w:rPr>
            <w:rStyle w:val="Hipervnculo"/>
            <w:rFonts w:ascii="Arial" w:hAnsi="Arial" w:cs="Arial"/>
            <w:sz w:val="18"/>
            <w:szCs w:val="18"/>
          </w:rPr>
          <w:t>http</w:t>
        </w:r>
      </w:hyperlink>
      <w:hyperlink r:id="rId14" w:history="1">
        <w:r w:rsidR="000E2A66" w:rsidRPr="00DA3DC3">
          <w:rPr>
            <w:rStyle w:val="Hipervnculo"/>
            <w:rFonts w:ascii="Arial" w:hAnsi="Arial" w:cs="Arial"/>
            <w:sz w:val="18"/>
            <w:szCs w:val="18"/>
          </w:rPr>
          <w:t>s</w:t>
        </w:r>
      </w:hyperlink>
      <w:hyperlink r:id="rId15" w:history="1">
        <w:r w:rsidR="000E2A66" w:rsidRPr="00DA3DC3">
          <w:rPr>
            <w:rStyle w:val="Hipervnculo"/>
            <w:rFonts w:ascii="Arial" w:hAnsi="Arial" w:cs="Arial"/>
            <w:sz w:val="18"/>
            <w:szCs w:val="18"/>
          </w:rPr>
          <w:t>://</w:t>
        </w:r>
      </w:hyperlink>
      <w:hyperlink r:id="rId16" w:history="1">
        <w:r w:rsidR="000E2A66" w:rsidRPr="00DA3DC3">
          <w:rPr>
            <w:rStyle w:val="Hipervnculo"/>
            <w:rFonts w:ascii="Arial" w:hAnsi="Arial" w:cs="Arial"/>
            <w:sz w:val="18"/>
            <w:szCs w:val="18"/>
          </w:rPr>
          <w:t>www.antifrau</w:t>
        </w:r>
      </w:hyperlink>
      <w:hyperlink r:id="rId17" w:history="1">
        <w:r w:rsidR="000E2A66" w:rsidRPr="00DA3DC3">
          <w:rPr>
            <w:rStyle w:val="Hipervnculo"/>
            <w:rFonts w:ascii="Arial" w:hAnsi="Arial" w:cs="Arial"/>
            <w:sz w:val="18"/>
            <w:szCs w:val="18"/>
          </w:rPr>
          <w:t>cv.e</w:t>
        </w:r>
      </w:hyperlink>
      <w:hyperlink r:id="rId18" w:history="1">
        <w:r w:rsidR="000E2A66" w:rsidRPr="00DA3DC3">
          <w:rPr>
            <w:rStyle w:val="Hipervnculo"/>
            <w:rFonts w:ascii="Arial" w:hAnsi="Arial" w:cs="Arial"/>
            <w:sz w:val="18"/>
            <w:szCs w:val="18"/>
          </w:rPr>
          <w:t>s</w:t>
        </w:r>
      </w:hyperlink>
    </w:p>
    <w:p w14:paraId="7FF73065" w14:textId="77777777" w:rsidR="00DD15BF" w:rsidRPr="00DA3DC3" w:rsidRDefault="00DD15BF" w:rsidP="000E2A66">
      <w:pPr>
        <w:rPr>
          <w:rFonts w:ascii="Arial" w:hAnsi="Arial" w:cs="Arial"/>
        </w:rPr>
        <w:sectPr w:rsidR="00DD15BF" w:rsidRPr="00DA3DC3" w:rsidSect="002B6E00">
          <w:pgSz w:w="11906" w:h="16838"/>
          <w:pgMar w:top="1134" w:right="1701" w:bottom="1985" w:left="1701" w:header="708" w:footer="708" w:gutter="0"/>
          <w:cols w:space="708"/>
          <w:titlePg/>
          <w:docGrid w:linePitch="360"/>
        </w:sectPr>
      </w:pPr>
    </w:p>
    <w:p w14:paraId="49089E0F" w14:textId="77777777" w:rsidR="000E2A66" w:rsidRPr="00DA3DC3" w:rsidRDefault="000E2A66" w:rsidP="000E2A66">
      <w:pPr>
        <w:rPr>
          <w:rFonts w:ascii="Arial" w:hAnsi="Arial" w:cs="Arial"/>
        </w:rPr>
      </w:pPr>
    </w:p>
    <w:p w14:paraId="6AA47997" w14:textId="5A6DAE4F" w:rsidR="000E2A66" w:rsidRPr="00DA3DC3" w:rsidRDefault="000E2A66" w:rsidP="00A46175">
      <w:pPr>
        <w:pStyle w:val="NormalWeb"/>
        <w:spacing w:before="5600" w:beforeAutospacing="0" w:after="0" w:line="240" w:lineRule="auto"/>
        <w:jc w:val="both"/>
        <w:rPr>
          <w:rFonts w:ascii="Arial" w:hAnsi="Arial" w:cs="Arial"/>
        </w:rPr>
      </w:pPr>
      <w:r w:rsidRPr="00DA3DC3">
        <w:rPr>
          <w:rFonts w:ascii="Arial" w:hAnsi="Arial" w:cs="Arial"/>
          <w:color w:val="000000"/>
          <w:sz w:val="20"/>
          <w:szCs w:val="20"/>
        </w:rPr>
        <w:t>E</w:t>
      </w:r>
      <w:r w:rsidR="00DD15BF" w:rsidRPr="00DA3DC3">
        <w:rPr>
          <w:rFonts w:ascii="Arial" w:hAnsi="Arial" w:cs="Arial"/>
          <w:color w:val="000000"/>
          <w:sz w:val="20"/>
          <w:szCs w:val="20"/>
        </w:rPr>
        <w:t>n</w:t>
      </w:r>
      <w:r w:rsidRPr="00DA3DC3">
        <w:rPr>
          <w:rFonts w:ascii="Arial" w:hAnsi="Arial" w:cs="Arial"/>
          <w:color w:val="000000"/>
          <w:sz w:val="20"/>
          <w:szCs w:val="20"/>
        </w:rPr>
        <w:t xml:space="preserve"> c</w:t>
      </w:r>
      <w:r w:rsidR="000B0B93" w:rsidRPr="00DA3DC3">
        <w:rPr>
          <w:rFonts w:ascii="Arial" w:hAnsi="Arial" w:cs="Arial"/>
          <w:color w:val="000000"/>
          <w:sz w:val="20"/>
          <w:szCs w:val="20"/>
        </w:rPr>
        <w:t>o</w:t>
      </w:r>
      <w:r w:rsidRPr="00DA3DC3">
        <w:rPr>
          <w:rFonts w:ascii="Arial" w:hAnsi="Arial" w:cs="Arial"/>
          <w:color w:val="000000"/>
          <w:sz w:val="20"/>
          <w:szCs w:val="20"/>
        </w:rPr>
        <w:t>mpliment del mandat que establ</w:t>
      </w:r>
      <w:r w:rsidR="000B0B93" w:rsidRPr="00DA3DC3">
        <w:rPr>
          <w:rFonts w:ascii="Arial" w:hAnsi="Arial" w:cs="Arial"/>
          <w:color w:val="000000"/>
          <w:sz w:val="20"/>
          <w:szCs w:val="20"/>
        </w:rPr>
        <w:t>eix</w:t>
      </w:r>
      <w:r w:rsidRPr="00DA3DC3">
        <w:rPr>
          <w:rFonts w:ascii="Arial" w:hAnsi="Arial" w:cs="Arial"/>
          <w:color w:val="000000"/>
          <w:sz w:val="20"/>
          <w:szCs w:val="20"/>
        </w:rPr>
        <w:t xml:space="preserve"> </w:t>
      </w:r>
      <w:r w:rsidR="000B0B93" w:rsidRPr="00DA3DC3">
        <w:rPr>
          <w:rFonts w:ascii="Arial" w:hAnsi="Arial" w:cs="Arial"/>
          <w:color w:val="000000"/>
          <w:sz w:val="20"/>
          <w:szCs w:val="20"/>
        </w:rPr>
        <w:t>l’</w:t>
      </w:r>
      <w:r w:rsidRPr="00DA3DC3">
        <w:rPr>
          <w:rFonts w:ascii="Arial" w:hAnsi="Arial" w:cs="Arial"/>
          <w:color w:val="000000"/>
          <w:sz w:val="20"/>
          <w:szCs w:val="20"/>
        </w:rPr>
        <w:t>art</w:t>
      </w:r>
      <w:r w:rsidR="000B0B93" w:rsidRPr="00DA3DC3">
        <w:rPr>
          <w:rFonts w:ascii="Arial" w:hAnsi="Arial" w:cs="Arial"/>
          <w:color w:val="000000"/>
          <w:sz w:val="20"/>
          <w:szCs w:val="20"/>
        </w:rPr>
        <w:t>icle</w:t>
      </w:r>
      <w:r w:rsidRPr="00DA3DC3">
        <w:rPr>
          <w:rFonts w:ascii="Arial" w:hAnsi="Arial" w:cs="Arial"/>
          <w:color w:val="000000"/>
          <w:sz w:val="20"/>
          <w:szCs w:val="20"/>
        </w:rPr>
        <w:t xml:space="preserve"> 22 de la L</w:t>
      </w:r>
      <w:r w:rsidR="000B0B93" w:rsidRPr="00DA3DC3">
        <w:rPr>
          <w:rFonts w:ascii="Arial" w:hAnsi="Arial" w:cs="Arial"/>
          <w:color w:val="000000"/>
          <w:sz w:val="20"/>
          <w:szCs w:val="20"/>
        </w:rPr>
        <w:t>l</w:t>
      </w:r>
      <w:r w:rsidRPr="00DA3DC3">
        <w:rPr>
          <w:rFonts w:ascii="Arial" w:hAnsi="Arial" w:cs="Arial"/>
          <w:color w:val="000000"/>
          <w:sz w:val="20"/>
          <w:szCs w:val="20"/>
        </w:rPr>
        <w:t>e</w:t>
      </w:r>
      <w:r w:rsidR="000B0B93" w:rsidRPr="00DA3DC3">
        <w:rPr>
          <w:rFonts w:ascii="Arial" w:hAnsi="Arial" w:cs="Arial"/>
          <w:color w:val="000000"/>
          <w:sz w:val="20"/>
          <w:szCs w:val="20"/>
        </w:rPr>
        <w:t>i</w:t>
      </w:r>
      <w:r w:rsidRPr="00DA3DC3">
        <w:rPr>
          <w:rFonts w:ascii="Arial" w:hAnsi="Arial" w:cs="Arial"/>
          <w:color w:val="000000"/>
          <w:sz w:val="20"/>
          <w:szCs w:val="20"/>
        </w:rPr>
        <w:t xml:space="preserve"> 11/2016, de 28 de novembre, de la Generalitat, de la Ag</w:t>
      </w:r>
      <w:r w:rsidR="000B0B93" w:rsidRPr="00DA3DC3">
        <w:rPr>
          <w:rFonts w:ascii="Arial" w:hAnsi="Arial" w:cs="Arial"/>
          <w:color w:val="000000"/>
          <w:sz w:val="20"/>
          <w:szCs w:val="20"/>
        </w:rPr>
        <w:t>è</w:t>
      </w:r>
      <w:r w:rsidRPr="00DA3DC3">
        <w:rPr>
          <w:rFonts w:ascii="Arial" w:hAnsi="Arial" w:cs="Arial"/>
          <w:color w:val="000000"/>
          <w:sz w:val="20"/>
          <w:szCs w:val="20"/>
        </w:rPr>
        <w:t xml:space="preserve">ncia de Prevenció </w:t>
      </w:r>
      <w:r w:rsidR="000B0B93" w:rsidRPr="00DA3DC3">
        <w:rPr>
          <w:rFonts w:ascii="Arial" w:hAnsi="Arial" w:cs="Arial"/>
          <w:color w:val="000000"/>
          <w:sz w:val="20"/>
          <w:szCs w:val="20"/>
        </w:rPr>
        <w:t>i</w:t>
      </w:r>
      <w:r w:rsidRPr="00DA3DC3">
        <w:rPr>
          <w:rFonts w:ascii="Arial" w:hAnsi="Arial" w:cs="Arial"/>
          <w:color w:val="000000"/>
          <w:sz w:val="20"/>
          <w:szCs w:val="20"/>
        </w:rPr>
        <w:t xml:space="preserve"> L</w:t>
      </w:r>
      <w:r w:rsidR="000B0B93" w:rsidRPr="00DA3DC3">
        <w:rPr>
          <w:rFonts w:ascii="Arial" w:hAnsi="Arial" w:cs="Arial"/>
          <w:color w:val="000000"/>
          <w:sz w:val="20"/>
          <w:szCs w:val="20"/>
        </w:rPr>
        <w:t>luita</w:t>
      </w:r>
      <w:r w:rsidRPr="00DA3DC3">
        <w:rPr>
          <w:rFonts w:ascii="Arial" w:hAnsi="Arial" w:cs="Arial"/>
          <w:color w:val="000000"/>
          <w:sz w:val="20"/>
          <w:szCs w:val="20"/>
        </w:rPr>
        <w:t xml:space="preserve"> contra el Frau </w:t>
      </w:r>
      <w:r w:rsidR="000B0B93" w:rsidRPr="00DA3DC3">
        <w:rPr>
          <w:rFonts w:ascii="Arial" w:hAnsi="Arial" w:cs="Arial"/>
          <w:color w:val="000000"/>
          <w:sz w:val="20"/>
          <w:szCs w:val="20"/>
        </w:rPr>
        <w:t>i</w:t>
      </w:r>
      <w:r w:rsidRPr="00DA3DC3">
        <w:rPr>
          <w:rFonts w:ascii="Arial" w:hAnsi="Arial" w:cs="Arial"/>
          <w:color w:val="000000"/>
          <w:sz w:val="20"/>
          <w:szCs w:val="20"/>
        </w:rPr>
        <w:t xml:space="preserve"> la Corrupció de la Comunitat Valenciana, </w:t>
      </w:r>
      <w:r w:rsidR="000B0B93" w:rsidRPr="00DA3DC3">
        <w:rPr>
          <w:rFonts w:ascii="Arial" w:hAnsi="Arial" w:cs="Arial"/>
          <w:color w:val="000000"/>
          <w:sz w:val="20"/>
          <w:szCs w:val="20"/>
        </w:rPr>
        <w:t>es</w:t>
      </w:r>
      <w:r w:rsidRPr="00DA3DC3">
        <w:rPr>
          <w:rFonts w:ascii="Arial" w:hAnsi="Arial" w:cs="Arial"/>
          <w:color w:val="000000"/>
          <w:sz w:val="20"/>
          <w:szCs w:val="20"/>
        </w:rPr>
        <w:t xml:space="preserve"> presenta la Mem</w:t>
      </w:r>
      <w:r w:rsidR="000B0B93" w:rsidRPr="00DA3DC3">
        <w:rPr>
          <w:rFonts w:ascii="Arial" w:hAnsi="Arial" w:cs="Arial"/>
          <w:color w:val="000000"/>
          <w:sz w:val="20"/>
          <w:szCs w:val="20"/>
        </w:rPr>
        <w:t>ò</w:t>
      </w:r>
      <w:r w:rsidRPr="00DA3DC3">
        <w:rPr>
          <w:rFonts w:ascii="Arial" w:hAnsi="Arial" w:cs="Arial"/>
          <w:color w:val="000000"/>
          <w:sz w:val="20"/>
          <w:szCs w:val="20"/>
        </w:rPr>
        <w:t>ria de l</w:t>
      </w:r>
      <w:r w:rsidR="000B0B93" w:rsidRPr="00DA3DC3">
        <w:rPr>
          <w:rFonts w:ascii="Arial" w:hAnsi="Arial" w:cs="Arial"/>
          <w:color w:val="000000"/>
          <w:sz w:val="20"/>
          <w:szCs w:val="20"/>
        </w:rPr>
        <w:t>e</w:t>
      </w:r>
      <w:r w:rsidRPr="00DA3DC3">
        <w:rPr>
          <w:rFonts w:ascii="Arial" w:hAnsi="Arial" w:cs="Arial"/>
          <w:color w:val="000000"/>
          <w:sz w:val="20"/>
          <w:szCs w:val="20"/>
        </w:rPr>
        <w:t>s actuacions des</w:t>
      </w:r>
      <w:r w:rsidR="00003F91" w:rsidRPr="00DA3DC3">
        <w:rPr>
          <w:rFonts w:ascii="Arial" w:hAnsi="Arial" w:cs="Arial"/>
          <w:color w:val="000000"/>
          <w:sz w:val="20"/>
          <w:szCs w:val="20"/>
        </w:rPr>
        <w:t>envolupade</w:t>
      </w:r>
      <w:r w:rsidRPr="00DA3DC3">
        <w:rPr>
          <w:rFonts w:ascii="Arial" w:hAnsi="Arial" w:cs="Arial"/>
          <w:color w:val="000000"/>
          <w:sz w:val="20"/>
          <w:szCs w:val="20"/>
        </w:rPr>
        <w:t>s p</w:t>
      </w:r>
      <w:r w:rsidR="00003F91" w:rsidRPr="00DA3DC3">
        <w:rPr>
          <w:rFonts w:ascii="Arial" w:hAnsi="Arial" w:cs="Arial"/>
          <w:color w:val="000000"/>
          <w:sz w:val="20"/>
          <w:szCs w:val="20"/>
        </w:rPr>
        <w:t>e</w:t>
      </w:r>
      <w:r w:rsidRPr="00DA3DC3">
        <w:rPr>
          <w:rFonts w:ascii="Arial" w:hAnsi="Arial" w:cs="Arial"/>
          <w:color w:val="000000"/>
          <w:sz w:val="20"/>
          <w:szCs w:val="20"/>
        </w:rPr>
        <w:t xml:space="preserve">r </w:t>
      </w:r>
      <w:r w:rsidR="00003F91" w:rsidRPr="00DA3DC3">
        <w:rPr>
          <w:rFonts w:ascii="Arial" w:hAnsi="Arial" w:cs="Arial"/>
          <w:color w:val="000000"/>
          <w:sz w:val="20"/>
          <w:szCs w:val="20"/>
        </w:rPr>
        <w:t>aqu</w:t>
      </w:r>
      <w:r w:rsidRPr="00DA3DC3">
        <w:rPr>
          <w:rFonts w:ascii="Arial" w:hAnsi="Arial" w:cs="Arial"/>
          <w:color w:val="000000"/>
          <w:sz w:val="20"/>
          <w:szCs w:val="20"/>
        </w:rPr>
        <w:t>esta enti</w:t>
      </w:r>
      <w:r w:rsidR="00003F91" w:rsidRPr="00DA3DC3">
        <w:rPr>
          <w:rFonts w:ascii="Arial" w:hAnsi="Arial" w:cs="Arial"/>
          <w:color w:val="000000"/>
          <w:sz w:val="20"/>
          <w:szCs w:val="20"/>
        </w:rPr>
        <w:t>tat</w:t>
      </w:r>
      <w:r w:rsidRPr="00DA3DC3">
        <w:rPr>
          <w:rFonts w:ascii="Arial" w:hAnsi="Arial" w:cs="Arial"/>
          <w:color w:val="000000"/>
          <w:sz w:val="20"/>
          <w:szCs w:val="20"/>
        </w:rPr>
        <w:t xml:space="preserve"> durant </w:t>
      </w:r>
      <w:r w:rsidR="00003F91" w:rsidRPr="00DA3DC3">
        <w:rPr>
          <w:rFonts w:ascii="Arial" w:hAnsi="Arial" w:cs="Arial"/>
          <w:color w:val="000000"/>
          <w:sz w:val="20"/>
          <w:szCs w:val="20"/>
        </w:rPr>
        <w:t>l’any</w:t>
      </w:r>
      <w:r w:rsidRPr="00DA3DC3">
        <w:rPr>
          <w:rFonts w:ascii="Arial" w:hAnsi="Arial" w:cs="Arial"/>
          <w:color w:val="000000"/>
          <w:sz w:val="20"/>
          <w:szCs w:val="20"/>
        </w:rPr>
        <w:t xml:space="preserve"> 20</w:t>
      </w:r>
      <w:r w:rsidR="00BB4994" w:rsidRPr="00DA3DC3">
        <w:rPr>
          <w:rFonts w:ascii="Arial" w:hAnsi="Arial" w:cs="Arial"/>
          <w:color w:val="000000"/>
          <w:sz w:val="20"/>
          <w:szCs w:val="20"/>
        </w:rPr>
        <w:t>2</w:t>
      </w:r>
      <w:r w:rsidR="00221575">
        <w:rPr>
          <w:rFonts w:ascii="Arial" w:hAnsi="Arial" w:cs="Arial"/>
          <w:color w:val="000000"/>
          <w:sz w:val="20"/>
          <w:szCs w:val="20"/>
        </w:rPr>
        <w:t>1</w:t>
      </w:r>
      <w:r w:rsidRPr="00DA3DC3">
        <w:rPr>
          <w:rFonts w:ascii="Arial" w:hAnsi="Arial" w:cs="Arial"/>
          <w:color w:val="000000"/>
          <w:sz w:val="20"/>
          <w:szCs w:val="20"/>
        </w:rPr>
        <w:t xml:space="preserve"> en </w:t>
      </w:r>
      <w:r w:rsidR="00003F91" w:rsidRPr="00DA3DC3">
        <w:rPr>
          <w:rFonts w:ascii="Arial" w:hAnsi="Arial" w:cs="Arial"/>
          <w:color w:val="000000"/>
          <w:sz w:val="20"/>
          <w:szCs w:val="20"/>
        </w:rPr>
        <w:t>l’à</w:t>
      </w:r>
      <w:r w:rsidRPr="00DA3DC3">
        <w:rPr>
          <w:rFonts w:ascii="Arial" w:hAnsi="Arial" w:cs="Arial"/>
          <w:color w:val="000000"/>
          <w:sz w:val="20"/>
          <w:szCs w:val="20"/>
        </w:rPr>
        <w:t xml:space="preserve">mbit de </w:t>
      </w:r>
      <w:r w:rsidR="00003F91" w:rsidRPr="00DA3DC3">
        <w:rPr>
          <w:rFonts w:ascii="Arial" w:hAnsi="Arial" w:cs="Arial"/>
          <w:color w:val="000000"/>
          <w:sz w:val="20"/>
          <w:szCs w:val="20"/>
        </w:rPr>
        <w:t xml:space="preserve">les </w:t>
      </w:r>
      <w:r w:rsidRPr="00DA3DC3">
        <w:rPr>
          <w:rFonts w:ascii="Arial" w:hAnsi="Arial" w:cs="Arial"/>
          <w:color w:val="000000"/>
          <w:sz w:val="20"/>
          <w:szCs w:val="20"/>
        </w:rPr>
        <w:t>s</w:t>
      </w:r>
      <w:r w:rsidR="00003F91" w:rsidRPr="00DA3DC3">
        <w:rPr>
          <w:rFonts w:ascii="Arial" w:hAnsi="Arial" w:cs="Arial"/>
          <w:color w:val="000000"/>
          <w:sz w:val="20"/>
          <w:szCs w:val="20"/>
        </w:rPr>
        <w:t>e</w:t>
      </w:r>
      <w:r w:rsidRPr="00DA3DC3">
        <w:rPr>
          <w:rFonts w:ascii="Arial" w:hAnsi="Arial" w:cs="Arial"/>
          <w:color w:val="000000"/>
          <w:sz w:val="20"/>
          <w:szCs w:val="20"/>
        </w:rPr>
        <w:t>u</w:t>
      </w:r>
      <w:r w:rsidR="00003F91" w:rsidRPr="00DA3DC3">
        <w:rPr>
          <w:rFonts w:ascii="Arial" w:hAnsi="Arial" w:cs="Arial"/>
          <w:color w:val="000000"/>
          <w:sz w:val="20"/>
          <w:szCs w:val="20"/>
        </w:rPr>
        <w:t>e</w:t>
      </w:r>
      <w:r w:rsidRPr="00DA3DC3">
        <w:rPr>
          <w:rFonts w:ascii="Arial" w:hAnsi="Arial" w:cs="Arial"/>
          <w:color w:val="000000"/>
          <w:sz w:val="20"/>
          <w:szCs w:val="20"/>
        </w:rPr>
        <w:t xml:space="preserve">s funcions. </w:t>
      </w:r>
    </w:p>
    <w:p w14:paraId="351047A0" w14:textId="6C8DC204" w:rsidR="00367282" w:rsidRPr="00DA3DC3" w:rsidRDefault="00367282">
      <w:pPr>
        <w:rPr>
          <w:rFonts w:ascii="Arial" w:hAnsi="Arial" w:cs="Arial"/>
        </w:rPr>
      </w:pPr>
      <w:r w:rsidRPr="00DA3DC3">
        <w:rPr>
          <w:rFonts w:ascii="Arial" w:hAnsi="Arial" w:cs="Arial"/>
        </w:rPr>
        <w:br w:type="page"/>
      </w:r>
    </w:p>
    <w:p w14:paraId="155907E5" w14:textId="77777777" w:rsidR="00DD15BF" w:rsidRPr="00DA3DC3" w:rsidRDefault="00DD15BF">
      <w:pPr>
        <w:rPr>
          <w:rFonts w:ascii="Arial" w:hAnsi="Arial" w:cs="Arial"/>
        </w:rPr>
      </w:pPr>
    </w:p>
    <w:p w14:paraId="4C988ABC" w14:textId="77777777" w:rsidR="000E2A66" w:rsidRPr="00DA3DC3" w:rsidRDefault="000E2A66">
      <w:pPr>
        <w:rPr>
          <w:rFonts w:ascii="Arial" w:hAnsi="Arial" w:cs="Arial"/>
        </w:rPr>
      </w:pPr>
    </w:p>
    <w:p w14:paraId="130F1E53" w14:textId="77777777" w:rsidR="000E2A66" w:rsidRPr="00DA3DC3" w:rsidRDefault="000E2A66" w:rsidP="000E2A66">
      <w:pPr>
        <w:jc w:val="both"/>
        <w:rPr>
          <w:rFonts w:ascii="Arial" w:hAnsi="Arial" w:cs="Arial"/>
        </w:rPr>
      </w:pPr>
    </w:p>
    <w:p w14:paraId="460B0954" w14:textId="77777777" w:rsidR="000E2A66" w:rsidRPr="00DA3DC3" w:rsidRDefault="000E2A66" w:rsidP="000E2A66">
      <w:pPr>
        <w:jc w:val="both"/>
        <w:rPr>
          <w:rFonts w:ascii="Arial" w:hAnsi="Arial" w:cs="Arial"/>
        </w:rPr>
      </w:pPr>
    </w:p>
    <w:p w14:paraId="3071B7AE" w14:textId="77777777" w:rsidR="000E2A66" w:rsidRPr="00DA3DC3" w:rsidRDefault="000E2A66" w:rsidP="000E2A66">
      <w:pPr>
        <w:jc w:val="both"/>
        <w:rPr>
          <w:rFonts w:ascii="Arial" w:hAnsi="Arial" w:cs="Arial"/>
        </w:rPr>
      </w:pPr>
    </w:p>
    <w:p w14:paraId="15A051B9" w14:textId="77777777" w:rsidR="000E2A66" w:rsidRPr="00DA3DC3" w:rsidRDefault="000E2A66" w:rsidP="000E2A66">
      <w:pPr>
        <w:jc w:val="both"/>
        <w:rPr>
          <w:rFonts w:ascii="Arial" w:hAnsi="Arial" w:cs="Arial"/>
        </w:rPr>
      </w:pPr>
    </w:p>
    <w:p w14:paraId="426BF2EF" w14:textId="77777777" w:rsidR="000E2A66" w:rsidRPr="00DA3DC3" w:rsidRDefault="000E2A66" w:rsidP="000E2A66">
      <w:pPr>
        <w:jc w:val="both"/>
        <w:rPr>
          <w:rFonts w:ascii="Arial" w:hAnsi="Arial" w:cs="Arial"/>
        </w:rPr>
      </w:pPr>
    </w:p>
    <w:p w14:paraId="425394AA" w14:textId="77777777" w:rsidR="000E2A66" w:rsidRPr="00DA3DC3" w:rsidRDefault="000E2A66" w:rsidP="000E2A66">
      <w:pPr>
        <w:jc w:val="both"/>
        <w:rPr>
          <w:rFonts w:ascii="Arial" w:hAnsi="Arial" w:cs="Arial"/>
        </w:rPr>
      </w:pPr>
    </w:p>
    <w:p w14:paraId="1B7B0F6F" w14:textId="77777777" w:rsidR="00A46175" w:rsidRPr="00DA3DC3" w:rsidRDefault="00A46175" w:rsidP="000E2A66">
      <w:pPr>
        <w:keepNext/>
        <w:spacing w:after="0" w:line="240" w:lineRule="auto"/>
        <w:ind w:left="1134"/>
        <w:jc w:val="right"/>
        <w:outlineLvl w:val="0"/>
        <w:rPr>
          <w:rFonts w:ascii="Arial" w:eastAsia="Times New Roman" w:hAnsi="Arial" w:cs="Arial"/>
          <w:b/>
          <w:bCs/>
          <w:color w:val="94070A"/>
          <w:spacing w:val="-34"/>
          <w:kern w:val="36"/>
          <w:sz w:val="20"/>
          <w:szCs w:val="20"/>
          <w:lang w:eastAsia="es-ES"/>
        </w:rPr>
      </w:pPr>
    </w:p>
    <w:p w14:paraId="5B0BC859" w14:textId="77777777" w:rsidR="00A46175" w:rsidRPr="00DA3DC3" w:rsidRDefault="00A46175" w:rsidP="00043C15">
      <w:pPr>
        <w:keepNext/>
        <w:spacing w:after="0" w:line="240" w:lineRule="auto"/>
        <w:outlineLvl w:val="0"/>
        <w:rPr>
          <w:rFonts w:ascii="Arial" w:eastAsia="Times New Roman" w:hAnsi="Arial" w:cs="Arial"/>
          <w:b/>
          <w:bCs/>
          <w:color w:val="94070A"/>
          <w:spacing w:val="-34"/>
          <w:kern w:val="36"/>
          <w:sz w:val="20"/>
          <w:szCs w:val="20"/>
          <w:lang w:eastAsia="es-ES"/>
        </w:rPr>
      </w:pPr>
    </w:p>
    <w:p w14:paraId="6E11F2EB" w14:textId="77777777" w:rsidR="00C65D36" w:rsidRPr="00DA3DC3" w:rsidRDefault="00C65D36" w:rsidP="00043C15">
      <w:pPr>
        <w:keepNext/>
        <w:spacing w:after="0" w:line="240" w:lineRule="auto"/>
        <w:outlineLvl w:val="0"/>
        <w:rPr>
          <w:rFonts w:ascii="Arial" w:eastAsia="Times New Roman" w:hAnsi="Arial" w:cs="Arial"/>
          <w:b/>
          <w:bCs/>
          <w:color w:val="94070A"/>
          <w:spacing w:val="-34"/>
          <w:kern w:val="36"/>
          <w:sz w:val="20"/>
          <w:szCs w:val="20"/>
          <w:lang w:eastAsia="es-ES"/>
        </w:rPr>
      </w:pPr>
    </w:p>
    <w:p w14:paraId="41A1137D" w14:textId="1D873727" w:rsidR="00A46175" w:rsidRPr="00DA3DC3" w:rsidRDefault="000E2A66" w:rsidP="007642F6">
      <w:pPr>
        <w:keepNext/>
        <w:spacing w:after="0" w:line="240" w:lineRule="auto"/>
        <w:ind w:left="1134"/>
        <w:jc w:val="right"/>
        <w:outlineLvl w:val="0"/>
        <w:rPr>
          <w:rFonts w:ascii="Arial" w:eastAsia="Times New Roman" w:hAnsi="Arial" w:cs="Arial"/>
          <w:b/>
          <w:bCs/>
          <w:color w:val="9D2235"/>
          <w:spacing w:val="-34"/>
          <w:kern w:val="36"/>
          <w:sz w:val="60"/>
          <w:szCs w:val="60"/>
          <w:lang w:eastAsia="es-ES"/>
        </w:rPr>
      </w:pPr>
      <w:bookmarkStart w:id="2" w:name="_Toc99110663"/>
      <w:r w:rsidRPr="00DA3DC3">
        <w:rPr>
          <w:rFonts w:ascii="Arial" w:eastAsia="Times New Roman" w:hAnsi="Arial" w:cs="Arial"/>
          <w:b/>
          <w:bCs/>
          <w:color w:val="9D2235"/>
          <w:spacing w:val="-34"/>
          <w:kern w:val="36"/>
          <w:sz w:val="60"/>
          <w:szCs w:val="60"/>
          <w:lang w:eastAsia="es-ES"/>
        </w:rPr>
        <w:t>L</w:t>
      </w:r>
      <w:r w:rsidR="00003F91" w:rsidRPr="00DA3DC3">
        <w:rPr>
          <w:rFonts w:ascii="Arial" w:eastAsia="Times New Roman" w:hAnsi="Arial" w:cs="Arial"/>
          <w:b/>
          <w:bCs/>
          <w:color w:val="9D2235"/>
          <w:spacing w:val="-34"/>
          <w:kern w:val="36"/>
          <w:sz w:val="60"/>
          <w:szCs w:val="60"/>
          <w:lang w:eastAsia="es-ES"/>
        </w:rPr>
        <w:t>’</w:t>
      </w:r>
      <w:r w:rsidRPr="00DA3DC3">
        <w:rPr>
          <w:rFonts w:ascii="Arial" w:eastAsia="Times New Roman" w:hAnsi="Arial" w:cs="Arial"/>
          <w:b/>
          <w:bCs/>
          <w:color w:val="9D2235"/>
          <w:spacing w:val="-34"/>
          <w:kern w:val="36"/>
          <w:sz w:val="60"/>
          <w:szCs w:val="60"/>
          <w:lang w:eastAsia="es-ES"/>
        </w:rPr>
        <w:t>Ag</w:t>
      </w:r>
      <w:r w:rsidR="00003F91" w:rsidRPr="00DA3DC3">
        <w:rPr>
          <w:rFonts w:ascii="Arial" w:eastAsia="Times New Roman" w:hAnsi="Arial" w:cs="Arial"/>
          <w:b/>
          <w:bCs/>
          <w:color w:val="9D2235"/>
          <w:spacing w:val="-34"/>
          <w:kern w:val="36"/>
          <w:sz w:val="60"/>
          <w:szCs w:val="60"/>
          <w:lang w:eastAsia="es-ES"/>
        </w:rPr>
        <w:t>è</w:t>
      </w:r>
      <w:r w:rsidRPr="00DA3DC3">
        <w:rPr>
          <w:rFonts w:ascii="Arial" w:eastAsia="Times New Roman" w:hAnsi="Arial" w:cs="Arial"/>
          <w:b/>
          <w:bCs/>
          <w:color w:val="9D2235"/>
          <w:spacing w:val="-34"/>
          <w:kern w:val="36"/>
          <w:sz w:val="60"/>
          <w:szCs w:val="60"/>
          <w:lang w:eastAsia="es-ES"/>
        </w:rPr>
        <w:t>ncia</w:t>
      </w:r>
      <w:r w:rsidR="00797E9C" w:rsidRPr="00DA3DC3">
        <w:rPr>
          <w:rFonts w:ascii="Arial" w:eastAsia="Times New Roman" w:hAnsi="Arial" w:cs="Arial"/>
          <w:b/>
          <w:bCs/>
          <w:color w:val="9D2235"/>
          <w:spacing w:val="-34"/>
          <w:kern w:val="36"/>
          <w:sz w:val="60"/>
          <w:szCs w:val="60"/>
          <w:lang w:eastAsia="es-ES"/>
        </w:rPr>
        <w:t xml:space="preserve"> </w:t>
      </w:r>
      <w:r w:rsidR="007642F6" w:rsidRPr="00DA3DC3">
        <w:rPr>
          <w:rFonts w:ascii="Arial" w:eastAsia="Times New Roman" w:hAnsi="Arial" w:cs="Arial"/>
          <w:b/>
          <w:bCs/>
          <w:color w:val="9D2235"/>
          <w:spacing w:val="-34"/>
          <w:kern w:val="36"/>
          <w:sz w:val="60"/>
          <w:szCs w:val="60"/>
          <w:lang w:eastAsia="es-ES"/>
        </w:rPr>
        <w:br/>
      </w:r>
      <w:r w:rsidR="00797E9C" w:rsidRPr="00DA3DC3">
        <w:rPr>
          <w:rFonts w:ascii="Arial" w:eastAsia="Times New Roman" w:hAnsi="Arial" w:cs="Arial"/>
          <w:b/>
          <w:bCs/>
          <w:color w:val="9D2235"/>
          <w:spacing w:val="-34"/>
          <w:kern w:val="36"/>
          <w:sz w:val="60"/>
          <w:szCs w:val="60"/>
          <w:lang w:eastAsia="es-ES"/>
        </w:rPr>
        <w:t>AVAF</w:t>
      </w:r>
      <w:bookmarkEnd w:id="2"/>
    </w:p>
    <w:p w14:paraId="5B756E76" w14:textId="0269F568" w:rsidR="000E2A66" w:rsidRPr="00DA3DC3" w:rsidRDefault="00003F91" w:rsidP="000E2A66">
      <w:pPr>
        <w:spacing w:before="100" w:beforeAutospacing="1" w:after="0" w:line="240" w:lineRule="auto"/>
        <w:jc w:val="right"/>
        <w:rPr>
          <w:rFonts w:ascii="Arial" w:eastAsia="Times New Roman" w:hAnsi="Arial" w:cs="Arial"/>
          <w:color w:val="9D2235"/>
          <w:sz w:val="24"/>
          <w:szCs w:val="24"/>
          <w:lang w:eastAsia="es-ES"/>
        </w:rPr>
      </w:pPr>
      <w:r w:rsidRPr="00DA3DC3">
        <w:rPr>
          <w:rFonts w:ascii="Arial" w:eastAsia="Times New Roman" w:hAnsi="Arial" w:cs="Arial"/>
          <w:b/>
          <w:bCs/>
          <w:color w:val="9D2235"/>
          <w:sz w:val="18"/>
          <w:szCs w:val="18"/>
          <w:lang w:eastAsia="es-ES"/>
        </w:rPr>
        <w:t>Ens trobem</w:t>
      </w:r>
      <w:r w:rsidR="000E2A66" w:rsidRPr="00DA3DC3">
        <w:rPr>
          <w:rFonts w:ascii="Arial" w:eastAsia="Times New Roman" w:hAnsi="Arial" w:cs="Arial"/>
          <w:b/>
          <w:bCs/>
          <w:color w:val="9D2235"/>
          <w:sz w:val="18"/>
          <w:szCs w:val="18"/>
          <w:lang w:eastAsia="es-ES"/>
        </w:rPr>
        <w:t xml:space="preserve"> en:</w:t>
      </w:r>
    </w:p>
    <w:p w14:paraId="431B8CB8" w14:textId="77777777" w:rsidR="000E2A66" w:rsidRPr="00DA3DC3" w:rsidRDefault="000E2A66" w:rsidP="000E2A66">
      <w:pPr>
        <w:spacing w:after="0" w:line="240" w:lineRule="auto"/>
        <w:jc w:val="right"/>
        <w:rPr>
          <w:rFonts w:ascii="Arial" w:eastAsia="Times New Roman" w:hAnsi="Arial" w:cs="Arial"/>
          <w:sz w:val="24"/>
          <w:szCs w:val="24"/>
          <w:lang w:eastAsia="es-ES"/>
        </w:rPr>
      </w:pPr>
      <w:r w:rsidRPr="00DA3DC3">
        <w:rPr>
          <w:rFonts w:ascii="Arial" w:eastAsia="Times New Roman" w:hAnsi="Arial" w:cs="Arial"/>
          <w:color w:val="000000"/>
          <w:sz w:val="18"/>
          <w:szCs w:val="18"/>
          <w:lang w:eastAsia="es-ES"/>
        </w:rPr>
        <w:t>C/ Navellos, 14-3 | 46003 València</w:t>
      </w:r>
    </w:p>
    <w:p w14:paraId="12F23F3F" w14:textId="77777777" w:rsidR="000E2A66" w:rsidRPr="00DA3DC3" w:rsidRDefault="000E2A66" w:rsidP="000E2A66">
      <w:pPr>
        <w:spacing w:after="0" w:line="240" w:lineRule="auto"/>
        <w:jc w:val="right"/>
        <w:rPr>
          <w:rFonts w:ascii="Arial" w:eastAsia="Times New Roman" w:hAnsi="Arial" w:cs="Arial"/>
          <w:sz w:val="24"/>
          <w:szCs w:val="24"/>
          <w:lang w:eastAsia="es-ES"/>
        </w:rPr>
      </w:pPr>
      <w:r w:rsidRPr="00DA3DC3">
        <w:rPr>
          <w:rFonts w:ascii="Arial" w:eastAsia="Times New Roman" w:hAnsi="Arial" w:cs="Arial"/>
          <w:color w:val="000000"/>
          <w:sz w:val="18"/>
          <w:szCs w:val="18"/>
          <w:lang w:eastAsia="es-ES"/>
        </w:rPr>
        <w:t>96.</w:t>
      </w:r>
      <w:r w:rsidR="008541FB" w:rsidRPr="00DA3DC3">
        <w:rPr>
          <w:rFonts w:ascii="Arial" w:eastAsia="Times New Roman" w:hAnsi="Arial" w:cs="Arial"/>
          <w:color w:val="000000"/>
          <w:sz w:val="18"/>
          <w:szCs w:val="18"/>
          <w:lang w:eastAsia="es-ES"/>
        </w:rPr>
        <w:t>278.74.50</w:t>
      </w:r>
    </w:p>
    <w:p w14:paraId="7271038A" w14:textId="5FD37004" w:rsidR="000E2A66" w:rsidRPr="00DA3DC3" w:rsidRDefault="00254AEC" w:rsidP="000E2A66">
      <w:pPr>
        <w:spacing w:after="0" w:line="240" w:lineRule="auto"/>
        <w:jc w:val="right"/>
        <w:rPr>
          <w:rFonts w:ascii="Arial" w:eastAsia="Times New Roman" w:hAnsi="Arial" w:cs="Arial"/>
          <w:sz w:val="24"/>
          <w:szCs w:val="24"/>
          <w:lang w:eastAsia="es-ES"/>
        </w:rPr>
      </w:pPr>
      <w:hyperlink r:id="rId19" w:history="1">
        <w:r w:rsidR="00913AE2" w:rsidRPr="00AC28B4">
          <w:rPr>
            <w:rStyle w:val="Hipervnculo"/>
            <w:rFonts w:ascii="Arial" w:eastAsia="Times New Roman" w:hAnsi="Arial" w:cs="Arial"/>
            <w:sz w:val="18"/>
            <w:szCs w:val="18"/>
            <w:lang w:eastAsia="es-ES"/>
          </w:rPr>
          <w:t>https://www.antifraucv.es</w:t>
        </w:r>
      </w:hyperlink>
    </w:p>
    <w:p w14:paraId="74A1B30D" w14:textId="77777777" w:rsidR="000E2A66" w:rsidRPr="00DA3DC3" w:rsidRDefault="000E2A66" w:rsidP="000E2A66">
      <w:pPr>
        <w:spacing w:after="0" w:line="240" w:lineRule="auto"/>
        <w:jc w:val="right"/>
        <w:rPr>
          <w:rFonts w:ascii="Arial" w:eastAsia="Times New Roman" w:hAnsi="Arial" w:cs="Arial"/>
          <w:sz w:val="24"/>
          <w:szCs w:val="24"/>
          <w:lang w:eastAsia="es-ES"/>
        </w:rPr>
      </w:pPr>
    </w:p>
    <w:p w14:paraId="7A5EE58B" w14:textId="160C10C5" w:rsidR="000E2A66" w:rsidRPr="00DA3DC3" w:rsidRDefault="00601034" w:rsidP="000E2A66">
      <w:pPr>
        <w:spacing w:after="0" w:line="240" w:lineRule="auto"/>
        <w:jc w:val="right"/>
        <w:rPr>
          <w:rFonts w:ascii="Arial" w:eastAsia="Times New Roman" w:hAnsi="Arial" w:cs="Arial"/>
          <w:color w:val="9D2235"/>
          <w:sz w:val="24"/>
          <w:szCs w:val="24"/>
          <w:lang w:eastAsia="es-ES"/>
        </w:rPr>
      </w:pPr>
      <w:r w:rsidRPr="00601034">
        <w:rPr>
          <w:rFonts w:ascii="Arial" w:eastAsia="Times New Roman" w:hAnsi="Arial" w:cs="Arial"/>
          <w:b/>
          <w:bCs/>
          <w:color w:val="9D2235"/>
          <w:sz w:val="18"/>
          <w:szCs w:val="18"/>
          <w:lang w:eastAsia="es-ES"/>
        </w:rPr>
        <w:t>Portal de Transparència</w:t>
      </w:r>
      <w:r w:rsidR="000E2A66" w:rsidRPr="00DA3DC3">
        <w:rPr>
          <w:rFonts w:ascii="Arial" w:eastAsia="Times New Roman" w:hAnsi="Arial" w:cs="Arial"/>
          <w:b/>
          <w:bCs/>
          <w:color w:val="9D2235"/>
          <w:sz w:val="18"/>
          <w:szCs w:val="18"/>
          <w:lang w:eastAsia="es-ES"/>
        </w:rPr>
        <w:t>:</w:t>
      </w:r>
    </w:p>
    <w:p w14:paraId="10D7A29F" w14:textId="77777777" w:rsidR="00E61007" w:rsidRPr="00E61007" w:rsidRDefault="00254AEC" w:rsidP="00E61007">
      <w:pPr>
        <w:spacing w:after="0" w:line="240" w:lineRule="auto"/>
        <w:jc w:val="right"/>
        <w:rPr>
          <w:rFonts w:ascii="Arial" w:hAnsi="Arial" w:cs="Arial"/>
          <w:sz w:val="18"/>
          <w:szCs w:val="18"/>
        </w:rPr>
      </w:pPr>
      <w:hyperlink r:id="rId20" w:history="1">
        <w:r w:rsidR="00E61007" w:rsidRPr="00E61007">
          <w:rPr>
            <w:rStyle w:val="Hipervnculo"/>
            <w:rFonts w:ascii="Arial" w:hAnsi="Arial" w:cs="Arial"/>
            <w:sz w:val="18"/>
            <w:szCs w:val="18"/>
          </w:rPr>
          <w:t>https://www.antifraucv.es/va/acces-a-la-informacio/</w:t>
        </w:r>
      </w:hyperlink>
    </w:p>
    <w:p w14:paraId="0A272C56" w14:textId="77777777" w:rsidR="00E61007" w:rsidRPr="00DA3DC3" w:rsidRDefault="00E61007">
      <w:pPr>
        <w:spacing w:after="0" w:line="240" w:lineRule="auto"/>
        <w:jc w:val="right"/>
        <w:rPr>
          <w:rFonts w:ascii="Arial" w:eastAsia="Times New Roman" w:hAnsi="Arial" w:cs="Arial"/>
          <w:b/>
          <w:bCs/>
          <w:color w:val="9D2235"/>
          <w:sz w:val="18"/>
          <w:szCs w:val="18"/>
          <w:lang w:eastAsia="es-ES"/>
        </w:rPr>
      </w:pPr>
    </w:p>
    <w:p w14:paraId="74D457D6" w14:textId="52A49F8E" w:rsidR="000E2A66" w:rsidRPr="00DA3DC3" w:rsidRDefault="009550FA" w:rsidP="000E2A66">
      <w:pPr>
        <w:spacing w:after="0" w:line="240" w:lineRule="auto"/>
        <w:jc w:val="right"/>
        <w:rPr>
          <w:rFonts w:ascii="Arial" w:eastAsia="Times New Roman" w:hAnsi="Arial" w:cs="Arial"/>
          <w:color w:val="9D2235"/>
          <w:sz w:val="24"/>
          <w:szCs w:val="24"/>
          <w:lang w:eastAsia="es-ES"/>
        </w:rPr>
      </w:pPr>
      <w:r w:rsidRPr="00DA3DC3">
        <w:rPr>
          <w:rFonts w:ascii="Arial" w:eastAsia="Times New Roman" w:hAnsi="Arial" w:cs="Arial"/>
          <w:b/>
          <w:bCs/>
          <w:color w:val="9D2235"/>
          <w:sz w:val="18"/>
          <w:szCs w:val="18"/>
          <w:lang w:eastAsia="es-ES"/>
        </w:rPr>
        <w:t>Bústia</w:t>
      </w:r>
      <w:r w:rsidR="000E2A66" w:rsidRPr="00DA3DC3">
        <w:rPr>
          <w:rFonts w:ascii="Arial" w:eastAsia="Times New Roman" w:hAnsi="Arial" w:cs="Arial"/>
          <w:b/>
          <w:bCs/>
          <w:color w:val="9D2235"/>
          <w:sz w:val="18"/>
          <w:szCs w:val="18"/>
          <w:lang w:eastAsia="es-ES"/>
        </w:rPr>
        <w:t xml:space="preserve"> de Den</w:t>
      </w:r>
      <w:r w:rsidR="00003F91" w:rsidRPr="00DA3DC3">
        <w:rPr>
          <w:rFonts w:ascii="Arial" w:eastAsia="Times New Roman" w:hAnsi="Arial" w:cs="Arial"/>
          <w:b/>
          <w:bCs/>
          <w:color w:val="9D2235"/>
          <w:sz w:val="18"/>
          <w:szCs w:val="18"/>
          <w:lang w:eastAsia="es-ES"/>
        </w:rPr>
        <w:t>ú</w:t>
      </w:r>
      <w:r w:rsidR="000E2A66" w:rsidRPr="00DA3DC3">
        <w:rPr>
          <w:rFonts w:ascii="Arial" w:eastAsia="Times New Roman" w:hAnsi="Arial" w:cs="Arial"/>
          <w:b/>
          <w:bCs/>
          <w:color w:val="9D2235"/>
          <w:sz w:val="18"/>
          <w:szCs w:val="18"/>
          <w:lang w:eastAsia="es-ES"/>
        </w:rPr>
        <w:t>nci</w:t>
      </w:r>
      <w:r w:rsidR="00003F91" w:rsidRPr="00DA3DC3">
        <w:rPr>
          <w:rFonts w:ascii="Arial" w:eastAsia="Times New Roman" w:hAnsi="Arial" w:cs="Arial"/>
          <w:b/>
          <w:bCs/>
          <w:color w:val="9D2235"/>
          <w:sz w:val="18"/>
          <w:szCs w:val="18"/>
          <w:lang w:eastAsia="es-ES"/>
        </w:rPr>
        <w:t>e</w:t>
      </w:r>
      <w:r w:rsidR="000E2A66" w:rsidRPr="00DA3DC3">
        <w:rPr>
          <w:rFonts w:ascii="Arial" w:eastAsia="Times New Roman" w:hAnsi="Arial" w:cs="Arial"/>
          <w:b/>
          <w:bCs/>
          <w:color w:val="9D2235"/>
          <w:sz w:val="18"/>
          <w:szCs w:val="18"/>
          <w:lang w:eastAsia="es-ES"/>
        </w:rPr>
        <w:t>s:</w:t>
      </w:r>
    </w:p>
    <w:p w14:paraId="10353241" w14:textId="31A978F8" w:rsidR="000E2A66" w:rsidRPr="006A23AC" w:rsidRDefault="00254AEC" w:rsidP="000E2A66">
      <w:pPr>
        <w:spacing w:after="0" w:line="240" w:lineRule="auto"/>
        <w:jc w:val="right"/>
        <w:rPr>
          <w:rFonts w:ascii="Arial" w:hAnsi="Arial" w:cs="Arial"/>
          <w:color w:val="000000" w:themeColor="text1"/>
          <w:sz w:val="24"/>
          <w:szCs w:val="24"/>
        </w:rPr>
      </w:pPr>
      <w:hyperlink r:id="rId21" w:history="1">
        <w:r w:rsidR="00E61007" w:rsidRPr="00E61007">
          <w:rPr>
            <w:rStyle w:val="Hipervnculo"/>
            <w:rFonts w:ascii="Arial" w:hAnsi="Arial" w:cs="Arial"/>
            <w:sz w:val="18"/>
            <w:szCs w:val="18"/>
          </w:rPr>
          <w:t>https://www.antifraucv.es/va/bustia-de-denuncies-2</w:t>
        </w:r>
        <w:r w:rsidR="00003F91" w:rsidRPr="00D70D6D">
          <w:rPr>
            <w:rStyle w:val="Hipervnculo"/>
            <w:rFonts w:ascii="Arial" w:hAnsi="Arial" w:cs="Arial"/>
            <w:sz w:val="18"/>
            <w:szCs w:val="18"/>
          </w:rPr>
          <w:t>/</w:t>
        </w:r>
      </w:hyperlink>
    </w:p>
    <w:p w14:paraId="3A4D8ED6" w14:textId="77777777" w:rsidR="00BD32F1" w:rsidRPr="00DA3DC3" w:rsidRDefault="00BD32F1" w:rsidP="000E2A66">
      <w:pPr>
        <w:spacing w:after="0" w:line="240" w:lineRule="auto"/>
        <w:jc w:val="right"/>
        <w:rPr>
          <w:rFonts w:ascii="Arial" w:eastAsia="Times New Roman" w:hAnsi="Arial" w:cs="Arial"/>
          <w:sz w:val="24"/>
          <w:szCs w:val="24"/>
          <w:lang w:eastAsia="es-ES"/>
        </w:rPr>
      </w:pPr>
    </w:p>
    <w:p w14:paraId="63D5A44E" w14:textId="473B8002" w:rsidR="000E2A66" w:rsidRPr="00DA3DC3" w:rsidRDefault="00DD6D6B" w:rsidP="000E2A66">
      <w:pPr>
        <w:spacing w:after="0" w:line="240" w:lineRule="auto"/>
        <w:jc w:val="right"/>
        <w:rPr>
          <w:rFonts w:ascii="Arial" w:eastAsia="Times New Roman" w:hAnsi="Arial" w:cs="Arial"/>
          <w:color w:val="9D2235"/>
          <w:sz w:val="24"/>
          <w:szCs w:val="24"/>
          <w:lang w:eastAsia="es-ES"/>
        </w:rPr>
      </w:pPr>
      <w:r>
        <w:rPr>
          <w:rFonts w:ascii="Arial" w:eastAsia="Times New Roman" w:hAnsi="Arial" w:cs="Arial"/>
          <w:b/>
          <w:bCs/>
          <w:color w:val="9D2235"/>
          <w:sz w:val="18"/>
          <w:szCs w:val="18"/>
          <w:lang w:eastAsia="es-ES"/>
        </w:rPr>
        <w:t>Departament</w:t>
      </w:r>
      <w:r w:rsidR="000E2A66" w:rsidRPr="00DA3DC3">
        <w:rPr>
          <w:rFonts w:ascii="Arial" w:eastAsia="Times New Roman" w:hAnsi="Arial" w:cs="Arial"/>
          <w:b/>
          <w:bCs/>
          <w:color w:val="9D2235"/>
          <w:sz w:val="18"/>
          <w:szCs w:val="18"/>
          <w:lang w:eastAsia="es-ES"/>
        </w:rPr>
        <w:t xml:space="preserve"> de comunicació:</w:t>
      </w:r>
    </w:p>
    <w:p w14:paraId="160D2320" w14:textId="0ECE274B" w:rsidR="000E2A66" w:rsidRDefault="00254AEC" w:rsidP="000E2A66">
      <w:pPr>
        <w:spacing w:after="0" w:line="240" w:lineRule="auto"/>
        <w:jc w:val="right"/>
        <w:rPr>
          <w:rFonts w:ascii="Arial" w:eastAsia="Times New Roman" w:hAnsi="Arial" w:cs="Arial"/>
          <w:color w:val="000000"/>
          <w:sz w:val="18"/>
          <w:szCs w:val="18"/>
          <w:lang w:eastAsia="es-ES"/>
        </w:rPr>
      </w:pPr>
      <w:hyperlink r:id="rId22" w:history="1">
        <w:r w:rsidR="00543F5A" w:rsidRPr="00233517">
          <w:rPr>
            <w:rStyle w:val="Hipervnculo"/>
            <w:rFonts w:ascii="Arial" w:eastAsia="Times New Roman" w:hAnsi="Arial" w:cs="Arial"/>
            <w:sz w:val="18"/>
            <w:szCs w:val="18"/>
            <w:lang w:eastAsia="es-ES"/>
          </w:rPr>
          <w:t>comunicacion@antifraucv.es</w:t>
        </w:r>
      </w:hyperlink>
    </w:p>
    <w:p w14:paraId="231992DF" w14:textId="77777777" w:rsidR="00543F5A" w:rsidRPr="00DA3DC3" w:rsidRDefault="00543F5A" w:rsidP="000E2A66">
      <w:pPr>
        <w:spacing w:after="0" w:line="240" w:lineRule="auto"/>
        <w:jc w:val="right"/>
        <w:rPr>
          <w:rFonts w:ascii="Arial" w:eastAsia="Times New Roman" w:hAnsi="Arial" w:cs="Arial"/>
          <w:sz w:val="24"/>
          <w:szCs w:val="24"/>
          <w:lang w:eastAsia="es-ES"/>
        </w:rPr>
      </w:pPr>
    </w:p>
    <w:p w14:paraId="11092D7D" w14:textId="77777777" w:rsidR="000E2A66" w:rsidRPr="00DA3DC3" w:rsidRDefault="000E2A66" w:rsidP="000E2A66">
      <w:pPr>
        <w:spacing w:after="0" w:line="240" w:lineRule="auto"/>
        <w:jc w:val="right"/>
        <w:rPr>
          <w:rFonts w:ascii="Arial" w:eastAsia="Times New Roman" w:hAnsi="Arial" w:cs="Arial"/>
          <w:sz w:val="24"/>
          <w:szCs w:val="24"/>
          <w:lang w:eastAsia="es-ES"/>
        </w:rPr>
      </w:pPr>
    </w:p>
    <w:p w14:paraId="2DBC64A4" w14:textId="77777777" w:rsidR="00003F91" w:rsidRPr="00DA3DC3" w:rsidRDefault="00003F91" w:rsidP="00003F91">
      <w:pPr>
        <w:spacing w:after="0" w:line="240" w:lineRule="auto"/>
        <w:jc w:val="right"/>
        <w:rPr>
          <w:rFonts w:ascii="Arial" w:eastAsia="Times New Roman" w:hAnsi="Arial" w:cs="Arial"/>
          <w:b/>
          <w:bCs/>
          <w:color w:val="9D2235"/>
          <w:sz w:val="18"/>
          <w:szCs w:val="18"/>
          <w:lang w:eastAsia="es-ES"/>
        </w:rPr>
      </w:pPr>
      <w:r w:rsidRPr="00DA3DC3">
        <w:rPr>
          <w:rFonts w:ascii="Arial" w:eastAsia="Times New Roman" w:hAnsi="Arial" w:cs="Arial"/>
          <w:b/>
          <w:bCs/>
          <w:color w:val="9D2235"/>
          <w:sz w:val="18"/>
          <w:szCs w:val="18"/>
          <w:lang w:eastAsia="es-ES"/>
        </w:rPr>
        <w:t>Xarxes Socials</w:t>
      </w:r>
      <w:r w:rsidR="000E2A66" w:rsidRPr="00DA3DC3">
        <w:rPr>
          <w:rFonts w:ascii="Arial" w:eastAsia="Times New Roman" w:hAnsi="Arial" w:cs="Arial"/>
          <w:b/>
          <w:bCs/>
          <w:color w:val="9D2235"/>
          <w:sz w:val="18"/>
          <w:szCs w:val="18"/>
          <w:lang w:eastAsia="es-ES"/>
        </w:rPr>
        <w:t>:</w:t>
      </w:r>
    </w:p>
    <w:p w14:paraId="3000D7DE" w14:textId="77777777" w:rsidR="007B5C1C" w:rsidRPr="007B5C1C" w:rsidRDefault="007B5C1C" w:rsidP="007B5C1C">
      <w:pPr>
        <w:spacing w:after="0" w:line="240" w:lineRule="auto"/>
        <w:jc w:val="right"/>
        <w:rPr>
          <w:rFonts w:ascii="Arial" w:eastAsia="Times New Roman" w:hAnsi="Arial" w:cs="Arial"/>
          <w:b/>
          <w:bCs/>
          <w:noProof/>
          <w:color w:val="9D2235"/>
          <w:sz w:val="18"/>
          <w:szCs w:val="18"/>
          <w:lang w:val="es-ES" w:eastAsia="es-ES"/>
        </w:rPr>
      </w:pPr>
      <w:r w:rsidRPr="007B5C1C">
        <w:rPr>
          <w:rFonts w:ascii="Arial" w:eastAsia="Times New Roman" w:hAnsi="Arial" w:cs="Arial"/>
          <w:b/>
          <w:bCs/>
          <w:noProof/>
          <w:color w:val="9D2235"/>
          <w:sz w:val="18"/>
          <w:szCs w:val="18"/>
          <w:lang w:val="es-ES" w:eastAsia="es-ES"/>
        </w:rPr>
        <w:drawing>
          <wp:anchor distT="0" distB="0" distL="114300" distR="114300" simplePos="0" relativeHeight="252037120" behindDoc="0" locked="0" layoutInCell="1" allowOverlap="1" wp14:anchorId="0B98A382" wp14:editId="79C56C38">
            <wp:simplePos x="0" y="0"/>
            <wp:positionH relativeFrom="column">
              <wp:posOffset>1652905</wp:posOffset>
            </wp:positionH>
            <wp:positionV relativeFrom="paragraph">
              <wp:posOffset>128270</wp:posOffset>
            </wp:positionV>
            <wp:extent cx="356235" cy="356235"/>
            <wp:effectExtent l="0" t="0" r="5715" b="5715"/>
            <wp:wrapNone/>
            <wp:docPr id="18" name="Imagen 7" descr="Logotipo, Icono&#10;&#10;Descripción generada automáticament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Logotipo, Icono&#10;&#10;Descripción generada automáticamente">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5C1C">
        <w:rPr>
          <w:rFonts w:ascii="Arial" w:eastAsia="Times New Roman" w:hAnsi="Arial" w:cs="Arial"/>
          <w:b/>
          <w:bCs/>
          <w:noProof/>
          <w:color w:val="9D2235"/>
          <w:sz w:val="18"/>
          <w:szCs w:val="18"/>
          <w:lang w:val="es-ES" w:eastAsia="es-ES"/>
        </w:rPr>
        <w:drawing>
          <wp:anchor distT="0" distB="0" distL="114300" distR="114300" simplePos="0" relativeHeight="252038144" behindDoc="0" locked="0" layoutInCell="1" allowOverlap="1" wp14:anchorId="25D590D0" wp14:editId="0D2147C5">
            <wp:simplePos x="0" y="0"/>
            <wp:positionH relativeFrom="column">
              <wp:posOffset>2145665</wp:posOffset>
            </wp:positionH>
            <wp:positionV relativeFrom="paragraph">
              <wp:posOffset>128270</wp:posOffset>
            </wp:positionV>
            <wp:extent cx="356235" cy="356235"/>
            <wp:effectExtent l="0" t="0" r="5715" b="5715"/>
            <wp:wrapNone/>
            <wp:docPr id="264" name="Imagen 264" descr="Icono&#10;&#10;Descripción generada automáticament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Icono&#10;&#10;Descripción generada automáticamente">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5C1C">
        <w:rPr>
          <w:rFonts w:ascii="Arial" w:eastAsia="Times New Roman" w:hAnsi="Arial" w:cs="Arial"/>
          <w:b/>
          <w:bCs/>
          <w:noProof/>
          <w:color w:val="9D2235"/>
          <w:sz w:val="18"/>
          <w:szCs w:val="18"/>
          <w:lang w:val="es-ES" w:eastAsia="es-ES"/>
        </w:rPr>
        <w:drawing>
          <wp:anchor distT="0" distB="0" distL="114300" distR="114300" simplePos="0" relativeHeight="252039168" behindDoc="0" locked="0" layoutInCell="1" allowOverlap="1" wp14:anchorId="50CAF9A0" wp14:editId="15D75DA6">
            <wp:simplePos x="0" y="0"/>
            <wp:positionH relativeFrom="column">
              <wp:posOffset>2639060</wp:posOffset>
            </wp:positionH>
            <wp:positionV relativeFrom="paragraph">
              <wp:posOffset>128270</wp:posOffset>
            </wp:positionV>
            <wp:extent cx="356235" cy="356235"/>
            <wp:effectExtent l="0" t="0" r="5715" b="5715"/>
            <wp:wrapNone/>
            <wp:docPr id="266" name="Imagen 11" descr="Icono&#10;&#10;Descripción generada automáticamente">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cono&#10;&#10;Descripción generada automáticamente">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5C1C">
        <w:rPr>
          <w:rFonts w:ascii="Arial" w:eastAsia="Times New Roman" w:hAnsi="Arial" w:cs="Arial"/>
          <w:b/>
          <w:bCs/>
          <w:noProof/>
          <w:color w:val="9D2235"/>
          <w:sz w:val="18"/>
          <w:szCs w:val="18"/>
          <w:lang w:val="es-ES" w:eastAsia="es-ES"/>
        </w:rPr>
        <w:drawing>
          <wp:anchor distT="0" distB="0" distL="114300" distR="114300" simplePos="0" relativeHeight="252040192" behindDoc="0" locked="0" layoutInCell="1" allowOverlap="1" wp14:anchorId="023059B6" wp14:editId="13EE5BA2">
            <wp:simplePos x="0" y="0"/>
            <wp:positionH relativeFrom="column">
              <wp:posOffset>3131820</wp:posOffset>
            </wp:positionH>
            <wp:positionV relativeFrom="paragraph">
              <wp:posOffset>128270</wp:posOffset>
            </wp:positionV>
            <wp:extent cx="356235" cy="356235"/>
            <wp:effectExtent l="0" t="0" r="5715" b="5715"/>
            <wp:wrapNone/>
            <wp:docPr id="267" name="Imagen 12" descr="Logotipo, Icono&#10;&#10;Descripción generada automáticament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Logotipo, Icono&#10;&#10;Descripción generada automáticamente">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5C1C">
        <w:rPr>
          <w:rFonts w:ascii="Arial" w:eastAsia="Times New Roman" w:hAnsi="Arial" w:cs="Arial"/>
          <w:b/>
          <w:bCs/>
          <w:noProof/>
          <w:color w:val="9D2235"/>
          <w:sz w:val="18"/>
          <w:szCs w:val="18"/>
          <w:lang w:val="es-ES" w:eastAsia="es-ES"/>
        </w:rPr>
        <w:drawing>
          <wp:anchor distT="0" distB="0" distL="114300" distR="114300" simplePos="0" relativeHeight="252041216" behindDoc="0" locked="0" layoutInCell="1" allowOverlap="1" wp14:anchorId="3A3E1864" wp14:editId="7B3A8A31">
            <wp:simplePos x="0" y="0"/>
            <wp:positionH relativeFrom="column">
              <wp:posOffset>3636010</wp:posOffset>
            </wp:positionH>
            <wp:positionV relativeFrom="paragraph">
              <wp:posOffset>128270</wp:posOffset>
            </wp:positionV>
            <wp:extent cx="356235" cy="356235"/>
            <wp:effectExtent l="0" t="0" r="5715" b="5715"/>
            <wp:wrapNone/>
            <wp:docPr id="268" name="Imagen 13" descr="Icono&#10;&#10;Descripción generada automáticament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Icono&#10;&#10;Descripción generada automáticamente">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5C1C">
        <w:rPr>
          <w:rFonts w:ascii="Arial" w:eastAsia="Times New Roman" w:hAnsi="Arial" w:cs="Arial"/>
          <w:b/>
          <w:bCs/>
          <w:noProof/>
          <w:color w:val="9D2235"/>
          <w:sz w:val="18"/>
          <w:szCs w:val="18"/>
          <w:lang w:val="es-ES" w:eastAsia="es-ES"/>
        </w:rPr>
        <w:drawing>
          <wp:anchor distT="0" distB="0" distL="114300" distR="114300" simplePos="0" relativeHeight="252042240" behindDoc="0" locked="0" layoutInCell="1" allowOverlap="1" wp14:anchorId="0FD48027" wp14:editId="6644FF81">
            <wp:simplePos x="0" y="0"/>
            <wp:positionH relativeFrom="column">
              <wp:posOffset>4117340</wp:posOffset>
            </wp:positionH>
            <wp:positionV relativeFrom="paragraph">
              <wp:posOffset>128270</wp:posOffset>
            </wp:positionV>
            <wp:extent cx="356235" cy="356235"/>
            <wp:effectExtent l="0" t="0" r="5715" b="5715"/>
            <wp:wrapNone/>
            <wp:docPr id="269" name="Imagen 14" descr="Icono&#10;&#10;Descripción generada automáticament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Icono&#10;&#10;Descripción generada automáticamente">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5C1C">
        <w:rPr>
          <w:rFonts w:ascii="Arial" w:eastAsia="Times New Roman" w:hAnsi="Arial" w:cs="Arial"/>
          <w:b/>
          <w:bCs/>
          <w:noProof/>
          <w:color w:val="9D2235"/>
          <w:sz w:val="18"/>
          <w:szCs w:val="18"/>
          <w:lang w:val="es-ES" w:eastAsia="es-ES"/>
        </w:rPr>
        <w:drawing>
          <wp:anchor distT="0" distB="0" distL="114300" distR="114300" simplePos="0" relativeHeight="252043264" behindDoc="0" locked="0" layoutInCell="1" allowOverlap="1" wp14:anchorId="000ADF91" wp14:editId="3C2F8023">
            <wp:simplePos x="0" y="0"/>
            <wp:positionH relativeFrom="column">
              <wp:posOffset>1148715</wp:posOffset>
            </wp:positionH>
            <wp:positionV relativeFrom="paragraph">
              <wp:posOffset>128270</wp:posOffset>
            </wp:positionV>
            <wp:extent cx="356235" cy="356235"/>
            <wp:effectExtent l="0" t="0" r="5715" b="5715"/>
            <wp:wrapNone/>
            <wp:docPr id="270" name="Imagen 15" descr="Un dibujo de una cara feliz&#10;&#10;Descripción generada automáticamente con confianza baja">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n 15" descr="Un dibujo de una cara feliz&#10;&#10;Descripción generada automáticamente con confianza baja">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5C1C">
        <w:rPr>
          <w:rFonts w:ascii="Arial" w:eastAsia="Times New Roman" w:hAnsi="Arial" w:cs="Arial"/>
          <w:b/>
          <w:bCs/>
          <w:noProof/>
          <w:color w:val="9D2235"/>
          <w:sz w:val="18"/>
          <w:szCs w:val="18"/>
          <w:lang w:val="es-ES" w:eastAsia="es-ES"/>
        </w:rPr>
        <w:drawing>
          <wp:anchor distT="0" distB="0" distL="114300" distR="114300" simplePos="0" relativeHeight="252044288" behindDoc="0" locked="0" layoutInCell="1" allowOverlap="1" wp14:anchorId="05539CFB" wp14:editId="73B9F743">
            <wp:simplePos x="0" y="0"/>
            <wp:positionH relativeFrom="column">
              <wp:posOffset>4577715</wp:posOffset>
            </wp:positionH>
            <wp:positionV relativeFrom="paragraph">
              <wp:posOffset>128270</wp:posOffset>
            </wp:positionV>
            <wp:extent cx="356235" cy="356235"/>
            <wp:effectExtent l="0" t="0" r="5715" b="5715"/>
            <wp:wrapNone/>
            <wp:docPr id="91" name="Imagen 91" descr="Icono&#10;&#10;Descripción generada automáticament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cono&#10;&#10;Descripción generada automáticamente">
                      <a:hlinkClick r:id="rId37"/>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6235" cy="356235"/>
                    </a:xfrm>
                    <a:prstGeom prst="rect">
                      <a:avLst/>
                    </a:prstGeom>
                  </pic:spPr>
                </pic:pic>
              </a:graphicData>
            </a:graphic>
            <wp14:sizeRelH relativeFrom="margin">
              <wp14:pctWidth>0</wp14:pctWidth>
            </wp14:sizeRelH>
            <wp14:sizeRelV relativeFrom="margin">
              <wp14:pctHeight>0</wp14:pctHeight>
            </wp14:sizeRelV>
          </wp:anchor>
        </w:drawing>
      </w:r>
    </w:p>
    <w:p w14:paraId="2B6638AA" w14:textId="77777777" w:rsidR="007B5C1C" w:rsidRPr="007B5C1C" w:rsidRDefault="007B5C1C" w:rsidP="007B5C1C">
      <w:pPr>
        <w:spacing w:after="0" w:line="240" w:lineRule="auto"/>
        <w:jc w:val="right"/>
        <w:rPr>
          <w:rFonts w:ascii="Arial" w:eastAsia="Times New Roman" w:hAnsi="Arial" w:cs="Arial"/>
          <w:b/>
          <w:bCs/>
          <w:noProof/>
          <w:color w:val="9D2235"/>
          <w:sz w:val="18"/>
          <w:szCs w:val="18"/>
          <w:lang w:val="es-ES" w:eastAsia="es-ES"/>
        </w:rPr>
      </w:pPr>
      <w:r w:rsidRPr="007B5C1C">
        <w:rPr>
          <w:rFonts w:ascii="Arial" w:eastAsia="Times New Roman" w:hAnsi="Arial" w:cs="Arial"/>
          <w:b/>
          <w:bCs/>
          <w:noProof/>
          <w:color w:val="9D2235"/>
          <w:sz w:val="18"/>
          <w:szCs w:val="18"/>
          <w:lang w:val="es-ES" w:eastAsia="es-ES"/>
        </w:rPr>
        <w:drawing>
          <wp:anchor distT="0" distB="0" distL="114300" distR="114300" simplePos="0" relativeHeight="252045312" behindDoc="0" locked="0" layoutInCell="1" allowOverlap="1" wp14:anchorId="404FBA61" wp14:editId="4DADEA96">
            <wp:simplePos x="0" y="0"/>
            <wp:positionH relativeFrom="column">
              <wp:posOffset>5034915</wp:posOffset>
            </wp:positionH>
            <wp:positionV relativeFrom="paragraph">
              <wp:posOffset>-3175</wp:posOffset>
            </wp:positionV>
            <wp:extent cx="356400" cy="356400"/>
            <wp:effectExtent l="0" t="0" r="5715" b="5715"/>
            <wp:wrapNone/>
            <wp:docPr id="92" name="Imagen 92" descr="Icono&#10;&#10;Descripción generada automáticamente">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cono&#10;&#10;Descripción generada automáticamente">
                      <a:hlinkClick r:id="rId39"/>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6400" cy="356400"/>
                    </a:xfrm>
                    <a:prstGeom prst="rect">
                      <a:avLst/>
                    </a:prstGeom>
                  </pic:spPr>
                </pic:pic>
              </a:graphicData>
            </a:graphic>
            <wp14:sizeRelH relativeFrom="margin">
              <wp14:pctWidth>0</wp14:pctWidth>
            </wp14:sizeRelH>
            <wp14:sizeRelV relativeFrom="margin">
              <wp14:pctHeight>0</wp14:pctHeight>
            </wp14:sizeRelV>
          </wp:anchor>
        </w:drawing>
      </w:r>
    </w:p>
    <w:p w14:paraId="116AFC9C" w14:textId="6DEA5669" w:rsidR="00367282" w:rsidRPr="00DA3DC3" w:rsidRDefault="00367282" w:rsidP="00003F91">
      <w:pPr>
        <w:spacing w:after="0" w:line="240" w:lineRule="auto"/>
        <w:jc w:val="right"/>
        <w:rPr>
          <w:rFonts w:ascii="Arial" w:eastAsia="Times New Roman" w:hAnsi="Arial" w:cs="Arial"/>
          <w:sz w:val="24"/>
          <w:szCs w:val="24"/>
          <w:lang w:eastAsia="es-ES"/>
        </w:rPr>
      </w:pPr>
    </w:p>
    <w:p w14:paraId="56344CAB" w14:textId="50699E80" w:rsidR="00367282" w:rsidRPr="00DA3DC3" w:rsidRDefault="00367282" w:rsidP="00367282">
      <w:pPr>
        <w:rPr>
          <w:rFonts w:ascii="Arial" w:eastAsia="Times New Roman" w:hAnsi="Arial" w:cs="Arial"/>
          <w:sz w:val="24"/>
          <w:szCs w:val="24"/>
          <w:lang w:eastAsia="es-ES"/>
        </w:rPr>
      </w:pPr>
    </w:p>
    <w:p w14:paraId="105CF3AB" w14:textId="1CF2264F" w:rsidR="00367282" w:rsidRPr="00DA3DC3" w:rsidRDefault="00367282" w:rsidP="00367282">
      <w:pPr>
        <w:tabs>
          <w:tab w:val="left" w:pos="7214"/>
        </w:tabs>
        <w:rPr>
          <w:rFonts w:ascii="Arial" w:eastAsia="Times New Roman" w:hAnsi="Arial" w:cs="Arial"/>
          <w:sz w:val="24"/>
          <w:szCs w:val="24"/>
          <w:lang w:eastAsia="es-ES"/>
        </w:rPr>
      </w:pPr>
      <w:r w:rsidRPr="00DA3DC3">
        <w:rPr>
          <w:rFonts w:ascii="Arial" w:eastAsia="Times New Roman" w:hAnsi="Arial" w:cs="Arial"/>
          <w:sz w:val="24"/>
          <w:szCs w:val="24"/>
          <w:lang w:eastAsia="es-ES"/>
        </w:rPr>
        <w:tab/>
      </w:r>
    </w:p>
    <w:p w14:paraId="039D307E" w14:textId="4C6D8541" w:rsidR="00CE1008" w:rsidRPr="00DA3DC3" w:rsidRDefault="00367282">
      <w:pPr>
        <w:rPr>
          <w:rFonts w:ascii="Arial" w:eastAsia="Times New Roman" w:hAnsi="Arial" w:cs="Arial"/>
          <w:sz w:val="24"/>
          <w:szCs w:val="24"/>
          <w:lang w:eastAsia="es-ES"/>
        </w:rPr>
      </w:pPr>
      <w:r w:rsidRPr="00DA3DC3">
        <w:rPr>
          <w:rFonts w:ascii="Arial" w:eastAsia="Times New Roman" w:hAnsi="Arial" w:cs="Arial"/>
          <w:sz w:val="24"/>
          <w:szCs w:val="24"/>
          <w:lang w:eastAsia="es-ES"/>
        </w:rPr>
        <w:br w:type="page"/>
      </w:r>
    </w:p>
    <w:sdt>
      <w:sdtPr>
        <w:rPr>
          <w:rFonts w:asciiTheme="minorHAnsi" w:eastAsiaTheme="minorEastAsia" w:hAnsiTheme="minorHAnsi" w:cstheme="minorBidi"/>
          <w:color w:val="auto"/>
          <w:sz w:val="22"/>
          <w:szCs w:val="22"/>
        </w:rPr>
        <w:id w:val="662976908"/>
        <w:docPartObj>
          <w:docPartGallery w:val="Table of Contents"/>
          <w:docPartUnique/>
        </w:docPartObj>
      </w:sdtPr>
      <w:sdtEndPr>
        <w:rPr>
          <w:rFonts w:ascii="Arial" w:hAnsi="Arial" w:cs="Arial"/>
        </w:rPr>
      </w:sdtEndPr>
      <w:sdtContent>
        <w:p w14:paraId="45349194" w14:textId="22DD1B54" w:rsidR="00AD0B4D" w:rsidRPr="00DA3DC3" w:rsidRDefault="00AD0B4D" w:rsidP="003C28C4">
          <w:pPr>
            <w:pStyle w:val="TtuloTDC"/>
            <w:jc w:val="both"/>
            <w:rPr>
              <w:rFonts w:ascii="Arial" w:hAnsi="Arial" w:cs="Arial"/>
              <w:b/>
              <w:bCs/>
              <w:color w:val="9D2235" w:themeColor="accent1"/>
              <w:sz w:val="60"/>
              <w:szCs w:val="60"/>
            </w:rPr>
          </w:pPr>
          <w:r w:rsidRPr="00DA3DC3">
            <w:rPr>
              <w:rFonts w:ascii="Arial" w:hAnsi="Arial" w:cs="Arial"/>
              <w:b/>
              <w:bCs/>
              <w:color w:val="9D2235" w:themeColor="accent1"/>
              <w:sz w:val="60"/>
              <w:szCs w:val="60"/>
            </w:rPr>
            <w:t>Ta</w:t>
          </w:r>
          <w:r w:rsidR="006A3245" w:rsidRPr="00DA3DC3">
            <w:rPr>
              <w:rFonts w:ascii="Arial" w:hAnsi="Arial" w:cs="Arial"/>
              <w:b/>
              <w:bCs/>
              <w:color w:val="9D2235" w:themeColor="accent1"/>
              <w:sz w:val="60"/>
              <w:szCs w:val="60"/>
            </w:rPr>
            <w:t>u</w:t>
          </w:r>
          <w:r w:rsidRPr="00DA3DC3">
            <w:rPr>
              <w:rFonts w:ascii="Arial" w:hAnsi="Arial" w:cs="Arial"/>
              <w:b/>
              <w:bCs/>
              <w:color w:val="9D2235" w:themeColor="accent1"/>
              <w:sz w:val="60"/>
              <w:szCs w:val="60"/>
            </w:rPr>
            <w:t>la de cont</w:t>
          </w:r>
          <w:r w:rsidR="006A3245" w:rsidRPr="00DA3DC3">
            <w:rPr>
              <w:rFonts w:ascii="Arial" w:hAnsi="Arial" w:cs="Arial"/>
              <w:b/>
              <w:bCs/>
              <w:color w:val="9D2235" w:themeColor="accent1"/>
              <w:sz w:val="60"/>
              <w:szCs w:val="60"/>
            </w:rPr>
            <w:t>i</w:t>
          </w:r>
          <w:r w:rsidRPr="00DA3DC3">
            <w:rPr>
              <w:rFonts w:ascii="Arial" w:hAnsi="Arial" w:cs="Arial"/>
              <w:b/>
              <w:bCs/>
              <w:color w:val="9D2235" w:themeColor="accent1"/>
              <w:sz w:val="60"/>
              <w:szCs w:val="60"/>
            </w:rPr>
            <w:t>n</w:t>
          </w:r>
          <w:r w:rsidR="006A3245" w:rsidRPr="00DA3DC3">
            <w:rPr>
              <w:rFonts w:ascii="Arial" w:hAnsi="Arial" w:cs="Arial"/>
              <w:b/>
              <w:bCs/>
              <w:color w:val="9D2235" w:themeColor="accent1"/>
              <w:sz w:val="60"/>
              <w:szCs w:val="60"/>
            </w:rPr>
            <w:t>gut</w:t>
          </w:r>
        </w:p>
        <w:p w14:paraId="025CC188" w14:textId="5327DFE4" w:rsidR="003D3409" w:rsidRPr="003D3409" w:rsidRDefault="00AD0B4D" w:rsidP="003D3409">
          <w:pPr>
            <w:pStyle w:val="TDC1"/>
            <w:rPr>
              <w:rFonts w:asciiTheme="minorHAnsi" w:eastAsiaTheme="minorEastAsia" w:hAnsiTheme="minorHAnsi" w:cstheme="minorBidi"/>
              <w:kern w:val="0"/>
              <w:sz w:val="22"/>
              <w:szCs w:val="22"/>
              <w:lang w:val="es-ES" w:bidi="ar-SA"/>
            </w:rPr>
          </w:pPr>
          <w:r w:rsidRPr="00D733DF">
            <w:fldChar w:fldCharType="begin" w:fldLock="1"/>
          </w:r>
          <w:r w:rsidRPr="00D733DF">
            <w:instrText xml:space="preserve"> TOC \o "1-3" \h \z \u </w:instrText>
          </w:r>
          <w:r w:rsidRPr="00D733DF">
            <w:fldChar w:fldCharType="separate"/>
          </w:r>
          <w:hyperlink w:anchor="_Toc99110663" w:history="1">
            <w:r w:rsidR="003D3409" w:rsidRPr="003D3409">
              <w:rPr>
                <w:rStyle w:val="Hipervnculo"/>
                <w:rFonts w:eastAsia="Times New Roman"/>
                <w:kern w:val="36"/>
              </w:rPr>
              <w:t>L’Agència  AVAF</w:t>
            </w:r>
            <w:r w:rsidR="003D3409" w:rsidRPr="003D3409">
              <w:rPr>
                <w:webHidden/>
              </w:rPr>
              <w:tab/>
            </w:r>
            <w:r w:rsidR="003D3409" w:rsidRPr="003D3409">
              <w:rPr>
                <w:webHidden/>
              </w:rPr>
              <w:fldChar w:fldCharType="begin" w:fldLock="1"/>
            </w:r>
            <w:r w:rsidR="003D3409" w:rsidRPr="003D3409">
              <w:rPr>
                <w:webHidden/>
              </w:rPr>
              <w:instrText xml:space="preserve"> PAGEREF _Toc99110663 \h </w:instrText>
            </w:r>
            <w:r w:rsidR="003D3409" w:rsidRPr="003D3409">
              <w:rPr>
                <w:webHidden/>
              </w:rPr>
            </w:r>
            <w:r w:rsidR="003D3409" w:rsidRPr="003D3409">
              <w:rPr>
                <w:webHidden/>
              </w:rPr>
              <w:fldChar w:fldCharType="separate"/>
            </w:r>
            <w:r w:rsidR="003D3409" w:rsidRPr="003D3409">
              <w:rPr>
                <w:webHidden/>
              </w:rPr>
              <w:t>5</w:t>
            </w:r>
            <w:r w:rsidR="003D3409" w:rsidRPr="003D3409">
              <w:rPr>
                <w:webHidden/>
              </w:rPr>
              <w:fldChar w:fldCharType="end"/>
            </w:r>
          </w:hyperlink>
        </w:p>
        <w:p w14:paraId="3B793986" w14:textId="5912EF8E" w:rsidR="003D3409" w:rsidRPr="003D3409" w:rsidRDefault="00254AEC" w:rsidP="003D3409">
          <w:pPr>
            <w:pStyle w:val="TDC1"/>
            <w:rPr>
              <w:rFonts w:asciiTheme="minorHAnsi" w:eastAsiaTheme="minorEastAsia" w:hAnsiTheme="minorHAnsi" w:cstheme="minorBidi"/>
              <w:kern w:val="0"/>
              <w:sz w:val="22"/>
              <w:szCs w:val="22"/>
              <w:lang w:val="es-ES" w:bidi="ar-SA"/>
            </w:rPr>
          </w:pPr>
          <w:hyperlink w:anchor="_Toc99110664" w:history="1">
            <w:r w:rsidR="003D3409" w:rsidRPr="003D3409">
              <w:rPr>
                <w:rStyle w:val="Hipervnculo"/>
                <w:rFonts w:eastAsia="Calibri"/>
              </w:rPr>
              <w:t>1.</w:t>
            </w:r>
            <w:r w:rsidR="003D3409" w:rsidRPr="003D3409">
              <w:rPr>
                <w:rFonts w:asciiTheme="minorHAnsi" w:eastAsiaTheme="minorEastAsia" w:hAnsiTheme="minorHAnsi" w:cstheme="minorBidi"/>
                <w:kern w:val="0"/>
                <w:sz w:val="22"/>
                <w:szCs w:val="22"/>
                <w:lang w:val="es-ES" w:bidi="ar-SA"/>
              </w:rPr>
              <w:tab/>
            </w:r>
            <w:r w:rsidR="003D3409" w:rsidRPr="003D3409">
              <w:rPr>
                <w:rStyle w:val="Hipervnculo"/>
                <w:rFonts w:eastAsia="Calibri"/>
              </w:rPr>
              <w:t>Presentació</w:t>
            </w:r>
            <w:r w:rsidR="003D3409" w:rsidRPr="003D3409">
              <w:rPr>
                <w:webHidden/>
              </w:rPr>
              <w:tab/>
            </w:r>
            <w:r w:rsidR="003D3409" w:rsidRPr="003D3409">
              <w:rPr>
                <w:webHidden/>
              </w:rPr>
              <w:fldChar w:fldCharType="begin" w:fldLock="1"/>
            </w:r>
            <w:r w:rsidR="003D3409" w:rsidRPr="003D3409">
              <w:rPr>
                <w:webHidden/>
              </w:rPr>
              <w:instrText xml:space="preserve"> PAGEREF _Toc99110664 \h </w:instrText>
            </w:r>
            <w:r w:rsidR="003D3409" w:rsidRPr="003D3409">
              <w:rPr>
                <w:webHidden/>
              </w:rPr>
            </w:r>
            <w:r w:rsidR="003D3409" w:rsidRPr="003D3409">
              <w:rPr>
                <w:webHidden/>
              </w:rPr>
              <w:fldChar w:fldCharType="separate"/>
            </w:r>
            <w:r w:rsidR="003D3409" w:rsidRPr="003D3409">
              <w:rPr>
                <w:webHidden/>
              </w:rPr>
              <w:t>15</w:t>
            </w:r>
            <w:r w:rsidR="003D3409" w:rsidRPr="003D3409">
              <w:rPr>
                <w:webHidden/>
              </w:rPr>
              <w:fldChar w:fldCharType="end"/>
            </w:r>
          </w:hyperlink>
        </w:p>
        <w:p w14:paraId="34A0AF96" w14:textId="4E4C3120" w:rsidR="003D3409" w:rsidRPr="003D3409" w:rsidRDefault="00254AEC" w:rsidP="003D3409">
          <w:pPr>
            <w:pStyle w:val="TDC1"/>
            <w:rPr>
              <w:rFonts w:asciiTheme="minorHAnsi" w:eastAsiaTheme="minorEastAsia" w:hAnsiTheme="minorHAnsi" w:cstheme="minorBidi"/>
              <w:kern w:val="0"/>
              <w:sz w:val="22"/>
              <w:szCs w:val="22"/>
              <w:lang w:val="es-ES" w:bidi="ar-SA"/>
            </w:rPr>
          </w:pPr>
          <w:hyperlink w:anchor="_Toc99110665" w:history="1">
            <w:r w:rsidR="003D3409" w:rsidRPr="003D3409">
              <w:rPr>
                <w:rStyle w:val="Hipervnculo"/>
                <w:rFonts w:eastAsia="Times New Roman"/>
              </w:rPr>
              <w:t>2.</w:t>
            </w:r>
            <w:r w:rsidR="003D3409" w:rsidRPr="003D3409">
              <w:rPr>
                <w:rFonts w:asciiTheme="minorHAnsi" w:eastAsiaTheme="minorEastAsia" w:hAnsiTheme="minorHAnsi" w:cstheme="minorBidi"/>
                <w:kern w:val="0"/>
                <w:sz w:val="22"/>
                <w:szCs w:val="22"/>
                <w:lang w:val="es-ES" w:bidi="ar-SA"/>
              </w:rPr>
              <w:tab/>
            </w:r>
            <w:r w:rsidR="003D3409" w:rsidRPr="003D3409">
              <w:rPr>
                <w:rStyle w:val="Hipervnculo"/>
                <w:rFonts w:eastAsia="Times New Roman"/>
              </w:rPr>
              <w:t xml:space="preserve">Activitat  </w:t>
            </w:r>
            <w:r w:rsidR="00611A76">
              <w:rPr>
                <w:rStyle w:val="Hipervnculo"/>
                <w:rFonts w:eastAsia="Times New Roman"/>
              </w:rPr>
              <w:t>i</w:t>
            </w:r>
            <w:r w:rsidR="003D3409" w:rsidRPr="003D3409">
              <w:rPr>
                <w:rStyle w:val="Hipervnculo"/>
                <w:rFonts w:eastAsia="Times New Roman"/>
              </w:rPr>
              <w:t>nstitucional</w:t>
            </w:r>
            <w:r w:rsidR="003D3409" w:rsidRPr="003D3409">
              <w:rPr>
                <w:webHidden/>
              </w:rPr>
              <w:tab/>
            </w:r>
            <w:r w:rsidR="003D3409" w:rsidRPr="003D3409">
              <w:rPr>
                <w:webHidden/>
              </w:rPr>
              <w:fldChar w:fldCharType="begin" w:fldLock="1"/>
            </w:r>
            <w:r w:rsidR="003D3409" w:rsidRPr="003D3409">
              <w:rPr>
                <w:webHidden/>
              </w:rPr>
              <w:instrText xml:space="preserve"> PAGEREF _Toc99110665 \h </w:instrText>
            </w:r>
            <w:r w:rsidR="003D3409" w:rsidRPr="003D3409">
              <w:rPr>
                <w:webHidden/>
              </w:rPr>
            </w:r>
            <w:r w:rsidR="003D3409" w:rsidRPr="003D3409">
              <w:rPr>
                <w:webHidden/>
              </w:rPr>
              <w:fldChar w:fldCharType="separate"/>
            </w:r>
            <w:r w:rsidR="003D3409" w:rsidRPr="003D3409">
              <w:rPr>
                <w:webHidden/>
              </w:rPr>
              <w:t>19</w:t>
            </w:r>
            <w:r w:rsidR="003D3409" w:rsidRPr="003D3409">
              <w:rPr>
                <w:webHidden/>
              </w:rPr>
              <w:fldChar w:fldCharType="end"/>
            </w:r>
          </w:hyperlink>
        </w:p>
        <w:p w14:paraId="137CD92C" w14:textId="3477143A" w:rsidR="003D3409" w:rsidRPr="003D3409" w:rsidRDefault="00254AEC" w:rsidP="008A26B8">
          <w:pPr>
            <w:pStyle w:val="TDC2"/>
            <w:rPr>
              <w:rFonts w:asciiTheme="minorHAnsi" w:eastAsiaTheme="minorEastAsia" w:hAnsiTheme="minorHAnsi" w:cstheme="minorBidi"/>
              <w:sz w:val="22"/>
              <w:lang w:val="es-ES" w:eastAsia="es-ES"/>
            </w:rPr>
          </w:pPr>
          <w:hyperlink w:anchor="_Toc99110666" w:history="1">
            <w:r w:rsidR="003D3409" w:rsidRPr="003D3409">
              <w:rPr>
                <w:rStyle w:val="Hipervnculo"/>
                <w:rFonts w:eastAsiaTheme="majorEastAsia"/>
              </w:rPr>
              <w:t>2.1.</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Introducció</w:t>
            </w:r>
            <w:r w:rsidR="003D3409" w:rsidRPr="003D3409">
              <w:rPr>
                <w:webHidden/>
              </w:rPr>
              <w:tab/>
            </w:r>
            <w:r w:rsidR="003D3409" w:rsidRPr="003D3409">
              <w:rPr>
                <w:webHidden/>
              </w:rPr>
              <w:fldChar w:fldCharType="begin" w:fldLock="1"/>
            </w:r>
            <w:r w:rsidR="003D3409" w:rsidRPr="003D3409">
              <w:rPr>
                <w:webHidden/>
              </w:rPr>
              <w:instrText xml:space="preserve"> PAGEREF _Toc99110666 \h </w:instrText>
            </w:r>
            <w:r w:rsidR="003D3409" w:rsidRPr="003D3409">
              <w:rPr>
                <w:webHidden/>
              </w:rPr>
            </w:r>
            <w:r w:rsidR="003D3409" w:rsidRPr="003D3409">
              <w:rPr>
                <w:webHidden/>
              </w:rPr>
              <w:fldChar w:fldCharType="separate"/>
            </w:r>
            <w:r w:rsidR="003D3409" w:rsidRPr="003D3409">
              <w:rPr>
                <w:webHidden/>
              </w:rPr>
              <w:t>19</w:t>
            </w:r>
            <w:r w:rsidR="003D3409" w:rsidRPr="003D3409">
              <w:rPr>
                <w:webHidden/>
              </w:rPr>
              <w:fldChar w:fldCharType="end"/>
            </w:r>
          </w:hyperlink>
        </w:p>
        <w:p w14:paraId="37A431FF" w14:textId="2C4BF602" w:rsidR="003D3409" w:rsidRPr="003D3409" w:rsidRDefault="00254AEC" w:rsidP="008A26B8">
          <w:pPr>
            <w:pStyle w:val="TDC2"/>
            <w:rPr>
              <w:rFonts w:asciiTheme="minorHAnsi" w:eastAsiaTheme="minorEastAsia" w:hAnsiTheme="minorHAnsi" w:cstheme="minorBidi"/>
              <w:sz w:val="22"/>
              <w:lang w:val="es-ES" w:eastAsia="es-ES"/>
            </w:rPr>
          </w:pPr>
          <w:hyperlink w:anchor="_Toc99110667" w:history="1">
            <w:r w:rsidR="003D3409" w:rsidRPr="003D3409">
              <w:rPr>
                <w:rStyle w:val="Hipervnculo"/>
              </w:rPr>
              <w:t>2.2.</w:t>
            </w:r>
            <w:r w:rsidR="003D3409" w:rsidRPr="003D3409">
              <w:rPr>
                <w:rFonts w:asciiTheme="minorHAnsi" w:eastAsiaTheme="minorEastAsia" w:hAnsiTheme="minorHAnsi" w:cstheme="minorBidi"/>
                <w:sz w:val="22"/>
                <w:lang w:val="es-ES" w:eastAsia="es-ES"/>
              </w:rPr>
              <w:tab/>
            </w:r>
            <w:r w:rsidR="003D3409" w:rsidRPr="003D3409">
              <w:rPr>
                <w:rStyle w:val="Hipervnculo"/>
              </w:rPr>
              <w:t>Actes organitzats</w:t>
            </w:r>
            <w:r w:rsidR="003D3409" w:rsidRPr="003D3409">
              <w:rPr>
                <w:webHidden/>
              </w:rPr>
              <w:tab/>
            </w:r>
            <w:r w:rsidR="003D3409" w:rsidRPr="003D3409">
              <w:rPr>
                <w:webHidden/>
              </w:rPr>
              <w:fldChar w:fldCharType="begin" w:fldLock="1"/>
            </w:r>
            <w:r w:rsidR="003D3409" w:rsidRPr="003D3409">
              <w:rPr>
                <w:webHidden/>
              </w:rPr>
              <w:instrText xml:space="preserve"> PAGEREF _Toc99110667 \h </w:instrText>
            </w:r>
            <w:r w:rsidR="003D3409" w:rsidRPr="003D3409">
              <w:rPr>
                <w:webHidden/>
              </w:rPr>
            </w:r>
            <w:r w:rsidR="003D3409" w:rsidRPr="003D3409">
              <w:rPr>
                <w:webHidden/>
              </w:rPr>
              <w:fldChar w:fldCharType="separate"/>
            </w:r>
            <w:r w:rsidR="003D3409" w:rsidRPr="003D3409">
              <w:rPr>
                <w:webHidden/>
              </w:rPr>
              <w:t>20</w:t>
            </w:r>
            <w:r w:rsidR="003D3409" w:rsidRPr="003D3409">
              <w:rPr>
                <w:webHidden/>
              </w:rPr>
              <w:fldChar w:fldCharType="end"/>
            </w:r>
          </w:hyperlink>
        </w:p>
        <w:p w14:paraId="311EC247" w14:textId="06B08E47" w:rsidR="003D3409" w:rsidRPr="003D3409" w:rsidRDefault="00254AEC" w:rsidP="008A26B8">
          <w:pPr>
            <w:pStyle w:val="TDC3"/>
            <w:rPr>
              <w:noProof/>
              <w:sz w:val="22"/>
              <w:szCs w:val="22"/>
              <w:lang w:val="es-ES" w:eastAsia="es-ES"/>
            </w:rPr>
          </w:pPr>
          <w:hyperlink w:anchor="_Toc99110668" w:history="1">
            <w:r w:rsidR="003D3409" w:rsidRPr="003D3409">
              <w:rPr>
                <w:rStyle w:val="Hipervnculo"/>
                <w:rFonts w:ascii="Arial" w:eastAsia="Times New Roman" w:hAnsi="Arial" w:cs="Arial"/>
                <w:noProof/>
              </w:rPr>
              <w:t>2.2.1.</w:t>
            </w:r>
            <w:r w:rsidR="003D3409" w:rsidRPr="003D3409">
              <w:rPr>
                <w:noProof/>
                <w:sz w:val="22"/>
                <w:szCs w:val="22"/>
                <w:lang w:val="es-ES" w:eastAsia="es-ES"/>
              </w:rPr>
              <w:tab/>
            </w:r>
            <w:r w:rsidR="003D3409" w:rsidRPr="003D3409">
              <w:rPr>
                <w:rStyle w:val="Hipervnculo"/>
                <w:rFonts w:ascii="Arial" w:eastAsia="Times New Roman" w:hAnsi="Arial" w:cs="Arial"/>
                <w:noProof/>
              </w:rPr>
              <w:t>Activitats en el marc del conveni de col·laboració amb la Universitat de València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_Toc99110668 \h </w:instrText>
            </w:r>
            <w:r w:rsidR="003D3409" w:rsidRPr="003D3409">
              <w:rPr>
                <w:noProof/>
                <w:webHidden/>
              </w:rPr>
            </w:r>
            <w:r w:rsidR="003D3409" w:rsidRPr="003D3409">
              <w:rPr>
                <w:noProof/>
                <w:webHidden/>
              </w:rPr>
              <w:fldChar w:fldCharType="separate"/>
            </w:r>
            <w:r w:rsidR="003D3409" w:rsidRPr="003D3409">
              <w:rPr>
                <w:noProof/>
                <w:webHidden/>
              </w:rPr>
              <w:t>22</w:t>
            </w:r>
            <w:r w:rsidR="003D3409" w:rsidRPr="003D3409">
              <w:rPr>
                <w:noProof/>
                <w:webHidden/>
              </w:rPr>
              <w:fldChar w:fldCharType="end"/>
            </w:r>
          </w:hyperlink>
        </w:p>
        <w:p w14:paraId="040FF1F1" w14:textId="19007ABF" w:rsidR="003D3409" w:rsidRPr="003D3409" w:rsidRDefault="00254AEC" w:rsidP="008A26B8">
          <w:pPr>
            <w:pStyle w:val="TDC3"/>
            <w:rPr>
              <w:noProof/>
              <w:sz w:val="22"/>
              <w:szCs w:val="22"/>
              <w:lang w:val="es-ES" w:eastAsia="es-ES"/>
            </w:rPr>
          </w:pPr>
          <w:hyperlink w:anchor="_Toc99110669" w:history="1">
            <w:r w:rsidR="003D3409" w:rsidRPr="003D3409">
              <w:rPr>
                <w:rStyle w:val="Hipervnculo"/>
                <w:rFonts w:ascii="Arial" w:eastAsia="Times New Roman" w:hAnsi="Arial" w:cs="Arial"/>
                <w:noProof/>
              </w:rPr>
              <w:t>2.2.2.</w:t>
            </w:r>
            <w:r w:rsidR="003D3409" w:rsidRPr="003D3409">
              <w:rPr>
                <w:noProof/>
                <w:sz w:val="22"/>
                <w:szCs w:val="22"/>
                <w:lang w:val="es-ES" w:eastAsia="es-ES"/>
              </w:rPr>
              <w:tab/>
            </w:r>
            <w:r w:rsidR="003D3409" w:rsidRPr="003D3409">
              <w:rPr>
                <w:rStyle w:val="Hipervnculo"/>
                <w:rFonts w:ascii="Arial" w:eastAsia="Times New Roman" w:hAnsi="Arial" w:cs="Arial"/>
                <w:noProof/>
              </w:rPr>
              <w:t>Commemoració del V aniversari de la Llei 11/2016 de creació de l'Agència Valenciana Antifrau</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_Toc99110669 \h </w:instrText>
            </w:r>
            <w:r w:rsidR="003D3409" w:rsidRPr="003D3409">
              <w:rPr>
                <w:noProof/>
                <w:webHidden/>
              </w:rPr>
            </w:r>
            <w:r w:rsidR="003D3409" w:rsidRPr="003D3409">
              <w:rPr>
                <w:noProof/>
                <w:webHidden/>
              </w:rPr>
              <w:fldChar w:fldCharType="separate"/>
            </w:r>
            <w:r w:rsidR="003D3409" w:rsidRPr="003D3409">
              <w:rPr>
                <w:noProof/>
                <w:webHidden/>
              </w:rPr>
              <w:t>23</w:t>
            </w:r>
            <w:r w:rsidR="003D3409" w:rsidRPr="003D3409">
              <w:rPr>
                <w:noProof/>
                <w:webHidden/>
              </w:rPr>
              <w:fldChar w:fldCharType="end"/>
            </w:r>
          </w:hyperlink>
        </w:p>
        <w:p w14:paraId="72C15D59" w14:textId="6504DB16" w:rsidR="003D3409" w:rsidRPr="003D3409" w:rsidRDefault="00254AEC" w:rsidP="008A26B8">
          <w:pPr>
            <w:pStyle w:val="TDC3"/>
            <w:rPr>
              <w:noProof/>
              <w:sz w:val="22"/>
              <w:szCs w:val="22"/>
              <w:lang w:val="es-ES" w:eastAsia="es-ES"/>
            </w:rPr>
          </w:pPr>
          <w:hyperlink w:anchor="_Toc99110670" w:history="1">
            <w:r w:rsidR="003D3409" w:rsidRPr="003D3409">
              <w:rPr>
                <w:rStyle w:val="Hipervnculo"/>
                <w:rFonts w:ascii="Arial" w:eastAsia="Times New Roman" w:hAnsi="Arial" w:cs="Arial"/>
                <w:noProof/>
              </w:rPr>
              <w:t>2.2.3.</w:t>
            </w:r>
            <w:r w:rsidR="003D3409" w:rsidRPr="003D3409">
              <w:rPr>
                <w:noProof/>
                <w:sz w:val="22"/>
                <w:szCs w:val="22"/>
                <w:lang w:val="es-ES" w:eastAsia="es-ES"/>
              </w:rPr>
              <w:tab/>
            </w:r>
            <w:r w:rsidR="003D3409" w:rsidRPr="003D3409">
              <w:rPr>
                <w:rStyle w:val="Hipervnculo"/>
                <w:rFonts w:ascii="Arial" w:eastAsia="Times New Roman" w:hAnsi="Arial" w:cs="Arial"/>
                <w:noProof/>
              </w:rPr>
              <w:t>Dia Internacional de Nacions Unides de Lluita contra la Corrupció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_Toc99110670 \h </w:instrText>
            </w:r>
            <w:r w:rsidR="003D3409" w:rsidRPr="003D3409">
              <w:rPr>
                <w:noProof/>
                <w:webHidden/>
              </w:rPr>
            </w:r>
            <w:r w:rsidR="003D3409" w:rsidRPr="003D3409">
              <w:rPr>
                <w:noProof/>
                <w:webHidden/>
              </w:rPr>
              <w:fldChar w:fldCharType="separate"/>
            </w:r>
            <w:r w:rsidR="003D3409" w:rsidRPr="003D3409">
              <w:rPr>
                <w:noProof/>
                <w:webHidden/>
              </w:rPr>
              <w:t>24</w:t>
            </w:r>
            <w:r w:rsidR="003D3409" w:rsidRPr="003D3409">
              <w:rPr>
                <w:noProof/>
                <w:webHidden/>
              </w:rPr>
              <w:fldChar w:fldCharType="end"/>
            </w:r>
          </w:hyperlink>
        </w:p>
        <w:p w14:paraId="7F272560" w14:textId="0A1BD1B2" w:rsidR="003D3409" w:rsidRPr="003D3409" w:rsidRDefault="00254AEC" w:rsidP="008A26B8">
          <w:pPr>
            <w:pStyle w:val="TDC3"/>
            <w:rPr>
              <w:noProof/>
              <w:sz w:val="22"/>
              <w:szCs w:val="22"/>
              <w:lang w:val="es-ES" w:eastAsia="es-ES"/>
            </w:rPr>
          </w:pPr>
          <w:hyperlink w:anchor="_Toc99110671" w:history="1">
            <w:r w:rsidR="003D3409" w:rsidRPr="003D3409">
              <w:rPr>
                <w:rStyle w:val="Hipervnculo"/>
                <w:rFonts w:ascii="Arial" w:eastAsia="Times New Roman" w:hAnsi="Arial" w:cs="Arial"/>
                <w:noProof/>
              </w:rPr>
              <w:t>2.2.4.</w:t>
            </w:r>
            <w:r w:rsidR="003D3409" w:rsidRPr="003D3409">
              <w:rPr>
                <w:noProof/>
                <w:sz w:val="22"/>
                <w:szCs w:val="22"/>
                <w:lang w:val="es-ES" w:eastAsia="es-ES"/>
              </w:rPr>
              <w:tab/>
            </w:r>
            <w:r w:rsidR="003D3409" w:rsidRPr="003D3409">
              <w:rPr>
                <w:rStyle w:val="Hipervnculo"/>
                <w:rFonts w:ascii="Arial" w:eastAsia="Times New Roman" w:hAnsi="Arial" w:cs="Arial"/>
                <w:noProof/>
              </w:rPr>
              <w:t>Consell de Participació de l’Agencia Valenciana Antifrau</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_Toc99110671 \h </w:instrText>
            </w:r>
            <w:r w:rsidR="003D3409" w:rsidRPr="003D3409">
              <w:rPr>
                <w:noProof/>
                <w:webHidden/>
              </w:rPr>
            </w:r>
            <w:r w:rsidR="003D3409" w:rsidRPr="003D3409">
              <w:rPr>
                <w:noProof/>
                <w:webHidden/>
              </w:rPr>
              <w:fldChar w:fldCharType="separate"/>
            </w:r>
            <w:r w:rsidR="003D3409" w:rsidRPr="003D3409">
              <w:rPr>
                <w:noProof/>
                <w:webHidden/>
              </w:rPr>
              <w:t>25</w:t>
            </w:r>
            <w:r w:rsidR="003D3409" w:rsidRPr="003D3409">
              <w:rPr>
                <w:noProof/>
                <w:webHidden/>
              </w:rPr>
              <w:fldChar w:fldCharType="end"/>
            </w:r>
          </w:hyperlink>
        </w:p>
        <w:p w14:paraId="1BD1D26E" w14:textId="209D0AE1" w:rsidR="003D3409" w:rsidRPr="003D3409" w:rsidRDefault="00254AEC" w:rsidP="008A26B8">
          <w:pPr>
            <w:pStyle w:val="TDC2"/>
            <w:rPr>
              <w:rFonts w:asciiTheme="minorHAnsi" w:eastAsiaTheme="minorEastAsia" w:hAnsiTheme="minorHAnsi" w:cstheme="minorBidi"/>
              <w:sz w:val="22"/>
              <w:lang w:val="es-ES" w:eastAsia="es-ES"/>
            </w:rPr>
          </w:pPr>
          <w:hyperlink w:anchor="_Toc99110672" w:history="1">
            <w:r w:rsidR="003D3409" w:rsidRPr="003D3409">
              <w:rPr>
                <w:rStyle w:val="Hipervnculo"/>
              </w:rPr>
              <w:t>2.3.</w:t>
            </w:r>
            <w:r w:rsidR="003D3409" w:rsidRPr="003D3409">
              <w:rPr>
                <w:rFonts w:asciiTheme="minorHAnsi" w:eastAsiaTheme="minorEastAsia" w:hAnsiTheme="minorHAnsi" w:cstheme="minorBidi"/>
                <w:sz w:val="22"/>
                <w:lang w:val="es-ES" w:eastAsia="es-ES"/>
              </w:rPr>
              <w:tab/>
            </w:r>
            <w:r w:rsidR="003D3409" w:rsidRPr="003D3409">
              <w:rPr>
                <w:rStyle w:val="Hipervnculo"/>
              </w:rPr>
              <w:t>Xarxa Estatal d’Oficines i Agències Antifrau</w:t>
            </w:r>
            <w:r w:rsidR="003D3409" w:rsidRPr="003D3409">
              <w:rPr>
                <w:webHidden/>
              </w:rPr>
              <w:tab/>
            </w:r>
            <w:r w:rsidR="003D3409" w:rsidRPr="003D3409">
              <w:rPr>
                <w:webHidden/>
              </w:rPr>
              <w:fldChar w:fldCharType="begin" w:fldLock="1"/>
            </w:r>
            <w:r w:rsidR="003D3409" w:rsidRPr="003D3409">
              <w:rPr>
                <w:webHidden/>
              </w:rPr>
              <w:instrText xml:space="preserve"> PAGEREF _Toc99110672 \h </w:instrText>
            </w:r>
            <w:r w:rsidR="003D3409" w:rsidRPr="003D3409">
              <w:rPr>
                <w:webHidden/>
              </w:rPr>
            </w:r>
            <w:r w:rsidR="003D3409" w:rsidRPr="003D3409">
              <w:rPr>
                <w:webHidden/>
              </w:rPr>
              <w:fldChar w:fldCharType="separate"/>
            </w:r>
            <w:r w:rsidR="003D3409" w:rsidRPr="003D3409">
              <w:rPr>
                <w:webHidden/>
              </w:rPr>
              <w:t>27</w:t>
            </w:r>
            <w:r w:rsidR="003D3409" w:rsidRPr="003D3409">
              <w:rPr>
                <w:webHidden/>
              </w:rPr>
              <w:fldChar w:fldCharType="end"/>
            </w:r>
          </w:hyperlink>
        </w:p>
        <w:p w14:paraId="5B8297DB" w14:textId="112CF14E" w:rsidR="003D3409" w:rsidRPr="003D3409" w:rsidRDefault="00254AEC" w:rsidP="008A26B8">
          <w:pPr>
            <w:pStyle w:val="TDC2"/>
            <w:rPr>
              <w:rFonts w:asciiTheme="minorHAnsi" w:eastAsiaTheme="minorEastAsia" w:hAnsiTheme="minorHAnsi" w:cstheme="minorBidi"/>
              <w:sz w:val="22"/>
              <w:lang w:val="es-ES" w:eastAsia="es-ES"/>
            </w:rPr>
          </w:pPr>
          <w:hyperlink w:anchor="_Toc99110673" w:history="1">
            <w:r w:rsidR="003D3409" w:rsidRPr="003D3409">
              <w:rPr>
                <w:rStyle w:val="Hipervnculo"/>
              </w:rPr>
              <w:t>2.4.</w:t>
            </w:r>
            <w:r w:rsidR="003D3409" w:rsidRPr="003D3409">
              <w:rPr>
                <w:rFonts w:asciiTheme="minorHAnsi" w:eastAsiaTheme="minorEastAsia" w:hAnsiTheme="minorHAnsi" w:cstheme="minorBidi"/>
                <w:sz w:val="22"/>
                <w:lang w:val="es-ES" w:eastAsia="es-ES"/>
              </w:rPr>
              <w:tab/>
            </w:r>
            <w:r w:rsidR="003D3409" w:rsidRPr="003D3409">
              <w:rPr>
                <w:rStyle w:val="Hipervnculo"/>
              </w:rPr>
              <w:t>Activitat nacional i internacional</w:t>
            </w:r>
            <w:r w:rsidR="003D3409" w:rsidRPr="003D3409">
              <w:rPr>
                <w:webHidden/>
              </w:rPr>
              <w:tab/>
            </w:r>
            <w:r w:rsidR="003D3409" w:rsidRPr="003D3409">
              <w:rPr>
                <w:webHidden/>
              </w:rPr>
              <w:fldChar w:fldCharType="begin" w:fldLock="1"/>
            </w:r>
            <w:r w:rsidR="003D3409" w:rsidRPr="003D3409">
              <w:rPr>
                <w:webHidden/>
              </w:rPr>
              <w:instrText xml:space="preserve"> PAGEREF _Toc99110673 \h </w:instrText>
            </w:r>
            <w:r w:rsidR="003D3409" w:rsidRPr="003D3409">
              <w:rPr>
                <w:webHidden/>
              </w:rPr>
            </w:r>
            <w:r w:rsidR="003D3409" w:rsidRPr="003D3409">
              <w:rPr>
                <w:webHidden/>
              </w:rPr>
              <w:fldChar w:fldCharType="separate"/>
            </w:r>
            <w:r w:rsidR="003D3409" w:rsidRPr="003D3409">
              <w:rPr>
                <w:webHidden/>
              </w:rPr>
              <w:t>30</w:t>
            </w:r>
            <w:r w:rsidR="003D3409" w:rsidRPr="003D3409">
              <w:rPr>
                <w:webHidden/>
              </w:rPr>
              <w:fldChar w:fldCharType="end"/>
            </w:r>
          </w:hyperlink>
        </w:p>
        <w:p w14:paraId="3C089ADB" w14:textId="700ACE96" w:rsidR="003D3409" w:rsidRPr="003D3409" w:rsidRDefault="00254AEC" w:rsidP="008A26B8">
          <w:pPr>
            <w:pStyle w:val="TDC3"/>
            <w:rPr>
              <w:noProof/>
              <w:sz w:val="22"/>
              <w:szCs w:val="22"/>
              <w:lang w:val="es-ES" w:eastAsia="es-ES"/>
            </w:rPr>
          </w:pPr>
          <w:hyperlink w:anchor="_Toc99110674" w:history="1">
            <w:r w:rsidR="003D3409" w:rsidRPr="003D3409">
              <w:rPr>
                <w:rStyle w:val="Hipervnculo"/>
                <w:rFonts w:ascii="Arial" w:eastAsia="Times New Roman" w:hAnsi="Arial" w:cs="Arial"/>
                <w:noProof/>
              </w:rPr>
              <w:t>2.4.1.</w:t>
            </w:r>
            <w:r w:rsidR="003D3409" w:rsidRPr="003D3409">
              <w:rPr>
                <w:noProof/>
                <w:sz w:val="22"/>
                <w:szCs w:val="22"/>
                <w:lang w:val="es-ES" w:eastAsia="es-ES"/>
              </w:rPr>
              <w:tab/>
            </w:r>
            <w:r w:rsidR="003D3409" w:rsidRPr="003D3409">
              <w:rPr>
                <w:rStyle w:val="Hipervnculo"/>
                <w:rFonts w:ascii="Arial" w:eastAsia="Times New Roman" w:hAnsi="Arial" w:cs="Arial"/>
                <w:noProof/>
              </w:rPr>
              <w:t>Firma de convenis i protocols de col·laboració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_Toc99110674 \h </w:instrText>
            </w:r>
            <w:r w:rsidR="003D3409" w:rsidRPr="003D3409">
              <w:rPr>
                <w:noProof/>
                <w:webHidden/>
              </w:rPr>
            </w:r>
            <w:r w:rsidR="003D3409" w:rsidRPr="003D3409">
              <w:rPr>
                <w:noProof/>
                <w:webHidden/>
              </w:rPr>
              <w:fldChar w:fldCharType="separate"/>
            </w:r>
            <w:r w:rsidR="003D3409" w:rsidRPr="003D3409">
              <w:rPr>
                <w:noProof/>
                <w:webHidden/>
              </w:rPr>
              <w:t>30</w:t>
            </w:r>
            <w:r w:rsidR="003D3409" w:rsidRPr="003D3409">
              <w:rPr>
                <w:noProof/>
                <w:webHidden/>
              </w:rPr>
              <w:fldChar w:fldCharType="end"/>
            </w:r>
          </w:hyperlink>
        </w:p>
        <w:p w14:paraId="3129856C" w14:textId="7FC4A2C6" w:rsidR="003D3409" w:rsidRPr="003D3409" w:rsidRDefault="00254AEC" w:rsidP="008A26B8">
          <w:pPr>
            <w:pStyle w:val="TDC3"/>
            <w:rPr>
              <w:noProof/>
              <w:sz w:val="22"/>
              <w:szCs w:val="22"/>
              <w:lang w:val="es-ES" w:eastAsia="es-ES"/>
            </w:rPr>
          </w:pPr>
          <w:hyperlink w:anchor="_Toc99110675" w:history="1">
            <w:r w:rsidR="003D3409" w:rsidRPr="003D3409">
              <w:rPr>
                <w:rStyle w:val="Hipervnculo"/>
                <w:rFonts w:ascii="Arial" w:eastAsia="Times New Roman" w:hAnsi="Arial" w:cs="Arial"/>
                <w:noProof/>
              </w:rPr>
              <w:t>2.4.2.</w:t>
            </w:r>
            <w:r w:rsidR="003D3409" w:rsidRPr="003D3409">
              <w:rPr>
                <w:noProof/>
                <w:sz w:val="22"/>
                <w:szCs w:val="22"/>
                <w:lang w:val="es-ES" w:eastAsia="es-ES"/>
              </w:rPr>
              <w:tab/>
            </w:r>
            <w:r w:rsidR="003D3409" w:rsidRPr="003D3409">
              <w:rPr>
                <w:rStyle w:val="Hipervnculo"/>
                <w:rFonts w:ascii="Arial" w:eastAsia="Times New Roman" w:hAnsi="Arial" w:cs="Arial"/>
                <w:noProof/>
              </w:rPr>
              <w:t>Socis Europeus contra la Corrupció (EPAC) i la Xarxa Europea de Punts de Contacte contra la Corrupció (EAPCN)</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_Toc99110675 \h </w:instrText>
            </w:r>
            <w:r w:rsidR="003D3409" w:rsidRPr="003D3409">
              <w:rPr>
                <w:noProof/>
                <w:webHidden/>
              </w:rPr>
            </w:r>
            <w:r w:rsidR="003D3409" w:rsidRPr="003D3409">
              <w:rPr>
                <w:noProof/>
                <w:webHidden/>
              </w:rPr>
              <w:fldChar w:fldCharType="separate"/>
            </w:r>
            <w:r w:rsidR="003D3409" w:rsidRPr="003D3409">
              <w:rPr>
                <w:noProof/>
                <w:webHidden/>
              </w:rPr>
              <w:t>31</w:t>
            </w:r>
            <w:r w:rsidR="003D3409" w:rsidRPr="003D3409">
              <w:rPr>
                <w:noProof/>
                <w:webHidden/>
              </w:rPr>
              <w:fldChar w:fldCharType="end"/>
            </w:r>
          </w:hyperlink>
        </w:p>
        <w:p w14:paraId="20F04D1D" w14:textId="338BE1DD" w:rsidR="003D3409" w:rsidRPr="003D3409" w:rsidRDefault="00254AEC" w:rsidP="008A26B8">
          <w:pPr>
            <w:pStyle w:val="TDC3"/>
            <w:rPr>
              <w:noProof/>
              <w:sz w:val="22"/>
              <w:szCs w:val="22"/>
              <w:lang w:val="es-ES" w:eastAsia="es-ES"/>
            </w:rPr>
          </w:pPr>
          <w:hyperlink w:anchor="_Toc99110676" w:history="1">
            <w:r w:rsidR="003D3409" w:rsidRPr="003D3409">
              <w:rPr>
                <w:rStyle w:val="Hipervnculo"/>
                <w:rFonts w:ascii="Arial" w:eastAsia="Times New Roman" w:hAnsi="Arial" w:cs="Arial"/>
                <w:noProof/>
              </w:rPr>
              <w:t>2.4.3.</w:t>
            </w:r>
            <w:r w:rsidR="003D3409" w:rsidRPr="003D3409">
              <w:rPr>
                <w:noProof/>
                <w:sz w:val="22"/>
                <w:szCs w:val="22"/>
                <w:lang w:val="es-ES" w:eastAsia="es-ES"/>
              </w:rPr>
              <w:tab/>
            </w:r>
            <w:r w:rsidR="003D3409" w:rsidRPr="003D3409">
              <w:rPr>
                <w:rStyle w:val="Hipervnculo"/>
                <w:rFonts w:ascii="Arial" w:eastAsia="Times New Roman" w:hAnsi="Arial" w:cs="Arial"/>
                <w:noProof/>
              </w:rPr>
              <w:t>Xarxa d'Autoritats Europees d'Integritat i Alertadores (NEIWA)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_Toc99110676 \h </w:instrText>
            </w:r>
            <w:r w:rsidR="003D3409" w:rsidRPr="003D3409">
              <w:rPr>
                <w:noProof/>
                <w:webHidden/>
              </w:rPr>
            </w:r>
            <w:r w:rsidR="003D3409" w:rsidRPr="003D3409">
              <w:rPr>
                <w:noProof/>
                <w:webHidden/>
              </w:rPr>
              <w:fldChar w:fldCharType="separate"/>
            </w:r>
            <w:r w:rsidR="003D3409" w:rsidRPr="003D3409">
              <w:rPr>
                <w:noProof/>
                <w:webHidden/>
              </w:rPr>
              <w:t>32</w:t>
            </w:r>
            <w:r w:rsidR="003D3409" w:rsidRPr="003D3409">
              <w:rPr>
                <w:noProof/>
                <w:webHidden/>
              </w:rPr>
              <w:fldChar w:fldCharType="end"/>
            </w:r>
          </w:hyperlink>
        </w:p>
        <w:p w14:paraId="3DCB12F3" w14:textId="6713F1ED" w:rsidR="003D3409" w:rsidRPr="003D3409" w:rsidRDefault="00254AEC" w:rsidP="008A26B8">
          <w:pPr>
            <w:pStyle w:val="TDC2"/>
            <w:rPr>
              <w:rFonts w:asciiTheme="minorHAnsi" w:eastAsiaTheme="minorEastAsia" w:hAnsiTheme="minorHAnsi" w:cstheme="minorBidi"/>
              <w:sz w:val="22"/>
              <w:lang w:val="es-ES" w:eastAsia="es-ES"/>
            </w:rPr>
          </w:pPr>
          <w:hyperlink w:anchor="_Toc99110677" w:history="1">
            <w:r w:rsidR="003D3409" w:rsidRPr="003D3409">
              <w:rPr>
                <w:rStyle w:val="Hipervnculo"/>
              </w:rPr>
              <w:t>2.5.</w:t>
            </w:r>
            <w:r w:rsidR="003D3409" w:rsidRPr="003D3409">
              <w:rPr>
                <w:rFonts w:asciiTheme="minorHAnsi" w:eastAsiaTheme="minorEastAsia" w:hAnsiTheme="minorHAnsi" w:cstheme="minorBidi"/>
                <w:sz w:val="22"/>
                <w:lang w:val="es-ES" w:eastAsia="es-ES"/>
              </w:rPr>
              <w:tab/>
            </w:r>
            <w:r w:rsidR="003D3409" w:rsidRPr="003D3409">
              <w:rPr>
                <w:rStyle w:val="Hipervnculo"/>
              </w:rPr>
              <w:t>Assistència a actes</w:t>
            </w:r>
            <w:r w:rsidR="003D3409" w:rsidRPr="003D3409">
              <w:rPr>
                <w:webHidden/>
              </w:rPr>
              <w:tab/>
            </w:r>
            <w:r w:rsidR="003D3409" w:rsidRPr="003D3409">
              <w:rPr>
                <w:webHidden/>
              </w:rPr>
              <w:fldChar w:fldCharType="begin" w:fldLock="1"/>
            </w:r>
            <w:r w:rsidR="003D3409" w:rsidRPr="003D3409">
              <w:rPr>
                <w:webHidden/>
              </w:rPr>
              <w:instrText xml:space="preserve"> PAGEREF _Toc99110677 \h </w:instrText>
            </w:r>
            <w:r w:rsidR="003D3409" w:rsidRPr="003D3409">
              <w:rPr>
                <w:webHidden/>
              </w:rPr>
            </w:r>
            <w:r w:rsidR="003D3409" w:rsidRPr="003D3409">
              <w:rPr>
                <w:webHidden/>
              </w:rPr>
              <w:fldChar w:fldCharType="separate"/>
            </w:r>
            <w:r w:rsidR="003D3409" w:rsidRPr="003D3409">
              <w:rPr>
                <w:webHidden/>
              </w:rPr>
              <w:t>33</w:t>
            </w:r>
            <w:r w:rsidR="003D3409" w:rsidRPr="003D3409">
              <w:rPr>
                <w:webHidden/>
              </w:rPr>
              <w:fldChar w:fldCharType="end"/>
            </w:r>
          </w:hyperlink>
        </w:p>
        <w:p w14:paraId="32A2BDB5" w14:textId="4B8422AB" w:rsidR="003D3409" w:rsidRPr="003D3409" w:rsidRDefault="00254AEC" w:rsidP="008A26B8">
          <w:pPr>
            <w:pStyle w:val="TDC2"/>
            <w:rPr>
              <w:rFonts w:asciiTheme="minorHAnsi" w:eastAsiaTheme="minorEastAsia" w:hAnsiTheme="minorHAnsi" w:cstheme="minorBidi"/>
              <w:sz w:val="22"/>
              <w:lang w:val="es-ES" w:eastAsia="es-ES"/>
            </w:rPr>
          </w:pPr>
          <w:hyperlink w:anchor="_Toc99110678" w:history="1">
            <w:r w:rsidR="003D3409" w:rsidRPr="003D3409">
              <w:rPr>
                <w:rStyle w:val="Hipervnculo"/>
              </w:rPr>
              <w:t>2.6.</w:t>
            </w:r>
            <w:r w:rsidR="003D3409" w:rsidRPr="003D3409">
              <w:rPr>
                <w:rFonts w:asciiTheme="minorHAnsi" w:eastAsiaTheme="minorEastAsia" w:hAnsiTheme="minorHAnsi" w:cstheme="minorBidi"/>
                <w:sz w:val="22"/>
                <w:lang w:val="es-ES" w:eastAsia="es-ES"/>
              </w:rPr>
              <w:tab/>
            </w:r>
            <w:r w:rsidR="003D3409" w:rsidRPr="003D3409">
              <w:rPr>
                <w:rStyle w:val="Hipervnculo"/>
              </w:rPr>
              <w:t>Conferencies impartides</w:t>
            </w:r>
            <w:r w:rsidR="003D3409" w:rsidRPr="003D3409">
              <w:rPr>
                <w:webHidden/>
              </w:rPr>
              <w:tab/>
            </w:r>
            <w:r w:rsidR="003D3409" w:rsidRPr="003D3409">
              <w:rPr>
                <w:webHidden/>
              </w:rPr>
              <w:fldChar w:fldCharType="begin" w:fldLock="1"/>
            </w:r>
            <w:r w:rsidR="003D3409" w:rsidRPr="003D3409">
              <w:rPr>
                <w:webHidden/>
              </w:rPr>
              <w:instrText xml:space="preserve"> PAGEREF _Toc99110678 \h </w:instrText>
            </w:r>
            <w:r w:rsidR="003D3409" w:rsidRPr="003D3409">
              <w:rPr>
                <w:webHidden/>
              </w:rPr>
            </w:r>
            <w:r w:rsidR="003D3409" w:rsidRPr="003D3409">
              <w:rPr>
                <w:webHidden/>
              </w:rPr>
              <w:fldChar w:fldCharType="separate"/>
            </w:r>
            <w:r w:rsidR="003D3409" w:rsidRPr="003D3409">
              <w:rPr>
                <w:webHidden/>
              </w:rPr>
              <w:t>33</w:t>
            </w:r>
            <w:r w:rsidR="003D3409" w:rsidRPr="003D3409">
              <w:rPr>
                <w:webHidden/>
              </w:rPr>
              <w:fldChar w:fldCharType="end"/>
            </w:r>
          </w:hyperlink>
        </w:p>
        <w:p w14:paraId="2854A2E5" w14:textId="6F9965F8" w:rsidR="003D3409" w:rsidRPr="003D3409" w:rsidRDefault="00254AEC" w:rsidP="008A26B8">
          <w:pPr>
            <w:pStyle w:val="TDC2"/>
            <w:rPr>
              <w:rFonts w:asciiTheme="minorHAnsi" w:eastAsiaTheme="minorEastAsia" w:hAnsiTheme="minorHAnsi" w:cstheme="minorBidi"/>
              <w:sz w:val="22"/>
              <w:lang w:val="es-ES" w:eastAsia="es-ES"/>
            </w:rPr>
          </w:pPr>
          <w:hyperlink w:anchor="_Toc99110679" w:history="1">
            <w:r w:rsidR="003D3409" w:rsidRPr="003D3409">
              <w:rPr>
                <w:rStyle w:val="Hipervnculo"/>
              </w:rPr>
              <w:t>2.7.</w:t>
            </w:r>
            <w:r w:rsidR="003D3409" w:rsidRPr="003D3409">
              <w:rPr>
                <w:rFonts w:asciiTheme="minorHAnsi" w:eastAsiaTheme="minorEastAsia" w:hAnsiTheme="minorHAnsi" w:cstheme="minorBidi"/>
                <w:sz w:val="22"/>
                <w:lang w:val="es-ES" w:eastAsia="es-ES"/>
              </w:rPr>
              <w:tab/>
            </w:r>
            <w:r w:rsidR="003D3409" w:rsidRPr="003D3409">
              <w:rPr>
                <w:rStyle w:val="Hipervnculo"/>
              </w:rPr>
              <w:t>Entrevistes i reunions</w:t>
            </w:r>
            <w:r w:rsidR="003D3409" w:rsidRPr="003D3409">
              <w:rPr>
                <w:webHidden/>
              </w:rPr>
              <w:tab/>
            </w:r>
            <w:r w:rsidR="003D3409" w:rsidRPr="003D3409">
              <w:rPr>
                <w:webHidden/>
              </w:rPr>
              <w:fldChar w:fldCharType="begin" w:fldLock="1"/>
            </w:r>
            <w:r w:rsidR="003D3409" w:rsidRPr="003D3409">
              <w:rPr>
                <w:webHidden/>
              </w:rPr>
              <w:instrText xml:space="preserve"> PAGEREF _Toc99110679 \h </w:instrText>
            </w:r>
            <w:r w:rsidR="003D3409" w:rsidRPr="003D3409">
              <w:rPr>
                <w:webHidden/>
              </w:rPr>
            </w:r>
            <w:r w:rsidR="003D3409" w:rsidRPr="003D3409">
              <w:rPr>
                <w:webHidden/>
              </w:rPr>
              <w:fldChar w:fldCharType="separate"/>
            </w:r>
            <w:r w:rsidR="003D3409" w:rsidRPr="003D3409">
              <w:rPr>
                <w:webHidden/>
              </w:rPr>
              <w:t>37</w:t>
            </w:r>
            <w:r w:rsidR="003D3409" w:rsidRPr="003D3409">
              <w:rPr>
                <w:webHidden/>
              </w:rPr>
              <w:fldChar w:fldCharType="end"/>
            </w:r>
          </w:hyperlink>
        </w:p>
        <w:p w14:paraId="51F9F25F" w14:textId="1F5AACD5" w:rsidR="003D3409" w:rsidRPr="003D3409" w:rsidRDefault="00254AEC" w:rsidP="008A26B8">
          <w:pPr>
            <w:pStyle w:val="TDC2"/>
            <w:rPr>
              <w:rFonts w:asciiTheme="minorHAnsi" w:eastAsiaTheme="minorEastAsia" w:hAnsiTheme="minorHAnsi" w:cstheme="minorBidi"/>
              <w:sz w:val="22"/>
              <w:lang w:val="es-ES" w:eastAsia="es-ES"/>
            </w:rPr>
          </w:pPr>
          <w:hyperlink w:anchor="_Toc99110680" w:history="1">
            <w:r w:rsidR="003D3409" w:rsidRPr="003D3409">
              <w:rPr>
                <w:rStyle w:val="Hipervnculo"/>
              </w:rPr>
              <w:t>2.8.</w:t>
            </w:r>
            <w:r w:rsidR="003D3409" w:rsidRPr="003D3409">
              <w:rPr>
                <w:rFonts w:asciiTheme="minorHAnsi" w:eastAsiaTheme="minorEastAsia" w:hAnsiTheme="minorHAnsi" w:cstheme="minorBidi"/>
                <w:sz w:val="22"/>
                <w:lang w:val="es-ES" w:eastAsia="es-ES"/>
              </w:rPr>
              <w:tab/>
            </w:r>
            <w:r w:rsidR="003D3409" w:rsidRPr="003D3409">
              <w:rPr>
                <w:rStyle w:val="Hipervnculo"/>
              </w:rPr>
              <w:t>Pàgina web i xarxes socials</w:t>
            </w:r>
            <w:r w:rsidR="003D3409" w:rsidRPr="003D3409">
              <w:rPr>
                <w:webHidden/>
              </w:rPr>
              <w:tab/>
            </w:r>
            <w:r w:rsidR="003D3409" w:rsidRPr="003D3409">
              <w:rPr>
                <w:webHidden/>
              </w:rPr>
              <w:fldChar w:fldCharType="begin" w:fldLock="1"/>
            </w:r>
            <w:r w:rsidR="003D3409" w:rsidRPr="003D3409">
              <w:rPr>
                <w:webHidden/>
              </w:rPr>
              <w:instrText xml:space="preserve"> PAGEREF _Toc99110680 \h </w:instrText>
            </w:r>
            <w:r w:rsidR="003D3409" w:rsidRPr="003D3409">
              <w:rPr>
                <w:webHidden/>
              </w:rPr>
            </w:r>
            <w:r w:rsidR="003D3409" w:rsidRPr="003D3409">
              <w:rPr>
                <w:webHidden/>
              </w:rPr>
              <w:fldChar w:fldCharType="separate"/>
            </w:r>
            <w:r w:rsidR="003D3409" w:rsidRPr="003D3409">
              <w:rPr>
                <w:webHidden/>
              </w:rPr>
              <w:t>40</w:t>
            </w:r>
            <w:r w:rsidR="003D3409" w:rsidRPr="003D3409">
              <w:rPr>
                <w:webHidden/>
              </w:rPr>
              <w:fldChar w:fldCharType="end"/>
            </w:r>
          </w:hyperlink>
        </w:p>
        <w:p w14:paraId="7CD415C7" w14:textId="407FC366" w:rsidR="003D3409" w:rsidRPr="003D3409" w:rsidRDefault="00254AEC" w:rsidP="008A26B8">
          <w:pPr>
            <w:pStyle w:val="TDC3"/>
            <w:rPr>
              <w:noProof/>
              <w:sz w:val="22"/>
              <w:szCs w:val="22"/>
              <w:lang w:val="es-ES" w:eastAsia="es-ES"/>
            </w:rPr>
          </w:pPr>
          <w:hyperlink w:anchor="_Toc99110681" w:history="1">
            <w:r w:rsidR="003D3409" w:rsidRPr="003D3409">
              <w:rPr>
                <w:rStyle w:val="Hipervnculo"/>
                <w:rFonts w:ascii="Arial" w:eastAsia="Times New Roman" w:hAnsi="Arial" w:cs="Arial"/>
                <w:noProof/>
              </w:rPr>
              <w:t>2.8.1.</w:t>
            </w:r>
            <w:r w:rsidR="003D3409" w:rsidRPr="003D3409">
              <w:rPr>
                <w:noProof/>
                <w:sz w:val="22"/>
                <w:szCs w:val="22"/>
                <w:lang w:val="es-ES" w:eastAsia="es-ES"/>
              </w:rPr>
              <w:tab/>
            </w:r>
            <w:r w:rsidR="003D3409" w:rsidRPr="003D3409">
              <w:rPr>
                <w:rStyle w:val="Hipervnculo"/>
                <w:rFonts w:ascii="Arial" w:eastAsia="Times New Roman" w:hAnsi="Arial" w:cs="Arial"/>
                <w:noProof/>
              </w:rPr>
              <w:t>Diàlegs a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_Toc99110681 \h </w:instrText>
            </w:r>
            <w:r w:rsidR="003D3409" w:rsidRPr="003D3409">
              <w:rPr>
                <w:noProof/>
                <w:webHidden/>
              </w:rPr>
            </w:r>
            <w:r w:rsidR="003D3409" w:rsidRPr="003D3409">
              <w:rPr>
                <w:noProof/>
                <w:webHidden/>
              </w:rPr>
              <w:fldChar w:fldCharType="separate"/>
            </w:r>
            <w:r w:rsidR="003D3409" w:rsidRPr="003D3409">
              <w:rPr>
                <w:noProof/>
                <w:webHidden/>
              </w:rPr>
              <w:t>41</w:t>
            </w:r>
            <w:r w:rsidR="003D3409" w:rsidRPr="003D3409">
              <w:rPr>
                <w:noProof/>
                <w:webHidden/>
              </w:rPr>
              <w:fldChar w:fldCharType="end"/>
            </w:r>
          </w:hyperlink>
        </w:p>
        <w:p w14:paraId="6F546961" w14:textId="5628545D" w:rsidR="003D3409" w:rsidRPr="003D3409" w:rsidRDefault="00254AEC" w:rsidP="008A26B8">
          <w:pPr>
            <w:pStyle w:val="TDC3"/>
            <w:rPr>
              <w:noProof/>
              <w:sz w:val="22"/>
              <w:szCs w:val="22"/>
              <w:lang w:val="es-ES" w:eastAsia="es-ES"/>
            </w:rPr>
          </w:pPr>
          <w:hyperlink w:anchor="_Toc99110682" w:history="1">
            <w:r w:rsidR="003D3409" w:rsidRPr="003D3409">
              <w:rPr>
                <w:rStyle w:val="Hipervnculo"/>
                <w:rFonts w:ascii="Arial" w:eastAsia="Times New Roman" w:hAnsi="Arial" w:cs="Arial"/>
                <w:noProof/>
              </w:rPr>
              <w:t>2.8.2.</w:t>
            </w:r>
            <w:r w:rsidR="003D3409" w:rsidRPr="003D3409">
              <w:rPr>
                <w:noProof/>
                <w:sz w:val="22"/>
                <w:szCs w:val="22"/>
                <w:lang w:val="es-ES" w:eastAsia="es-ES"/>
              </w:rPr>
              <w:tab/>
            </w:r>
            <w:r w:rsidR="003D3409" w:rsidRPr="003D3409">
              <w:rPr>
                <w:rStyle w:val="Hipervnculo"/>
                <w:rFonts w:ascii="Arial" w:eastAsia="Times New Roman" w:hAnsi="Arial" w:cs="Arial"/>
                <w:noProof/>
              </w:rPr>
              <w:t>Blog de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_Toc99110682 \h </w:instrText>
            </w:r>
            <w:r w:rsidR="003D3409" w:rsidRPr="003D3409">
              <w:rPr>
                <w:noProof/>
                <w:webHidden/>
              </w:rPr>
            </w:r>
            <w:r w:rsidR="003D3409" w:rsidRPr="003D3409">
              <w:rPr>
                <w:noProof/>
                <w:webHidden/>
              </w:rPr>
              <w:fldChar w:fldCharType="separate"/>
            </w:r>
            <w:r w:rsidR="003D3409" w:rsidRPr="003D3409">
              <w:rPr>
                <w:noProof/>
                <w:webHidden/>
              </w:rPr>
              <w:t>42</w:t>
            </w:r>
            <w:r w:rsidR="003D3409" w:rsidRPr="003D3409">
              <w:rPr>
                <w:noProof/>
                <w:webHidden/>
              </w:rPr>
              <w:fldChar w:fldCharType="end"/>
            </w:r>
          </w:hyperlink>
        </w:p>
        <w:p w14:paraId="145B9245" w14:textId="2C5F78C1" w:rsidR="003D3409" w:rsidRPr="003D3409" w:rsidRDefault="00254AEC" w:rsidP="008A26B8">
          <w:pPr>
            <w:pStyle w:val="TDC3"/>
            <w:rPr>
              <w:noProof/>
              <w:sz w:val="22"/>
              <w:szCs w:val="22"/>
              <w:lang w:val="es-ES" w:eastAsia="es-ES"/>
            </w:rPr>
          </w:pPr>
          <w:hyperlink w:anchor="_Toc99110683" w:history="1">
            <w:r w:rsidR="003D3409" w:rsidRPr="003D3409">
              <w:rPr>
                <w:rStyle w:val="Hipervnculo"/>
                <w:rFonts w:ascii="Arial" w:eastAsia="Times New Roman" w:hAnsi="Arial" w:cs="Arial"/>
                <w:noProof/>
              </w:rPr>
              <w:t>2.8.3.</w:t>
            </w:r>
            <w:r w:rsidR="003D3409" w:rsidRPr="003D3409">
              <w:rPr>
                <w:noProof/>
                <w:sz w:val="22"/>
                <w:szCs w:val="22"/>
                <w:lang w:val="es-ES" w:eastAsia="es-ES"/>
              </w:rPr>
              <w:tab/>
            </w:r>
            <w:r w:rsidR="003D3409" w:rsidRPr="003D3409">
              <w:rPr>
                <w:rStyle w:val="Hipervnculo"/>
                <w:rFonts w:ascii="Arial" w:eastAsia="Times New Roman" w:hAnsi="Arial" w:cs="Arial"/>
                <w:noProof/>
              </w:rPr>
              <w:t>Web institucional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_Toc99110683 \h </w:instrText>
            </w:r>
            <w:r w:rsidR="003D3409" w:rsidRPr="003D3409">
              <w:rPr>
                <w:noProof/>
                <w:webHidden/>
              </w:rPr>
            </w:r>
            <w:r w:rsidR="003D3409" w:rsidRPr="003D3409">
              <w:rPr>
                <w:noProof/>
                <w:webHidden/>
              </w:rPr>
              <w:fldChar w:fldCharType="separate"/>
            </w:r>
            <w:r w:rsidR="003D3409" w:rsidRPr="003D3409">
              <w:rPr>
                <w:noProof/>
                <w:webHidden/>
              </w:rPr>
              <w:t>43</w:t>
            </w:r>
            <w:r w:rsidR="003D3409" w:rsidRPr="003D3409">
              <w:rPr>
                <w:noProof/>
                <w:webHidden/>
              </w:rPr>
              <w:fldChar w:fldCharType="end"/>
            </w:r>
          </w:hyperlink>
        </w:p>
        <w:p w14:paraId="1807276D" w14:textId="31EC2E69" w:rsidR="003D3409" w:rsidRPr="003D3409" w:rsidRDefault="00254AEC" w:rsidP="008A26B8">
          <w:pPr>
            <w:pStyle w:val="TDC3"/>
            <w:rPr>
              <w:noProof/>
              <w:sz w:val="22"/>
              <w:szCs w:val="22"/>
              <w:lang w:val="es-ES" w:eastAsia="es-ES"/>
            </w:rPr>
          </w:pPr>
          <w:hyperlink w:anchor="_Toc99110684" w:history="1">
            <w:r w:rsidR="003D3409" w:rsidRPr="003D3409">
              <w:rPr>
                <w:rStyle w:val="Hipervnculo"/>
                <w:rFonts w:ascii="Arial" w:eastAsia="Times New Roman" w:hAnsi="Arial" w:cs="Arial"/>
                <w:noProof/>
              </w:rPr>
              <w:t>2.8.4.</w:t>
            </w:r>
            <w:r w:rsidR="003D3409" w:rsidRPr="003D3409">
              <w:rPr>
                <w:noProof/>
                <w:sz w:val="22"/>
                <w:szCs w:val="22"/>
                <w:lang w:val="es-ES" w:eastAsia="es-ES"/>
              </w:rPr>
              <w:tab/>
            </w:r>
            <w:r w:rsidR="003D3409" w:rsidRPr="003D3409">
              <w:rPr>
                <w:rStyle w:val="Hipervnculo"/>
                <w:rFonts w:ascii="Arial" w:eastAsia="Times New Roman" w:hAnsi="Arial" w:cs="Arial"/>
                <w:noProof/>
              </w:rPr>
              <w:t>Presència a les xarxes socials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_Toc99110684 \h </w:instrText>
            </w:r>
            <w:r w:rsidR="003D3409" w:rsidRPr="003D3409">
              <w:rPr>
                <w:noProof/>
                <w:webHidden/>
              </w:rPr>
            </w:r>
            <w:r w:rsidR="003D3409" w:rsidRPr="003D3409">
              <w:rPr>
                <w:noProof/>
                <w:webHidden/>
              </w:rPr>
              <w:fldChar w:fldCharType="separate"/>
            </w:r>
            <w:r w:rsidR="003D3409" w:rsidRPr="003D3409">
              <w:rPr>
                <w:noProof/>
                <w:webHidden/>
              </w:rPr>
              <w:t>43</w:t>
            </w:r>
            <w:r w:rsidR="003D3409" w:rsidRPr="003D3409">
              <w:rPr>
                <w:noProof/>
                <w:webHidden/>
              </w:rPr>
              <w:fldChar w:fldCharType="end"/>
            </w:r>
          </w:hyperlink>
        </w:p>
        <w:p w14:paraId="65804993" w14:textId="776A70E9" w:rsidR="003D3409" w:rsidRPr="003D3409" w:rsidRDefault="00254AEC" w:rsidP="008A26B8">
          <w:pPr>
            <w:pStyle w:val="TDC2"/>
            <w:rPr>
              <w:rFonts w:asciiTheme="minorHAnsi" w:eastAsiaTheme="minorEastAsia" w:hAnsiTheme="minorHAnsi" w:cstheme="minorBidi"/>
              <w:sz w:val="22"/>
              <w:lang w:val="es-ES" w:eastAsia="es-ES"/>
            </w:rPr>
          </w:pPr>
          <w:hyperlink w:anchor="_Toc99110685" w:history="1">
            <w:r w:rsidR="003D3409" w:rsidRPr="003D3409">
              <w:rPr>
                <w:rStyle w:val="Hipervnculo"/>
              </w:rPr>
              <w:t>2.9.</w:t>
            </w:r>
            <w:r w:rsidR="003D3409" w:rsidRPr="003D3409">
              <w:rPr>
                <w:rFonts w:asciiTheme="minorHAnsi" w:eastAsiaTheme="minorEastAsia" w:hAnsiTheme="minorHAnsi" w:cstheme="minorBidi"/>
                <w:sz w:val="22"/>
                <w:lang w:val="es-ES" w:eastAsia="es-ES"/>
              </w:rPr>
              <w:tab/>
            </w:r>
            <w:r w:rsidR="003D3409" w:rsidRPr="003D3409">
              <w:rPr>
                <w:rStyle w:val="Hipervnculo"/>
              </w:rPr>
              <w:t>Mitjans de comunicació</w:t>
            </w:r>
            <w:r w:rsidR="003D3409" w:rsidRPr="003D3409">
              <w:rPr>
                <w:webHidden/>
              </w:rPr>
              <w:tab/>
            </w:r>
            <w:r w:rsidR="003D3409" w:rsidRPr="003D3409">
              <w:rPr>
                <w:webHidden/>
              </w:rPr>
              <w:fldChar w:fldCharType="begin" w:fldLock="1"/>
            </w:r>
            <w:r w:rsidR="003D3409" w:rsidRPr="003D3409">
              <w:rPr>
                <w:webHidden/>
              </w:rPr>
              <w:instrText xml:space="preserve"> PAGEREF _Toc99110685 \h </w:instrText>
            </w:r>
            <w:r w:rsidR="003D3409" w:rsidRPr="003D3409">
              <w:rPr>
                <w:webHidden/>
              </w:rPr>
            </w:r>
            <w:r w:rsidR="003D3409" w:rsidRPr="003D3409">
              <w:rPr>
                <w:webHidden/>
              </w:rPr>
              <w:fldChar w:fldCharType="separate"/>
            </w:r>
            <w:r w:rsidR="003D3409" w:rsidRPr="003D3409">
              <w:rPr>
                <w:webHidden/>
              </w:rPr>
              <w:t>45</w:t>
            </w:r>
            <w:r w:rsidR="003D3409" w:rsidRPr="003D3409">
              <w:rPr>
                <w:webHidden/>
              </w:rPr>
              <w:fldChar w:fldCharType="end"/>
            </w:r>
          </w:hyperlink>
        </w:p>
        <w:p w14:paraId="05938976" w14:textId="416D0FAC" w:rsidR="003D3409" w:rsidRPr="003D3409" w:rsidRDefault="00254AEC" w:rsidP="008A26B8">
          <w:pPr>
            <w:pStyle w:val="TDC2"/>
            <w:rPr>
              <w:rFonts w:asciiTheme="minorHAnsi" w:eastAsiaTheme="minorEastAsia" w:hAnsiTheme="minorHAnsi" w:cstheme="minorBidi"/>
              <w:sz w:val="22"/>
              <w:lang w:val="es-ES" w:eastAsia="es-ES"/>
            </w:rPr>
          </w:pPr>
          <w:hyperlink w:anchor="_Toc99110686" w:history="1">
            <w:r w:rsidR="003D3409" w:rsidRPr="003D3409">
              <w:rPr>
                <w:rStyle w:val="Hipervnculo"/>
              </w:rPr>
              <w:t>2.10.</w:t>
            </w:r>
            <w:r w:rsidR="003D3409" w:rsidRPr="003D3409">
              <w:rPr>
                <w:rFonts w:asciiTheme="minorHAnsi" w:eastAsiaTheme="minorEastAsia" w:hAnsiTheme="minorHAnsi" w:cstheme="minorBidi"/>
                <w:sz w:val="22"/>
                <w:lang w:val="es-ES" w:eastAsia="es-ES"/>
              </w:rPr>
              <w:tab/>
            </w:r>
            <w:r w:rsidR="003D3409" w:rsidRPr="003D3409">
              <w:rPr>
                <w:rStyle w:val="Hipervnculo"/>
              </w:rPr>
              <w:t>Accions de comunicació</w:t>
            </w:r>
            <w:r w:rsidR="003D3409" w:rsidRPr="003D3409">
              <w:rPr>
                <w:webHidden/>
              </w:rPr>
              <w:tab/>
            </w:r>
            <w:r w:rsidR="003D3409" w:rsidRPr="003D3409">
              <w:rPr>
                <w:webHidden/>
              </w:rPr>
              <w:fldChar w:fldCharType="begin" w:fldLock="1"/>
            </w:r>
            <w:r w:rsidR="003D3409" w:rsidRPr="003D3409">
              <w:rPr>
                <w:webHidden/>
              </w:rPr>
              <w:instrText xml:space="preserve"> PAGEREF _Toc99110686 \h </w:instrText>
            </w:r>
            <w:r w:rsidR="003D3409" w:rsidRPr="003D3409">
              <w:rPr>
                <w:webHidden/>
              </w:rPr>
            </w:r>
            <w:r w:rsidR="003D3409" w:rsidRPr="003D3409">
              <w:rPr>
                <w:webHidden/>
              </w:rPr>
              <w:fldChar w:fldCharType="separate"/>
            </w:r>
            <w:r w:rsidR="003D3409" w:rsidRPr="003D3409">
              <w:rPr>
                <w:webHidden/>
              </w:rPr>
              <w:t>50</w:t>
            </w:r>
            <w:r w:rsidR="003D3409" w:rsidRPr="003D3409">
              <w:rPr>
                <w:webHidden/>
              </w:rPr>
              <w:fldChar w:fldCharType="end"/>
            </w:r>
          </w:hyperlink>
        </w:p>
        <w:p w14:paraId="080D2D6A" w14:textId="286648F1" w:rsidR="003D3409" w:rsidRPr="003D3409" w:rsidRDefault="00254AEC" w:rsidP="008A26B8">
          <w:pPr>
            <w:pStyle w:val="TDC3"/>
            <w:rPr>
              <w:noProof/>
              <w:sz w:val="22"/>
              <w:szCs w:val="22"/>
              <w:lang w:val="es-ES" w:eastAsia="es-ES"/>
            </w:rPr>
          </w:pPr>
          <w:hyperlink w:anchor="_Toc99110687" w:history="1">
            <w:r w:rsidR="003D3409" w:rsidRPr="003D3409">
              <w:rPr>
                <w:rStyle w:val="Hipervnculo"/>
                <w:rFonts w:ascii="Arial" w:eastAsia="Times New Roman" w:hAnsi="Arial" w:cs="Arial"/>
                <w:noProof/>
              </w:rPr>
              <w:t>2.10.1.</w:t>
            </w:r>
            <w:r w:rsidR="003D3409" w:rsidRPr="003D3409">
              <w:rPr>
                <w:noProof/>
                <w:sz w:val="22"/>
                <w:szCs w:val="22"/>
                <w:lang w:val="es-ES" w:eastAsia="es-ES"/>
              </w:rPr>
              <w:tab/>
            </w:r>
            <w:r w:rsidR="003D3409" w:rsidRPr="003D3409">
              <w:rPr>
                <w:rStyle w:val="Hipervnculo"/>
                <w:rFonts w:ascii="Arial" w:eastAsia="Times New Roman" w:hAnsi="Arial" w:cs="Arial"/>
                <w:noProof/>
              </w:rPr>
              <w:t>Grup de comunicació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_Toc99110687 \h </w:instrText>
            </w:r>
            <w:r w:rsidR="003D3409" w:rsidRPr="003D3409">
              <w:rPr>
                <w:noProof/>
                <w:webHidden/>
              </w:rPr>
            </w:r>
            <w:r w:rsidR="003D3409" w:rsidRPr="003D3409">
              <w:rPr>
                <w:noProof/>
                <w:webHidden/>
              </w:rPr>
              <w:fldChar w:fldCharType="separate"/>
            </w:r>
            <w:r w:rsidR="003D3409" w:rsidRPr="003D3409">
              <w:rPr>
                <w:noProof/>
                <w:webHidden/>
              </w:rPr>
              <w:t>50</w:t>
            </w:r>
            <w:r w:rsidR="003D3409" w:rsidRPr="003D3409">
              <w:rPr>
                <w:noProof/>
                <w:webHidden/>
              </w:rPr>
              <w:fldChar w:fldCharType="end"/>
            </w:r>
          </w:hyperlink>
        </w:p>
        <w:p w14:paraId="7C940229" w14:textId="18FCBEAC" w:rsidR="003D3409" w:rsidRPr="003D3409" w:rsidRDefault="00254AEC" w:rsidP="008A26B8">
          <w:pPr>
            <w:pStyle w:val="TDC3"/>
            <w:rPr>
              <w:noProof/>
              <w:sz w:val="22"/>
              <w:szCs w:val="22"/>
              <w:lang w:val="es-ES" w:eastAsia="es-ES"/>
            </w:rPr>
          </w:pPr>
          <w:hyperlink w:anchor="_Toc99110688" w:history="1">
            <w:r w:rsidR="003D3409" w:rsidRPr="003D3409">
              <w:rPr>
                <w:rStyle w:val="Hipervnculo"/>
                <w:rFonts w:ascii="Arial" w:eastAsia="Times New Roman" w:hAnsi="Arial" w:cs="Arial"/>
                <w:noProof/>
              </w:rPr>
              <w:t>2.10.2.</w:t>
            </w:r>
            <w:r w:rsidR="003D3409" w:rsidRPr="003D3409">
              <w:rPr>
                <w:noProof/>
                <w:sz w:val="22"/>
                <w:szCs w:val="22"/>
                <w:lang w:val="es-ES" w:eastAsia="es-ES"/>
              </w:rPr>
              <w:tab/>
            </w:r>
            <w:r w:rsidR="003D3409" w:rsidRPr="003D3409">
              <w:rPr>
                <w:rStyle w:val="Hipervnculo"/>
                <w:rFonts w:ascii="Arial" w:eastAsia="Times New Roman" w:hAnsi="Arial" w:cs="Arial"/>
                <w:noProof/>
              </w:rPr>
              <w:t>Campanya #Éslateuabústia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_Toc99110688 \h </w:instrText>
            </w:r>
            <w:r w:rsidR="003D3409" w:rsidRPr="003D3409">
              <w:rPr>
                <w:noProof/>
                <w:webHidden/>
              </w:rPr>
            </w:r>
            <w:r w:rsidR="003D3409" w:rsidRPr="003D3409">
              <w:rPr>
                <w:noProof/>
                <w:webHidden/>
              </w:rPr>
              <w:fldChar w:fldCharType="separate"/>
            </w:r>
            <w:r w:rsidR="003D3409" w:rsidRPr="003D3409">
              <w:rPr>
                <w:noProof/>
                <w:webHidden/>
              </w:rPr>
              <w:t>50</w:t>
            </w:r>
            <w:r w:rsidR="003D3409" w:rsidRPr="003D3409">
              <w:rPr>
                <w:noProof/>
                <w:webHidden/>
              </w:rPr>
              <w:fldChar w:fldCharType="end"/>
            </w:r>
          </w:hyperlink>
        </w:p>
        <w:p w14:paraId="5523EA1C" w14:textId="5C02CD3D" w:rsidR="003D3409" w:rsidRPr="003D3409" w:rsidRDefault="00254AEC" w:rsidP="008A26B8">
          <w:pPr>
            <w:pStyle w:val="TDC2"/>
            <w:rPr>
              <w:rFonts w:asciiTheme="minorHAnsi" w:eastAsiaTheme="minorEastAsia" w:hAnsiTheme="minorHAnsi" w:cstheme="minorBidi"/>
              <w:sz w:val="22"/>
              <w:lang w:val="es-ES" w:eastAsia="es-ES"/>
            </w:rPr>
          </w:pPr>
          <w:hyperlink w:anchor="_Toc99110689" w:history="1">
            <w:r w:rsidR="003D3409" w:rsidRPr="003D3409">
              <w:rPr>
                <w:rStyle w:val="Hipervnculo"/>
              </w:rPr>
              <w:t>2.11.</w:t>
            </w:r>
            <w:r w:rsidR="003D3409" w:rsidRPr="003D3409">
              <w:rPr>
                <w:rFonts w:asciiTheme="minorHAnsi" w:eastAsiaTheme="minorEastAsia" w:hAnsiTheme="minorHAnsi" w:cstheme="minorBidi"/>
                <w:sz w:val="22"/>
                <w:lang w:val="es-ES" w:eastAsia="es-ES"/>
              </w:rPr>
              <w:tab/>
            </w:r>
            <w:r w:rsidR="003D3409" w:rsidRPr="003D3409">
              <w:rPr>
                <w:rStyle w:val="Hipervnculo"/>
              </w:rPr>
              <w:t>Relacions amb les Corts Valencianes</w:t>
            </w:r>
            <w:r w:rsidR="003D3409" w:rsidRPr="003D3409">
              <w:rPr>
                <w:webHidden/>
              </w:rPr>
              <w:tab/>
            </w:r>
            <w:r w:rsidR="003D3409" w:rsidRPr="003D3409">
              <w:rPr>
                <w:webHidden/>
              </w:rPr>
              <w:fldChar w:fldCharType="begin" w:fldLock="1"/>
            </w:r>
            <w:r w:rsidR="003D3409" w:rsidRPr="003D3409">
              <w:rPr>
                <w:webHidden/>
              </w:rPr>
              <w:instrText xml:space="preserve"> PAGEREF _Toc99110689 \h </w:instrText>
            </w:r>
            <w:r w:rsidR="003D3409" w:rsidRPr="003D3409">
              <w:rPr>
                <w:webHidden/>
              </w:rPr>
            </w:r>
            <w:r w:rsidR="003D3409" w:rsidRPr="003D3409">
              <w:rPr>
                <w:webHidden/>
              </w:rPr>
              <w:fldChar w:fldCharType="separate"/>
            </w:r>
            <w:r w:rsidR="003D3409" w:rsidRPr="003D3409">
              <w:rPr>
                <w:webHidden/>
              </w:rPr>
              <w:t>50</w:t>
            </w:r>
            <w:r w:rsidR="003D3409" w:rsidRPr="003D3409">
              <w:rPr>
                <w:webHidden/>
              </w:rPr>
              <w:fldChar w:fldCharType="end"/>
            </w:r>
          </w:hyperlink>
        </w:p>
        <w:p w14:paraId="5DD920E4" w14:textId="2806984F" w:rsidR="003D3409" w:rsidRPr="003D3409" w:rsidRDefault="00254AEC" w:rsidP="008A26B8">
          <w:pPr>
            <w:pStyle w:val="TDC3"/>
            <w:rPr>
              <w:noProof/>
              <w:sz w:val="22"/>
              <w:szCs w:val="22"/>
              <w:lang w:val="es-ES" w:eastAsia="es-ES"/>
            </w:rPr>
          </w:pPr>
          <w:hyperlink w:anchor="_Toc99110690" w:history="1">
            <w:r w:rsidR="003D3409" w:rsidRPr="003D3409">
              <w:rPr>
                <w:rStyle w:val="Hipervnculo"/>
                <w:rFonts w:ascii="Arial" w:eastAsia="Times New Roman" w:hAnsi="Arial" w:cs="Arial"/>
                <w:noProof/>
              </w:rPr>
              <w:t>2.11.1.</w:t>
            </w:r>
            <w:r w:rsidR="003D3409" w:rsidRPr="003D3409">
              <w:rPr>
                <w:noProof/>
                <w:sz w:val="22"/>
                <w:szCs w:val="22"/>
                <w:lang w:val="es-ES" w:eastAsia="es-ES"/>
              </w:rPr>
              <w:tab/>
            </w:r>
            <w:r w:rsidR="003D3409" w:rsidRPr="003D3409">
              <w:rPr>
                <w:rStyle w:val="Hipervnculo"/>
                <w:rFonts w:ascii="Arial" w:eastAsia="Times New Roman" w:hAnsi="Arial" w:cs="Arial"/>
                <w:noProof/>
              </w:rPr>
              <w:t>Entrega de la Memòria 2020</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_Toc99110690 \h </w:instrText>
            </w:r>
            <w:r w:rsidR="003D3409" w:rsidRPr="003D3409">
              <w:rPr>
                <w:noProof/>
                <w:webHidden/>
              </w:rPr>
            </w:r>
            <w:r w:rsidR="003D3409" w:rsidRPr="003D3409">
              <w:rPr>
                <w:noProof/>
                <w:webHidden/>
              </w:rPr>
              <w:fldChar w:fldCharType="separate"/>
            </w:r>
            <w:r w:rsidR="003D3409" w:rsidRPr="003D3409">
              <w:rPr>
                <w:noProof/>
                <w:webHidden/>
              </w:rPr>
              <w:t>51</w:t>
            </w:r>
            <w:r w:rsidR="003D3409" w:rsidRPr="003D3409">
              <w:rPr>
                <w:noProof/>
                <w:webHidden/>
              </w:rPr>
              <w:fldChar w:fldCharType="end"/>
            </w:r>
          </w:hyperlink>
        </w:p>
        <w:p w14:paraId="6DCFBA2B" w14:textId="5AF494EF" w:rsidR="003D3409" w:rsidRPr="003D3409" w:rsidRDefault="00254AEC" w:rsidP="008A26B8">
          <w:pPr>
            <w:pStyle w:val="TDC3"/>
            <w:rPr>
              <w:noProof/>
              <w:sz w:val="22"/>
              <w:szCs w:val="22"/>
              <w:lang w:val="es-ES" w:eastAsia="es-ES"/>
            </w:rPr>
          </w:pPr>
          <w:hyperlink w:anchor="_Toc99110691" w:history="1">
            <w:r w:rsidR="003D3409" w:rsidRPr="003D3409">
              <w:rPr>
                <w:rStyle w:val="Hipervnculo"/>
                <w:rFonts w:ascii="Arial" w:eastAsia="Times New Roman" w:hAnsi="Arial" w:cs="Arial"/>
                <w:noProof/>
              </w:rPr>
              <w:t>2.11.2.</w:t>
            </w:r>
            <w:r w:rsidR="003D3409" w:rsidRPr="003D3409">
              <w:rPr>
                <w:noProof/>
                <w:sz w:val="22"/>
                <w:szCs w:val="22"/>
                <w:lang w:val="es-ES" w:eastAsia="es-ES"/>
              </w:rPr>
              <w:tab/>
            </w:r>
            <w:r w:rsidR="003D3409" w:rsidRPr="003D3409">
              <w:rPr>
                <w:rStyle w:val="Hipervnculo"/>
                <w:rFonts w:ascii="Arial" w:eastAsia="Times New Roman" w:hAnsi="Arial" w:cs="Arial"/>
                <w:noProof/>
              </w:rPr>
              <w:t>Compareixences del director davant Comissions parlamentàries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_Toc99110691 \h </w:instrText>
            </w:r>
            <w:r w:rsidR="003D3409" w:rsidRPr="003D3409">
              <w:rPr>
                <w:noProof/>
                <w:webHidden/>
              </w:rPr>
            </w:r>
            <w:r w:rsidR="003D3409" w:rsidRPr="003D3409">
              <w:rPr>
                <w:noProof/>
                <w:webHidden/>
              </w:rPr>
              <w:fldChar w:fldCharType="separate"/>
            </w:r>
            <w:r w:rsidR="003D3409" w:rsidRPr="003D3409">
              <w:rPr>
                <w:noProof/>
                <w:webHidden/>
              </w:rPr>
              <w:t>51</w:t>
            </w:r>
            <w:r w:rsidR="003D3409" w:rsidRPr="003D3409">
              <w:rPr>
                <w:noProof/>
                <w:webHidden/>
              </w:rPr>
              <w:fldChar w:fldCharType="end"/>
            </w:r>
          </w:hyperlink>
        </w:p>
        <w:p w14:paraId="552600AD" w14:textId="7661A43E" w:rsidR="003D3409" w:rsidRPr="003D3409" w:rsidRDefault="00254AEC" w:rsidP="008A26B8">
          <w:pPr>
            <w:pStyle w:val="TDC2"/>
            <w:rPr>
              <w:rFonts w:asciiTheme="minorHAnsi" w:eastAsiaTheme="minorEastAsia" w:hAnsiTheme="minorHAnsi" w:cstheme="minorBidi"/>
              <w:sz w:val="22"/>
              <w:lang w:val="es-ES" w:eastAsia="es-ES"/>
            </w:rPr>
          </w:pPr>
          <w:hyperlink w:anchor="_Toc99110692" w:history="1">
            <w:r w:rsidR="003D3409" w:rsidRPr="003D3409">
              <w:rPr>
                <w:rStyle w:val="Hipervnculo"/>
              </w:rPr>
              <w:t>2.12.</w:t>
            </w:r>
            <w:r w:rsidR="003D3409" w:rsidRPr="003D3409">
              <w:rPr>
                <w:rFonts w:asciiTheme="minorHAnsi" w:eastAsiaTheme="minorEastAsia" w:hAnsiTheme="minorHAnsi" w:cstheme="minorBidi"/>
                <w:sz w:val="22"/>
                <w:lang w:val="es-ES" w:eastAsia="es-ES"/>
              </w:rPr>
              <w:tab/>
            </w:r>
            <w:r w:rsidR="003D3409" w:rsidRPr="003D3409">
              <w:rPr>
                <w:rStyle w:val="Hipervnculo"/>
              </w:rPr>
              <w:t>Relacions amb altres institucions</w:t>
            </w:r>
            <w:r w:rsidR="003D3409" w:rsidRPr="003D3409">
              <w:rPr>
                <w:webHidden/>
              </w:rPr>
              <w:tab/>
            </w:r>
            <w:r w:rsidR="003D3409" w:rsidRPr="003D3409">
              <w:rPr>
                <w:webHidden/>
              </w:rPr>
              <w:fldChar w:fldCharType="begin" w:fldLock="1"/>
            </w:r>
            <w:r w:rsidR="003D3409" w:rsidRPr="003D3409">
              <w:rPr>
                <w:webHidden/>
              </w:rPr>
              <w:instrText xml:space="preserve"> PAGEREF _Toc99110692 \h </w:instrText>
            </w:r>
            <w:r w:rsidR="003D3409" w:rsidRPr="003D3409">
              <w:rPr>
                <w:webHidden/>
              </w:rPr>
            </w:r>
            <w:r w:rsidR="003D3409" w:rsidRPr="003D3409">
              <w:rPr>
                <w:webHidden/>
              </w:rPr>
              <w:fldChar w:fldCharType="separate"/>
            </w:r>
            <w:r w:rsidR="003D3409" w:rsidRPr="003D3409">
              <w:rPr>
                <w:webHidden/>
              </w:rPr>
              <w:t>52</w:t>
            </w:r>
            <w:r w:rsidR="003D3409" w:rsidRPr="003D3409">
              <w:rPr>
                <w:webHidden/>
              </w:rPr>
              <w:fldChar w:fldCharType="end"/>
            </w:r>
          </w:hyperlink>
        </w:p>
        <w:p w14:paraId="2DF4CCD5" w14:textId="3764F375" w:rsidR="003D3409" w:rsidRPr="003D3409" w:rsidRDefault="00254AEC" w:rsidP="008A26B8">
          <w:pPr>
            <w:pStyle w:val="TDC3"/>
            <w:rPr>
              <w:noProof/>
              <w:sz w:val="22"/>
              <w:szCs w:val="22"/>
              <w:lang w:val="es-ES" w:eastAsia="es-ES"/>
            </w:rPr>
          </w:pPr>
          <w:hyperlink w:anchor="_Toc99110693" w:history="1">
            <w:r w:rsidR="003D3409" w:rsidRPr="003D3409">
              <w:rPr>
                <w:rStyle w:val="Hipervnculo"/>
                <w:rFonts w:ascii="Arial" w:eastAsia="Times New Roman" w:hAnsi="Arial" w:cs="Arial"/>
                <w:noProof/>
              </w:rPr>
              <w:t>2.12.1.</w:t>
            </w:r>
            <w:r w:rsidR="003D3409" w:rsidRPr="003D3409">
              <w:rPr>
                <w:noProof/>
                <w:sz w:val="22"/>
                <w:szCs w:val="22"/>
                <w:lang w:val="es-ES" w:eastAsia="es-ES"/>
              </w:rPr>
              <w:tab/>
            </w:r>
            <w:r w:rsidR="003D3409" w:rsidRPr="003D3409">
              <w:rPr>
                <w:rStyle w:val="Hipervnculo"/>
                <w:rFonts w:ascii="Arial" w:eastAsia="Times New Roman" w:hAnsi="Arial" w:cs="Arial"/>
                <w:noProof/>
              </w:rPr>
              <w:t>Eusko Legebitzarra / Parlament Vasc</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_Toc99110693 \h </w:instrText>
            </w:r>
            <w:r w:rsidR="003D3409" w:rsidRPr="003D3409">
              <w:rPr>
                <w:noProof/>
                <w:webHidden/>
              </w:rPr>
            </w:r>
            <w:r w:rsidR="003D3409" w:rsidRPr="003D3409">
              <w:rPr>
                <w:noProof/>
                <w:webHidden/>
              </w:rPr>
              <w:fldChar w:fldCharType="separate"/>
            </w:r>
            <w:r w:rsidR="003D3409" w:rsidRPr="003D3409">
              <w:rPr>
                <w:noProof/>
                <w:webHidden/>
              </w:rPr>
              <w:t>52</w:t>
            </w:r>
            <w:r w:rsidR="003D3409" w:rsidRPr="003D3409">
              <w:rPr>
                <w:noProof/>
                <w:webHidden/>
              </w:rPr>
              <w:fldChar w:fldCharType="end"/>
            </w:r>
          </w:hyperlink>
        </w:p>
        <w:p w14:paraId="2362D502" w14:textId="09B1683A" w:rsidR="003D3409" w:rsidRPr="003D3409" w:rsidRDefault="00254AEC" w:rsidP="008A26B8">
          <w:pPr>
            <w:pStyle w:val="TDC2"/>
            <w:rPr>
              <w:rFonts w:asciiTheme="minorHAnsi" w:eastAsiaTheme="minorEastAsia" w:hAnsiTheme="minorHAnsi" w:cstheme="minorBidi"/>
              <w:sz w:val="22"/>
              <w:lang w:val="es-ES" w:eastAsia="es-ES"/>
            </w:rPr>
          </w:pPr>
          <w:hyperlink w:anchor="_Toc99110694" w:history="1">
            <w:r w:rsidR="003D3409" w:rsidRPr="003D3409">
              <w:rPr>
                <w:rStyle w:val="Hipervnculo"/>
              </w:rPr>
              <w:t>2.13.</w:t>
            </w:r>
            <w:r w:rsidR="003D3409" w:rsidRPr="003D3409">
              <w:rPr>
                <w:rFonts w:asciiTheme="minorHAnsi" w:eastAsiaTheme="minorEastAsia" w:hAnsiTheme="minorHAnsi" w:cstheme="minorBidi"/>
                <w:sz w:val="22"/>
                <w:lang w:val="es-ES" w:eastAsia="es-ES"/>
              </w:rPr>
              <w:tab/>
            </w:r>
            <w:r w:rsidR="003D3409" w:rsidRPr="003D3409">
              <w:rPr>
                <w:rStyle w:val="Hipervnculo"/>
              </w:rPr>
              <w:t>Publicacions en bolletins oficials</w:t>
            </w:r>
            <w:r w:rsidR="003D3409" w:rsidRPr="003D3409">
              <w:rPr>
                <w:webHidden/>
              </w:rPr>
              <w:tab/>
            </w:r>
            <w:r w:rsidR="003D3409" w:rsidRPr="003D3409">
              <w:rPr>
                <w:webHidden/>
              </w:rPr>
              <w:fldChar w:fldCharType="begin" w:fldLock="1"/>
            </w:r>
            <w:r w:rsidR="003D3409" w:rsidRPr="003D3409">
              <w:rPr>
                <w:webHidden/>
              </w:rPr>
              <w:instrText xml:space="preserve"> PAGEREF _Toc99110694 \h </w:instrText>
            </w:r>
            <w:r w:rsidR="003D3409" w:rsidRPr="003D3409">
              <w:rPr>
                <w:webHidden/>
              </w:rPr>
            </w:r>
            <w:r w:rsidR="003D3409" w:rsidRPr="003D3409">
              <w:rPr>
                <w:webHidden/>
              </w:rPr>
              <w:fldChar w:fldCharType="separate"/>
            </w:r>
            <w:r w:rsidR="003D3409" w:rsidRPr="003D3409">
              <w:rPr>
                <w:webHidden/>
              </w:rPr>
              <w:t>52</w:t>
            </w:r>
            <w:r w:rsidR="003D3409" w:rsidRPr="003D3409">
              <w:rPr>
                <w:webHidden/>
              </w:rPr>
              <w:fldChar w:fldCharType="end"/>
            </w:r>
          </w:hyperlink>
        </w:p>
        <w:p w14:paraId="21926819" w14:textId="3D4C1C03" w:rsidR="003D3409" w:rsidRPr="003D3409" w:rsidRDefault="00254AEC" w:rsidP="003D3409">
          <w:pPr>
            <w:pStyle w:val="TDC1"/>
            <w:rPr>
              <w:rFonts w:asciiTheme="minorHAnsi" w:eastAsiaTheme="minorEastAsia" w:hAnsiTheme="minorHAnsi" w:cstheme="minorBidi"/>
              <w:kern w:val="0"/>
              <w:sz w:val="22"/>
              <w:szCs w:val="22"/>
              <w:lang w:val="es-ES" w:bidi="ar-SA"/>
            </w:rPr>
          </w:pPr>
          <w:hyperlink w:anchor="_Toc99110695" w:history="1">
            <w:r w:rsidR="003D3409" w:rsidRPr="003D3409">
              <w:rPr>
                <w:rStyle w:val="Hipervnculo"/>
                <w:rFonts w:eastAsia="Times New Roman"/>
              </w:rPr>
              <w:t>3.</w:t>
            </w:r>
            <w:r w:rsidR="003D3409" w:rsidRPr="003D3409">
              <w:rPr>
                <w:rFonts w:asciiTheme="minorHAnsi" w:eastAsiaTheme="minorEastAsia" w:hAnsiTheme="minorHAnsi" w:cstheme="minorBidi"/>
                <w:kern w:val="0"/>
                <w:sz w:val="22"/>
                <w:szCs w:val="22"/>
                <w:lang w:val="es-ES" w:bidi="ar-SA"/>
              </w:rPr>
              <w:tab/>
            </w:r>
            <w:r w:rsidR="003D3409" w:rsidRPr="003D3409">
              <w:rPr>
                <w:rStyle w:val="Hipervnculo"/>
                <w:rFonts w:eastAsia="Times New Roman"/>
              </w:rPr>
              <w:t xml:space="preserve">Marc normatiu, </w:t>
            </w:r>
            <w:r w:rsidR="00611A76">
              <w:rPr>
                <w:rStyle w:val="Hipervnculo"/>
                <w:rFonts w:eastAsia="Times New Roman"/>
              </w:rPr>
              <w:t>p</w:t>
            </w:r>
            <w:r w:rsidR="003D3409" w:rsidRPr="003D3409">
              <w:rPr>
                <w:rStyle w:val="Hipervnculo"/>
                <w:rFonts w:eastAsia="Times New Roman"/>
              </w:rPr>
              <w:t xml:space="preserve">rotecció de les </w:t>
            </w:r>
            <w:r w:rsidR="00611A76">
              <w:rPr>
                <w:rStyle w:val="Hipervnculo"/>
                <w:rFonts w:eastAsia="Times New Roman"/>
              </w:rPr>
              <w:t>p</w:t>
            </w:r>
            <w:r w:rsidR="003D3409" w:rsidRPr="003D3409">
              <w:rPr>
                <w:rStyle w:val="Hipervnculo"/>
                <w:rFonts w:eastAsia="Times New Roman"/>
              </w:rPr>
              <w:t xml:space="preserve">ersones </w:t>
            </w:r>
            <w:r w:rsidR="00611A76">
              <w:rPr>
                <w:rStyle w:val="Hipervnculo"/>
                <w:rFonts w:eastAsia="Times New Roman"/>
              </w:rPr>
              <w:t>d</w:t>
            </w:r>
            <w:r w:rsidR="003D3409" w:rsidRPr="003D3409">
              <w:rPr>
                <w:rStyle w:val="Hipervnculo"/>
                <w:rFonts w:eastAsia="Times New Roman"/>
              </w:rPr>
              <w:t xml:space="preserve">enunciants i </w:t>
            </w:r>
            <w:r w:rsidR="00611A76">
              <w:rPr>
                <w:rStyle w:val="Hipervnculo"/>
                <w:rFonts w:eastAsia="Times New Roman"/>
              </w:rPr>
              <w:t>a</w:t>
            </w:r>
            <w:r w:rsidR="003D3409" w:rsidRPr="003D3409">
              <w:rPr>
                <w:rStyle w:val="Hipervnculo"/>
                <w:rFonts w:eastAsia="Times New Roman"/>
              </w:rPr>
              <w:t xml:space="preserve">ssumptes </w:t>
            </w:r>
            <w:r w:rsidR="00611A76">
              <w:rPr>
                <w:rStyle w:val="Hipervnculo"/>
                <w:rFonts w:eastAsia="Times New Roman"/>
              </w:rPr>
              <w:t>j</w:t>
            </w:r>
            <w:r w:rsidR="003D3409" w:rsidRPr="003D3409">
              <w:rPr>
                <w:rStyle w:val="Hipervnculo"/>
                <w:rFonts w:eastAsia="Times New Roman"/>
              </w:rPr>
              <w:t>urídics</w:t>
            </w:r>
            <w:r w:rsidR="003D3409" w:rsidRPr="003D3409">
              <w:rPr>
                <w:webHidden/>
              </w:rPr>
              <w:tab/>
            </w:r>
            <w:r w:rsidR="003D3409" w:rsidRPr="003D3409">
              <w:rPr>
                <w:webHidden/>
              </w:rPr>
              <w:fldChar w:fldCharType="begin" w:fldLock="1"/>
            </w:r>
            <w:r w:rsidR="003D3409" w:rsidRPr="003D3409">
              <w:rPr>
                <w:webHidden/>
              </w:rPr>
              <w:instrText xml:space="preserve"> PAGEREF _Toc99110695 \h </w:instrText>
            </w:r>
            <w:r w:rsidR="003D3409" w:rsidRPr="003D3409">
              <w:rPr>
                <w:webHidden/>
              </w:rPr>
            </w:r>
            <w:r w:rsidR="003D3409" w:rsidRPr="003D3409">
              <w:rPr>
                <w:webHidden/>
              </w:rPr>
              <w:fldChar w:fldCharType="separate"/>
            </w:r>
            <w:r w:rsidR="003D3409" w:rsidRPr="003D3409">
              <w:rPr>
                <w:webHidden/>
              </w:rPr>
              <w:t>56</w:t>
            </w:r>
            <w:r w:rsidR="003D3409" w:rsidRPr="003D3409">
              <w:rPr>
                <w:webHidden/>
              </w:rPr>
              <w:fldChar w:fldCharType="end"/>
            </w:r>
          </w:hyperlink>
        </w:p>
        <w:p w14:paraId="08B04DAB" w14:textId="0D54B476" w:rsidR="003D3409" w:rsidRPr="003D3409" w:rsidRDefault="00254AEC" w:rsidP="008A26B8">
          <w:pPr>
            <w:pStyle w:val="TDC2"/>
            <w:rPr>
              <w:rFonts w:asciiTheme="minorHAnsi" w:eastAsiaTheme="minorEastAsia" w:hAnsiTheme="minorHAnsi" w:cstheme="minorBidi"/>
              <w:sz w:val="22"/>
              <w:lang w:val="es-ES" w:eastAsia="es-ES"/>
            </w:rPr>
          </w:pPr>
          <w:hyperlink w:anchor="_Toc99110696" w:history="1">
            <w:r w:rsidR="003D3409" w:rsidRPr="003D3409">
              <w:rPr>
                <w:rStyle w:val="Hipervnculo"/>
              </w:rPr>
              <w:t>3.1.</w:t>
            </w:r>
            <w:r w:rsidR="003D3409" w:rsidRPr="003D3409">
              <w:rPr>
                <w:rFonts w:asciiTheme="minorHAnsi" w:eastAsiaTheme="minorEastAsia" w:hAnsiTheme="minorHAnsi" w:cstheme="minorBidi"/>
                <w:sz w:val="22"/>
                <w:lang w:val="es-ES" w:eastAsia="es-ES"/>
              </w:rPr>
              <w:tab/>
            </w:r>
            <w:r w:rsidR="003D3409" w:rsidRPr="003D3409">
              <w:rPr>
                <w:rStyle w:val="Hipervnculo"/>
              </w:rPr>
              <w:t>Funcions</w:t>
            </w:r>
            <w:r w:rsidR="003D3409" w:rsidRPr="003D3409">
              <w:rPr>
                <w:webHidden/>
              </w:rPr>
              <w:tab/>
            </w:r>
            <w:r w:rsidR="003D3409" w:rsidRPr="003D3409">
              <w:rPr>
                <w:webHidden/>
              </w:rPr>
              <w:fldChar w:fldCharType="begin" w:fldLock="1"/>
            </w:r>
            <w:r w:rsidR="003D3409" w:rsidRPr="003D3409">
              <w:rPr>
                <w:webHidden/>
              </w:rPr>
              <w:instrText xml:space="preserve"> PAGEREF _Toc99110696 \h </w:instrText>
            </w:r>
            <w:r w:rsidR="003D3409" w:rsidRPr="003D3409">
              <w:rPr>
                <w:webHidden/>
              </w:rPr>
            </w:r>
            <w:r w:rsidR="003D3409" w:rsidRPr="003D3409">
              <w:rPr>
                <w:webHidden/>
              </w:rPr>
              <w:fldChar w:fldCharType="separate"/>
            </w:r>
            <w:r w:rsidR="003D3409" w:rsidRPr="003D3409">
              <w:rPr>
                <w:webHidden/>
              </w:rPr>
              <w:t>56</w:t>
            </w:r>
            <w:r w:rsidR="003D3409" w:rsidRPr="003D3409">
              <w:rPr>
                <w:webHidden/>
              </w:rPr>
              <w:fldChar w:fldCharType="end"/>
            </w:r>
          </w:hyperlink>
        </w:p>
        <w:p w14:paraId="6EA050A4" w14:textId="55489911" w:rsidR="003D3409" w:rsidRPr="003D3409" w:rsidRDefault="00254AEC" w:rsidP="008A26B8">
          <w:pPr>
            <w:pStyle w:val="TDC2"/>
            <w:rPr>
              <w:rFonts w:asciiTheme="minorHAnsi" w:eastAsiaTheme="minorEastAsia" w:hAnsiTheme="minorHAnsi" w:cstheme="minorBidi"/>
              <w:sz w:val="22"/>
              <w:lang w:val="es-ES" w:eastAsia="es-ES"/>
            </w:rPr>
          </w:pPr>
          <w:hyperlink w:anchor="_Toc99110697" w:history="1">
            <w:r w:rsidR="003D3409" w:rsidRPr="003D3409">
              <w:rPr>
                <w:rStyle w:val="Hipervnculo"/>
              </w:rPr>
              <w:t>3.2.</w:t>
            </w:r>
            <w:r w:rsidR="003D3409" w:rsidRPr="003D3409">
              <w:rPr>
                <w:rFonts w:asciiTheme="minorHAnsi" w:eastAsiaTheme="minorEastAsia" w:hAnsiTheme="minorHAnsi" w:cstheme="minorBidi"/>
                <w:sz w:val="22"/>
                <w:lang w:val="es-ES" w:eastAsia="es-ES"/>
              </w:rPr>
              <w:tab/>
            </w:r>
            <w:r w:rsidR="003D3409" w:rsidRPr="003D3409">
              <w:rPr>
                <w:rStyle w:val="Hipervnculo"/>
              </w:rPr>
              <w:t>Marc normatiu</w:t>
            </w:r>
            <w:r w:rsidR="003D3409" w:rsidRPr="003D3409">
              <w:rPr>
                <w:webHidden/>
              </w:rPr>
              <w:tab/>
            </w:r>
            <w:r w:rsidR="003D3409" w:rsidRPr="003D3409">
              <w:rPr>
                <w:webHidden/>
              </w:rPr>
              <w:fldChar w:fldCharType="begin" w:fldLock="1"/>
            </w:r>
            <w:r w:rsidR="003D3409" w:rsidRPr="003D3409">
              <w:rPr>
                <w:webHidden/>
              </w:rPr>
              <w:instrText xml:space="preserve"> PAGEREF _Toc99110697 \h </w:instrText>
            </w:r>
            <w:r w:rsidR="003D3409" w:rsidRPr="003D3409">
              <w:rPr>
                <w:webHidden/>
              </w:rPr>
            </w:r>
            <w:r w:rsidR="003D3409" w:rsidRPr="003D3409">
              <w:rPr>
                <w:webHidden/>
              </w:rPr>
              <w:fldChar w:fldCharType="separate"/>
            </w:r>
            <w:r w:rsidR="003D3409" w:rsidRPr="003D3409">
              <w:rPr>
                <w:webHidden/>
              </w:rPr>
              <w:t>58</w:t>
            </w:r>
            <w:r w:rsidR="003D3409" w:rsidRPr="003D3409">
              <w:rPr>
                <w:webHidden/>
              </w:rPr>
              <w:fldChar w:fldCharType="end"/>
            </w:r>
          </w:hyperlink>
        </w:p>
        <w:p w14:paraId="17429446" w14:textId="6ADC7883" w:rsidR="003D3409" w:rsidRPr="003D3409" w:rsidRDefault="00254AEC" w:rsidP="008A26B8">
          <w:pPr>
            <w:pStyle w:val="TDC3"/>
            <w:rPr>
              <w:noProof/>
              <w:sz w:val="22"/>
              <w:szCs w:val="22"/>
              <w:lang w:val="es-ES" w:eastAsia="es-ES"/>
            </w:rPr>
          </w:pPr>
          <w:hyperlink w:anchor="_Toc99110698" w:history="1">
            <w:r w:rsidR="003D3409" w:rsidRPr="003D3409">
              <w:rPr>
                <w:rStyle w:val="Hipervnculo"/>
                <w:rFonts w:ascii="Arial" w:eastAsia="Times New Roman" w:hAnsi="Arial" w:cs="Arial"/>
                <w:noProof/>
              </w:rPr>
              <w:t>3.2.1.</w:t>
            </w:r>
            <w:r w:rsidR="003D3409" w:rsidRPr="003D3409">
              <w:rPr>
                <w:noProof/>
                <w:sz w:val="22"/>
                <w:szCs w:val="22"/>
                <w:lang w:val="es-ES" w:eastAsia="es-ES"/>
              </w:rPr>
              <w:tab/>
            </w:r>
            <w:r w:rsidR="003D3409" w:rsidRPr="003D3409">
              <w:rPr>
                <w:rStyle w:val="Hipervnculo"/>
                <w:rFonts w:ascii="Arial" w:eastAsia="Times New Roman" w:hAnsi="Arial" w:cs="Arial"/>
                <w:noProof/>
              </w:rPr>
              <w:t>Normativa d'aplicació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_Toc99110698 \h </w:instrText>
            </w:r>
            <w:r w:rsidR="003D3409" w:rsidRPr="003D3409">
              <w:rPr>
                <w:noProof/>
                <w:webHidden/>
              </w:rPr>
            </w:r>
            <w:r w:rsidR="003D3409" w:rsidRPr="003D3409">
              <w:rPr>
                <w:noProof/>
                <w:webHidden/>
              </w:rPr>
              <w:fldChar w:fldCharType="separate"/>
            </w:r>
            <w:r w:rsidR="003D3409" w:rsidRPr="003D3409">
              <w:rPr>
                <w:noProof/>
                <w:webHidden/>
              </w:rPr>
              <w:t>58</w:t>
            </w:r>
            <w:r w:rsidR="003D3409" w:rsidRPr="003D3409">
              <w:rPr>
                <w:noProof/>
                <w:webHidden/>
              </w:rPr>
              <w:fldChar w:fldCharType="end"/>
            </w:r>
          </w:hyperlink>
        </w:p>
        <w:p w14:paraId="703EFC19" w14:textId="08DA3CDA" w:rsidR="003D3409" w:rsidRPr="003D3409" w:rsidRDefault="00254AEC" w:rsidP="008A26B8">
          <w:pPr>
            <w:pStyle w:val="TDC3"/>
            <w:rPr>
              <w:noProof/>
              <w:sz w:val="22"/>
              <w:szCs w:val="22"/>
              <w:lang w:val="es-ES" w:eastAsia="es-ES"/>
            </w:rPr>
          </w:pPr>
          <w:hyperlink w:anchor="_Toc99110699" w:history="1">
            <w:r w:rsidR="003D3409" w:rsidRPr="003D3409">
              <w:rPr>
                <w:rStyle w:val="Hipervnculo"/>
                <w:rFonts w:ascii="Arial" w:eastAsia="Times New Roman" w:hAnsi="Arial" w:cs="Arial"/>
                <w:noProof/>
              </w:rPr>
              <w:t>3.2.2.</w:t>
            </w:r>
            <w:r w:rsidR="003D3409" w:rsidRPr="003D3409">
              <w:rPr>
                <w:noProof/>
                <w:sz w:val="22"/>
                <w:szCs w:val="22"/>
                <w:lang w:val="es-ES" w:eastAsia="es-ES"/>
              </w:rPr>
              <w:tab/>
            </w:r>
            <w:r w:rsidR="003D3409" w:rsidRPr="003D3409">
              <w:rPr>
                <w:rStyle w:val="Hipervnculo"/>
                <w:rFonts w:ascii="Arial" w:eastAsia="Times New Roman" w:hAnsi="Arial" w:cs="Arial"/>
                <w:noProof/>
              </w:rPr>
              <w:t>Pla anual normatiu 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_Toc99110699 \h </w:instrText>
            </w:r>
            <w:r w:rsidR="003D3409" w:rsidRPr="003D3409">
              <w:rPr>
                <w:noProof/>
                <w:webHidden/>
              </w:rPr>
            </w:r>
            <w:r w:rsidR="003D3409" w:rsidRPr="003D3409">
              <w:rPr>
                <w:noProof/>
                <w:webHidden/>
              </w:rPr>
              <w:fldChar w:fldCharType="separate"/>
            </w:r>
            <w:r w:rsidR="003D3409" w:rsidRPr="003D3409">
              <w:rPr>
                <w:noProof/>
                <w:webHidden/>
              </w:rPr>
              <w:t>61</w:t>
            </w:r>
            <w:r w:rsidR="003D3409" w:rsidRPr="003D3409">
              <w:rPr>
                <w:noProof/>
                <w:webHidden/>
              </w:rPr>
              <w:fldChar w:fldCharType="end"/>
            </w:r>
          </w:hyperlink>
        </w:p>
        <w:p w14:paraId="3B5A2D8A" w14:textId="660E22AC" w:rsidR="003D3409" w:rsidRPr="003D3409" w:rsidRDefault="00254AEC" w:rsidP="008A26B8">
          <w:pPr>
            <w:pStyle w:val="TDC3"/>
            <w:rPr>
              <w:noProof/>
              <w:sz w:val="22"/>
              <w:szCs w:val="22"/>
              <w:lang w:val="es-ES" w:eastAsia="es-ES"/>
            </w:rPr>
          </w:pPr>
          <w:hyperlink w:anchor="_Toc99110700" w:history="1">
            <w:r w:rsidR="003D3409" w:rsidRPr="003D3409">
              <w:rPr>
                <w:rStyle w:val="Hipervnculo"/>
                <w:rFonts w:ascii="Arial" w:eastAsia="Times New Roman" w:hAnsi="Arial" w:cs="Arial"/>
                <w:noProof/>
              </w:rPr>
              <w:t>3.2.3.</w:t>
            </w:r>
            <w:r w:rsidR="003D3409" w:rsidRPr="003D3409">
              <w:rPr>
                <w:noProof/>
                <w:sz w:val="22"/>
                <w:szCs w:val="22"/>
                <w:lang w:val="es-ES" w:eastAsia="es-ES"/>
              </w:rPr>
              <w:tab/>
            </w:r>
            <w:r w:rsidR="003D3409" w:rsidRPr="003D3409">
              <w:rPr>
                <w:rStyle w:val="Hipervnculo"/>
                <w:rFonts w:ascii="Arial" w:eastAsia="Times New Roman" w:hAnsi="Arial" w:cs="Arial"/>
                <w:noProof/>
              </w:rPr>
              <w:t>Directiva (UE) 2019/1937 del Parlament Europeu i del Consell de 23 d'octubre de 2019, relativa a la protecció de les persones que informen sobre infraccions del Dret de la Unió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_Toc99110700 \h </w:instrText>
            </w:r>
            <w:r w:rsidR="003D3409" w:rsidRPr="003D3409">
              <w:rPr>
                <w:noProof/>
                <w:webHidden/>
              </w:rPr>
            </w:r>
            <w:r w:rsidR="003D3409" w:rsidRPr="003D3409">
              <w:rPr>
                <w:noProof/>
                <w:webHidden/>
              </w:rPr>
              <w:fldChar w:fldCharType="separate"/>
            </w:r>
            <w:r w:rsidR="003D3409" w:rsidRPr="003D3409">
              <w:rPr>
                <w:noProof/>
                <w:webHidden/>
              </w:rPr>
              <w:t>64</w:t>
            </w:r>
            <w:r w:rsidR="003D3409" w:rsidRPr="003D3409">
              <w:rPr>
                <w:noProof/>
                <w:webHidden/>
              </w:rPr>
              <w:fldChar w:fldCharType="end"/>
            </w:r>
          </w:hyperlink>
        </w:p>
        <w:p w14:paraId="0D91D4B0" w14:textId="0CE6DD5C" w:rsidR="003D3409" w:rsidRPr="003D3409" w:rsidRDefault="00254AEC" w:rsidP="008A26B8">
          <w:pPr>
            <w:pStyle w:val="TDC3"/>
            <w:rPr>
              <w:noProof/>
              <w:sz w:val="22"/>
              <w:szCs w:val="22"/>
              <w:lang w:val="es-ES" w:eastAsia="es-ES"/>
            </w:rPr>
          </w:pPr>
          <w:hyperlink w:anchor="_Toc99110701" w:history="1">
            <w:r w:rsidR="003D3409" w:rsidRPr="003D3409">
              <w:rPr>
                <w:rStyle w:val="Hipervnculo"/>
                <w:rFonts w:ascii="Arial" w:eastAsia="Times New Roman" w:hAnsi="Arial" w:cs="Arial"/>
                <w:noProof/>
              </w:rPr>
              <w:t>3.2.4.</w:t>
            </w:r>
            <w:r w:rsidR="003D3409" w:rsidRPr="003D3409">
              <w:rPr>
                <w:noProof/>
                <w:sz w:val="22"/>
                <w:szCs w:val="22"/>
                <w:lang w:val="es-ES" w:eastAsia="es-ES"/>
              </w:rPr>
              <w:tab/>
            </w:r>
            <w:r w:rsidR="003D3409" w:rsidRPr="003D3409">
              <w:rPr>
                <w:rStyle w:val="Hipervnculo"/>
                <w:rFonts w:ascii="Arial" w:eastAsia="Times New Roman" w:hAnsi="Arial" w:cs="Arial"/>
                <w:noProof/>
              </w:rPr>
              <w:t>Declaracions institucionals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_Toc99110701 \h </w:instrText>
            </w:r>
            <w:r w:rsidR="003D3409" w:rsidRPr="003D3409">
              <w:rPr>
                <w:noProof/>
                <w:webHidden/>
              </w:rPr>
            </w:r>
            <w:r w:rsidR="003D3409" w:rsidRPr="003D3409">
              <w:rPr>
                <w:noProof/>
                <w:webHidden/>
              </w:rPr>
              <w:fldChar w:fldCharType="separate"/>
            </w:r>
            <w:r w:rsidR="003D3409" w:rsidRPr="003D3409">
              <w:rPr>
                <w:noProof/>
                <w:webHidden/>
              </w:rPr>
              <w:t>72</w:t>
            </w:r>
            <w:r w:rsidR="003D3409" w:rsidRPr="003D3409">
              <w:rPr>
                <w:noProof/>
                <w:webHidden/>
              </w:rPr>
              <w:fldChar w:fldCharType="end"/>
            </w:r>
          </w:hyperlink>
        </w:p>
        <w:p w14:paraId="2E991757" w14:textId="3809CEAE" w:rsidR="003D3409" w:rsidRPr="003D3409" w:rsidRDefault="00254AEC" w:rsidP="008A26B8">
          <w:pPr>
            <w:pStyle w:val="TDC3"/>
            <w:rPr>
              <w:noProof/>
              <w:sz w:val="22"/>
              <w:szCs w:val="22"/>
              <w:lang w:val="es-ES" w:eastAsia="es-ES"/>
            </w:rPr>
          </w:pPr>
          <w:hyperlink w:anchor="_Toc99110702" w:history="1">
            <w:r w:rsidR="003D3409" w:rsidRPr="003D3409">
              <w:rPr>
                <w:rStyle w:val="Hipervnculo"/>
                <w:rFonts w:ascii="Arial" w:eastAsia="Times New Roman" w:hAnsi="Arial" w:cs="Arial"/>
                <w:noProof/>
              </w:rPr>
              <w:t>3.2.5.</w:t>
            </w:r>
            <w:r w:rsidR="003D3409" w:rsidRPr="003D3409">
              <w:rPr>
                <w:noProof/>
                <w:sz w:val="22"/>
                <w:szCs w:val="22"/>
                <w:lang w:val="es-ES" w:eastAsia="es-ES"/>
              </w:rPr>
              <w:tab/>
            </w:r>
            <w:r w:rsidR="003D3409" w:rsidRPr="003D3409">
              <w:rPr>
                <w:rStyle w:val="Hipervnculo"/>
                <w:rFonts w:ascii="Arial" w:eastAsia="Times New Roman" w:hAnsi="Arial" w:cs="Arial"/>
                <w:noProof/>
              </w:rPr>
              <w:t>Al·legacions i aportacions a projectes normatius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_Toc99110702 \h </w:instrText>
            </w:r>
            <w:r w:rsidR="003D3409" w:rsidRPr="003D3409">
              <w:rPr>
                <w:noProof/>
                <w:webHidden/>
              </w:rPr>
            </w:r>
            <w:r w:rsidR="003D3409" w:rsidRPr="003D3409">
              <w:rPr>
                <w:noProof/>
                <w:webHidden/>
              </w:rPr>
              <w:fldChar w:fldCharType="separate"/>
            </w:r>
            <w:r w:rsidR="003D3409" w:rsidRPr="003D3409">
              <w:rPr>
                <w:noProof/>
                <w:webHidden/>
              </w:rPr>
              <w:t>79</w:t>
            </w:r>
            <w:r w:rsidR="003D3409" w:rsidRPr="003D3409">
              <w:rPr>
                <w:noProof/>
                <w:webHidden/>
              </w:rPr>
              <w:fldChar w:fldCharType="end"/>
            </w:r>
          </w:hyperlink>
        </w:p>
        <w:p w14:paraId="42212F4F" w14:textId="74C70BDD" w:rsidR="003D3409" w:rsidRPr="003D3409" w:rsidRDefault="00254AEC" w:rsidP="008A26B8">
          <w:pPr>
            <w:pStyle w:val="TDC3"/>
            <w:rPr>
              <w:noProof/>
              <w:sz w:val="22"/>
              <w:szCs w:val="22"/>
              <w:lang w:val="es-ES" w:eastAsia="es-ES"/>
            </w:rPr>
          </w:pPr>
          <w:hyperlink w:anchor="_Toc99110703" w:history="1">
            <w:r w:rsidR="003D3409" w:rsidRPr="003D3409">
              <w:rPr>
                <w:rStyle w:val="Hipervnculo"/>
                <w:rFonts w:ascii="Arial" w:eastAsia="Times New Roman" w:hAnsi="Arial" w:cs="Arial"/>
                <w:noProof/>
              </w:rPr>
              <w:t>3.2.6.</w:t>
            </w:r>
            <w:r w:rsidR="003D3409" w:rsidRPr="003D3409">
              <w:rPr>
                <w:noProof/>
                <w:sz w:val="22"/>
                <w:szCs w:val="22"/>
                <w:lang w:val="es-ES" w:eastAsia="es-ES"/>
              </w:rPr>
              <w:tab/>
            </w:r>
            <w:r w:rsidR="003D3409" w:rsidRPr="003D3409">
              <w:rPr>
                <w:rStyle w:val="Hipervnculo"/>
                <w:rFonts w:ascii="Arial" w:eastAsia="Times New Roman" w:hAnsi="Arial" w:cs="Arial"/>
                <w:noProof/>
              </w:rPr>
              <w:t>Altres referències destacades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_Toc99110703 \h </w:instrText>
            </w:r>
            <w:r w:rsidR="003D3409" w:rsidRPr="003D3409">
              <w:rPr>
                <w:noProof/>
                <w:webHidden/>
              </w:rPr>
            </w:r>
            <w:r w:rsidR="003D3409" w:rsidRPr="003D3409">
              <w:rPr>
                <w:noProof/>
                <w:webHidden/>
              </w:rPr>
              <w:fldChar w:fldCharType="separate"/>
            </w:r>
            <w:r w:rsidR="003D3409" w:rsidRPr="003D3409">
              <w:rPr>
                <w:noProof/>
                <w:webHidden/>
              </w:rPr>
              <w:t>92</w:t>
            </w:r>
            <w:r w:rsidR="003D3409" w:rsidRPr="003D3409">
              <w:rPr>
                <w:noProof/>
                <w:webHidden/>
              </w:rPr>
              <w:fldChar w:fldCharType="end"/>
            </w:r>
          </w:hyperlink>
        </w:p>
        <w:p w14:paraId="0E20C737" w14:textId="4A9E69F7" w:rsidR="003D3409" w:rsidRPr="003D3409" w:rsidRDefault="00254AEC" w:rsidP="008A26B8">
          <w:pPr>
            <w:pStyle w:val="TDC2"/>
            <w:rPr>
              <w:rFonts w:asciiTheme="minorHAnsi" w:eastAsiaTheme="minorEastAsia" w:hAnsiTheme="minorHAnsi" w:cstheme="minorBidi"/>
              <w:sz w:val="22"/>
              <w:lang w:val="es-ES" w:eastAsia="es-ES"/>
            </w:rPr>
          </w:pPr>
          <w:hyperlink w:anchor="_Toc99110704" w:history="1">
            <w:r w:rsidR="003D3409" w:rsidRPr="003D3409">
              <w:rPr>
                <w:rStyle w:val="Hipervnculo"/>
              </w:rPr>
              <w:t>3.3.</w:t>
            </w:r>
            <w:r w:rsidR="003D3409" w:rsidRPr="003D3409">
              <w:rPr>
                <w:rFonts w:asciiTheme="minorHAnsi" w:eastAsiaTheme="minorEastAsia" w:hAnsiTheme="minorHAnsi" w:cstheme="minorBidi"/>
                <w:sz w:val="22"/>
                <w:lang w:val="es-ES" w:eastAsia="es-ES"/>
              </w:rPr>
              <w:tab/>
            </w:r>
            <w:r w:rsidR="003D3409" w:rsidRPr="003D3409">
              <w:rPr>
                <w:rStyle w:val="Hipervnculo"/>
              </w:rPr>
              <w:t>Protecció de les persones denunciants, informadores o alertadoras de frau o corrupció</w:t>
            </w:r>
            <w:r w:rsidR="003D3409" w:rsidRPr="003D3409">
              <w:rPr>
                <w:webHidden/>
              </w:rPr>
              <w:tab/>
            </w:r>
            <w:r w:rsidR="003D3409" w:rsidRPr="003D3409">
              <w:rPr>
                <w:webHidden/>
              </w:rPr>
              <w:fldChar w:fldCharType="begin" w:fldLock="1"/>
            </w:r>
            <w:r w:rsidR="003D3409" w:rsidRPr="003D3409">
              <w:rPr>
                <w:webHidden/>
              </w:rPr>
              <w:instrText xml:space="preserve"> PAGEREF _Toc99110704 \h </w:instrText>
            </w:r>
            <w:r w:rsidR="003D3409" w:rsidRPr="003D3409">
              <w:rPr>
                <w:webHidden/>
              </w:rPr>
            </w:r>
            <w:r w:rsidR="003D3409" w:rsidRPr="003D3409">
              <w:rPr>
                <w:webHidden/>
              </w:rPr>
              <w:fldChar w:fldCharType="separate"/>
            </w:r>
            <w:r w:rsidR="003D3409" w:rsidRPr="003D3409">
              <w:rPr>
                <w:webHidden/>
              </w:rPr>
              <w:t>97</w:t>
            </w:r>
            <w:r w:rsidR="003D3409" w:rsidRPr="003D3409">
              <w:rPr>
                <w:webHidden/>
              </w:rPr>
              <w:fldChar w:fldCharType="end"/>
            </w:r>
          </w:hyperlink>
        </w:p>
        <w:p w14:paraId="1A873078" w14:textId="59B3F548" w:rsidR="003D3409" w:rsidRPr="003D3409" w:rsidRDefault="00254AEC" w:rsidP="008A26B8">
          <w:pPr>
            <w:pStyle w:val="TDC3"/>
            <w:rPr>
              <w:noProof/>
              <w:sz w:val="22"/>
              <w:szCs w:val="22"/>
              <w:lang w:val="es-ES" w:eastAsia="es-ES"/>
            </w:rPr>
          </w:pPr>
          <w:hyperlink w:anchor="_Toc99110705" w:history="1">
            <w:r w:rsidR="003D3409" w:rsidRPr="003D3409">
              <w:rPr>
                <w:rStyle w:val="Hipervnculo"/>
                <w:rFonts w:ascii="Arial" w:eastAsia="Times New Roman" w:hAnsi="Arial" w:cs="Arial"/>
                <w:noProof/>
              </w:rPr>
              <w:t>3.3.1.</w:t>
            </w:r>
            <w:r w:rsidR="003D3409" w:rsidRPr="003D3409">
              <w:rPr>
                <w:noProof/>
                <w:sz w:val="22"/>
                <w:szCs w:val="22"/>
                <w:lang w:val="es-ES" w:eastAsia="es-ES"/>
              </w:rPr>
              <w:tab/>
            </w:r>
            <w:r w:rsidR="003D3409" w:rsidRPr="003D3409">
              <w:rPr>
                <w:rStyle w:val="Hipervnculo"/>
                <w:rFonts w:ascii="Arial" w:eastAsia="Times New Roman" w:hAnsi="Arial" w:cs="Arial"/>
                <w:noProof/>
              </w:rPr>
              <w:t>Estatut de protecció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_Toc99110705 \h </w:instrText>
            </w:r>
            <w:r w:rsidR="003D3409" w:rsidRPr="003D3409">
              <w:rPr>
                <w:noProof/>
                <w:webHidden/>
              </w:rPr>
            </w:r>
            <w:r w:rsidR="003D3409" w:rsidRPr="003D3409">
              <w:rPr>
                <w:noProof/>
                <w:webHidden/>
              </w:rPr>
              <w:fldChar w:fldCharType="separate"/>
            </w:r>
            <w:r w:rsidR="003D3409" w:rsidRPr="003D3409">
              <w:rPr>
                <w:noProof/>
                <w:webHidden/>
              </w:rPr>
              <w:t>97</w:t>
            </w:r>
            <w:r w:rsidR="003D3409" w:rsidRPr="003D3409">
              <w:rPr>
                <w:noProof/>
                <w:webHidden/>
              </w:rPr>
              <w:fldChar w:fldCharType="end"/>
            </w:r>
          </w:hyperlink>
        </w:p>
        <w:p w14:paraId="4F5B3ADE" w14:textId="0CEC6C82" w:rsidR="003D3409" w:rsidRPr="003D3409" w:rsidRDefault="00254AEC" w:rsidP="008A26B8">
          <w:pPr>
            <w:pStyle w:val="TDC3"/>
            <w:rPr>
              <w:noProof/>
              <w:sz w:val="22"/>
              <w:szCs w:val="22"/>
              <w:lang w:val="es-ES" w:eastAsia="es-ES"/>
            </w:rPr>
          </w:pPr>
          <w:hyperlink w:anchor="_Toc99110706" w:history="1">
            <w:r w:rsidR="003D3409" w:rsidRPr="003D3409">
              <w:rPr>
                <w:rStyle w:val="Hipervnculo"/>
                <w:rFonts w:ascii="Arial" w:eastAsia="Times New Roman" w:hAnsi="Arial" w:cs="Arial"/>
                <w:noProof/>
              </w:rPr>
              <w:t>3.3.2.</w:t>
            </w:r>
            <w:r w:rsidR="003D3409" w:rsidRPr="003D3409">
              <w:rPr>
                <w:noProof/>
                <w:sz w:val="22"/>
                <w:szCs w:val="22"/>
                <w:lang w:val="es-ES" w:eastAsia="es-ES"/>
              </w:rPr>
              <w:tab/>
            </w:r>
            <w:r w:rsidR="003D3409" w:rsidRPr="003D3409">
              <w:rPr>
                <w:rStyle w:val="Hipervnculo"/>
                <w:rFonts w:ascii="Arial" w:eastAsia="Times New Roman" w:hAnsi="Arial" w:cs="Arial"/>
                <w:noProof/>
              </w:rPr>
              <w:t>Seguiment de la protecció de les persones denunciants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_Toc99110706 \h </w:instrText>
            </w:r>
            <w:r w:rsidR="003D3409" w:rsidRPr="003D3409">
              <w:rPr>
                <w:noProof/>
                <w:webHidden/>
              </w:rPr>
            </w:r>
            <w:r w:rsidR="003D3409" w:rsidRPr="003D3409">
              <w:rPr>
                <w:noProof/>
                <w:webHidden/>
              </w:rPr>
              <w:fldChar w:fldCharType="separate"/>
            </w:r>
            <w:r w:rsidR="003D3409" w:rsidRPr="003D3409">
              <w:rPr>
                <w:noProof/>
                <w:webHidden/>
              </w:rPr>
              <w:t>100</w:t>
            </w:r>
            <w:r w:rsidR="003D3409" w:rsidRPr="003D3409">
              <w:rPr>
                <w:noProof/>
                <w:webHidden/>
              </w:rPr>
              <w:fldChar w:fldCharType="end"/>
            </w:r>
          </w:hyperlink>
        </w:p>
        <w:p w14:paraId="79EE373A" w14:textId="6E8D0D8E" w:rsidR="003D3409" w:rsidRPr="003D3409" w:rsidRDefault="00254AEC" w:rsidP="008A26B8">
          <w:pPr>
            <w:pStyle w:val="TDC3"/>
            <w:rPr>
              <w:noProof/>
              <w:sz w:val="22"/>
              <w:szCs w:val="22"/>
              <w:lang w:val="es-ES" w:eastAsia="es-ES"/>
            </w:rPr>
          </w:pPr>
          <w:hyperlink w:anchor="_Toc99110707" w:history="1">
            <w:r w:rsidR="003D3409" w:rsidRPr="003D3409">
              <w:rPr>
                <w:rStyle w:val="Hipervnculo"/>
                <w:rFonts w:ascii="Arial" w:eastAsia="Times New Roman" w:hAnsi="Arial" w:cs="Arial"/>
                <w:noProof/>
              </w:rPr>
              <w:t>3.3.3.</w:t>
            </w:r>
            <w:r w:rsidR="003D3409" w:rsidRPr="003D3409">
              <w:rPr>
                <w:noProof/>
                <w:sz w:val="22"/>
                <w:szCs w:val="22"/>
                <w:lang w:val="es-ES" w:eastAsia="es-ES"/>
              </w:rPr>
              <w:tab/>
            </w:r>
            <w:r w:rsidR="003D3409" w:rsidRPr="003D3409">
              <w:rPr>
                <w:rStyle w:val="Hipervnculo"/>
                <w:rFonts w:ascii="Arial" w:eastAsia="Times New Roman" w:hAnsi="Arial" w:cs="Arial"/>
                <w:noProof/>
              </w:rPr>
              <w:t>Resultats estadístics de la protecció de persones denunciants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_Toc99110707 \h </w:instrText>
            </w:r>
            <w:r w:rsidR="003D3409" w:rsidRPr="003D3409">
              <w:rPr>
                <w:noProof/>
                <w:webHidden/>
              </w:rPr>
            </w:r>
            <w:r w:rsidR="003D3409" w:rsidRPr="003D3409">
              <w:rPr>
                <w:noProof/>
                <w:webHidden/>
              </w:rPr>
              <w:fldChar w:fldCharType="separate"/>
            </w:r>
            <w:r w:rsidR="003D3409" w:rsidRPr="003D3409">
              <w:rPr>
                <w:noProof/>
                <w:webHidden/>
              </w:rPr>
              <w:t>116</w:t>
            </w:r>
            <w:r w:rsidR="003D3409" w:rsidRPr="003D3409">
              <w:rPr>
                <w:noProof/>
                <w:webHidden/>
              </w:rPr>
              <w:fldChar w:fldCharType="end"/>
            </w:r>
          </w:hyperlink>
        </w:p>
        <w:p w14:paraId="42C9B171" w14:textId="4EC3FF39" w:rsidR="003D3409" w:rsidRPr="003D3409" w:rsidRDefault="00254AEC" w:rsidP="008A26B8">
          <w:pPr>
            <w:pStyle w:val="TDC2"/>
            <w:rPr>
              <w:rFonts w:asciiTheme="minorHAnsi" w:eastAsiaTheme="minorEastAsia" w:hAnsiTheme="minorHAnsi" w:cstheme="minorBidi"/>
              <w:sz w:val="22"/>
              <w:lang w:val="es-ES" w:eastAsia="es-ES"/>
            </w:rPr>
          </w:pPr>
          <w:hyperlink w:anchor="_Toc99110708" w:history="1">
            <w:r w:rsidR="003D3409" w:rsidRPr="003D3409">
              <w:rPr>
                <w:rStyle w:val="Hipervnculo"/>
              </w:rPr>
              <w:t>3.4.</w:t>
            </w:r>
            <w:r w:rsidR="003D3409" w:rsidRPr="003D3409">
              <w:rPr>
                <w:rFonts w:asciiTheme="minorHAnsi" w:eastAsiaTheme="minorEastAsia" w:hAnsiTheme="minorHAnsi" w:cstheme="minorBidi"/>
                <w:sz w:val="22"/>
                <w:lang w:val="es-ES" w:eastAsia="es-ES"/>
              </w:rPr>
              <w:tab/>
            </w:r>
            <w:r w:rsidR="003D3409" w:rsidRPr="003D3409">
              <w:rPr>
                <w:rStyle w:val="Hipervnculo"/>
              </w:rPr>
              <w:t>Altres assumptes jurídics</w:t>
            </w:r>
            <w:r w:rsidR="003D3409" w:rsidRPr="003D3409">
              <w:rPr>
                <w:webHidden/>
              </w:rPr>
              <w:tab/>
            </w:r>
            <w:r w:rsidR="003D3409" w:rsidRPr="003D3409">
              <w:rPr>
                <w:webHidden/>
              </w:rPr>
              <w:fldChar w:fldCharType="begin" w:fldLock="1"/>
            </w:r>
            <w:r w:rsidR="003D3409" w:rsidRPr="003D3409">
              <w:rPr>
                <w:webHidden/>
              </w:rPr>
              <w:instrText xml:space="preserve"> PAGEREF _Toc99110708 \h </w:instrText>
            </w:r>
            <w:r w:rsidR="003D3409" w:rsidRPr="003D3409">
              <w:rPr>
                <w:webHidden/>
              </w:rPr>
            </w:r>
            <w:r w:rsidR="003D3409" w:rsidRPr="003D3409">
              <w:rPr>
                <w:webHidden/>
              </w:rPr>
              <w:fldChar w:fldCharType="separate"/>
            </w:r>
            <w:r w:rsidR="003D3409" w:rsidRPr="003D3409">
              <w:rPr>
                <w:webHidden/>
              </w:rPr>
              <w:t>121</w:t>
            </w:r>
            <w:r w:rsidR="003D3409" w:rsidRPr="003D3409">
              <w:rPr>
                <w:webHidden/>
              </w:rPr>
              <w:fldChar w:fldCharType="end"/>
            </w:r>
          </w:hyperlink>
        </w:p>
        <w:p w14:paraId="4EA9222D" w14:textId="600A3F6B" w:rsidR="003D3409" w:rsidRPr="003D3409" w:rsidRDefault="00254AEC" w:rsidP="008A26B8">
          <w:pPr>
            <w:pStyle w:val="TDC3"/>
            <w:rPr>
              <w:noProof/>
              <w:sz w:val="22"/>
              <w:szCs w:val="22"/>
              <w:lang w:val="es-ES" w:eastAsia="es-ES"/>
            </w:rPr>
          </w:pPr>
          <w:hyperlink w:anchor="_Toc99110709" w:history="1">
            <w:r w:rsidR="003D3409" w:rsidRPr="003D3409">
              <w:rPr>
                <w:rStyle w:val="Hipervnculo"/>
                <w:rFonts w:ascii="Arial" w:eastAsia="Times New Roman" w:hAnsi="Arial" w:cs="Arial"/>
                <w:noProof/>
              </w:rPr>
              <w:t>3.4.1.</w:t>
            </w:r>
            <w:r w:rsidR="003D3409" w:rsidRPr="003D3409">
              <w:rPr>
                <w:noProof/>
                <w:sz w:val="22"/>
                <w:szCs w:val="22"/>
                <w:lang w:val="es-ES" w:eastAsia="es-ES"/>
              </w:rPr>
              <w:tab/>
            </w:r>
            <w:r w:rsidR="003D3409" w:rsidRPr="003D3409">
              <w:rPr>
                <w:rStyle w:val="Hipervnculo"/>
                <w:rFonts w:ascii="Arial" w:eastAsia="Times New Roman" w:hAnsi="Arial" w:cs="Arial"/>
                <w:noProof/>
              </w:rPr>
              <w:t>Assessorament jurídic, secretaria d'òrgans col·legiats i altres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_Toc99110709 \h </w:instrText>
            </w:r>
            <w:r w:rsidR="003D3409" w:rsidRPr="003D3409">
              <w:rPr>
                <w:noProof/>
                <w:webHidden/>
              </w:rPr>
            </w:r>
            <w:r w:rsidR="003D3409" w:rsidRPr="003D3409">
              <w:rPr>
                <w:noProof/>
                <w:webHidden/>
              </w:rPr>
              <w:fldChar w:fldCharType="separate"/>
            </w:r>
            <w:r w:rsidR="003D3409" w:rsidRPr="003D3409">
              <w:rPr>
                <w:noProof/>
                <w:webHidden/>
              </w:rPr>
              <w:t>121</w:t>
            </w:r>
            <w:r w:rsidR="003D3409" w:rsidRPr="003D3409">
              <w:rPr>
                <w:noProof/>
                <w:webHidden/>
              </w:rPr>
              <w:fldChar w:fldCharType="end"/>
            </w:r>
          </w:hyperlink>
        </w:p>
        <w:p w14:paraId="4991084A" w14:textId="20FBAE3A" w:rsidR="003D3409" w:rsidRPr="003D3409" w:rsidRDefault="00254AEC" w:rsidP="008A26B8">
          <w:pPr>
            <w:pStyle w:val="TDC3"/>
            <w:rPr>
              <w:noProof/>
              <w:sz w:val="22"/>
              <w:szCs w:val="22"/>
              <w:lang w:val="es-ES" w:eastAsia="es-ES"/>
            </w:rPr>
          </w:pPr>
          <w:hyperlink w:anchor="_Toc99110710" w:history="1">
            <w:r w:rsidR="003D3409" w:rsidRPr="003D3409">
              <w:rPr>
                <w:rStyle w:val="Hipervnculo"/>
                <w:rFonts w:ascii="Arial" w:eastAsia="Times New Roman" w:hAnsi="Arial" w:cs="Arial"/>
                <w:noProof/>
              </w:rPr>
              <w:t>3.4.2.</w:t>
            </w:r>
            <w:r w:rsidR="003D3409" w:rsidRPr="003D3409">
              <w:rPr>
                <w:noProof/>
                <w:sz w:val="22"/>
                <w:szCs w:val="22"/>
                <w:lang w:val="es-ES" w:eastAsia="es-ES"/>
              </w:rPr>
              <w:tab/>
            </w:r>
            <w:r w:rsidR="003D3409" w:rsidRPr="003D3409">
              <w:rPr>
                <w:rStyle w:val="Hipervnculo"/>
                <w:rFonts w:ascii="Arial" w:eastAsia="Times New Roman" w:hAnsi="Arial" w:cs="Arial"/>
                <w:noProof/>
              </w:rPr>
              <w:t>Convenis i altres col·laboracions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_Toc99110710 \h </w:instrText>
            </w:r>
            <w:r w:rsidR="003D3409" w:rsidRPr="003D3409">
              <w:rPr>
                <w:noProof/>
                <w:webHidden/>
              </w:rPr>
            </w:r>
            <w:r w:rsidR="003D3409" w:rsidRPr="003D3409">
              <w:rPr>
                <w:noProof/>
                <w:webHidden/>
              </w:rPr>
              <w:fldChar w:fldCharType="separate"/>
            </w:r>
            <w:r w:rsidR="003D3409" w:rsidRPr="003D3409">
              <w:rPr>
                <w:noProof/>
                <w:webHidden/>
              </w:rPr>
              <w:t>123</w:t>
            </w:r>
            <w:r w:rsidR="003D3409" w:rsidRPr="003D3409">
              <w:rPr>
                <w:noProof/>
                <w:webHidden/>
              </w:rPr>
              <w:fldChar w:fldCharType="end"/>
            </w:r>
          </w:hyperlink>
        </w:p>
        <w:p w14:paraId="5BF7E6F5" w14:textId="3DAA040A" w:rsidR="003D3409" w:rsidRPr="003D3409" w:rsidRDefault="00254AEC" w:rsidP="008A26B8">
          <w:pPr>
            <w:pStyle w:val="TDC3"/>
            <w:rPr>
              <w:noProof/>
              <w:sz w:val="22"/>
              <w:szCs w:val="22"/>
              <w:lang w:val="es-ES" w:eastAsia="es-ES"/>
            </w:rPr>
          </w:pPr>
          <w:hyperlink w:anchor="_Toc99110711" w:history="1">
            <w:r w:rsidR="003D3409" w:rsidRPr="003D3409">
              <w:rPr>
                <w:rStyle w:val="Hipervnculo"/>
                <w:rFonts w:ascii="Arial" w:eastAsia="Times New Roman" w:hAnsi="Arial" w:cs="Arial"/>
                <w:noProof/>
              </w:rPr>
              <w:t>3.4.3.</w:t>
            </w:r>
            <w:r w:rsidR="003D3409" w:rsidRPr="003D3409">
              <w:rPr>
                <w:noProof/>
                <w:sz w:val="22"/>
                <w:szCs w:val="22"/>
                <w:lang w:val="es-ES" w:eastAsia="es-ES"/>
              </w:rPr>
              <w:tab/>
            </w:r>
            <w:r w:rsidR="003D3409" w:rsidRPr="003D3409">
              <w:rPr>
                <w:rStyle w:val="Hipervnculo"/>
                <w:rFonts w:ascii="Arial" w:eastAsia="Times New Roman" w:hAnsi="Arial" w:cs="Arial"/>
                <w:noProof/>
              </w:rPr>
              <w:t>Potestat sancionadora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_Toc99110711 \h </w:instrText>
            </w:r>
            <w:r w:rsidR="003D3409" w:rsidRPr="003D3409">
              <w:rPr>
                <w:noProof/>
                <w:webHidden/>
              </w:rPr>
            </w:r>
            <w:r w:rsidR="003D3409" w:rsidRPr="003D3409">
              <w:rPr>
                <w:noProof/>
                <w:webHidden/>
              </w:rPr>
              <w:fldChar w:fldCharType="separate"/>
            </w:r>
            <w:r w:rsidR="003D3409" w:rsidRPr="003D3409">
              <w:rPr>
                <w:noProof/>
                <w:webHidden/>
              </w:rPr>
              <w:t>127</w:t>
            </w:r>
            <w:r w:rsidR="003D3409" w:rsidRPr="003D3409">
              <w:rPr>
                <w:noProof/>
                <w:webHidden/>
              </w:rPr>
              <w:fldChar w:fldCharType="end"/>
            </w:r>
          </w:hyperlink>
        </w:p>
        <w:p w14:paraId="50642A4E" w14:textId="57709995" w:rsidR="003D3409" w:rsidRPr="003D3409" w:rsidRDefault="00254AEC" w:rsidP="008A26B8">
          <w:pPr>
            <w:pStyle w:val="TDC3"/>
            <w:rPr>
              <w:noProof/>
              <w:sz w:val="22"/>
              <w:szCs w:val="22"/>
              <w:lang w:val="es-ES" w:eastAsia="es-ES"/>
            </w:rPr>
          </w:pPr>
          <w:hyperlink w:anchor="_Toc99110712" w:history="1">
            <w:r w:rsidR="003D3409" w:rsidRPr="003D3409">
              <w:rPr>
                <w:rStyle w:val="Hipervnculo"/>
                <w:rFonts w:ascii="Arial" w:eastAsia="Times New Roman" w:hAnsi="Arial" w:cs="Arial"/>
                <w:noProof/>
              </w:rPr>
              <w:t>3.4.4.</w:t>
            </w:r>
            <w:r w:rsidR="003D3409" w:rsidRPr="003D3409">
              <w:rPr>
                <w:noProof/>
                <w:sz w:val="22"/>
                <w:szCs w:val="22"/>
                <w:lang w:val="es-ES" w:eastAsia="es-ES"/>
              </w:rPr>
              <w:tab/>
            </w:r>
            <w:r w:rsidR="003D3409" w:rsidRPr="003D3409">
              <w:rPr>
                <w:rStyle w:val="Hipervnculo"/>
                <w:rFonts w:ascii="Arial" w:eastAsia="Times New Roman" w:hAnsi="Arial" w:cs="Arial"/>
                <w:noProof/>
              </w:rPr>
              <w:t>Procediments judicials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_Toc99110712 \h </w:instrText>
            </w:r>
            <w:r w:rsidR="003D3409" w:rsidRPr="003D3409">
              <w:rPr>
                <w:noProof/>
                <w:webHidden/>
              </w:rPr>
            </w:r>
            <w:r w:rsidR="003D3409" w:rsidRPr="003D3409">
              <w:rPr>
                <w:noProof/>
                <w:webHidden/>
              </w:rPr>
              <w:fldChar w:fldCharType="separate"/>
            </w:r>
            <w:r w:rsidR="003D3409" w:rsidRPr="003D3409">
              <w:rPr>
                <w:noProof/>
                <w:webHidden/>
              </w:rPr>
              <w:t>128</w:t>
            </w:r>
            <w:r w:rsidR="003D3409" w:rsidRPr="003D3409">
              <w:rPr>
                <w:noProof/>
                <w:webHidden/>
              </w:rPr>
              <w:fldChar w:fldCharType="end"/>
            </w:r>
          </w:hyperlink>
        </w:p>
        <w:p w14:paraId="2DB7E25B" w14:textId="5ACDC4CA" w:rsidR="003D3409" w:rsidRPr="003D3409" w:rsidRDefault="00254AEC" w:rsidP="008A26B8">
          <w:pPr>
            <w:pStyle w:val="TDC3"/>
            <w:rPr>
              <w:noProof/>
              <w:sz w:val="22"/>
              <w:szCs w:val="22"/>
              <w:lang w:val="es-ES" w:eastAsia="es-ES"/>
            </w:rPr>
          </w:pPr>
          <w:hyperlink w:anchor="_Toc99110713" w:history="1">
            <w:r w:rsidR="003D3409" w:rsidRPr="003D3409">
              <w:rPr>
                <w:rStyle w:val="Hipervnculo"/>
                <w:rFonts w:ascii="Arial" w:eastAsia="Times New Roman" w:hAnsi="Arial" w:cs="Arial"/>
                <w:noProof/>
              </w:rPr>
              <w:t>3.4.5.</w:t>
            </w:r>
            <w:r w:rsidR="003D3409" w:rsidRPr="003D3409">
              <w:rPr>
                <w:noProof/>
                <w:sz w:val="22"/>
                <w:szCs w:val="22"/>
                <w:lang w:val="es-ES" w:eastAsia="es-ES"/>
              </w:rPr>
              <w:tab/>
            </w:r>
            <w:r w:rsidR="003D3409" w:rsidRPr="003D3409">
              <w:rPr>
                <w:rStyle w:val="Hipervnculo"/>
                <w:rFonts w:ascii="Arial" w:eastAsia="Times New Roman" w:hAnsi="Arial" w:cs="Arial"/>
                <w:noProof/>
              </w:rPr>
              <w:t>Relacions amb les Corts Valencianes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_Toc99110713 \h </w:instrText>
            </w:r>
            <w:r w:rsidR="003D3409" w:rsidRPr="003D3409">
              <w:rPr>
                <w:noProof/>
                <w:webHidden/>
              </w:rPr>
            </w:r>
            <w:r w:rsidR="003D3409" w:rsidRPr="003D3409">
              <w:rPr>
                <w:noProof/>
                <w:webHidden/>
              </w:rPr>
              <w:fldChar w:fldCharType="separate"/>
            </w:r>
            <w:r w:rsidR="003D3409" w:rsidRPr="003D3409">
              <w:rPr>
                <w:noProof/>
                <w:webHidden/>
              </w:rPr>
              <w:t>130</w:t>
            </w:r>
            <w:r w:rsidR="003D3409" w:rsidRPr="003D3409">
              <w:rPr>
                <w:noProof/>
                <w:webHidden/>
              </w:rPr>
              <w:fldChar w:fldCharType="end"/>
            </w:r>
          </w:hyperlink>
        </w:p>
        <w:p w14:paraId="027385BE" w14:textId="1C7642C0" w:rsidR="003D3409" w:rsidRPr="003D3409" w:rsidRDefault="00254AEC" w:rsidP="003D3409">
          <w:pPr>
            <w:pStyle w:val="TDC1"/>
            <w:rPr>
              <w:rFonts w:asciiTheme="minorHAnsi" w:eastAsiaTheme="minorEastAsia" w:hAnsiTheme="minorHAnsi" w:cstheme="minorBidi"/>
              <w:kern w:val="0"/>
              <w:sz w:val="22"/>
              <w:szCs w:val="22"/>
              <w:lang w:val="es-ES" w:bidi="ar-SA"/>
            </w:rPr>
          </w:pPr>
          <w:hyperlink w:anchor="_Toc99110714" w:history="1">
            <w:r w:rsidR="003D3409" w:rsidRPr="003D3409">
              <w:rPr>
                <w:rStyle w:val="Hipervnculo"/>
                <w:rFonts w:eastAsia="Times New Roman"/>
              </w:rPr>
              <w:t>4.</w:t>
            </w:r>
            <w:r w:rsidR="003D3409" w:rsidRPr="003D3409">
              <w:rPr>
                <w:rFonts w:asciiTheme="minorHAnsi" w:eastAsiaTheme="minorEastAsia" w:hAnsiTheme="minorHAnsi" w:cstheme="minorBidi"/>
                <w:kern w:val="0"/>
                <w:sz w:val="22"/>
                <w:szCs w:val="22"/>
                <w:lang w:val="es-ES" w:bidi="ar-SA"/>
              </w:rPr>
              <w:tab/>
            </w:r>
            <w:r w:rsidR="003D3409" w:rsidRPr="003D3409">
              <w:rPr>
                <w:rStyle w:val="Hipervnculo"/>
                <w:rFonts w:eastAsia="Times New Roman"/>
              </w:rPr>
              <w:t xml:space="preserve">Anàlisi i  </w:t>
            </w:r>
            <w:r w:rsidR="00611A76">
              <w:rPr>
                <w:rStyle w:val="Hipervnculo"/>
                <w:rFonts w:eastAsia="Times New Roman"/>
              </w:rPr>
              <w:t>i</w:t>
            </w:r>
            <w:r w:rsidR="003D3409" w:rsidRPr="003D3409">
              <w:rPr>
                <w:rStyle w:val="Hipervnculo"/>
                <w:rFonts w:eastAsia="Times New Roman"/>
              </w:rPr>
              <w:t>nvestigació</w:t>
            </w:r>
            <w:r w:rsidR="003D3409" w:rsidRPr="003D3409">
              <w:rPr>
                <w:webHidden/>
              </w:rPr>
              <w:tab/>
            </w:r>
            <w:r w:rsidR="003D3409" w:rsidRPr="003D3409">
              <w:rPr>
                <w:webHidden/>
              </w:rPr>
              <w:fldChar w:fldCharType="begin" w:fldLock="1"/>
            </w:r>
            <w:r w:rsidR="003D3409" w:rsidRPr="003D3409">
              <w:rPr>
                <w:webHidden/>
              </w:rPr>
              <w:instrText xml:space="preserve"> PAGEREF _Toc99110714 \h </w:instrText>
            </w:r>
            <w:r w:rsidR="003D3409" w:rsidRPr="003D3409">
              <w:rPr>
                <w:webHidden/>
              </w:rPr>
            </w:r>
            <w:r w:rsidR="003D3409" w:rsidRPr="003D3409">
              <w:rPr>
                <w:webHidden/>
              </w:rPr>
              <w:fldChar w:fldCharType="separate"/>
            </w:r>
            <w:r w:rsidR="003D3409" w:rsidRPr="003D3409">
              <w:rPr>
                <w:webHidden/>
              </w:rPr>
              <w:t>133</w:t>
            </w:r>
            <w:r w:rsidR="003D3409" w:rsidRPr="003D3409">
              <w:rPr>
                <w:webHidden/>
              </w:rPr>
              <w:fldChar w:fldCharType="end"/>
            </w:r>
          </w:hyperlink>
        </w:p>
        <w:p w14:paraId="24DE84D8" w14:textId="65BC792B" w:rsidR="003D3409" w:rsidRPr="003D3409" w:rsidRDefault="00254AEC" w:rsidP="008A26B8">
          <w:pPr>
            <w:pStyle w:val="TDC2"/>
            <w:rPr>
              <w:rFonts w:asciiTheme="minorHAnsi" w:eastAsiaTheme="minorEastAsia" w:hAnsiTheme="minorHAnsi" w:cstheme="minorBidi"/>
              <w:sz w:val="22"/>
              <w:lang w:val="es-ES" w:eastAsia="es-ES"/>
            </w:rPr>
          </w:pPr>
          <w:hyperlink w:anchor="_Toc99110715" w:history="1">
            <w:r w:rsidR="003D3409" w:rsidRPr="003D3409">
              <w:rPr>
                <w:rStyle w:val="Hipervnculo"/>
              </w:rPr>
              <w:t>4.1.</w:t>
            </w:r>
            <w:r w:rsidR="003D3409" w:rsidRPr="003D3409">
              <w:rPr>
                <w:rFonts w:asciiTheme="minorHAnsi" w:eastAsiaTheme="minorEastAsia" w:hAnsiTheme="minorHAnsi" w:cstheme="minorBidi"/>
                <w:sz w:val="22"/>
                <w:lang w:val="es-ES" w:eastAsia="es-ES"/>
              </w:rPr>
              <w:tab/>
            </w:r>
            <w:r w:rsidR="003D3409" w:rsidRPr="003D3409">
              <w:rPr>
                <w:rStyle w:val="Hipervnculo"/>
              </w:rPr>
              <w:t>Presentació</w:t>
            </w:r>
            <w:r w:rsidR="003D3409" w:rsidRPr="003D3409">
              <w:rPr>
                <w:webHidden/>
              </w:rPr>
              <w:tab/>
            </w:r>
            <w:r w:rsidR="003D3409" w:rsidRPr="003D3409">
              <w:rPr>
                <w:webHidden/>
              </w:rPr>
              <w:fldChar w:fldCharType="begin" w:fldLock="1"/>
            </w:r>
            <w:r w:rsidR="003D3409" w:rsidRPr="003D3409">
              <w:rPr>
                <w:webHidden/>
              </w:rPr>
              <w:instrText xml:space="preserve"> PAGEREF _Toc99110715 \h </w:instrText>
            </w:r>
            <w:r w:rsidR="003D3409" w:rsidRPr="003D3409">
              <w:rPr>
                <w:webHidden/>
              </w:rPr>
            </w:r>
            <w:r w:rsidR="003D3409" w:rsidRPr="003D3409">
              <w:rPr>
                <w:webHidden/>
              </w:rPr>
              <w:fldChar w:fldCharType="separate"/>
            </w:r>
            <w:r w:rsidR="003D3409" w:rsidRPr="003D3409">
              <w:rPr>
                <w:webHidden/>
              </w:rPr>
              <w:t>133</w:t>
            </w:r>
            <w:r w:rsidR="003D3409" w:rsidRPr="003D3409">
              <w:rPr>
                <w:webHidden/>
              </w:rPr>
              <w:fldChar w:fldCharType="end"/>
            </w:r>
          </w:hyperlink>
        </w:p>
        <w:p w14:paraId="079B1C81" w14:textId="1EE0A796" w:rsidR="003D3409" w:rsidRPr="003D3409" w:rsidRDefault="00254AEC" w:rsidP="008A26B8">
          <w:pPr>
            <w:pStyle w:val="TDC2"/>
            <w:rPr>
              <w:rFonts w:asciiTheme="minorHAnsi" w:eastAsiaTheme="minorEastAsia" w:hAnsiTheme="minorHAnsi" w:cstheme="minorBidi"/>
              <w:sz w:val="22"/>
              <w:lang w:val="es-ES" w:eastAsia="es-ES"/>
            </w:rPr>
          </w:pPr>
          <w:hyperlink w:anchor="_Toc99110716" w:history="1">
            <w:r w:rsidR="003D3409" w:rsidRPr="003D3409">
              <w:rPr>
                <w:rStyle w:val="Hipervnculo"/>
              </w:rPr>
              <w:t>4.2.</w:t>
            </w:r>
            <w:r w:rsidR="003D3409" w:rsidRPr="003D3409">
              <w:rPr>
                <w:rFonts w:asciiTheme="minorHAnsi" w:eastAsiaTheme="minorEastAsia" w:hAnsiTheme="minorHAnsi" w:cstheme="minorBidi"/>
                <w:sz w:val="22"/>
                <w:lang w:val="es-ES" w:eastAsia="es-ES"/>
              </w:rPr>
              <w:tab/>
            </w:r>
            <w:r w:rsidR="003D3409" w:rsidRPr="003D3409">
              <w:rPr>
                <w:rStyle w:val="Hipervnculo"/>
              </w:rPr>
              <w:t>Denúncies presentades, classificacions i evolució</w:t>
            </w:r>
            <w:r w:rsidR="003D3409" w:rsidRPr="003D3409">
              <w:rPr>
                <w:webHidden/>
              </w:rPr>
              <w:tab/>
            </w:r>
            <w:r w:rsidR="003D3409" w:rsidRPr="003D3409">
              <w:rPr>
                <w:webHidden/>
              </w:rPr>
              <w:fldChar w:fldCharType="begin" w:fldLock="1"/>
            </w:r>
            <w:r w:rsidR="003D3409" w:rsidRPr="003D3409">
              <w:rPr>
                <w:webHidden/>
              </w:rPr>
              <w:instrText xml:space="preserve"> PAGEREF _Toc99110716 \h </w:instrText>
            </w:r>
            <w:r w:rsidR="003D3409" w:rsidRPr="003D3409">
              <w:rPr>
                <w:webHidden/>
              </w:rPr>
            </w:r>
            <w:r w:rsidR="003D3409" w:rsidRPr="003D3409">
              <w:rPr>
                <w:webHidden/>
              </w:rPr>
              <w:fldChar w:fldCharType="separate"/>
            </w:r>
            <w:r w:rsidR="003D3409" w:rsidRPr="003D3409">
              <w:rPr>
                <w:webHidden/>
              </w:rPr>
              <w:t>135</w:t>
            </w:r>
            <w:r w:rsidR="003D3409" w:rsidRPr="003D3409">
              <w:rPr>
                <w:webHidden/>
              </w:rPr>
              <w:fldChar w:fldCharType="end"/>
            </w:r>
          </w:hyperlink>
        </w:p>
        <w:p w14:paraId="64A136A9" w14:textId="1E0197A2" w:rsidR="003D3409" w:rsidRPr="003D3409" w:rsidRDefault="00254AEC" w:rsidP="008A26B8">
          <w:pPr>
            <w:pStyle w:val="TDC3"/>
            <w:rPr>
              <w:noProof/>
              <w:sz w:val="22"/>
              <w:szCs w:val="22"/>
              <w:lang w:val="es-ES" w:eastAsia="es-ES"/>
            </w:rPr>
          </w:pPr>
          <w:hyperlink w:anchor="_Toc99110717" w:history="1">
            <w:r w:rsidR="003D3409" w:rsidRPr="003D3409">
              <w:rPr>
                <w:rStyle w:val="Hipervnculo"/>
                <w:rFonts w:ascii="Arial" w:eastAsia="Times New Roman" w:hAnsi="Arial" w:cs="Arial"/>
                <w:noProof/>
              </w:rPr>
              <w:t>4.2.1.</w:t>
            </w:r>
            <w:r w:rsidR="003D3409" w:rsidRPr="003D3409">
              <w:rPr>
                <w:noProof/>
                <w:sz w:val="22"/>
                <w:szCs w:val="22"/>
                <w:lang w:val="es-ES" w:eastAsia="es-ES"/>
              </w:rPr>
              <w:tab/>
            </w:r>
            <w:r w:rsidR="003D3409" w:rsidRPr="003D3409">
              <w:rPr>
                <w:rStyle w:val="Hipervnculo"/>
                <w:rFonts w:ascii="Arial" w:eastAsia="Times New Roman" w:hAnsi="Arial" w:cs="Arial"/>
                <w:noProof/>
                <w:lang w:val="ca-ES"/>
              </w:rPr>
              <w:t>Denúncies presentades per àmbit subjectiu</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_Toc99110717 \h </w:instrText>
            </w:r>
            <w:r w:rsidR="003D3409" w:rsidRPr="003D3409">
              <w:rPr>
                <w:noProof/>
                <w:webHidden/>
              </w:rPr>
            </w:r>
            <w:r w:rsidR="003D3409" w:rsidRPr="003D3409">
              <w:rPr>
                <w:noProof/>
                <w:webHidden/>
              </w:rPr>
              <w:fldChar w:fldCharType="separate"/>
            </w:r>
            <w:r w:rsidR="003D3409" w:rsidRPr="003D3409">
              <w:rPr>
                <w:noProof/>
                <w:webHidden/>
              </w:rPr>
              <w:t>136</w:t>
            </w:r>
            <w:r w:rsidR="003D3409" w:rsidRPr="003D3409">
              <w:rPr>
                <w:noProof/>
                <w:webHidden/>
              </w:rPr>
              <w:fldChar w:fldCharType="end"/>
            </w:r>
          </w:hyperlink>
        </w:p>
        <w:p w14:paraId="17BADB45" w14:textId="69B4FF79" w:rsidR="003D3409" w:rsidRPr="003D3409" w:rsidRDefault="00254AEC" w:rsidP="008A26B8">
          <w:pPr>
            <w:pStyle w:val="TDC3"/>
            <w:rPr>
              <w:noProof/>
              <w:sz w:val="22"/>
              <w:szCs w:val="22"/>
              <w:lang w:val="es-ES" w:eastAsia="es-ES"/>
            </w:rPr>
          </w:pPr>
          <w:hyperlink w:anchor="_Toc99110718" w:history="1">
            <w:r w:rsidR="003D3409" w:rsidRPr="003D3409">
              <w:rPr>
                <w:rStyle w:val="Hipervnculo"/>
                <w:rFonts w:ascii="Arial" w:eastAsia="Times New Roman" w:hAnsi="Arial" w:cs="Arial"/>
                <w:noProof/>
                <w:lang w:val="ca-ES"/>
              </w:rPr>
              <w:t>4.2.2.</w:t>
            </w:r>
            <w:r w:rsidR="003D3409" w:rsidRPr="003D3409">
              <w:rPr>
                <w:noProof/>
                <w:sz w:val="22"/>
                <w:szCs w:val="22"/>
                <w:lang w:val="es-ES" w:eastAsia="es-ES"/>
              </w:rPr>
              <w:tab/>
            </w:r>
            <w:r w:rsidR="003D3409" w:rsidRPr="003D3409">
              <w:rPr>
                <w:rStyle w:val="Hipervnculo"/>
                <w:rFonts w:ascii="Arial" w:eastAsia="Times New Roman" w:hAnsi="Arial" w:cs="Arial"/>
                <w:noProof/>
                <w:lang w:val="ca-ES"/>
              </w:rPr>
              <w:t>Denúncies presentades segons el canal de comunicació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_Toc99110718 \h </w:instrText>
            </w:r>
            <w:r w:rsidR="003D3409" w:rsidRPr="003D3409">
              <w:rPr>
                <w:noProof/>
                <w:webHidden/>
              </w:rPr>
            </w:r>
            <w:r w:rsidR="003D3409" w:rsidRPr="003D3409">
              <w:rPr>
                <w:noProof/>
                <w:webHidden/>
              </w:rPr>
              <w:fldChar w:fldCharType="separate"/>
            </w:r>
            <w:r w:rsidR="003D3409" w:rsidRPr="003D3409">
              <w:rPr>
                <w:noProof/>
                <w:webHidden/>
              </w:rPr>
              <w:t>138</w:t>
            </w:r>
            <w:r w:rsidR="003D3409" w:rsidRPr="003D3409">
              <w:rPr>
                <w:noProof/>
                <w:webHidden/>
              </w:rPr>
              <w:fldChar w:fldCharType="end"/>
            </w:r>
          </w:hyperlink>
        </w:p>
        <w:p w14:paraId="767AB2CA" w14:textId="10A0A322" w:rsidR="003D3409" w:rsidRPr="003D3409" w:rsidRDefault="00254AEC" w:rsidP="008A26B8">
          <w:pPr>
            <w:pStyle w:val="TDC3"/>
            <w:rPr>
              <w:noProof/>
              <w:sz w:val="22"/>
              <w:szCs w:val="22"/>
              <w:lang w:val="es-ES" w:eastAsia="es-ES"/>
            </w:rPr>
          </w:pPr>
          <w:hyperlink w:anchor="_Toc99110719" w:history="1">
            <w:r w:rsidR="003D3409" w:rsidRPr="003D3409">
              <w:rPr>
                <w:rStyle w:val="Hipervnculo"/>
                <w:rFonts w:ascii="Arial" w:eastAsia="Times New Roman" w:hAnsi="Arial" w:cs="Arial"/>
                <w:noProof/>
                <w:lang w:val="ca-ES"/>
              </w:rPr>
              <w:t>4.2.3.</w:t>
            </w:r>
            <w:r w:rsidR="003D3409" w:rsidRPr="003D3409">
              <w:rPr>
                <w:noProof/>
                <w:sz w:val="22"/>
                <w:szCs w:val="22"/>
                <w:lang w:val="es-ES" w:eastAsia="es-ES"/>
              </w:rPr>
              <w:tab/>
            </w:r>
            <w:r w:rsidR="003D3409" w:rsidRPr="003D3409">
              <w:rPr>
                <w:rStyle w:val="Hipervnculo"/>
                <w:rFonts w:ascii="Arial" w:eastAsia="Times New Roman" w:hAnsi="Arial" w:cs="Arial"/>
                <w:noProof/>
                <w:lang w:val="ca-ES"/>
              </w:rPr>
              <w:t>Denúncies presentades segons el territori d’afectació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_Toc99110719 \h </w:instrText>
            </w:r>
            <w:r w:rsidR="003D3409" w:rsidRPr="003D3409">
              <w:rPr>
                <w:noProof/>
                <w:webHidden/>
              </w:rPr>
            </w:r>
            <w:r w:rsidR="003D3409" w:rsidRPr="003D3409">
              <w:rPr>
                <w:noProof/>
                <w:webHidden/>
              </w:rPr>
              <w:fldChar w:fldCharType="separate"/>
            </w:r>
            <w:r w:rsidR="003D3409" w:rsidRPr="003D3409">
              <w:rPr>
                <w:noProof/>
                <w:webHidden/>
              </w:rPr>
              <w:t>140</w:t>
            </w:r>
            <w:r w:rsidR="003D3409" w:rsidRPr="003D3409">
              <w:rPr>
                <w:noProof/>
                <w:webHidden/>
              </w:rPr>
              <w:fldChar w:fldCharType="end"/>
            </w:r>
          </w:hyperlink>
        </w:p>
        <w:p w14:paraId="5C29EF95" w14:textId="16CB16D9" w:rsidR="003D3409" w:rsidRPr="003D3409" w:rsidRDefault="00254AEC" w:rsidP="008A26B8">
          <w:pPr>
            <w:pStyle w:val="TDC3"/>
            <w:rPr>
              <w:noProof/>
              <w:sz w:val="22"/>
              <w:szCs w:val="22"/>
              <w:lang w:val="es-ES" w:eastAsia="es-ES"/>
            </w:rPr>
          </w:pPr>
          <w:hyperlink w:anchor="_Toc99110720" w:history="1">
            <w:r w:rsidR="003D3409" w:rsidRPr="003D3409">
              <w:rPr>
                <w:rStyle w:val="Hipervnculo"/>
                <w:rFonts w:ascii="Arial" w:eastAsia="Times New Roman" w:hAnsi="Arial" w:cs="Arial"/>
                <w:noProof/>
              </w:rPr>
              <w:t>4.2.4.</w:t>
            </w:r>
            <w:r w:rsidR="003D3409" w:rsidRPr="003D3409">
              <w:rPr>
                <w:noProof/>
                <w:sz w:val="22"/>
                <w:szCs w:val="22"/>
                <w:lang w:val="es-ES" w:eastAsia="es-ES"/>
              </w:rPr>
              <w:tab/>
            </w:r>
            <w:r w:rsidR="003D3409" w:rsidRPr="003D3409">
              <w:rPr>
                <w:rStyle w:val="Hipervnculo"/>
                <w:rFonts w:ascii="Arial" w:eastAsia="Times New Roman" w:hAnsi="Arial" w:cs="Arial"/>
                <w:noProof/>
              </w:rPr>
              <w:t>Denúncies presentades segons l’àmbit material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_Toc99110720 \h </w:instrText>
            </w:r>
            <w:r w:rsidR="003D3409" w:rsidRPr="003D3409">
              <w:rPr>
                <w:noProof/>
                <w:webHidden/>
              </w:rPr>
            </w:r>
            <w:r w:rsidR="003D3409" w:rsidRPr="003D3409">
              <w:rPr>
                <w:noProof/>
                <w:webHidden/>
              </w:rPr>
              <w:fldChar w:fldCharType="separate"/>
            </w:r>
            <w:r w:rsidR="003D3409" w:rsidRPr="003D3409">
              <w:rPr>
                <w:noProof/>
                <w:webHidden/>
              </w:rPr>
              <w:t>141</w:t>
            </w:r>
            <w:r w:rsidR="003D3409" w:rsidRPr="003D3409">
              <w:rPr>
                <w:noProof/>
                <w:webHidden/>
              </w:rPr>
              <w:fldChar w:fldCharType="end"/>
            </w:r>
          </w:hyperlink>
        </w:p>
        <w:p w14:paraId="4FD91F3D" w14:textId="4AF75E8B" w:rsidR="003D3409" w:rsidRPr="003D3409" w:rsidRDefault="00254AEC" w:rsidP="008A26B8">
          <w:pPr>
            <w:pStyle w:val="TDC3"/>
            <w:rPr>
              <w:noProof/>
              <w:sz w:val="22"/>
              <w:szCs w:val="22"/>
              <w:lang w:val="es-ES" w:eastAsia="es-ES"/>
            </w:rPr>
          </w:pPr>
          <w:hyperlink w:anchor="_Toc99110721" w:history="1">
            <w:r w:rsidR="003D3409" w:rsidRPr="003D3409">
              <w:rPr>
                <w:rStyle w:val="Hipervnculo"/>
                <w:rFonts w:ascii="Arial" w:eastAsia="Times New Roman" w:hAnsi="Arial" w:cs="Arial"/>
                <w:noProof/>
              </w:rPr>
              <w:t>4.2.5.</w:t>
            </w:r>
            <w:r w:rsidR="003D3409" w:rsidRPr="003D3409">
              <w:rPr>
                <w:noProof/>
                <w:sz w:val="22"/>
                <w:szCs w:val="22"/>
                <w:lang w:val="es-ES" w:eastAsia="es-ES"/>
              </w:rPr>
              <w:tab/>
            </w:r>
            <w:r w:rsidR="003D3409" w:rsidRPr="003D3409">
              <w:rPr>
                <w:rStyle w:val="Hipervnculo"/>
                <w:rFonts w:ascii="Arial" w:eastAsia="Times New Roman" w:hAnsi="Arial" w:cs="Arial"/>
                <w:noProof/>
              </w:rPr>
              <w:t>Denúncies presentades segons la tipologia, condició o naturalesa del comunicant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_Toc99110721 \h </w:instrText>
            </w:r>
            <w:r w:rsidR="003D3409" w:rsidRPr="003D3409">
              <w:rPr>
                <w:noProof/>
                <w:webHidden/>
              </w:rPr>
            </w:r>
            <w:r w:rsidR="003D3409" w:rsidRPr="003D3409">
              <w:rPr>
                <w:noProof/>
                <w:webHidden/>
              </w:rPr>
              <w:fldChar w:fldCharType="separate"/>
            </w:r>
            <w:r w:rsidR="003D3409" w:rsidRPr="003D3409">
              <w:rPr>
                <w:noProof/>
                <w:webHidden/>
              </w:rPr>
              <w:t>143</w:t>
            </w:r>
            <w:r w:rsidR="003D3409" w:rsidRPr="003D3409">
              <w:rPr>
                <w:noProof/>
                <w:webHidden/>
              </w:rPr>
              <w:fldChar w:fldCharType="end"/>
            </w:r>
          </w:hyperlink>
        </w:p>
        <w:p w14:paraId="57904784" w14:textId="39221B05" w:rsidR="003D3409" w:rsidRPr="003D3409" w:rsidRDefault="00254AEC" w:rsidP="008A26B8">
          <w:pPr>
            <w:pStyle w:val="TDC3"/>
            <w:rPr>
              <w:noProof/>
              <w:sz w:val="22"/>
              <w:szCs w:val="22"/>
              <w:lang w:val="es-ES" w:eastAsia="es-ES"/>
            </w:rPr>
          </w:pPr>
          <w:hyperlink w:anchor="_Toc99110722" w:history="1">
            <w:r w:rsidR="003D3409" w:rsidRPr="003D3409">
              <w:rPr>
                <w:rStyle w:val="Hipervnculo"/>
                <w:rFonts w:ascii="Arial" w:eastAsia="Times New Roman" w:hAnsi="Arial" w:cs="Arial"/>
                <w:noProof/>
              </w:rPr>
              <w:t>4.2.6.</w:t>
            </w:r>
            <w:r w:rsidR="003D3409" w:rsidRPr="003D3409">
              <w:rPr>
                <w:noProof/>
                <w:sz w:val="22"/>
                <w:szCs w:val="22"/>
                <w:lang w:val="es-ES" w:eastAsia="es-ES"/>
              </w:rPr>
              <w:tab/>
            </w:r>
            <w:r w:rsidR="003D3409" w:rsidRPr="003D3409">
              <w:rPr>
                <w:rStyle w:val="Hipervnculo"/>
                <w:rFonts w:ascii="Arial" w:eastAsia="Times New Roman" w:hAnsi="Arial" w:cs="Arial"/>
                <w:noProof/>
              </w:rPr>
              <w:t>Denúncies de persones físiques classificades per gènere</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_Toc99110722 \h </w:instrText>
            </w:r>
            <w:r w:rsidR="003D3409" w:rsidRPr="003D3409">
              <w:rPr>
                <w:noProof/>
                <w:webHidden/>
              </w:rPr>
            </w:r>
            <w:r w:rsidR="003D3409" w:rsidRPr="003D3409">
              <w:rPr>
                <w:noProof/>
                <w:webHidden/>
              </w:rPr>
              <w:fldChar w:fldCharType="separate"/>
            </w:r>
            <w:r w:rsidR="003D3409" w:rsidRPr="003D3409">
              <w:rPr>
                <w:noProof/>
                <w:webHidden/>
              </w:rPr>
              <w:t>145</w:t>
            </w:r>
            <w:r w:rsidR="003D3409" w:rsidRPr="003D3409">
              <w:rPr>
                <w:noProof/>
                <w:webHidden/>
              </w:rPr>
              <w:fldChar w:fldCharType="end"/>
            </w:r>
          </w:hyperlink>
        </w:p>
        <w:p w14:paraId="5514836B" w14:textId="3A5D3EE3" w:rsidR="003D3409" w:rsidRPr="003D3409" w:rsidRDefault="00254AEC" w:rsidP="008A26B8">
          <w:pPr>
            <w:pStyle w:val="TDC2"/>
            <w:rPr>
              <w:rFonts w:asciiTheme="minorHAnsi" w:eastAsiaTheme="minorEastAsia" w:hAnsiTheme="minorHAnsi" w:cstheme="minorBidi"/>
              <w:sz w:val="22"/>
              <w:lang w:val="es-ES" w:eastAsia="es-ES"/>
            </w:rPr>
          </w:pPr>
          <w:hyperlink w:anchor="_Toc99110723" w:history="1">
            <w:r w:rsidR="003D3409" w:rsidRPr="003D3409">
              <w:rPr>
                <w:rStyle w:val="Hipervnculo"/>
              </w:rPr>
              <w:t>4.3.</w:t>
            </w:r>
            <w:r w:rsidR="003D3409" w:rsidRPr="003D3409">
              <w:rPr>
                <w:rFonts w:asciiTheme="minorHAnsi" w:eastAsiaTheme="minorEastAsia" w:hAnsiTheme="minorHAnsi" w:cstheme="minorBidi"/>
                <w:sz w:val="22"/>
                <w:lang w:val="es-ES" w:eastAsia="es-ES"/>
              </w:rPr>
              <w:tab/>
            </w:r>
            <w:r w:rsidR="003D3409" w:rsidRPr="003D3409">
              <w:rPr>
                <w:rStyle w:val="Hipervnculo"/>
              </w:rPr>
              <w:t>Seguiment de la gestió dels expedients d'investigació durant l'any 2021 i evolució</w:t>
            </w:r>
            <w:r w:rsidR="003D3409" w:rsidRPr="003D3409">
              <w:rPr>
                <w:webHidden/>
              </w:rPr>
              <w:tab/>
            </w:r>
            <w:r w:rsidR="003D3409" w:rsidRPr="003D3409">
              <w:rPr>
                <w:webHidden/>
              </w:rPr>
              <w:fldChar w:fldCharType="begin" w:fldLock="1"/>
            </w:r>
            <w:r w:rsidR="003D3409" w:rsidRPr="003D3409">
              <w:rPr>
                <w:webHidden/>
              </w:rPr>
              <w:instrText xml:space="preserve"> PAGEREF _Toc99110723 \h </w:instrText>
            </w:r>
            <w:r w:rsidR="003D3409" w:rsidRPr="003D3409">
              <w:rPr>
                <w:webHidden/>
              </w:rPr>
            </w:r>
            <w:r w:rsidR="003D3409" w:rsidRPr="003D3409">
              <w:rPr>
                <w:webHidden/>
              </w:rPr>
              <w:fldChar w:fldCharType="separate"/>
            </w:r>
            <w:r w:rsidR="003D3409" w:rsidRPr="003D3409">
              <w:rPr>
                <w:webHidden/>
              </w:rPr>
              <w:t>146</w:t>
            </w:r>
            <w:r w:rsidR="003D3409" w:rsidRPr="003D3409">
              <w:rPr>
                <w:webHidden/>
              </w:rPr>
              <w:fldChar w:fldCharType="end"/>
            </w:r>
          </w:hyperlink>
        </w:p>
        <w:p w14:paraId="0F02925D" w14:textId="4ABA5352" w:rsidR="003D3409" w:rsidRPr="003D3409" w:rsidRDefault="00254AEC" w:rsidP="008A26B8">
          <w:pPr>
            <w:pStyle w:val="TDC2"/>
            <w:rPr>
              <w:rFonts w:asciiTheme="minorHAnsi" w:eastAsiaTheme="minorEastAsia" w:hAnsiTheme="minorHAnsi" w:cstheme="minorBidi"/>
              <w:sz w:val="22"/>
              <w:lang w:val="es-ES" w:eastAsia="es-ES"/>
            </w:rPr>
          </w:pPr>
          <w:hyperlink w:anchor="_Toc99110724" w:history="1">
            <w:r w:rsidR="003D3409" w:rsidRPr="003D3409">
              <w:rPr>
                <w:rStyle w:val="Hipervnculo"/>
              </w:rPr>
              <w:t>4.4.</w:t>
            </w:r>
            <w:r w:rsidR="003D3409" w:rsidRPr="003D3409">
              <w:rPr>
                <w:rFonts w:asciiTheme="minorHAnsi" w:eastAsiaTheme="minorEastAsia" w:hAnsiTheme="minorHAnsi" w:cstheme="minorBidi"/>
                <w:sz w:val="22"/>
                <w:lang w:val="es-ES" w:eastAsia="es-ES"/>
              </w:rPr>
              <w:tab/>
            </w:r>
            <w:r w:rsidR="003D3409" w:rsidRPr="003D3409">
              <w:rPr>
                <w:rStyle w:val="Hipervnculo"/>
              </w:rPr>
              <w:t>Resum de les investigacions finalitzades en 2021</w:t>
            </w:r>
            <w:r w:rsidR="003D3409" w:rsidRPr="003D3409">
              <w:rPr>
                <w:webHidden/>
              </w:rPr>
              <w:tab/>
            </w:r>
            <w:r w:rsidR="003D3409" w:rsidRPr="003D3409">
              <w:rPr>
                <w:webHidden/>
              </w:rPr>
              <w:fldChar w:fldCharType="begin" w:fldLock="1"/>
            </w:r>
            <w:r w:rsidR="003D3409" w:rsidRPr="003D3409">
              <w:rPr>
                <w:webHidden/>
              </w:rPr>
              <w:instrText xml:space="preserve"> PAGEREF _Toc99110724 \h </w:instrText>
            </w:r>
            <w:r w:rsidR="003D3409" w:rsidRPr="003D3409">
              <w:rPr>
                <w:webHidden/>
              </w:rPr>
            </w:r>
            <w:r w:rsidR="003D3409" w:rsidRPr="003D3409">
              <w:rPr>
                <w:webHidden/>
              </w:rPr>
              <w:fldChar w:fldCharType="separate"/>
            </w:r>
            <w:r w:rsidR="003D3409" w:rsidRPr="003D3409">
              <w:rPr>
                <w:webHidden/>
              </w:rPr>
              <w:t>149</w:t>
            </w:r>
            <w:r w:rsidR="003D3409" w:rsidRPr="003D3409">
              <w:rPr>
                <w:webHidden/>
              </w:rPr>
              <w:fldChar w:fldCharType="end"/>
            </w:r>
          </w:hyperlink>
        </w:p>
        <w:p w14:paraId="70B5C23D" w14:textId="18621BD1" w:rsidR="003D3409" w:rsidRPr="003D3409" w:rsidRDefault="00254AEC" w:rsidP="008A26B8">
          <w:pPr>
            <w:pStyle w:val="TDC3"/>
            <w:rPr>
              <w:noProof/>
              <w:sz w:val="22"/>
              <w:szCs w:val="22"/>
              <w:lang w:val="es-ES" w:eastAsia="es-ES"/>
            </w:rPr>
          </w:pPr>
          <w:hyperlink w:anchor="_Toc99110725" w:history="1">
            <w:r w:rsidR="003D3409" w:rsidRPr="003D3409">
              <w:rPr>
                <w:rStyle w:val="Hipervnculo"/>
                <w:rFonts w:ascii="Arial" w:eastAsia="Times New Roman" w:hAnsi="Arial" w:cs="Arial"/>
                <w:noProof/>
              </w:rPr>
              <w:t>4.4.1.</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Contractació d'obres de la coberta del teatre “El Musical”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_Toc99110725 \h </w:instrText>
            </w:r>
            <w:r w:rsidR="003D3409" w:rsidRPr="003D3409">
              <w:rPr>
                <w:noProof/>
                <w:webHidden/>
              </w:rPr>
            </w:r>
            <w:r w:rsidR="003D3409" w:rsidRPr="003D3409">
              <w:rPr>
                <w:noProof/>
                <w:webHidden/>
              </w:rPr>
              <w:fldChar w:fldCharType="separate"/>
            </w:r>
            <w:r w:rsidR="003D3409" w:rsidRPr="003D3409">
              <w:rPr>
                <w:noProof/>
                <w:webHidden/>
              </w:rPr>
              <w:t>149</w:t>
            </w:r>
            <w:r w:rsidR="003D3409" w:rsidRPr="003D3409">
              <w:rPr>
                <w:noProof/>
                <w:webHidden/>
              </w:rPr>
              <w:fldChar w:fldCharType="end"/>
            </w:r>
          </w:hyperlink>
        </w:p>
        <w:p w14:paraId="07E990CE" w14:textId="3CD14518" w:rsidR="003D3409" w:rsidRPr="003D3409" w:rsidRDefault="00254AEC" w:rsidP="008A26B8">
          <w:pPr>
            <w:pStyle w:val="TDC3"/>
            <w:rPr>
              <w:noProof/>
              <w:sz w:val="22"/>
              <w:szCs w:val="22"/>
              <w:lang w:val="es-ES" w:eastAsia="es-ES"/>
            </w:rPr>
          </w:pPr>
          <w:hyperlink w:anchor="_Toc99110726" w:history="1">
            <w:r w:rsidR="003D3409" w:rsidRPr="003D3409">
              <w:rPr>
                <w:rStyle w:val="Hipervnculo"/>
                <w:rFonts w:ascii="Arial" w:eastAsia="Times New Roman" w:hAnsi="Arial" w:cs="Arial"/>
                <w:noProof/>
              </w:rPr>
              <w:t>4.4.2.</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Diputació Provincial de València, Ajuntament de Sueca, Ajuntament de Paterna, Direcció General d'Administració Local (DGAL). Provisió llocs de funcionaris d'administració local amb habilitació de caràcter nacional (FHCN) de la Diputació Provncial de València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_Toc99110726 \h </w:instrText>
            </w:r>
            <w:r w:rsidR="003D3409" w:rsidRPr="003D3409">
              <w:rPr>
                <w:noProof/>
                <w:webHidden/>
              </w:rPr>
            </w:r>
            <w:r w:rsidR="003D3409" w:rsidRPr="003D3409">
              <w:rPr>
                <w:noProof/>
                <w:webHidden/>
              </w:rPr>
              <w:fldChar w:fldCharType="separate"/>
            </w:r>
            <w:r w:rsidR="003D3409" w:rsidRPr="003D3409">
              <w:rPr>
                <w:noProof/>
                <w:webHidden/>
              </w:rPr>
              <w:t>150</w:t>
            </w:r>
            <w:r w:rsidR="003D3409" w:rsidRPr="003D3409">
              <w:rPr>
                <w:noProof/>
                <w:webHidden/>
              </w:rPr>
              <w:fldChar w:fldCharType="end"/>
            </w:r>
          </w:hyperlink>
        </w:p>
        <w:p w14:paraId="2664DF04" w14:textId="046D174F" w:rsidR="003D3409" w:rsidRPr="003D3409" w:rsidRDefault="00254AEC" w:rsidP="008A26B8">
          <w:pPr>
            <w:pStyle w:val="TDC3"/>
            <w:rPr>
              <w:noProof/>
              <w:sz w:val="22"/>
              <w:szCs w:val="22"/>
              <w:lang w:val="es-ES" w:eastAsia="es-ES"/>
            </w:rPr>
          </w:pPr>
          <w:hyperlink w:anchor="_Toc99110727" w:history="1">
            <w:r w:rsidR="003D3409" w:rsidRPr="003D3409">
              <w:rPr>
                <w:rStyle w:val="Hipervnculo"/>
                <w:rFonts w:ascii="Arial" w:eastAsia="Times New Roman" w:hAnsi="Arial" w:cs="Arial"/>
                <w:noProof/>
              </w:rPr>
              <w:t>4.4.3.</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Institut Valencià de Cultura. Irregularitats en la gestió de personal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_Toc99110727 \h </w:instrText>
            </w:r>
            <w:r w:rsidR="003D3409" w:rsidRPr="003D3409">
              <w:rPr>
                <w:noProof/>
                <w:webHidden/>
              </w:rPr>
            </w:r>
            <w:r w:rsidR="003D3409" w:rsidRPr="003D3409">
              <w:rPr>
                <w:noProof/>
                <w:webHidden/>
              </w:rPr>
              <w:fldChar w:fldCharType="separate"/>
            </w:r>
            <w:r w:rsidR="003D3409" w:rsidRPr="003D3409">
              <w:rPr>
                <w:noProof/>
                <w:webHidden/>
              </w:rPr>
              <w:t>152</w:t>
            </w:r>
            <w:r w:rsidR="003D3409" w:rsidRPr="003D3409">
              <w:rPr>
                <w:noProof/>
                <w:webHidden/>
              </w:rPr>
              <w:fldChar w:fldCharType="end"/>
            </w:r>
          </w:hyperlink>
        </w:p>
        <w:p w14:paraId="06CC6E6E" w14:textId="3D30989E" w:rsidR="003D3409" w:rsidRPr="003D3409" w:rsidRDefault="00254AEC" w:rsidP="008A26B8">
          <w:pPr>
            <w:pStyle w:val="TDC3"/>
            <w:rPr>
              <w:noProof/>
              <w:sz w:val="22"/>
              <w:szCs w:val="22"/>
              <w:lang w:val="es-ES" w:eastAsia="es-ES"/>
            </w:rPr>
          </w:pPr>
          <w:hyperlink w:anchor="_Toc99110728" w:history="1">
            <w:r w:rsidR="003D3409" w:rsidRPr="003D3409">
              <w:rPr>
                <w:rStyle w:val="Hipervnculo"/>
                <w:rFonts w:ascii="Arial" w:eastAsia="Times New Roman" w:hAnsi="Arial" w:cs="Arial"/>
                <w:noProof/>
              </w:rPr>
              <w:t>4.4.4.</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Cofrentes. Diverses irregularitats en procediments de contractació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_Toc99110728 \h </w:instrText>
            </w:r>
            <w:r w:rsidR="003D3409" w:rsidRPr="003D3409">
              <w:rPr>
                <w:noProof/>
                <w:webHidden/>
              </w:rPr>
            </w:r>
            <w:r w:rsidR="003D3409" w:rsidRPr="003D3409">
              <w:rPr>
                <w:noProof/>
                <w:webHidden/>
              </w:rPr>
              <w:fldChar w:fldCharType="separate"/>
            </w:r>
            <w:r w:rsidR="003D3409" w:rsidRPr="003D3409">
              <w:rPr>
                <w:noProof/>
                <w:webHidden/>
              </w:rPr>
              <w:t>153</w:t>
            </w:r>
            <w:r w:rsidR="003D3409" w:rsidRPr="003D3409">
              <w:rPr>
                <w:noProof/>
                <w:webHidden/>
              </w:rPr>
              <w:fldChar w:fldCharType="end"/>
            </w:r>
          </w:hyperlink>
        </w:p>
        <w:p w14:paraId="6BB51A7F" w14:textId="684AAC3D" w:rsidR="003D3409" w:rsidRPr="003D3409" w:rsidRDefault="00254AEC" w:rsidP="008A26B8">
          <w:pPr>
            <w:pStyle w:val="TDC3"/>
            <w:rPr>
              <w:noProof/>
              <w:sz w:val="22"/>
              <w:szCs w:val="22"/>
              <w:lang w:val="es-ES" w:eastAsia="es-ES"/>
            </w:rPr>
          </w:pPr>
          <w:hyperlink w:anchor="_Toc99110729" w:history="1">
            <w:r w:rsidR="003D3409" w:rsidRPr="003D3409">
              <w:rPr>
                <w:rStyle w:val="Hipervnculo"/>
                <w:rFonts w:ascii="Arial" w:eastAsia="Times New Roman" w:hAnsi="Arial" w:cs="Arial"/>
                <w:noProof/>
              </w:rPr>
              <w:t>4.4.5.</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Responsabilitat administrativa y/o comptable</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_Toc99110729 \h </w:instrText>
            </w:r>
            <w:r w:rsidR="003D3409" w:rsidRPr="003D3409">
              <w:rPr>
                <w:noProof/>
                <w:webHidden/>
              </w:rPr>
            </w:r>
            <w:r w:rsidR="003D3409" w:rsidRPr="003D3409">
              <w:rPr>
                <w:noProof/>
                <w:webHidden/>
              </w:rPr>
              <w:fldChar w:fldCharType="separate"/>
            </w:r>
            <w:r w:rsidR="003D3409" w:rsidRPr="003D3409">
              <w:rPr>
                <w:noProof/>
                <w:webHidden/>
              </w:rPr>
              <w:t>154</w:t>
            </w:r>
            <w:r w:rsidR="003D3409" w:rsidRPr="003D3409">
              <w:rPr>
                <w:noProof/>
                <w:webHidden/>
              </w:rPr>
              <w:fldChar w:fldCharType="end"/>
            </w:r>
          </w:hyperlink>
        </w:p>
        <w:p w14:paraId="1DC65E3E" w14:textId="3CE01193" w:rsidR="003D3409" w:rsidRPr="003D3409" w:rsidRDefault="00254AEC" w:rsidP="008A26B8">
          <w:pPr>
            <w:pStyle w:val="TDC3"/>
            <w:rPr>
              <w:noProof/>
              <w:sz w:val="22"/>
              <w:szCs w:val="22"/>
              <w:lang w:val="es-ES" w:eastAsia="es-ES"/>
            </w:rPr>
          </w:pPr>
          <w:hyperlink w:anchor="_Toc99110730" w:history="1">
            <w:r w:rsidR="003D3409" w:rsidRPr="003D3409">
              <w:rPr>
                <w:rStyle w:val="Hipervnculo"/>
                <w:rFonts w:ascii="Arial" w:eastAsia="Times New Roman" w:hAnsi="Arial" w:cs="Arial"/>
                <w:noProof/>
              </w:rPr>
              <w:t>4.4.6.</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Cullera. Oposicions Policia Local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_Toc99110730 \h </w:instrText>
            </w:r>
            <w:r w:rsidR="003D3409" w:rsidRPr="003D3409">
              <w:rPr>
                <w:noProof/>
                <w:webHidden/>
              </w:rPr>
            </w:r>
            <w:r w:rsidR="003D3409" w:rsidRPr="003D3409">
              <w:rPr>
                <w:noProof/>
                <w:webHidden/>
              </w:rPr>
              <w:fldChar w:fldCharType="separate"/>
            </w:r>
            <w:r w:rsidR="003D3409" w:rsidRPr="003D3409">
              <w:rPr>
                <w:noProof/>
                <w:webHidden/>
              </w:rPr>
              <w:t>155</w:t>
            </w:r>
            <w:r w:rsidR="003D3409" w:rsidRPr="003D3409">
              <w:rPr>
                <w:noProof/>
                <w:webHidden/>
              </w:rPr>
              <w:fldChar w:fldCharType="end"/>
            </w:r>
          </w:hyperlink>
        </w:p>
        <w:p w14:paraId="5E1A3DC6" w14:textId="4611D631" w:rsidR="003D3409" w:rsidRPr="003D3409" w:rsidRDefault="00254AEC" w:rsidP="008A26B8">
          <w:pPr>
            <w:pStyle w:val="TDC3"/>
            <w:rPr>
              <w:noProof/>
              <w:sz w:val="22"/>
              <w:szCs w:val="22"/>
              <w:lang w:val="es-ES" w:eastAsia="es-ES"/>
            </w:rPr>
          </w:pPr>
          <w:hyperlink w:anchor="_Toc99110731" w:history="1">
            <w:r w:rsidR="003D3409" w:rsidRPr="003D3409">
              <w:rPr>
                <w:rStyle w:val="Hipervnculo"/>
                <w:rFonts w:ascii="Arial" w:eastAsia="Times New Roman" w:hAnsi="Arial" w:cs="Arial"/>
                <w:noProof/>
              </w:rPr>
              <w:t>4.4.7.</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Rojales. Irregularitats en el pagament de servicis extraordinaris a funcionaris amb dedicació exclusiva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_Toc99110731 \h </w:instrText>
            </w:r>
            <w:r w:rsidR="003D3409" w:rsidRPr="003D3409">
              <w:rPr>
                <w:noProof/>
                <w:webHidden/>
              </w:rPr>
            </w:r>
            <w:r w:rsidR="003D3409" w:rsidRPr="003D3409">
              <w:rPr>
                <w:noProof/>
                <w:webHidden/>
              </w:rPr>
              <w:fldChar w:fldCharType="separate"/>
            </w:r>
            <w:r w:rsidR="003D3409" w:rsidRPr="003D3409">
              <w:rPr>
                <w:noProof/>
                <w:webHidden/>
              </w:rPr>
              <w:t>156</w:t>
            </w:r>
            <w:r w:rsidR="003D3409" w:rsidRPr="003D3409">
              <w:rPr>
                <w:noProof/>
                <w:webHidden/>
              </w:rPr>
              <w:fldChar w:fldCharType="end"/>
            </w:r>
          </w:hyperlink>
        </w:p>
        <w:p w14:paraId="2FC0B92F" w14:textId="657C79EE" w:rsidR="003D3409" w:rsidRPr="003D3409" w:rsidRDefault="00254AEC" w:rsidP="008A26B8">
          <w:pPr>
            <w:pStyle w:val="TDC3"/>
            <w:rPr>
              <w:noProof/>
              <w:sz w:val="22"/>
              <w:szCs w:val="22"/>
              <w:lang w:val="es-ES" w:eastAsia="es-ES"/>
            </w:rPr>
          </w:pPr>
          <w:hyperlink w:anchor="_Toc99110732" w:history="1">
            <w:r w:rsidR="003D3409" w:rsidRPr="003D3409">
              <w:rPr>
                <w:rStyle w:val="Hipervnculo"/>
                <w:rFonts w:ascii="Arial" w:eastAsia="Times New Roman" w:hAnsi="Arial" w:cs="Arial"/>
                <w:noProof/>
              </w:rPr>
              <w:t>4.4.8.</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Camporrobles. Contractació menor</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_Toc99110732 \h </w:instrText>
            </w:r>
            <w:r w:rsidR="003D3409" w:rsidRPr="003D3409">
              <w:rPr>
                <w:noProof/>
                <w:webHidden/>
              </w:rPr>
            </w:r>
            <w:r w:rsidR="003D3409" w:rsidRPr="003D3409">
              <w:rPr>
                <w:noProof/>
                <w:webHidden/>
              </w:rPr>
              <w:fldChar w:fldCharType="separate"/>
            </w:r>
            <w:r w:rsidR="003D3409" w:rsidRPr="003D3409">
              <w:rPr>
                <w:noProof/>
                <w:webHidden/>
              </w:rPr>
              <w:t>157</w:t>
            </w:r>
            <w:r w:rsidR="003D3409" w:rsidRPr="003D3409">
              <w:rPr>
                <w:noProof/>
                <w:webHidden/>
              </w:rPr>
              <w:fldChar w:fldCharType="end"/>
            </w:r>
          </w:hyperlink>
        </w:p>
        <w:p w14:paraId="0F8D1B44" w14:textId="001BC49F" w:rsidR="003D3409" w:rsidRPr="003D3409" w:rsidRDefault="00254AEC" w:rsidP="008A26B8">
          <w:pPr>
            <w:pStyle w:val="TDC3"/>
            <w:rPr>
              <w:noProof/>
              <w:sz w:val="22"/>
              <w:szCs w:val="22"/>
              <w:lang w:val="es-ES" w:eastAsia="es-ES"/>
            </w:rPr>
          </w:pPr>
          <w:hyperlink w:anchor="_Toc99110733" w:history="1">
            <w:r w:rsidR="003D3409" w:rsidRPr="003D3409">
              <w:rPr>
                <w:rStyle w:val="Hipervnculo"/>
                <w:rFonts w:ascii="Arial" w:eastAsia="Times New Roman" w:hAnsi="Arial" w:cs="Arial"/>
                <w:noProof/>
              </w:rPr>
              <w:t>4.4.9.</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Justificació de subvenció acció contra la fam fora de termini</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_Toc99110733 \h </w:instrText>
            </w:r>
            <w:r w:rsidR="003D3409" w:rsidRPr="003D3409">
              <w:rPr>
                <w:noProof/>
                <w:webHidden/>
              </w:rPr>
            </w:r>
            <w:r w:rsidR="003D3409" w:rsidRPr="003D3409">
              <w:rPr>
                <w:noProof/>
                <w:webHidden/>
              </w:rPr>
              <w:fldChar w:fldCharType="separate"/>
            </w:r>
            <w:r w:rsidR="003D3409" w:rsidRPr="003D3409">
              <w:rPr>
                <w:noProof/>
                <w:webHidden/>
              </w:rPr>
              <w:t>158</w:t>
            </w:r>
            <w:r w:rsidR="003D3409" w:rsidRPr="003D3409">
              <w:rPr>
                <w:noProof/>
                <w:webHidden/>
              </w:rPr>
              <w:fldChar w:fldCharType="end"/>
            </w:r>
          </w:hyperlink>
        </w:p>
        <w:p w14:paraId="335BB55A" w14:textId="4E69FD1C" w:rsidR="003D3409" w:rsidRPr="003D3409" w:rsidRDefault="00254AEC" w:rsidP="008A26B8">
          <w:pPr>
            <w:pStyle w:val="TDC3"/>
            <w:rPr>
              <w:noProof/>
              <w:sz w:val="22"/>
              <w:szCs w:val="22"/>
              <w:lang w:val="es-ES" w:eastAsia="es-ES"/>
            </w:rPr>
          </w:pPr>
          <w:hyperlink w:anchor="_Toc99110734" w:history="1">
            <w:r w:rsidR="003D3409" w:rsidRPr="003D3409">
              <w:rPr>
                <w:rStyle w:val="Hipervnculo"/>
                <w:rFonts w:ascii="Arial" w:eastAsia="Times New Roman" w:hAnsi="Arial" w:cs="Arial"/>
                <w:noProof/>
              </w:rPr>
              <w:t>4.4.10.</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Rojales. Irregularitats en el contracte servici d'organització de les festes Mare de Déu del Rosari 2019-2020 negociat sense publicitat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_Toc99110734 \h </w:instrText>
            </w:r>
            <w:r w:rsidR="003D3409" w:rsidRPr="003D3409">
              <w:rPr>
                <w:noProof/>
                <w:webHidden/>
              </w:rPr>
            </w:r>
            <w:r w:rsidR="003D3409" w:rsidRPr="003D3409">
              <w:rPr>
                <w:noProof/>
                <w:webHidden/>
              </w:rPr>
              <w:fldChar w:fldCharType="separate"/>
            </w:r>
            <w:r w:rsidR="003D3409" w:rsidRPr="003D3409">
              <w:rPr>
                <w:noProof/>
                <w:webHidden/>
              </w:rPr>
              <w:t>158</w:t>
            </w:r>
            <w:r w:rsidR="003D3409" w:rsidRPr="003D3409">
              <w:rPr>
                <w:noProof/>
                <w:webHidden/>
              </w:rPr>
              <w:fldChar w:fldCharType="end"/>
            </w:r>
          </w:hyperlink>
        </w:p>
        <w:p w14:paraId="604919A1" w14:textId="51739C17" w:rsidR="003D3409" w:rsidRPr="003D3409" w:rsidRDefault="00254AEC" w:rsidP="008A26B8">
          <w:pPr>
            <w:pStyle w:val="TDC3"/>
            <w:rPr>
              <w:noProof/>
              <w:sz w:val="22"/>
              <w:szCs w:val="22"/>
              <w:lang w:val="es-ES" w:eastAsia="es-ES"/>
            </w:rPr>
          </w:pPr>
          <w:hyperlink w:anchor="_Toc99110735" w:history="1">
            <w:r w:rsidR="003D3409" w:rsidRPr="003D3409">
              <w:rPr>
                <w:rStyle w:val="Hipervnculo"/>
                <w:rFonts w:ascii="Arial" w:eastAsia="Times New Roman" w:hAnsi="Arial" w:cs="Arial"/>
                <w:noProof/>
              </w:rPr>
              <w:t>4.4.11.</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Organisme Autònom Municipal de Parcs i Jardins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_Toc99110735 \h </w:instrText>
            </w:r>
            <w:r w:rsidR="003D3409" w:rsidRPr="003D3409">
              <w:rPr>
                <w:noProof/>
                <w:webHidden/>
              </w:rPr>
            </w:r>
            <w:r w:rsidR="003D3409" w:rsidRPr="003D3409">
              <w:rPr>
                <w:noProof/>
                <w:webHidden/>
              </w:rPr>
              <w:fldChar w:fldCharType="separate"/>
            </w:r>
            <w:r w:rsidR="003D3409" w:rsidRPr="003D3409">
              <w:rPr>
                <w:noProof/>
                <w:webHidden/>
              </w:rPr>
              <w:t>159</w:t>
            </w:r>
            <w:r w:rsidR="003D3409" w:rsidRPr="003D3409">
              <w:rPr>
                <w:noProof/>
                <w:webHidden/>
              </w:rPr>
              <w:fldChar w:fldCharType="end"/>
            </w:r>
          </w:hyperlink>
        </w:p>
        <w:p w14:paraId="6F6930D1" w14:textId="59B052D0" w:rsidR="003D3409" w:rsidRPr="003D3409" w:rsidRDefault="00254AEC" w:rsidP="008A26B8">
          <w:pPr>
            <w:pStyle w:val="TDC3"/>
            <w:rPr>
              <w:noProof/>
              <w:sz w:val="22"/>
              <w:szCs w:val="22"/>
              <w:lang w:val="es-ES" w:eastAsia="es-ES"/>
            </w:rPr>
          </w:pPr>
          <w:hyperlink w:anchor="_Toc99110736" w:history="1">
            <w:r w:rsidR="003D3409" w:rsidRPr="003D3409">
              <w:rPr>
                <w:rStyle w:val="Hipervnculo"/>
                <w:rFonts w:ascii="Arial" w:eastAsia="Times New Roman" w:hAnsi="Arial" w:cs="Arial"/>
                <w:noProof/>
              </w:rPr>
              <w:t>4.4.12.</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Callosa de Segura. Procés selectiu Intendent de la Policia Local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_Toc99110736 \h </w:instrText>
            </w:r>
            <w:r w:rsidR="003D3409" w:rsidRPr="003D3409">
              <w:rPr>
                <w:noProof/>
                <w:webHidden/>
              </w:rPr>
            </w:r>
            <w:r w:rsidR="003D3409" w:rsidRPr="003D3409">
              <w:rPr>
                <w:noProof/>
                <w:webHidden/>
              </w:rPr>
              <w:fldChar w:fldCharType="separate"/>
            </w:r>
            <w:r w:rsidR="003D3409" w:rsidRPr="003D3409">
              <w:rPr>
                <w:noProof/>
                <w:webHidden/>
              </w:rPr>
              <w:t>160</w:t>
            </w:r>
            <w:r w:rsidR="003D3409" w:rsidRPr="003D3409">
              <w:rPr>
                <w:noProof/>
                <w:webHidden/>
              </w:rPr>
              <w:fldChar w:fldCharType="end"/>
            </w:r>
          </w:hyperlink>
        </w:p>
        <w:p w14:paraId="3182C161" w14:textId="26F0D1FA" w:rsidR="003D3409" w:rsidRPr="003D3409" w:rsidRDefault="00254AEC" w:rsidP="008A26B8">
          <w:pPr>
            <w:pStyle w:val="TDC3"/>
            <w:rPr>
              <w:noProof/>
              <w:sz w:val="22"/>
              <w:szCs w:val="22"/>
              <w:lang w:val="es-ES" w:eastAsia="es-ES"/>
            </w:rPr>
          </w:pPr>
          <w:hyperlink w:anchor="_Toc99110737" w:history="1">
            <w:r w:rsidR="003D3409" w:rsidRPr="003D3409">
              <w:rPr>
                <w:rStyle w:val="Hipervnculo"/>
                <w:rFonts w:ascii="Arial" w:eastAsia="Times New Roman" w:hAnsi="Arial" w:cs="Arial"/>
                <w:noProof/>
              </w:rPr>
              <w:t>4.4.13.</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Calp. Subvenció encoberta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_Toc99110737 \h </w:instrText>
            </w:r>
            <w:r w:rsidR="003D3409" w:rsidRPr="003D3409">
              <w:rPr>
                <w:noProof/>
                <w:webHidden/>
              </w:rPr>
            </w:r>
            <w:r w:rsidR="003D3409" w:rsidRPr="003D3409">
              <w:rPr>
                <w:noProof/>
                <w:webHidden/>
              </w:rPr>
              <w:fldChar w:fldCharType="separate"/>
            </w:r>
            <w:r w:rsidR="003D3409" w:rsidRPr="003D3409">
              <w:rPr>
                <w:noProof/>
                <w:webHidden/>
              </w:rPr>
              <w:t>161</w:t>
            </w:r>
            <w:r w:rsidR="003D3409" w:rsidRPr="003D3409">
              <w:rPr>
                <w:noProof/>
                <w:webHidden/>
              </w:rPr>
              <w:fldChar w:fldCharType="end"/>
            </w:r>
          </w:hyperlink>
        </w:p>
        <w:p w14:paraId="00417F08" w14:textId="5B92B494" w:rsidR="003D3409" w:rsidRPr="003D3409" w:rsidRDefault="00254AEC" w:rsidP="008A26B8">
          <w:pPr>
            <w:pStyle w:val="TDC3"/>
            <w:rPr>
              <w:noProof/>
              <w:sz w:val="22"/>
              <w:szCs w:val="22"/>
              <w:lang w:val="es-ES" w:eastAsia="es-ES"/>
            </w:rPr>
          </w:pPr>
          <w:hyperlink w:anchor="_Toc99110738" w:history="1">
            <w:r w:rsidR="003D3409" w:rsidRPr="003D3409">
              <w:rPr>
                <w:rStyle w:val="Hipervnculo"/>
                <w:rFonts w:ascii="Arial" w:eastAsia="Times New Roman" w:hAnsi="Arial" w:cs="Arial"/>
                <w:noProof/>
              </w:rPr>
              <w:t>4.4.14.</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Cofrentes. Fraccionament de contractes relatius al Parc aquàtic en la piscina municipal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_Toc99110738 \h </w:instrText>
            </w:r>
            <w:r w:rsidR="003D3409" w:rsidRPr="003D3409">
              <w:rPr>
                <w:noProof/>
                <w:webHidden/>
              </w:rPr>
            </w:r>
            <w:r w:rsidR="003D3409" w:rsidRPr="003D3409">
              <w:rPr>
                <w:noProof/>
                <w:webHidden/>
              </w:rPr>
              <w:fldChar w:fldCharType="separate"/>
            </w:r>
            <w:r w:rsidR="003D3409" w:rsidRPr="003D3409">
              <w:rPr>
                <w:noProof/>
                <w:webHidden/>
              </w:rPr>
              <w:t>162</w:t>
            </w:r>
            <w:r w:rsidR="003D3409" w:rsidRPr="003D3409">
              <w:rPr>
                <w:noProof/>
                <w:webHidden/>
              </w:rPr>
              <w:fldChar w:fldCharType="end"/>
            </w:r>
          </w:hyperlink>
        </w:p>
        <w:p w14:paraId="6BB312BF" w14:textId="068249A8" w:rsidR="003D3409" w:rsidRPr="003D3409" w:rsidRDefault="00254AEC" w:rsidP="008A26B8">
          <w:pPr>
            <w:pStyle w:val="TDC3"/>
            <w:rPr>
              <w:noProof/>
              <w:sz w:val="22"/>
              <w:szCs w:val="22"/>
              <w:lang w:val="es-ES" w:eastAsia="es-ES"/>
            </w:rPr>
          </w:pPr>
          <w:hyperlink w:anchor="_Toc99110739" w:history="1">
            <w:r w:rsidR="003D3409" w:rsidRPr="003D3409">
              <w:rPr>
                <w:rStyle w:val="Hipervnculo"/>
                <w:rFonts w:ascii="Arial" w:eastAsia="Times New Roman" w:hAnsi="Arial" w:cs="Arial"/>
                <w:noProof/>
              </w:rPr>
              <w:t>4.4.15.</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DIVALTERRA, S.A. Fraccionament de contractes de servicis d'auditoria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_Toc99110739 \h </w:instrText>
            </w:r>
            <w:r w:rsidR="003D3409" w:rsidRPr="003D3409">
              <w:rPr>
                <w:noProof/>
                <w:webHidden/>
              </w:rPr>
            </w:r>
            <w:r w:rsidR="003D3409" w:rsidRPr="003D3409">
              <w:rPr>
                <w:noProof/>
                <w:webHidden/>
              </w:rPr>
              <w:fldChar w:fldCharType="separate"/>
            </w:r>
            <w:r w:rsidR="003D3409" w:rsidRPr="003D3409">
              <w:rPr>
                <w:noProof/>
                <w:webHidden/>
              </w:rPr>
              <w:t>163</w:t>
            </w:r>
            <w:r w:rsidR="003D3409" w:rsidRPr="003D3409">
              <w:rPr>
                <w:noProof/>
                <w:webHidden/>
              </w:rPr>
              <w:fldChar w:fldCharType="end"/>
            </w:r>
          </w:hyperlink>
        </w:p>
        <w:p w14:paraId="4FE3161C" w14:textId="3477DCCE" w:rsidR="003D3409" w:rsidRPr="003D3409" w:rsidRDefault="00254AEC" w:rsidP="008A26B8">
          <w:pPr>
            <w:pStyle w:val="TDC3"/>
            <w:rPr>
              <w:noProof/>
              <w:sz w:val="22"/>
              <w:szCs w:val="22"/>
              <w:lang w:val="es-ES" w:eastAsia="es-ES"/>
            </w:rPr>
          </w:pPr>
          <w:hyperlink w:anchor="_Toc99110740" w:history="1">
            <w:r w:rsidR="003D3409" w:rsidRPr="003D3409">
              <w:rPr>
                <w:rStyle w:val="Hipervnculo"/>
                <w:rFonts w:ascii="Arial" w:eastAsia="Times New Roman" w:hAnsi="Arial" w:cs="Arial"/>
                <w:noProof/>
              </w:rPr>
              <w:t>4.4.16.</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Facultat de Dret Universitat de València. Incompatibilitat de personal docent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_Toc99110740 \h </w:instrText>
            </w:r>
            <w:r w:rsidR="003D3409" w:rsidRPr="003D3409">
              <w:rPr>
                <w:noProof/>
                <w:webHidden/>
              </w:rPr>
            </w:r>
            <w:r w:rsidR="003D3409" w:rsidRPr="003D3409">
              <w:rPr>
                <w:noProof/>
                <w:webHidden/>
              </w:rPr>
              <w:fldChar w:fldCharType="separate"/>
            </w:r>
            <w:r w:rsidR="003D3409" w:rsidRPr="003D3409">
              <w:rPr>
                <w:noProof/>
                <w:webHidden/>
              </w:rPr>
              <w:t>164</w:t>
            </w:r>
            <w:r w:rsidR="003D3409" w:rsidRPr="003D3409">
              <w:rPr>
                <w:noProof/>
                <w:webHidden/>
              </w:rPr>
              <w:fldChar w:fldCharType="end"/>
            </w:r>
          </w:hyperlink>
        </w:p>
        <w:p w14:paraId="55D4079D" w14:textId="4D4CFCF7" w:rsidR="003D3409" w:rsidRPr="003D3409" w:rsidRDefault="00254AEC" w:rsidP="008A26B8">
          <w:pPr>
            <w:pStyle w:val="TDC3"/>
            <w:rPr>
              <w:noProof/>
              <w:sz w:val="22"/>
              <w:szCs w:val="22"/>
              <w:lang w:val="es-ES" w:eastAsia="es-ES"/>
            </w:rPr>
          </w:pPr>
          <w:hyperlink w:anchor="_Toc99110741" w:history="1">
            <w:r w:rsidR="003D3409" w:rsidRPr="003D3409">
              <w:rPr>
                <w:rStyle w:val="Hipervnculo"/>
                <w:rFonts w:ascii="Arial" w:eastAsia="Times New Roman" w:hAnsi="Arial" w:cs="Arial"/>
                <w:noProof/>
              </w:rPr>
              <w:t>4.4.17.</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Fundació de la Comunitat Valenciana per a l'Atenció de les Víctimes del Delicte i per a la Trobada Familiar (FAVIDE). Falta de rendició de comptes i absència actuacions pel Protectorat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_Toc99110741 \h </w:instrText>
            </w:r>
            <w:r w:rsidR="003D3409" w:rsidRPr="003D3409">
              <w:rPr>
                <w:noProof/>
                <w:webHidden/>
              </w:rPr>
            </w:r>
            <w:r w:rsidR="003D3409" w:rsidRPr="003D3409">
              <w:rPr>
                <w:noProof/>
                <w:webHidden/>
              </w:rPr>
              <w:fldChar w:fldCharType="separate"/>
            </w:r>
            <w:r w:rsidR="003D3409" w:rsidRPr="003D3409">
              <w:rPr>
                <w:noProof/>
                <w:webHidden/>
              </w:rPr>
              <w:t>165</w:t>
            </w:r>
            <w:r w:rsidR="003D3409" w:rsidRPr="003D3409">
              <w:rPr>
                <w:noProof/>
                <w:webHidden/>
              </w:rPr>
              <w:fldChar w:fldCharType="end"/>
            </w:r>
          </w:hyperlink>
        </w:p>
        <w:p w14:paraId="4234EAE6" w14:textId="13B25F17" w:rsidR="003D3409" w:rsidRPr="003D3409" w:rsidRDefault="00254AEC" w:rsidP="008A26B8">
          <w:pPr>
            <w:pStyle w:val="TDC3"/>
            <w:rPr>
              <w:noProof/>
              <w:sz w:val="22"/>
              <w:szCs w:val="22"/>
              <w:lang w:val="es-ES" w:eastAsia="es-ES"/>
            </w:rPr>
          </w:pPr>
          <w:hyperlink w:anchor="_Toc99110742" w:history="1">
            <w:r w:rsidR="003D3409" w:rsidRPr="003D3409">
              <w:rPr>
                <w:rStyle w:val="Hipervnculo"/>
                <w:rFonts w:ascii="Arial" w:eastAsia="Times New Roman" w:hAnsi="Arial" w:cs="Arial"/>
                <w:noProof/>
              </w:rPr>
              <w:t>4.4.18.</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Prestació de servicis sense contracte</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_Toc99110742 \h </w:instrText>
            </w:r>
            <w:r w:rsidR="003D3409" w:rsidRPr="003D3409">
              <w:rPr>
                <w:noProof/>
                <w:webHidden/>
              </w:rPr>
            </w:r>
            <w:r w:rsidR="003D3409" w:rsidRPr="003D3409">
              <w:rPr>
                <w:noProof/>
                <w:webHidden/>
              </w:rPr>
              <w:fldChar w:fldCharType="separate"/>
            </w:r>
            <w:r w:rsidR="003D3409" w:rsidRPr="003D3409">
              <w:rPr>
                <w:noProof/>
                <w:webHidden/>
              </w:rPr>
              <w:t>166</w:t>
            </w:r>
            <w:r w:rsidR="003D3409" w:rsidRPr="003D3409">
              <w:rPr>
                <w:noProof/>
                <w:webHidden/>
              </w:rPr>
              <w:fldChar w:fldCharType="end"/>
            </w:r>
          </w:hyperlink>
        </w:p>
        <w:p w14:paraId="032463BB" w14:textId="637B0CAF" w:rsidR="003D3409" w:rsidRPr="003D3409" w:rsidRDefault="00254AEC" w:rsidP="008A26B8">
          <w:pPr>
            <w:pStyle w:val="TDC3"/>
            <w:rPr>
              <w:noProof/>
              <w:sz w:val="22"/>
              <w:szCs w:val="22"/>
              <w:lang w:val="es-ES" w:eastAsia="es-ES"/>
            </w:rPr>
          </w:pPr>
          <w:hyperlink w:anchor="_Toc99110743" w:history="1">
            <w:r w:rsidR="003D3409" w:rsidRPr="003D3409">
              <w:rPr>
                <w:rStyle w:val="Hipervnculo"/>
                <w:rFonts w:ascii="Arial" w:eastAsia="Times New Roman" w:hAnsi="Arial" w:cs="Arial"/>
                <w:noProof/>
              </w:rPr>
              <w:t>4.4.19.</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Fundació Universitat Jaume I-Empresa. Indemnització acomiadament de gerent i nou nomenament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_Toc99110743 \h </w:instrText>
            </w:r>
            <w:r w:rsidR="003D3409" w:rsidRPr="003D3409">
              <w:rPr>
                <w:noProof/>
                <w:webHidden/>
              </w:rPr>
            </w:r>
            <w:r w:rsidR="003D3409" w:rsidRPr="003D3409">
              <w:rPr>
                <w:noProof/>
                <w:webHidden/>
              </w:rPr>
              <w:fldChar w:fldCharType="separate"/>
            </w:r>
            <w:r w:rsidR="003D3409" w:rsidRPr="003D3409">
              <w:rPr>
                <w:noProof/>
                <w:webHidden/>
              </w:rPr>
              <w:t>167</w:t>
            </w:r>
            <w:r w:rsidR="003D3409" w:rsidRPr="003D3409">
              <w:rPr>
                <w:noProof/>
                <w:webHidden/>
              </w:rPr>
              <w:fldChar w:fldCharType="end"/>
            </w:r>
          </w:hyperlink>
        </w:p>
        <w:p w14:paraId="2612BF2C" w14:textId="3E890574" w:rsidR="003D3409" w:rsidRPr="003D3409" w:rsidRDefault="00254AEC" w:rsidP="008A26B8">
          <w:pPr>
            <w:pStyle w:val="TDC3"/>
            <w:rPr>
              <w:noProof/>
              <w:sz w:val="22"/>
              <w:szCs w:val="22"/>
              <w:lang w:val="es-ES" w:eastAsia="es-ES"/>
            </w:rPr>
          </w:pPr>
          <w:hyperlink w:anchor="_Toc99110744" w:history="1">
            <w:r w:rsidR="003D3409" w:rsidRPr="003D3409">
              <w:rPr>
                <w:rStyle w:val="Hipervnculo"/>
                <w:rFonts w:ascii="Arial" w:eastAsia="Times New Roman" w:hAnsi="Arial" w:cs="Arial"/>
                <w:noProof/>
              </w:rPr>
              <w:t>4.4.20.</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Sedaví. Procés selectiu Policia Local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_Toc99110744 \h </w:instrText>
            </w:r>
            <w:r w:rsidR="003D3409" w:rsidRPr="003D3409">
              <w:rPr>
                <w:noProof/>
                <w:webHidden/>
              </w:rPr>
            </w:r>
            <w:r w:rsidR="003D3409" w:rsidRPr="003D3409">
              <w:rPr>
                <w:noProof/>
                <w:webHidden/>
              </w:rPr>
              <w:fldChar w:fldCharType="separate"/>
            </w:r>
            <w:r w:rsidR="003D3409" w:rsidRPr="003D3409">
              <w:rPr>
                <w:noProof/>
                <w:webHidden/>
              </w:rPr>
              <w:t>168</w:t>
            </w:r>
            <w:r w:rsidR="003D3409" w:rsidRPr="003D3409">
              <w:rPr>
                <w:noProof/>
                <w:webHidden/>
              </w:rPr>
              <w:fldChar w:fldCharType="end"/>
            </w:r>
          </w:hyperlink>
        </w:p>
        <w:p w14:paraId="383CC458" w14:textId="4AFAC0B7" w:rsidR="003D3409" w:rsidRPr="003D3409" w:rsidRDefault="00254AEC" w:rsidP="008A26B8">
          <w:pPr>
            <w:pStyle w:val="TDC3"/>
            <w:rPr>
              <w:noProof/>
              <w:sz w:val="22"/>
              <w:szCs w:val="22"/>
              <w:lang w:val="es-ES" w:eastAsia="es-ES"/>
            </w:rPr>
          </w:pPr>
          <w:hyperlink w:anchor="_Toc99110745" w:history="1">
            <w:r w:rsidR="003D3409" w:rsidRPr="003D3409">
              <w:rPr>
                <w:rStyle w:val="Hipervnculo"/>
                <w:rFonts w:ascii="Arial" w:eastAsia="Times New Roman" w:hAnsi="Arial" w:cs="Arial"/>
                <w:noProof/>
              </w:rPr>
              <w:t>4.4.21.</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Conselleria d'Educació, Cultura i Esport. Pagaments irregulars en la reforma de l'IES Botànic Cavanilles de la Vall d’Uxó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_Toc99110745 \h </w:instrText>
            </w:r>
            <w:r w:rsidR="003D3409" w:rsidRPr="003D3409">
              <w:rPr>
                <w:noProof/>
                <w:webHidden/>
              </w:rPr>
            </w:r>
            <w:r w:rsidR="003D3409" w:rsidRPr="003D3409">
              <w:rPr>
                <w:noProof/>
                <w:webHidden/>
              </w:rPr>
              <w:fldChar w:fldCharType="separate"/>
            </w:r>
            <w:r w:rsidR="003D3409" w:rsidRPr="003D3409">
              <w:rPr>
                <w:noProof/>
                <w:webHidden/>
              </w:rPr>
              <w:t>169</w:t>
            </w:r>
            <w:r w:rsidR="003D3409" w:rsidRPr="003D3409">
              <w:rPr>
                <w:noProof/>
                <w:webHidden/>
              </w:rPr>
              <w:fldChar w:fldCharType="end"/>
            </w:r>
          </w:hyperlink>
        </w:p>
        <w:p w14:paraId="0E4527C8" w14:textId="744B4887" w:rsidR="003D3409" w:rsidRPr="003D3409" w:rsidRDefault="00254AEC" w:rsidP="008A26B8">
          <w:pPr>
            <w:pStyle w:val="TDC3"/>
            <w:rPr>
              <w:noProof/>
              <w:sz w:val="22"/>
              <w:szCs w:val="22"/>
              <w:lang w:val="es-ES" w:eastAsia="es-ES"/>
            </w:rPr>
          </w:pPr>
          <w:hyperlink w:anchor="_Toc99110746" w:history="1">
            <w:r w:rsidR="003D3409" w:rsidRPr="003D3409">
              <w:rPr>
                <w:rStyle w:val="Hipervnculo"/>
                <w:rFonts w:ascii="Arial" w:eastAsia="Times New Roman" w:hAnsi="Arial" w:cs="Arial"/>
                <w:noProof/>
              </w:rPr>
              <w:t>4.4.22.</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Vinaròs. Pagament de factures amb reparaments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_Toc99110746 \h </w:instrText>
            </w:r>
            <w:r w:rsidR="003D3409" w:rsidRPr="003D3409">
              <w:rPr>
                <w:noProof/>
                <w:webHidden/>
              </w:rPr>
            </w:r>
            <w:r w:rsidR="003D3409" w:rsidRPr="003D3409">
              <w:rPr>
                <w:noProof/>
                <w:webHidden/>
              </w:rPr>
              <w:fldChar w:fldCharType="separate"/>
            </w:r>
            <w:r w:rsidR="003D3409" w:rsidRPr="003D3409">
              <w:rPr>
                <w:noProof/>
                <w:webHidden/>
              </w:rPr>
              <w:t>170</w:t>
            </w:r>
            <w:r w:rsidR="003D3409" w:rsidRPr="003D3409">
              <w:rPr>
                <w:noProof/>
                <w:webHidden/>
              </w:rPr>
              <w:fldChar w:fldCharType="end"/>
            </w:r>
          </w:hyperlink>
        </w:p>
        <w:p w14:paraId="0E13E5E5" w14:textId="4BAB3010" w:rsidR="003D3409" w:rsidRPr="003D3409" w:rsidRDefault="00254AEC" w:rsidP="008A26B8">
          <w:pPr>
            <w:pStyle w:val="TDC3"/>
            <w:rPr>
              <w:noProof/>
              <w:sz w:val="22"/>
              <w:szCs w:val="22"/>
              <w:lang w:val="es-ES" w:eastAsia="es-ES"/>
            </w:rPr>
          </w:pPr>
          <w:hyperlink w:anchor="_Toc99110747" w:history="1">
            <w:r w:rsidR="003D3409" w:rsidRPr="003D3409">
              <w:rPr>
                <w:rStyle w:val="Hipervnculo"/>
                <w:rFonts w:ascii="Arial" w:eastAsia="Times New Roman" w:hAnsi="Arial" w:cs="Arial"/>
                <w:noProof/>
              </w:rPr>
              <w:t>4.4.23.</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Los Montesinos. Contractació administrativa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_Toc99110747 \h </w:instrText>
            </w:r>
            <w:r w:rsidR="003D3409" w:rsidRPr="003D3409">
              <w:rPr>
                <w:noProof/>
                <w:webHidden/>
              </w:rPr>
            </w:r>
            <w:r w:rsidR="003D3409" w:rsidRPr="003D3409">
              <w:rPr>
                <w:noProof/>
                <w:webHidden/>
              </w:rPr>
              <w:fldChar w:fldCharType="separate"/>
            </w:r>
            <w:r w:rsidR="003D3409" w:rsidRPr="003D3409">
              <w:rPr>
                <w:noProof/>
                <w:webHidden/>
              </w:rPr>
              <w:t>170</w:t>
            </w:r>
            <w:r w:rsidR="003D3409" w:rsidRPr="003D3409">
              <w:rPr>
                <w:noProof/>
                <w:webHidden/>
              </w:rPr>
              <w:fldChar w:fldCharType="end"/>
            </w:r>
          </w:hyperlink>
        </w:p>
        <w:p w14:paraId="2C674B8C" w14:textId="5D8C92D8" w:rsidR="003D3409" w:rsidRPr="003D3409" w:rsidRDefault="00254AEC" w:rsidP="008A26B8">
          <w:pPr>
            <w:pStyle w:val="TDC3"/>
            <w:rPr>
              <w:noProof/>
              <w:sz w:val="22"/>
              <w:szCs w:val="22"/>
              <w:lang w:val="es-ES" w:eastAsia="es-ES"/>
            </w:rPr>
          </w:pPr>
          <w:hyperlink w:anchor="_Toc99110748" w:history="1">
            <w:r w:rsidR="003D3409" w:rsidRPr="003D3409">
              <w:rPr>
                <w:rStyle w:val="Hipervnculo"/>
                <w:rFonts w:ascii="Arial" w:eastAsia="Times New Roman" w:hAnsi="Arial" w:cs="Arial"/>
                <w:noProof/>
              </w:rPr>
              <w:t>4.4.24.</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Diputació de Castelló. Irregularitats en la contractació del personal d'empreses interposades prestadores de servicis, en favor de familiars de càrrecs electes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_Toc99110748 \h </w:instrText>
            </w:r>
            <w:r w:rsidR="003D3409" w:rsidRPr="003D3409">
              <w:rPr>
                <w:noProof/>
                <w:webHidden/>
              </w:rPr>
            </w:r>
            <w:r w:rsidR="003D3409" w:rsidRPr="003D3409">
              <w:rPr>
                <w:noProof/>
                <w:webHidden/>
              </w:rPr>
              <w:fldChar w:fldCharType="separate"/>
            </w:r>
            <w:r w:rsidR="003D3409" w:rsidRPr="003D3409">
              <w:rPr>
                <w:noProof/>
                <w:webHidden/>
              </w:rPr>
              <w:t>172</w:t>
            </w:r>
            <w:r w:rsidR="003D3409" w:rsidRPr="003D3409">
              <w:rPr>
                <w:noProof/>
                <w:webHidden/>
              </w:rPr>
              <w:fldChar w:fldCharType="end"/>
            </w:r>
          </w:hyperlink>
        </w:p>
        <w:p w14:paraId="11CA0D08" w14:textId="5648DD36" w:rsidR="003D3409" w:rsidRPr="003D3409" w:rsidRDefault="00254AEC" w:rsidP="008A26B8">
          <w:pPr>
            <w:pStyle w:val="TDC3"/>
            <w:rPr>
              <w:noProof/>
              <w:sz w:val="22"/>
              <w:szCs w:val="22"/>
              <w:lang w:val="es-ES" w:eastAsia="es-ES"/>
            </w:rPr>
          </w:pPr>
          <w:hyperlink w:anchor="_Toc99110749" w:history="1">
            <w:r w:rsidR="003D3409" w:rsidRPr="003D3409">
              <w:rPr>
                <w:rStyle w:val="Hipervnculo"/>
                <w:rFonts w:ascii="Arial" w:eastAsia="Times New Roman" w:hAnsi="Arial" w:cs="Arial"/>
                <w:noProof/>
              </w:rPr>
              <w:t>4.4.25.</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Institut Valencià de la Joventut (IVAJ). Comissions de servei.</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_Toc99110749 \h </w:instrText>
            </w:r>
            <w:r w:rsidR="003D3409" w:rsidRPr="003D3409">
              <w:rPr>
                <w:noProof/>
                <w:webHidden/>
              </w:rPr>
            </w:r>
            <w:r w:rsidR="003D3409" w:rsidRPr="003D3409">
              <w:rPr>
                <w:noProof/>
                <w:webHidden/>
              </w:rPr>
              <w:fldChar w:fldCharType="separate"/>
            </w:r>
            <w:r w:rsidR="003D3409" w:rsidRPr="003D3409">
              <w:rPr>
                <w:noProof/>
                <w:webHidden/>
              </w:rPr>
              <w:t>173</w:t>
            </w:r>
            <w:r w:rsidR="003D3409" w:rsidRPr="003D3409">
              <w:rPr>
                <w:noProof/>
                <w:webHidden/>
              </w:rPr>
              <w:fldChar w:fldCharType="end"/>
            </w:r>
          </w:hyperlink>
        </w:p>
        <w:p w14:paraId="0F62B736" w14:textId="1E49CEFE" w:rsidR="003D3409" w:rsidRPr="003D3409" w:rsidRDefault="00254AEC" w:rsidP="008A26B8">
          <w:pPr>
            <w:pStyle w:val="TDC3"/>
            <w:rPr>
              <w:noProof/>
              <w:sz w:val="22"/>
              <w:szCs w:val="22"/>
              <w:lang w:val="es-ES" w:eastAsia="es-ES"/>
            </w:rPr>
          </w:pPr>
          <w:hyperlink w:anchor="_Toc99110750" w:history="1">
            <w:r w:rsidR="003D3409" w:rsidRPr="003D3409">
              <w:rPr>
                <w:rStyle w:val="Hipervnculo"/>
                <w:rFonts w:ascii="Arial" w:eastAsia="Times New Roman" w:hAnsi="Arial" w:cs="Arial"/>
                <w:noProof/>
              </w:rPr>
              <w:t>4.4.26.</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Contractació campanyes publicitàries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_Toc99110750 \h </w:instrText>
            </w:r>
            <w:r w:rsidR="003D3409" w:rsidRPr="003D3409">
              <w:rPr>
                <w:noProof/>
                <w:webHidden/>
              </w:rPr>
            </w:r>
            <w:r w:rsidR="003D3409" w:rsidRPr="003D3409">
              <w:rPr>
                <w:noProof/>
                <w:webHidden/>
              </w:rPr>
              <w:fldChar w:fldCharType="separate"/>
            </w:r>
            <w:r w:rsidR="003D3409" w:rsidRPr="003D3409">
              <w:rPr>
                <w:noProof/>
                <w:webHidden/>
              </w:rPr>
              <w:t>174</w:t>
            </w:r>
            <w:r w:rsidR="003D3409" w:rsidRPr="003D3409">
              <w:rPr>
                <w:noProof/>
                <w:webHidden/>
              </w:rPr>
              <w:fldChar w:fldCharType="end"/>
            </w:r>
          </w:hyperlink>
        </w:p>
        <w:p w14:paraId="591B5B26" w14:textId="13406AAE" w:rsidR="003D3409" w:rsidRPr="003D3409" w:rsidRDefault="00254AEC" w:rsidP="008A26B8">
          <w:pPr>
            <w:pStyle w:val="TDC3"/>
            <w:rPr>
              <w:noProof/>
              <w:sz w:val="22"/>
              <w:szCs w:val="22"/>
              <w:lang w:val="es-ES" w:eastAsia="es-ES"/>
            </w:rPr>
          </w:pPr>
          <w:hyperlink w:anchor="_Toc99110751" w:history="1">
            <w:r w:rsidR="003D3409" w:rsidRPr="003D3409">
              <w:rPr>
                <w:rStyle w:val="Hipervnculo"/>
                <w:rFonts w:ascii="Arial" w:eastAsia="Times New Roman" w:hAnsi="Arial" w:cs="Arial"/>
                <w:noProof/>
              </w:rPr>
              <w:t>4.4.27.</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Benissa. Irregularitats en matèria de personal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_Toc99110751 \h </w:instrText>
            </w:r>
            <w:r w:rsidR="003D3409" w:rsidRPr="003D3409">
              <w:rPr>
                <w:noProof/>
                <w:webHidden/>
              </w:rPr>
            </w:r>
            <w:r w:rsidR="003D3409" w:rsidRPr="003D3409">
              <w:rPr>
                <w:noProof/>
                <w:webHidden/>
              </w:rPr>
              <w:fldChar w:fldCharType="separate"/>
            </w:r>
            <w:r w:rsidR="003D3409" w:rsidRPr="003D3409">
              <w:rPr>
                <w:noProof/>
                <w:webHidden/>
              </w:rPr>
              <w:t>174</w:t>
            </w:r>
            <w:r w:rsidR="003D3409" w:rsidRPr="003D3409">
              <w:rPr>
                <w:noProof/>
                <w:webHidden/>
              </w:rPr>
              <w:fldChar w:fldCharType="end"/>
            </w:r>
          </w:hyperlink>
        </w:p>
        <w:p w14:paraId="0984940E" w14:textId="20C6F0CE" w:rsidR="003D3409" w:rsidRPr="003D3409" w:rsidRDefault="00254AEC" w:rsidP="008A26B8">
          <w:pPr>
            <w:pStyle w:val="TDC3"/>
            <w:rPr>
              <w:noProof/>
              <w:sz w:val="22"/>
              <w:szCs w:val="22"/>
              <w:lang w:val="es-ES" w:eastAsia="es-ES"/>
            </w:rPr>
          </w:pPr>
          <w:hyperlink w:anchor="_Toc99110752" w:history="1">
            <w:r w:rsidR="003D3409" w:rsidRPr="003D3409">
              <w:rPr>
                <w:rStyle w:val="Hipervnculo"/>
                <w:rFonts w:ascii="Arial" w:eastAsia="Times New Roman" w:hAnsi="Arial" w:cs="Arial"/>
                <w:noProof/>
              </w:rPr>
              <w:t>4.4.28.</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Ciutat de les Arts i de les Ciències (CACSA). Irregularitats en matèria contractual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_Toc99110752 \h </w:instrText>
            </w:r>
            <w:r w:rsidR="003D3409" w:rsidRPr="003D3409">
              <w:rPr>
                <w:noProof/>
                <w:webHidden/>
              </w:rPr>
            </w:r>
            <w:r w:rsidR="003D3409" w:rsidRPr="003D3409">
              <w:rPr>
                <w:noProof/>
                <w:webHidden/>
              </w:rPr>
              <w:fldChar w:fldCharType="separate"/>
            </w:r>
            <w:r w:rsidR="003D3409" w:rsidRPr="003D3409">
              <w:rPr>
                <w:noProof/>
                <w:webHidden/>
              </w:rPr>
              <w:t>175</w:t>
            </w:r>
            <w:r w:rsidR="003D3409" w:rsidRPr="003D3409">
              <w:rPr>
                <w:noProof/>
                <w:webHidden/>
              </w:rPr>
              <w:fldChar w:fldCharType="end"/>
            </w:r>
          </w:hyperlink>
        </w:p>
        <w:p w14:paraId="3E3088FF" w14:textId="7926E9AB" w:rsidR="003D3409" w:rsidRPr="003D3409" w:rsidRDefault="00254AEC" w:rsidP="008A26B8">
          <w:pPr>
            <w:pStyle w:val="TDC3"/>
            <w:rPr>
              <w:noProof/>
              <w:sz w:val="22"/>
              <w:szCs w:val="22"/>
              <w:lang w:val="es-ES" w:eastAsia="es-ES"/>
            </w:rPr>
          </w:pPr>
          <w:hyperlink w:anchor="_Toc99110753" w:history="1">
            <w:r w:rsidR="003D3409" w:rsidRPr="003D3409">
              <w:rPr>
                <w:rStyle w:val="Hipervnculo"/>
                <w:rFonts w:ascii="Arial" w:eastAsia="Times New Roman" w:hAnsi="Arial" w:cs="Arial"/>
                <w:noProof/>
              </w:rPr>
              <w:t>4.4.29.</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Aigües i Sanejament de Sueca. Contractació del gerent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_Toc99110753 \h </w:instrText>
            </w:r>
            <w:r w:rsidR="003D3409" w:rsidRPr="003D3409">
              <w:rPr>
                <w:noProof/>
                <w:webHidden/>
              </w:rPr>
            </w:r>
            <w:r w:rsidR="003D3409" w:rsidRPr="003D3409">
              <w:rPr>
                <w:noProof/>
                <w:webHidden/>
              </w:rPr>
              <w:fldChar w:fldCharType="separate"/>
            </w:r>
            <w:r w:rsidR="003D3409" w:rsidRPr="003D3409">
              <w:rPr>
                <w:noProof/>
                <w:webHidden/>
              </w:rPr>
              <w:t>176</w:t>
            </w:r>
            <w:r w:rsidR="003D3409" w:rsidRPr="003D3409">
              <w:rPr>
                <w:noProof/>
                <w:webHidden/>
              </w:rPr>
              <w:fldChar w:fldCharType="end"/>
            </w:r>
          </w:hyperlink>
        </w:p>
        <w:p w14:paraId="6704630B" w14:textId="10E928C8" w:rsidR="003D3409" w:rsidRPr="003D3409" w:rsidRDefault="00254AEC" w:rsidP="008A26B8">
          <w:pPr>
            <w:pStyle w:val="TDC3"/>
            <w:rPr>
              <w:noProof/>
              <w:sz w:val="22"/>
              <w:szCs w:val="22"/>
              <w:lang w:val="es-ES" w:eastAsia="es-ES"/>
            </w:rPr>
          </w:pPr>
          <w:hyperlink w:anchor="_Toc99110754" w:history="1">
            <w:r w:rsidR="003D3409" w:rsidRPr="003D3409">
              <w:rPr>
                <w:rStyle w:val="Hipervnculo"/>
                <w:rFonts w:ascii="Arial" w:eastAsia="Times New Roman" w:hAnsi="Arial" w:cs="Arial"/>
                <w:noProof/>
              </w:rPr>
              <w:t>4.4.30.</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Generalitat Valenciana. Irregularitats en el desenvolupament de les proves selectives d'accés al Cos superior tècnic d'Administració General, Convocatòria 22/15</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_Toc99110754 \h </w:instrText>
            </w:r>
            <w:r w:rsidR="003D3409" w:rsidRPr="003D3409">
              <w:rPr>
                <w:noProof/>
                <w:webHidden/>
              </w:rPr>
            </w:r>
            <w:r w:rsidR="003D3409" w:rsidRPr="003D3409">
              <w:rPr>
                <w:noProof/>
                <w:webHidden/>
              </w:rPr>
              <w:fldChar w:fldCharType="separate"/>
            </w:r>
            <w:r w:rsidR="003D3409" w:rsidRPr="003D3409">
              <w:rPr>
                <w:noProof/>
                <w:webHidden/>
              </w:rPr>
              <w:t>177</w:t>
            </w:r>
            <w:r w:rsidR="003D3409" w:rsidRPr="003D3409">
              <w:rPr>
                <w:noProof/>
                <w:webHidden/>
              </w:rPr>
              <w:fldChar w:fldCharType="end"/>
            </w:r>
          </w:hyperlink>
        </w:p>
        <w:p w14:paraId="2E5896FB" w14:textId="082BB896" w:rsidR="003D3409" w:rsidRPr="003D3409" w:rsidRDefault="00254AEC" w:rsidP="008A26B8">
          <w:pPr>
            <w:pStyle w:val="TDC3"/>
            <w:rPr>
              <w:noProof/>
              <w:sz w:val="22"/>
              <w:szCs w:val="22"/>
              <w:lang w:val="es-ES" w:eastAsia="es-ES"/>
            </w:rPr>
          </w:pPr>
          <w:hyperlink w:anchor="_Toc99110755" w:history="1">
            <w:r w:rsidR="003D3409" w:rsidRPr="003D3409">
              <w:rPr>
                <w:rStyle w:val="Hipervnculo"/>
                <w:rFonts w:ascii="Arial" w:eastAsia="Times New Roman" w:hAnsi="Arial" w:cs="Arial"/>
                <w:noProof/>
              </w:rPr>
              <w:t>4.4.31.</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Canet d’en Berenguer. Processos selectius Policia Local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_Toc99110755 \h </w:instrText>
            </w:r>
            <w:r w:rsidR="003D3409" w:rsidRPr="003D3409">
              <w:rPr>
                <w:noProof/>
                <w:webHidden/>
              </w:rPr>
            </w:r>
            <w:r w:rsidR="003D3409" w:rsidRPr="003D3409">
              <w:rPr>
                <w:noProof/>
                <w:webHidden/>
              </w:rPr>
              <w:fldChar w:fldCharType="separate"/>
            </w:r>
            <w:r w:rsidR="003D3409" w:rsidRPr="003D3409">
              <w:rPr>
                <w:noProof/>
                <w:webHidden/>
              </w:rPr>
              <w:t>178</w:t>
            </w:r>
            <w:r w:rsidR="003D3409" w:rsidRPr="003D3409">
              <w:rPr>
                <w:noProof/>
                <w:webHidden/>
              </w:rPr>
              <w:fldChar w:fldCharType="end"/>
            </w:r>
          </w:hyperlink>
        </w:p>
        <w:p w14:paraId="17A4E9F0" w14:textId="665D5BDE" w:rsidR="003D3409" w:rsidRPr="003D3409" w:rsidRDefault="00254AEC" w:rsidP="008A26B8">
          <w:pPr>
            <w:pStyle w:val="TDC3"/>
            <w:rPr>
              <w:noProof/>
              <w:sz w:val="22"/>
              <w:szCs w:val="22"/>
              <w:lang w:val="es-ES" w:eastAsia="es-ES"/>
            </w:rPr>
          </w:pPr>
          <w:hyperlink w:anchor="_Toc99110756" w:history="1">
            <w:r w:rsidR="003D3409" w:rsidRPr="003D3409">
              <w:rPr>
                <w:rStyle w:val="Hipervnculo"/>
                <w:rFonts w:ascii="Arial" w:eastAsia="Times New Roman" w:hAnsi="Arial" w:cs="Arial"/>
                <w:noProof/>
              </w:rPr>
              <w:t>4.4.32.</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Benirredrà. Irregularitats en matèria d'accés a l'ocupació pública, en procés selectiu de provisió de plaça, per torn lliure, de policia local (convocatòria de l'exercici 2019)</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_Toc99110756 \h </w:instrText>
            </w:r>
            <w:r w:rsidR="003D3409" w:rsidRPr="003D3409">
              <w:rPr>
                <w:noProof/>
                <w:webHidden/>
              </w:rPr>
            </w:r>
            <w:r w:rsidR="003D3409" w:rsidRPr="003D3409">
              <w:rPr>
                <w:noProof/>
                <w:webHidden/>
              </w:rPr>
              <w:fldChar w:fldCharType="separate"/>
            </w:r>
            <w:r w:rsidR="003D3409" w:rsidRPr="003D3409">
              <w:rPr>
                <w:noProof/>
                <w:webHidden/>
              </w:rPr>
              <w:t>179</w:t>
            </w:r>
            <w:r w:rsidR="003D3409" w:rsidRPr="003D3409">
              <w:rPr>
                <w:noProof/>
                <w:webHidden/>
              </w:rPr>
              <w:fldChar w:fldCharType="end"/>
            </w:r>
          </w:hyperlink>
        </w:p>
        <w:p w14:paraId="2CAF4BFE" w14:textId="26BBA88F" w:rsidR="003D3409" w:rsidRPr="003D3409" w:rsidRDefault="00254AEC" w:rsidP="008A26B8">
          <w:pPr>
            <w:pStyle w:val="TDC3"/>
            <w:rPr>
              <w:noProof/>
              <w:sz w:val="22"/>
              <w:szCs w:val="22"/>
              <w:lang w:val="es-ES" w:eastAsia="es-ES"/>
            </w:rPr>
          </w:pPr>
          <w:hyperlink w:anchor="_Toc99110757" w:history="1">
            <w:r w:rsidR="003D3409" w:rsidRPr="003D3409">
              <w:rPr>
                <w:rStyle w:val="Hipervnculo"/>
                <w:rFonts w:ascii="Arial" w:eastAsia="Times New Roman" w:hAnsi="Arial" w:cs="Arial"/>
                <w:noProof/>
              </w:rPr>
              <w:t>4.4.33.</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La Yesa. Irregularitats contractuals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_Toc99110757 \h </w:instrText>
            </w:r>
            <w:r w:rsidR="003D3409" w:rsidRPr="003D3409">
              <w:rPr>
                <w:noProof/>
                <w:webHidden/>
              </w:rPr>
            </w:r>
            <w:r w:rsidR="003D3409" w:rsidRPr="003D3409">
              <w:rPr>
                <w:noProof/>
                <w:webHidden/>
              </w:rPr>
              <w:fldChar w:fldCharType="separate"/>
            </w:r>
            <w:r w:rsidR="003D3409" w:rsidRPr="003D3409">
              <w:rPr>
                <w:noProof/>
                <w:webHidden/>
              </w:rPr>
              <w:t>180</w:t>
            </w:r>
            <w:r w:rsidR="003D3409" w:rsidRPr="003D3409">
              <w:rPr>
                <w:noProof/>
                <w:webHidden/>
              </w:rPr>
              <w:fldChar w:fldCharType="end"/>
            </w:r>
          </w:hyperlink>
        </w:p>
        <w:p w14:paraId="5C0324C4" w14:textId="750151EC" w:rsidR="003D3409" w:rsidRPr="003D3409" w:rsidRDefault="00254AEC" w:rsidP="008A26B8">
          <w:pPr>
            <w:pStyle w:val="TDC3"/>
            <w:rPr>
              <w:noProof/>
              <w:sz w:val="22"/>
              <w:szCs w:val="22"/>
              <w:lang w:val="es-ES" w:eastAsia="es-ES"/>
            </w:rPr>
          </w:pPr>
          <w:hyperlink w:anchor="_Toc99110758" w:history="1">
            <w:r w:rsidR="003D3409" w:rsidRPr="003D3409">
              <w:rPr>
                <w:rStyle w:val="Hipervnculo"/>
                <w:rFonts w:ascii="Arial" w:eastAsia="Times New Roman" w:hAnsi="Arial" w:cs="Arial"/>
                <w:noProof/>
              </w:rPr>
              <w:t>4.4.34.</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Conselleria d’Agricultura. Direcció General Desenvolupament Rural i Política Agrària Comuna (PAC)</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_Toc99110758 \h </w:instrText>
            </w:r>
            <w:r w:rsidR="003D3409" w:rsidRPr="003D3409">
              <w:rPr>
                <w:noProof/>
                <w:webHidden/>
              </w:rPr>
            </w:r>
            <w:r w:rsidR="003D3409" w:rsidRPr="003D3409">
              <w:rPr>
                <w:noProof/>
                <w:webHidden/>
              </w:rPr>
              <w:fldChar w:fldCharType="separate"/>
            </w:r>
            <w:r w:rsidR="003D3409" w:rsidRPr="003D3409">
              <w:rPr>
                <w:noProof/>
                <w:webHidden/>
              </w:rPr>
              <w:t>182</w:t>
            </w:r>
            <w:r w:rsidR="003D3409" w:rsidRPr="003D3409">
              <w:rPr>
                <w:noProof/>
                <w:webHidden/>
              </w:rPr>
              <w:fldChar w:fldCharType="end"/>
            </w:r>
          </w:hyperlink>
        </w:p>
        <w:p w14:paraId="7FA656B4" w14:textId="1A2218EC" w:rsidR="003D3409" w:rsidRPr="003D3409" w:rsidRDefault="00254AEC" w:rsidP="008A26B8">
          <w:pPr>
            <w:pStyle w:val="TDC3"/>
            <w:rPr>
              <w:noProof/>
              <w:sz w:val="22"/>
              <w:szCs w:val="22"/>
              <w:lang w:val="es-ES" w:eastAsia="es-ES"/>
            </w:rPr>
          </w:pPr>
          <w:hyperlink w:anchor="_Toc99110759" w:history="1">
            <w:r w:rsidR="003D3409" w:rsidRPr="003D3409">
              <w:rPr>
                <w:rStyle w:val="Hipervnculo"/>
                <w:rFonts w:ascii="Arial" w:eastAsia="Times New Roman" w:hAnsi="Arial" w:cs="Arial"/>
                <w:noProof/>
              </w:rPr>
              <w:t>4.4.35.</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Construccions i Infraestructures Educatives de la Generalitat Valenciana, S.A. (CIEGSA). Irregularitats en matèria de contractació.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_Toc99110759 \h </w:instrText>
            </w:r>
            <w:r w:rsidR="003D3409" w:rsidRPr="003D3409">
              <w:rPr>
                <w:noProof/>
                <w:webHidden/>
              </w:rPr>
            </w:r>
            <w:r w:rsidR="003D3409" w:rsidRPr="003D3409">
              <w:rPr>
                <w:noProof/>
                <w:webHidden/>
              </w:rPr>
              <w:fldChar w:fldCharType="separate"/>
            </w:r>
            <w:r w:rsidR="003D3409" w:rsidRPr="003D3409">
              <w:rPr>
                <w:noProof/>
                <w:webHidden/>
              </w:rPr>
              <w:t>184</w:t>
            </w:r>
            <w:r w:rsidR="003D3409" w:rsidRPr="003D3409">
              <w:rPr>
                <w:noProof/>
                <w:webHidden/>
              </w:rPr>
              <w:fldChar w:fldCharType="end"/>
            </w:r>
          </w:hyperlink>
        </w:p>
        <w:p w14:paraId="2B593FFD" w14:textId="6F01801E" w:rsidR="003D3409" w:rsidRPr="003D3409" w:rsidRDefault="00254AEC" w:rsidP="008A26B8">
          <w:pPr>
            <w:pStyle w:val="TDC3"/>
            <w:rPr>
              <w:noProof/>
              <w:sz w:val="22"/>
              <w:szCs w:val="22"/>
              <w:lang w:val="es-ES" w:eastAsia="es-ES"/>
            </w:rPr>
          </w:pPr>
          <w:hyperlink w:anchor="_Toc99110760" w:history="1">
            <w:r w:rsidR="003D3409" w:rsidRPr="003D3409">
              <w:rPr>
                <w:rStyle w:val="Hipervnculo"/>
                <w:rFonts w:ascii="Arial" w:eastAsia="Times New Roman" w:hAnsi="Arial" w:cs="Arial"/>
                <w:noProof/>
              </w:rPr>
              <w:t>4.4.36.</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Vicepresidència i Conselleria d'Igualtat i Polítiques Inclusives. Gestió de residències de tercera edat i majors dependents per la situació de pandèmia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_Toc99110760 \h </w:instrText>
            </w:r>
            <w:r w:rsidR="003D3409" w:rsidRPr="003D3409">
              <w:rPr>
                <w:noProof/>
                <w:webHidden/>
              </w:rPr>
            </w:r>
            <w:r w:rsidR="003D3409" w:rsidRPr="003D3409">
              <w:rPr>
                <w:noProof/>
                <w:webHidden/>
              </w:rPr>
              <w:fldChar w:fldCharType="separate"/>
            </w:r>
            <w:r w:rsidR="003D3409" w:rsidRPr="003D3409">
              <w:rPr>
                <w:noProof/>
                <w:webHidden/>
              </w:rPr>
              <w:t>184</w:t>
            </w:r>
            <w:r w:rsidR="003D3409" w:rsidRPr="003D3409">
              <w:rPr>
                <w:noProof/>
                <w:webHidden/>
              </w:rPr>
              <w:fldChar w:fldCharType="end"/>
            </w:r>
          </w:hyperlink>
        </w:p>
        <w:p w14:paraId="19F8857C" w14:textId="4E8BBB28" w:rsidR="003D3409" w:rsidRPr="003D3409" w:rsidRDefault="00254AEC" w:rsidP="008A26B8">
          <w:pPr>
            <w:pStyle w:val="TDC3"/>
            <w:rPr>
              <w:noProof/>
              <w:sz w:val="22"/>
              <w:szCs w:val="22"/>
              <w:lang w:val="es-ES" w:eastAsia="es-ES"/>
            </w:rPr>
          </w:pPr>
          <w:hyperlink w:anchor="_Toc99110761" w:history="1">
            <w:r w:rsidR="003D3409" w:rsidRPr="003D3409">
              <w:rPr>
                <w:rStyle w:val="Hipervnculo"/>
                <w:rFonts w:ascii="Arial" w:eastAsia="Times New Roman" w:hAnsi="Arial" w:cs="Arial"/>
                <w:noProof/>
              </w:rPr>
              <w:t>4.4.37.</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Complements al sou dels regidors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_Toc99110761 \h </w:instrText>
            </w:r>
            <w:r w:rsidR="003D3409" w:rsidRPr="003D3409">
              <w:rPr>
                <w:noProof/>
                <w:webHidden/>
              </w:rPr>
            </w:r>
            <w:r w:rsidR="003D3409" w:rsidRPr="003D3409">
              <w:rPr>
                <w:noProof/>
                <w:webHidden/>
              </w:rPr>
              <w:fldChar w:fldCharType="separate"/>
            </w:r>
            <w:r w:rsidR="003D3409" w:rsidRPr="003D3409">
              <w:rPr>
                <w:noProof/>
                <w:webHidden/>
              </w:rPr>
              <w:t>186</w:t>
            </w:r>
            <w:r w:rsidR="003D3409" w:rsidRPr="003D3409">
              <w:rPr>
                <w:noProof/>
                <w:webHidden/>
              </w:rPr>
              <w:fldChar w:fldCharType="end"/>
            </w:r>
          </w:hyperlink>
        </w:p>
        <w:p w14:paraId="6E259ED7" w14:textId="49151C63" w:rsidR="003D3409" w:rsidRPr="003D3409" w:rsidRDefault="00254AEC" w:rsidP="008A26B8">
          <w:pPr>
            <w:pStyle w:val="TDC3"/>
            <w:rPr>
              <w:noProof/>
              <w:sz w:val="22"/>
              <w:szCs w:val="22"/>
              <w:lang w:val="es-ES" w:eastAsia="es-ES"/>
            </w:rPr>
          </w:pPr>
          <w:hyperlink w:anchor="_Toc99110762" w:history="1">
            <w:r w:rsidR="003D3409" w:rsidRPr="003D3409">
              <w:rPr>
                <w:rStyle w:val="Hipervnculo"/>
                <w:rFonts w:ascii="Arial" w:eastAsia="Times New Roman" w:hAnsi="Arial" w:cs="Arial"/>
                <w:noProof/>
              </w:rPr>
              <w:t>4.4.38.</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Nomenament de personal d'assessoria jurídica i acumulació de funcions de lletrat major</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_Toc99110762 \h </w:instrText>
            </w:r>
            <w:r w:rsidR="003D3409" w:rsidRPr="003D3409">
              <w:rPr>
                <w:noProof/>
                <w:webHidden/>
              </w:rPr>
            </w:r>
            <w:r w:rsidR="003D3409" w:rsidRPr="003D3409">
              <w:rPr>
                <w:noProof/>
                <w:webHidden/>
              </w:rPr>
              <w:fldChar w:fldCharType="separate"/>
            </w:r>
            <w:r w:rsidR="003D3409" w:rsidRPr="003D3409">
              <w:rPr>
                <w:noProof/>
                <w:webHidden/>
              </w:rPr>
              <w:t>186</w:t>
            </w:r>
            <w:r w:rsidR="003D3409" w:rsidRPr="003D3409">
              <w:rPr>
                <w:noProof/>
                <w:webHidden/>
              </w:rPr>
              <w:fldChar w:fldCharType="end"/>
            </w:r>
          </w:hyperlink>
        </w:p>
        <w:p w14:paraId="344B922C" w14:textId="22B23288" w:rsidR="003D3409" w:rsidRPr="003D3409" w:rsidRDefault="00254AEC" w:rsidP="008A26B8">
          <w:pPr>
            <w:pStyle w:val="TDC3"/>
            <w:rPr>
              <w:noProof/>
              <w:sz w:val="22"/>
              <w:szCs w:val="22"/>
              <w:lang w:val="es-ES" w:eastAsia="es-ES"/>
            </w:rPr>
          </w:pPr>
          <w:hyperlink w:anchor="_Toc99110763" w:history="1">
            <w:r w:rsidR="003D3409" w:rsidRPr="003D3409">
              <w:rPr>
                <w:rStyle w:val="Hipervnculo"/>
                <w:rFonts w:ascii="Arial" w:eastAsia="Times New Roman" w:hAnsi="Arial" w:cs="Arial"/>
                <w:noProof/>
              </w:rPr>
              <w:t>4.4.39.</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Benidorm. Tracte de favor en la tramitació de la devolució d'un vehicle retirat per la grua municipal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_Toc99110763 \h </w:instrText>
            </w:r>
            <w:r w:rsidR="003D3409" w:rsidRPr="003D3409">
              <w:rPr>
                <w:noProof/>
                <w:webHidden/>
              </w:rPr>
            </w:r>
            <w:r w:rsidR="003D3409" w:rsidRPr="003D3409">
              <w:rPr>
                <w:noProof/>
                <w:webHidden/>
              </w:rPr>
              <w:fldChar w:fldCharType="separate"/>
            </w:r>
            <w:r w:rsidR="003D3409" w:rsidRPr="003D3409">
              <w:rPr>
                <w:noProof/>
                <w:webHidden/>
              </w:rPr>
              <w:t>188</w:t>
            </w:r>
            <w:r w:rsidR="003D3409" w:rsidRPr="003D3409">
              <w:rPr>
                <w:noProof/>
                <w:webHidden/>
              </w:rPr>
              <w:fldChar w:fldCharType="end"/>
            </w:r>
          </w:hyperlink>
        </w:p>
        <w:p w14:paraId="52336365" w14:textId="4C23EA6E" w:rsidR="003D3409" w:rsidRPr="003D3409" w:rsidRDefault="00254AEC" w:rsidP="008A26B8">
          <w:pPr>
            <w:pStyle w:val="TDC3"/>
            <w:rPr>
              <w:noProof/>
              <w:sz w:val="22"/>
              <w:szCs w:val="22"/>
              <w:lang w:val="es-ES" w:eastAsia="es-ES"/>
            </w:rPr>
          </w:pPr>
          <w:hyperlink w:anchor="_Toc99110764" w:history="1">
            <w:r w:rsidR="003D3409" w:rsidRPr="003D3409">
              <w:rPr>
                <w:rStyle w:val="Hipervnculo"/>
                <w:rFonts w:ascii="Arial" w:eastAsia="Times New Roman" w:hAnsi="Arial" w:cs="Arial"/>
                <w:noProof/>
              </w:rPr>
              <w:t>4.4.40.</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Encàrrec directe Servici d'estacionament regulat d'aparcament de vehicles (ORA)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_Toc99110764 \h </w:instrText>
            </w:r>
            <w:r w:rsidR="003D3409" w:rsidRPr="003D3409">
              <w:rPr>
                <w:noProof/>
                <w:webHidden/>
              </w:rPr>
            </w:r>
            <w:r w:rsidR="003D3409" w:rsidRPr="003D3409">
              <w:rPr>
                <w:noProof/>
                <w:webHidden/>
              </w:rPr>
              <w:fldChar w:fldCharType="separate"/>
            </w:r>
            <w:r w:rsidR="003D3409" w:rsidRPr="003D3409">
              <w:rPr>
                <w:noProof/>
                <w:webHidden/>
              </w:rPr>
              <w:t>188</w:t>
            </w:r>
            <w:r w:rsidR="003D3409" w:rsidRPr="003D3409">
              <w:rPr>
                <w:noProof/>
                <w:webHidden/>
              </w:rPr>
              <w:fldChar w:fldCharType="end"/>
            </w:r>
          </w:hyperlink>
        </w:p>
        <w:p w14:paraId="1879097D" w14:textId="1FA530E7" w:rsidR="003D3409" w:rsidRPr="003D3409" w:rsidRDefault="00254AEC" w:rsidP="008A26B8">
          <w:pPr>
            <w:pStyle w:val="TDC3"/>
            <w:rPr>
              <w:noProof/>
              <w:sz w:val="22"/>
              <w:szCs w:val="22"/>
              <w:lang w:val="es-ES" w:eastAsia="es-ES"/>
            </w:rPr>
          </w:pPr>
          <w:hyperlink w:anchor="_Toc99110765" w:history="1">
            <w:r w:rsidR="003D3409" w:rsidRPr="003D3409">
              <w:rPr>
                <w:rStyle w:val="Hipervnculo"/>
                <w:rFonts w:ascii="Arial" w:eastAsia="Times New Roman" w:hAnsi="Arial" w:cs="Arial"/>
                <w:noProof/>
              </w:rPr>
              <w:t>4.4.41.</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Diputació Provincial de Castelló. Remuneracions del personal de la Diputació Provincial de Castelló en Consorcis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_Toc99110765 \h </w:instrText>
            </w:r>
            <w:r w:rsidR="003D3409" w:rsidRPr="003D3409">
              <w:rPr>
                <w:noProof/>
                <w:webHidden/>
              </w:rPr>
            </w:r>
            <w:r w:rsidR="003D3409" w:rsidRPr="003D3409">
              <w:rPr>
                <w:noProof/>
                <w:webHidden/>
              </w:rPr>
              <w:fldChar w:fldCharType="separate"/>
            </w:r>
            <w:r w:rsidR="003D3409" w:rsidRPr="003D3409">
              <w:rPr>
                <w:noProof/>
                <w:webHidden/>
              </w:rPr>
              <w:t>190</w:t>
            </w:r>
            <w:r w:rsidR="003D3409" w:rsidRPr="003D3409">
              <w:rPr>
                <w:noProof/>
                <w:webHidden/>
              </w:rPr>
              <w:fldChar w:fldCharType="end"/>
            </w:r>
          </w:hyperlink>
        </w:p>
        <w:p w14:paraId="766DB42F" w14:textId="66A45C00" w:rsidR="003D3409" w:rsidRPr="003D3409" w:rsidRDefault="00254AEC" w:rsidP="008A26B8">
          <w:pPr>
            <w:pStyle w:val="TDC3"/>
            <w:rPr>
              <w:noProof/>
              <w:sz w:val="22"/>
              <w:szCs w:val="22"/>
              <w:lang w:val="es-ES" w:eastAsia="es-ES"/>
            </w:rPr>
          </w:pPr>
          <w:hyperlink w:anchor="_Toc99110766" w:history="1">
            <w:r w:rsidR="003D3409" w:rsidRPr="003D3409">
              <w:rPr>
                <w:rStyle w:val="Hipervnculo"/>
                <w:rFonts w:ascii="Arial" w:eastAsia="Times New Roman" w:hAnsi="Arial" w:cs="Arial"/>
                <w:noProof/>
              </w:rPr>
              <w:t>4.4.42.</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La Serratella, Foment La Serratella, SL. Lloguer d'hotel municipal per 250 euros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_Toc99110766 \h </w:instrText>
            </w:r>
            <w:r w:rsidR="003D3409" w:rsidRPr="003D3409">
              <w:rPr>
                <w:noProof/>
                <w:webHidden/>
              </w:rPr>
            </w:r>
            <w:r w:rsidR="003D3409" w:rsidRPr="003D3409">
              <w:rPr>
                <w:noProof/>
                <w:webHidden/>
              </w:rPr>
              <w:fldChar w:fldCharType="separate"/>
            </w:r>
            <w:r w:rsidR="003D3409" w:rsidRPr="003D3409">
              <w:rPr>
                <w:noProof/>
                <w:webHidden/>
              </w:rPr>
              <w:t>191</w:t>
            </w:r>
            <w:r w:rsidR="003D3409" w:rsidRPr="003D3409">
              <w:rPr>
                <w:noProof/>
                <w:webHidden/>
              </w:rPr>
              <w:fldChar w:fldCharType="end"/>
            </w:r>
          </w:hyperlink>
        </w:p>
        <w:p w14:paraId="69A65C9E" w14:textId="4771CD83" w:rsidR="003D3409" w:rsidRPr="003D3409" w:rsidRDefault="00254AEC" w:rsidP="008A26B8">
          <w:pPr>
            <w:pStyle w:val="TDC3"/>
            <w:rPr>
              <w:noProof/>
              <w:sz w:val="22"/>
              <w:szCs w:val="22"/>
              <w:lang w:val="es-ES" w:eastAsia="es-ES"/>
            </w:rPr>
          </w:pPr>
          <w:hyperlink w:anchor="_Toc99110767" w:history="1">
            <w:r w:rsidR="003D3409" w:rsidRPr="003D3409">
              <w:rPr>
                <w:rStyle w:val="Hipervnculo"/>
                <w:rFonts w:ascii="Arial" w:eastAsia="Times New Roman" w:hAnsi="Arial" w:cs="Arial"/>
                <w:noProof/>
              </w:rPr>
              <w:t>4.4.43.</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 Junta Central Fallera. Irregularitats en matèria de contractació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_Toc99110767 \h </w:instrText>
            </w:r>
            <w:r w:rsidR="003D3409" w:rsidRPr="003D3409">
              <w:rPr>
                <w:noProof/>
                <w:webHidden/>
              </w:rPr>
            </w:r>
            <w:r w:rsidR="003D3409" w:rsidRPr="003D3409">
              <w:rPr>
                <w:noProof/>
                <w:webHidden/>
              </w:rPr>
              <w:fldChar w:fldCharType="separate"/>
            </w:r>
            <w:r w:rsidR="003D3409" w:rsidRPr="003D3409">
              <w:rPr>
                <w:noProof/>
                <w:webHidden/>
              </w:rPr>
              <w:t>192</w:t>
            </w:r>
            <w:r w:rsidR="003D3409" w:rsidRPr="003D3409">
              <w:rPr>
                <w:noProof/>
                <w:webHidden/>
              </w:rPr>
              <w:fldChar w:fldCharType="end"/>
            </w:r>
          </w:hyperlink>
        </w:p>
        <w:p w14:paraId="2E3C08D1" w14:textId="3043881A" w:rsidR="003D3409" w:rsidRPr="003D3409" w:rsidRDefault="00254AEC" w:rsidP="008A26B8">
          <w:pPr>
            <w:pStyle w:val="TDC3"/>
            <w:rPr>
              <w:noProof/>
              <w:sz w:val="22"/>
              <w:szCs w:val="22"/>
              <w:lang w:val="es-ES" w:eastAsia="es-ES"/>
            </w:rPr>
          </w:pPr>
          <w:hyperlink w:anchor="_Toc99110768" w:history="1">
            <w:r w:rsidR="003D3409" w:rsidRPr="003D3409">
              <w:rPr>
                <w:rStyle w:val="Hipervnculo"/>
                <w:rFonts w:ascii="Arial" w:eastAsia="Times New Roman" w:hAnsi="Arial" w:cs="Arial"/>
                <w:noProof/>
              </w:rPr>
              <w:t>4.4.44.</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Fundació per a la Investigació Institut Sanitari La Fe (IIS – La FE). Irregularitats en matèria de contractació de personal laboral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_Toc99110768 \h </w:instrText>
            </w:r>
            <w:r w:rsidR="003D3409" w:rsidRPr="003D3409">
              <w:rPr>
                <w:noProof/>
                <w:webHidden/>
              </w:rPr>
            </w:r>
            <w:r w:rsidR="003D3409" w:rsidRPr="003D3409">
              <w:rPr>
                <w:noProof/>
                <w:webHidden/>
              </w:rPr>
              <w:fldChar w:fldCharType="separate"/>
            </w:r>
            <w:r w:rsidR="003D3409" w:rsidRPr="003D3409">
              <w:rPr>
                <w:noProof/>
                <w:webHidden/>
              </w:rPr>
              <w:t>193</w:t>
            </w:r>
            <w:r w:rsidR="003D3409" w:rsidRPr="003D3409">
              <w:rPr>
                <w:noProof/>
                <w:webHidden/>
              </w:rPr>
              <w:fldChar w:fldCharType="end"/>
            </w:r>
          </w:hyperlink>
        </w:p>
        <w:p w14:paraId="502B1796" w14:textId="291CB794" w:rsidR="003D3409" w:rsidRPr="003D3409" w:rsidRDefault="00254AEC" w:rsidP="008A26B8">
          <w:pPr>
            <w:pStyle w:val="TDC3"/>
            <w:rPr>
              <w:noProof/>
              <w:sz w:val="22"/>
              <w:szCs w:val="22"/>
              <w:lang w:val="es-ES" w:eastAsia="es-ES"/>
            </w:rPr>
          </w:pPr>
          <w:hyperlink w:anchor="_Toc99110769" w:history="1">
            <w:r w:rsidR="003D3409" w:rsidRPr="003D3409">
              <w:rPr>
                <w:rStyle w:val="Hipervnculo"/>
                <w:rFonts w:ascii="Arial" w:eastAsia="Times New Roman" w:hAnsi="Arial" w:cs="Arial"/>
                <w:noProof/>
              </w:rPr>
              <w:t>4.4.45.</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Gavarda. Incompatibilitat càrrecs electes dedicació exclusiva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_Toc99110769 \h </w:instrText>
            </w:r>
            <w:r w:rsidR="003D3409" w:rsidRPr="003D3409">
              <w:rPr>
                <w:noProof/>
                <w:webHidden/>
              </w:rPr>
            </w:r>
            <w:r w:rsidR="003D3409" w:rsidRPr="003D3409">
              <w:rPr>
                <w:noProof/>
                <w:webHidden/>
              </w:rPr>
              <w:fldChar w:fldCharType="separate"/>
            </w:r>
            <w:r w:rsidR="003D3409" w:rsidRPr="003D3409">
              <w:rPr>
                <w:noProof/>
                <w:webHidden/>
              </w:rPr>
              <w:t>194</w:t>
            </w:r>
            <w:r w:rsidR="003D3409" w:rsidRPr="003D3409">
              <w:rPr>
                <w:noProof/>
                <w:webHidden/>
              </w:rPr>
              <w:fldChar w:fldCharType="end"/>
            </w:r>
          </w:hyperlink>
        </w:p>
        <w:p w14:paraId="2034B148" w14:textId="45E73F89" w:rsidR="003D3409" w:rsidRPr="003D3409" w:rsidRDefault="00254AEC" w:rsidP="008A26B8">
          <w:pPr>
            <w:pStyle w:val="TDC3"/>
            <w:rPr>
              <w:noProof/>
              <w:sz w:val="22"/>
              <w:szCs w:val="22"/>
              <w:lang w:val="es-ES" w:eastAsia="es-ES"/>
            </w:rPr>
          </w:pPr>
          <w:hyperlink w:anchor="_Toc99110770" w:history="1">
            <w:r w:rsidR="003D3409" w:rsidRPr="003D3409">
              <w:rPr>
                <w:rStyle w:val="Hipervnculo"/>
                <w:rFonts w:ascii="Arial" w:eastAsia="Times New Roman" w:hAnsi="Arial" w:cs="Arial"/>
                <w:noProof/>
              </w:rPr>
              <w:t>4.4.46.</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d'Aras de los Olmos. Accés a l'ocupació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_Toc99110770 \h </w:instrText>
            </w:r>
            <w:r w:rsidR="003D3409" w:rsidRPr="003D3409">
              <w:rPr>
                <w:noProof/>
                <w:webHidden/>
              </w:rPr>
            </w:r>
            <w:r w:rsidR="003D3409" w:rsidRPr="003D3409">
              <w:rPr>
                <w:noProof/>
                <w:webHidden/>
              </w:rPr>
              <w:fldChar w:fldCharType="separate"/>
            </w:r>
            <w:r w:rsidR="003D3409" w:rsidRPr="003D3409">
              <w:rPr>
                <w:noProof/>
                <w:webHidden/>
              </w:rPr>
              <w:t>195</w:t>
            </w:r>
            <w:r w:rsidR="003D3409" w:rsidRPr="003D3409">
              <w:rPr>
                <w:noProof/>
                <w:webHidden/>
              </w:rPr>
              <w:fldChar w:fldCharType="end"/>
            </w:r>
          </w:hyperlink>
        </w:p>
        <w:p w14:paraId="2081DE31" w14:textId="0ECCB39C" w:rsidR="003D3409" w:rsidRPr="003D3409" w:rsidRDefault="00254AEC" w:rsidP="008A26B8">
          <w:pPr>
            <w:pStyle w:val="TDC3"/>
            <w:rPr>
              <w:noProof/>
              <w:sz w:val="22"/>
              <w:szCs w:val="22"/>
              <w:lang w:val="es-ES" w:eastAsia="es-ES"/>
            </w:rPr>
          </w:pPr>
          <w:hyperlink w:anchor="_Toc99110771" w:history="1">
            <w:r w:rsidR="003D3409" w:rsidRPr="003D3409">
              <w:rPr>
                <w:rStyle w:val="Hipervnculo"/>
                <w:rFonts w:ascii="Arial" w:eastAsia="Times New Roman" w:hAnsi="Arial" w:cs="Arial"/>
                <w:noProof/>
              </w:rPr>
              <w:t>4.4.47.</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Castelló de Rugat. Irregularitats contractació administrativa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_Toc99110771 \h </w:instrText>
            </w:r>
            <w:r w:rsidR="003D3409" w:rsidRPr="003D3409">
              <w:rPr>
                <w:noProof/>
                <w:webHidden/>
              </w:rPr>
            </w:r>
            <w:r w:rsidR="003D3409" w:rsidRPr="003D3409">
              <w:rPr>
                <w:noProof/>
                <w:webHidden/>
              </w:rPr>
              <w:fldChar w:fldCharType="separate"/>
            </w:r>
            <w:r w:rsidR="003D3409" w:rsidRPr="003D3409">
              <w:rPr>
                <w:noProof/>
                <w:webHidden/>
              </w:rPr>
              <w:t>195</w:t>
            </w:r>
            <w:r w:rsidR="003D3409" w:rsidRPr="003D3409">
              <w:rPr>
                <w:noProof/>
                <w:webHidden/>
              </w:rPr>
              <w:fldChar w:fldCharType="end"/>
            </w:r>
          </w:hyperlink>
        </w:p>
        <w:p w14:paraId="3135B8C5" w14:textId="443D282D" w:rsidR="003D3409" w:rsidRPr="003D3409" w:rsidRDefault="00254AEC" w:rsidP="008A26B8">
          <w:pPr>
            <w:pStyle w:val="TDC3"/>
            <w:rPr>
              <w:noProof/>
              <w:sz w:val="22"/>
              <w:szCs w:val="22"/>
              <w:lang w:val="es-ES" w:eastAsia="es-ES"/>
            </w:rPr>
          </w:pPr>
          <w:hyperlink w:anchor="_Toc99110772" w:history="1">
            <w:r w:rsidR="003D3409" w:rsidRPr="003D3409">
              <w:rPr>
                <w:rStyle w:val="Hipervnculo"/>
                <w:rFonts w:ascii="Arial" w:eastAsia="Times New Roman" w:hAnsi="Arial" w:cs="Arial"/>
                <w:noProof/>
              </w:rPr>
              <w:t>4.4.48.</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Institut Valencià d'Art Modern (IVAM). Irregularitats en el procés de selecció del gerent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_Toc99110772 \h </w:instrText>
            </w:r>
            <w:r w:rsidR="003D3409" w:rsidRPr="003D3409">
              <w:rPr>
                <w:noProof/>
                <w:webHidden/>
              </w:rPr>
            </w:r>
            <w:r w:rsidR="003D3409" w:rsidRPr="003D3409">
              <w:rPr>
                <w:noProof/>
                <w:webHidden/>
              </w:rPr>
              <w:fldChar w:fldCharType="separate"/>
            </w:r>
            <w:r w:rsidR="003D3409" w:rsidRPr="003D3409">
              <w:rPr>
                <w:noProof/>
                <w:webHidden/>
              </w:rPr>
              <w:t>197</w:t>
            </w:r>
            <w:r w:rsidR="003D3409" w:rsidRPr="003D3409">
              <w:rPr>
                <w:noProof/>
                <w:webHidden/>
              </w:rPr>
              <w:fldChar w:fldCharType="end"/>
            </w:r>
          </w:hyperlink>
        </w:p>
        <w:p w14:paraId="74FE3588" w14:textId="1DCB47D5" w:rsidR="003D3409" w:rsidRPr="003D3409" w:rsidRDefault="00254AEC" w:rsidP="008A26B8">
          <w:pPr>
            <w:pStyle w:val="TDC3"/>
            <w:rPr>
              <w:noProof/>
              <w:sz w:val="22"/>
              <w:szCs w:val="22"/>
              <w:lang w:val="es-ES" w:eastAsia="es-ES"/>
            </w:rPr>
          </w:pPr>
          <w:hyperlink w:anchor="_Toc99110773" w:history="1">
            <w:r w:rsidR="003D3409" w:rsidRPr="003D3409">
              <w:rPr>
                <w:rStyle w:val="Hipervnculo"/>
                <w:rFonts w:ascii="Arial" w:eastAsia="Times New Roman" w:hAnsi="Arial" w:cs="Arial"/>
                <w:noProof/>
              </w:rPr>
              <w:t>4.4.49.</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Turís. Comissions de servei.</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_Toc99110773 \h </w:instrText>
            </w:r>
            <w:r w:rsidR="003D3409" w:rsidRPr="003D3409">
              <w:rPr>
                <w:noProof/>
                <w:webHidden/>
              </w:rPr>
            </w:r>
            <w:r w:rsidR="003D3409" w:rsidRPr="003D3409">
              <w:rPr>
                <w:noProof/>
                <w:webHidden/>
              </w:rPr>
              <w:fldChar w:fldCharType="separate"/>
            </w:r>
            <w:r w:rsidR="003D3409" w:rsidRPr="003D3409">
              <w:rPr>
                <w:noProof/>
                <w:webHidden/>
              </w:rPr>
              <w:t>197</w:t>
            </w:r>
            <w:r w:rsidR="003D3409" w:rsidRPr="003D3409">
              <w:rPr>
                <w:noProof/>
                <w:webHidden/>
              </w:rPr>
              <w:fldChar w:fldCharType="end"/>
            </w:r>
          </w:hyperlink>
        </w:p>
        <w:p w14:paraId="575885AF" w14:textId="52843CF2" w:rsidR="003D3409" w:rsidRPr="003D3409" w:rsidRDefault="00254AEC" w:rsidP="008A26B8">
          <w:pPr>
            <w:pStyle w:val="TDC3"/>
            <w:rPr>
              <w:noProof/>
              <w:sz w:val="22"/>
              <w:szCs w:val="22"/>
              <w:lang w:val="es-ES" w:eastAsia="es-ES"/>
            </w:rPr>
          </w:pPr>
          <w:hyperlink w:anchor="_Toc99110774" w:history="1">
            <w:r w:rsidR="003D3409" w:rsidRPr="003D3409">
              <w:rPr>
                <w:rStyle w:val="Hipervnculo"/>
                <w:rFonts w:ascii="Arial" w:eastAsia="Times New Roman" w:hAnsi="Arial" w:cs="Arial"/>
                <w:noProof/>
              </w:rPr>
              <w:t>4.4.50.</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d’Orba. Irregularitats contractuals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_Toc99110774 \h </w:instrText>
            </w:r>
            <w:r w:rsidR="003D3409" w:rsidRPr="003D3409">
              <w:rPr>
                <w:noProof/>
                <w:webHidden/>
              </w:rPr>
            </w:r>
            <w:r w:rsidR="003D3409" w:rsidRPr="003D3409">
              <w:rPr>
                <w:noProof/>
                <w:webHidden/>
              </w:rPr>
              <w:fldChar w:fldCharType="separate"/>
            </w:r>
            <w:r w:rsidR="003D3409" w:rsidRPr="003D3409">
              <w:rPr>
                <w:noProof/>
                <w:webHidden/>
              </w:rPr>
              <w:t>198</w:t>
            </w:r>
            <w:r w:rsidR="003D3409" w:rsidRPr="003D3409">
              <w:rPr>
                <w:noProof/>
                <w:webHidden/>
              </w:rPr>
              <w:fldChar w:fldCharType="end"/>
            </w:r>
          </w:hyperlink>
        </w:p>
        <w:p w14:paraId="7A0D7E56" w14:textId="441A9BAF" w:rsidR="003D3409" w:rsidRPr="003D3409" w:rsidRDefault="00254AEC" w:rsidP="008A26B8">
          <w:pPr>
            <w:pStyle w:val="TDC3"/>
            <w:rPr>
              <w:noProof/>
              <w:sz w:val="22"/>
              <w:szCs w:val="22"/>
              <w:lang w:val="es-ES" w:eastAsia="es-ES"/>
            </w:rPr>
          </w:pPr>
          <w:hyperlink w:anchor="_Toc99110775" w:history="1">
            <w:r w:rsidR="003D3409" w:rsidRPr="003D3409">
              <w:rPr>
                <w:rStyle w:val="Hipervnculo"/>
                <w:rFonts w:ascii="Arial" w:eastAsia="Times New Roman" w:hAnsi="Arial" w:cs="Arial"/>
                <w:noProof/>
              </w:rPr>
              <w:t>4.4.51.</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Sueca. Irregularitats en matèria de contractació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_Toc99110775 \h </w:instrText>
            </w:r>
            <w:r w:rsidR="003D3409" w:rsidRPr="003D3409">
              <w:rPr>
                <w:noProof/>
                <w:webHidden/>
              </w:rPr>
            </w:r>
            <w:r w:rsidR="003D3409" w:rsidRPr="003D3409">
              <w:rPr>
                <w:noProof/>
                <w:webHidden/>
              </w:rPr>
              <w:fldChar w:fldCharType="separate"/>
            </w:r>
            <w:r w:rsidR="003D3409" w:rsidRPr="003D3409">
              <w:rPr>
                <w:noProof/>
                <w:webHidden/>
              </w:rPr>
              <w:t>201</w:t>
            </w:r>
            <w:r w:rsidR="003D3409" w:rsidRPr="003D3409">
              <w:rPr>
                <w:noProof/>
                <w:webHidden/>
              </w:rPr>
              <w:fldChar w:fldCharType="end"/>
            </w:r>
          </w:hyperlink>
        </w:p>
        <w:p w14:paraId="72B49B6E" w14:textId="2726E04D" w:rsidR="003D3409" w:rsidRPr="003D3409" w:rsidRDefault="00254AEC" w:rsidP="008A26B8">
          <w:pPr>
            <w:pStyle w:val="TDC3"/>
            <w:rPr>
              <w:noProof/>
              <w:sz w:val="22"/>
              <w:szCs w:val="22"/>
              <w:lang w:val="es-ES" w:eastAsia="es-ES"/>
            </w:rPr>
          </w:pPr>
          <w:hyperlink w:anchor="_Toc99110776" w:history="1">
            <w:r w:rsidR="003D3409" w:rsidRPr="003D3409">
              <w:rPr>
                <w:rStyle w:val="Hipervnculo"/>
                <w:rFonts w:ascii="Arial" w:eastAsia="Times New Roman" w:hAnsi="Arial" w:cs="Arial"/>
                <w:noProof/>
              </w:rPr>
              <w:t>4.4.52.</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Consorci de Museus. Irregularitats en matèria de personal i contractació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_Toc99110776 \h </w:instrText>
            </w:r>
            <w:r w:rsidR="003D3409" w:rsidRPr="003D3409">
              <w:rPr>
                <w:noProof/>
                <w:webHidden/>
              </w:rPr>
            </w:r>
            <w:r w:rsidR="003D3409" w:rsidRPr="003D3409">
              <w:rPr>
                <w:noProof/>
                <w:webHidden/>
              </w:rPr>
              <w:fldChar w:fldCharType="separate"/>
            </w:r>
            <w:r w:rsidR="003D3409" w:rsidRPr="003D3409">
              <w:rPr>
                <w:noProof/>
                <w:webHidden/>
              </w:rPr>
              <w:t>202</w:t>
            </w:r>
            <w:r w:rsidR="003D3409" w:rsidRPr="003D3409">
              <w:rPr>
                <w:noProof/>
                <w:webHidden/>
              </w:rPr>
              <w:fldChar w:fldCharType="end"/>
            </w:r>
          </w:hyperlink>
        </w:p>
        <w:p w14:paraId="15BBC446" w14:textId="16D27891" w:rsidR="003D3409" w:rsidRPr="003D3409" w:rsidRDefault="00254AEC" w:rsidP="008A26B8">
          <w:pPr>
            <w:pStyle w:val="TDC3"/>
            <w:rPr>
              <w:noProof/>
              <w:sz w:val="22"/>
              <w:szCs w:val="22"/>
              <w:lang w:val="es-ES" w:eastAsia="es-ES"/>
            </w:rPr>
          </w:pPr>
          <w:hyperlink w:anchor="_Toc99110777" w:history="1">
            <w:r w:rsidR="003D3409" w:rsidRPr="003D3409">
              <w:rPr>
                <w:rStyle w:val="Hipervnculo"/>
                <w:rFonts w:ascii="Arial" w:eastAsia="Times New Roman" w:hAnsi="Arial" w:cs="Arial"/>
                <w:noProof/>
              </w:rPr>
              <w:t>4.4.53.</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Relacions Internacionals de la Universitat d'Alacant S.A. Irregularitats en la contractació per “Taller Digital d'Establiment de Textos Literaris i Científics, S.A”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_Toc99110777 \h </w:instrText>
            </w:r>
            <w:r w:rsidR="003D3409" w:rsidRPr="003D3409">
              <w:rPr>
                <w:noProof/>
                <w:webHidden/>
              </w:rPr>
            </w:r>
            <w:r w:rsidR="003D3409" w:rsidRPr="003D3409">
              <w:rPr>
                <w:noProof/>
                <w:webHidden/>
              </w:rPr>
              <w:fldChar w:fldCharType="separate"/>
            </w:r>
            <w:r w:rsidR="003D3409" w:rsidRPr="003D3409">
              <w:rPr>
                <w:noProof/>
                <w:webHidden/>
              </w:rPr>
              <w:t>204</w:t>
            </w:r>
            <w:r w:rsidR="003D3409" w:rsidRPr="003D3409">
              <w:rPr>
                <w:noProof/>
                <w:webHidden/>
              </w:rPr>
              <w:fldChar w:fldCharType="end"/>
            </w:r>
          </w:hyperlink>
        </w:p>
        <w:p w14:paraId="5F6567E7" w14:textId="77246088" w:rsidR="003D3409" w:rsidRPr="003D3409" w:rsidRDefault="00254AEC" w:rsidP="008A26B8">
          <w:pPr>
            <w:pStyle w:val="TDC3"/>
            <w:rPr>
              <w:noProof/>
              <w:sz w:val="22"/>
              <w:szCs w:val="22"/>
              <w:lang w:val="es-ES" w:eastAsia="es-ES"/>
            </w:rPr>
          </w:pPr>
          <w:hyperlink w:anchor="_Toc99110778" w:history="1">
            <w:r w:rsidR="003D3409" w:rsidRPr="003D3409">
              <w:rPr>
                <w:rStyle w:val="Hipervnculo"/>
                <w:rFonts w:ascii="Arial" w:eastAsia="Times New Roman" w:hAnsi="Arial" w:cs="Arial"/>
                <w:noProof/>
              </w:rPr>
              <w:t>4.4.54.</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Pedralba. Irregularitats en matèria de retribucions de càrrecs electes, productivitats d'empleats/ades públics/ques, contractació administrativa i accés a la funció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_Toc99110778 \h </w:instrText>
            </w:r>
            <w:r w:rsidR="003D3409" w:rsidRPr="003D3409">
              <w:rPr>
                <w:noProof/>
                <w:webHidden/>
              </w:rPr>
            </w:r>
            <w:r w:rsidR="003D3409" w:rsidRPr="003D3409">
              <w:rPr>
                <w:noProof/>
                <w:webHidden/>
              </w:rPr>
              <w:fldChar w:fldCharType="separate"/>
            </w:r>
            <w:r w:rsidR="003D3409" w:rsidRPr="003D3409">
              <w:rPr>
                <w:noProof/>
                <w:webHidden/>
              </w:rPr>
              <w:t>205</w:t>
            </w:r>
            <w:r w:rsidR="003D3409" w:rsidRPr="003D3409">
              <w:rPr>
                <w:noProof/>
                <w:webHidden/>
              </w:rPr>
              <w:fldChar w:fldCharType="end"/>
            </w:r>
          </w:hyperlink>
        </w:p>
        <w:p w14:paraId="504FE4C8" w14:textId="7DC58224" w:rsidR="003D3409" w:rsidRPr="003D3409" w:rsidRDefault="00254AEC" w:rsidP="008A26B8">
          <w:pPr>
            <w:pStyle w:val="TDC3"/>
            <w:rPr>
              <w:noProof/>
              <w:sz w:val="22"/>
              <w:szCs w:val="22"/>
              <w:lang w:val="es-ES" w:eastAsia="es-ES"/>
            </w:rPr>
          </w:pPr>
          <w:hyperlink w:anchor="_Toc99110779" w:history="1">
            <w:r w:rsidR="003D3409" w:rsidRPr="003D3409">
              <w:rPr>
                <w:rStyle w:val="Hipervnculo"/>
                <w:rFonts w:ascii="Arial" w:eastAsia="Times New Roman" w:hAnsi="Arial" w:cs="Arial"/>
                <w:noProof/>
              </w:rPr>
              <w:t>4.4.55.</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Canet d’en Berenguer. Conflictes d’interés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_Toc99110779 \h </w:instrText>
            </w:r>
            <w:r w:rsidR="003D3409" w:rsidRPr="003D3409">
              <w:rPr>
                <w:noProof/>
                <w:webHidden/>
              </w:rPr>
            </w:r>
            <w:r w:rsidR="003D3409" w:rsidRPr="003D3409">
              <w:rPr>
                <w:noProof/>
                <w:webHidden/>
              </w:rPr>
              <w:fldChar w:fldCharType="separate"/>
            </w:r>
            <w:r w:rsidR="003D3409" w:rsidRPr="003D3409">
              <w:rPr>
                <w:noProof/>
                <w:webHidden/>
              </w:rPr>
              <w:t>207</w:t>
            </w:r>
            <w:r w:rsidR="003D3409" w:rsidRPr="003D3409">
              <w:rPr>
                <w:noProof/>
                <w:webHidden/>
              </w:rPr>
              <w:fldChar w:fldCharType="end"/>
            </w:r>
          </w:hyperlink>
        </w:p>
        <w:p w14:paraId="24089AA9" w14:textId="7C5688BE" w:rsidR="003D3409" w:rsidRPr="003D3409" w:rsidRDefault="00254AEC" w:rsidP="008A26B8">
          <w:pPr>
            <w:pStyle w:val="TDC3"/>
            <w:rPr>
              <w:noProof/>
              <w:sz w:val="22"/>
              <w:szCs w:val="22"/>
              <w:lang w:val="es-ES" w:eastAsia="es-ES"/>
            </w:rPr>
          </w:pPr>
          <w:hyperlink w:anchor="_Toc99110780" w:history="1">
            <w:r w:rsidR="003D3409" w:rsidRPr="003D3409">
              <w:rPr>
                <w:rStyle w:val="Hipervnculo"/>
                <w:rFonts w:ascii="Arial" w:eastAsia="Times New Roman" w:hAnsi="Arial" w:cs="Arial"/>
                <w:noProof/>
              </w:rPr>
              <w:t>4.4.56.</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d'Elx. Contractació obres nou mercat central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_Toc99110780 \h </w:instrText>
            </w:r>
            <w:r w:rsidR="003D3409" w:rsidRPr="003D3409">
              <w:rPr>
                <w:noProof/>
                <w:webHidden/>
              </w:rPr>
            </w:r>
            <w:r w:rsidR="003D3409" w:rsidRPr="003D3409">
              <w:rPr>
                <w:noProof/>
                <w:webHidden/>
              </w:rPr>
              <w:fldChar w:fldCharType="separate"/>
            </w:r>
            <w:r w:rsidR="003D3409" w:rsidRPr="003D3409">
              <w:rPr>
                <w:noProof/>
                <w:webHidden/>
              </w:rPr>
              <w:t>207</w:t>
            </w:r>
            <w:r w:rsidR="003D3409" w:rsidRPr="003D3409">
              <w:rPr>
                <w:noProof/>
                <w:webHidden/>
              </w:rPr>
              <w:fldChar w:fldCharType="end"/>
            </w:r>
          </w:hyperlink>
        </w:p>
        <w:p w14:paraId="7921FC3D" w14:textId="7E471F07" w:rsidR="003D3409" w:rsidRPr="003D3409" w:rsidRDefault="00254AEC" w:rsidP="008A26B8">
          <w:pPr>
            <w:pStyle w:val="TDC3"/>
            <w:rPr>
              <w:noProof/>
              <w:sz w:val="22"/>
              <w:szCs w:val="22"/>
              <w:lang w:val="es-ES" w:eastAsia="es-ES"/>
            </w:rPr>
          </w:pPr>
          <w:hyperlink w:anchor="_Toc99110781" w:history="1">
            <w:r w:rsidR="003D3409" w:rsidRPr="003D3409">
              <w:rPr>
                <w:rStyle w:val="Hipervnculo"/>
                <w:rFonts w:ascii="Arial" w:eastAsia="Times New Roman" w:hAnsi="Arial" w:cs="Arial"/>
                <w:noProof/>
              </w:rPr>
              <w:t>4.4.57.</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Borriana. Irregularitats en matèria urbanística i contractació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_Toc99110781 \h </w:instrText>
            </w:r>
            <w:r w:rsidR="003D3409" w:rsidRPr="003D3409">
              <w:rPr>
                <w:noProof/>
                <w:webHidden/>
              </w:rPr>
            </w:r>
            <w:r w:rsidR="003D3409" w:rsidRPr="003D3409">
              <w:rPr>
                <w:noProof/>
                <w:webHidden/>
              </w:rPr>
              <w:fldChar w:fldCharType="separate"/>
            </w:r>
            <w:r w:rsidR="003D3409" w:rsidRPr="003D3409">
              <w:rPr>
                <w:noProof/>
                <w:webHidden/>
              </w:rPr>
              <w:t>209</w:t>
            </w:r>
            <w:r w:rsidR="003D3409" w:rsidRPr="003D3409">
              <w:rPr>
                <w:noProof/>
                <w:webHidden/>
              </w:rPr>
              <w:fldChar w:fldCharType="end"/>
            </w:r>
          </w:hyperlink>
        </w:p>
        <w:p w14:paraId="27D6AEDE" w14:textId="4BAD5903" w:rsidR="003D3409" w:rsidRPr="003D3409" w:rsidRDefault="00254AEC" w:rsidP="008A26B8">
          <w:pPr>
            <w:pStyle w:val="TDC3"/>
            <w:rPr>
              <w:noProof/>
              <w:sz w:val="22"/>
              <w:szCs w:val="22"/>
              <w:lang w:val="es-ES" w:eastAsia="es-ES"/>
            </w:rPr>
          </w:pPr>
          <w:hyperlink w:anchor="_Toc99110782" w:history="1">
            <w:r w:rsidR="003D3409" w:rsidRPr="003D3409">
              <w:rPr>
                <w:rStyle w:val="Hipervnculo"/>
                <w:rFonts w:ascii="Arial" w:eastAsia="Times New Roman" w:hAnsi="Arial" w:cs="Arial"/>
                <w:noProof/>
              </w:rPr>
              <w:t>4.4.58.</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Presidència de la Generalitat Valenciana. Contracte de patrocini</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_Toc99110782 \h </w:instrText>
            </w:r>
            <w:r w:rsidR="003D3409" w:rsidRPr="003D3409">
              <w:rPr>
                <w:noProof/>
                <w:webHidden/>
              </w:rPr>
            </w:r>
            <w:r w:rsidR="003D3409" w:rsidRPr="003D3409">
              <w:rPr>
                <w:noProof/>
                <w:webHidden/>
              </w:rPr>
              <w:fldChar w:fldCharType="separate"/>
            </w:r>
            <w:r w:rsidR="003D3409" w:rsidRPr="003D3409">
              <w:rPr>
                <w:noProof/>
                <w:webHidden/>
              </w:rPr>
              <w:t>210</w:t>
            </w:r>
            <w:r w:rsidR="003D3409" w:rsidRPr="003D3409">
              <w:rPr>
                <w:noProof/>
                <w:webHidden/>
              </w:rPr>
              <w:fldChar w:fldCharType="end"/>
            </w:r>
          </w:hyperlink>
        </w:p>
        <w:p w14:paraId="71FF341E" w14:textId="559E7996" w:rsidR="003D3409" w:rsidRPr="003D3409" w:rsidRDefault="00254AEC" w:rsidP="008A26B8">
          <w:pPr>
            <w:pStyle w:val="TDC3"/>
            <w:rPr>
              <w:noProof/>
              <w:sz w:val="22"/>
              <w:szCs w:val="22"/>
              <w:lang w:val="es-ES" w:eastAsia="es-ES"/>
            </w:rPr>
          </w:pPr>
          <w:hyperlink w:anchor="_Toc99110783" w:history="1">
            <w:r w:rsidR="003D3409" w:rsidRPr="003D3409">
              <w:rPr>
                <w:rStyle w:val="Hipervnculo"/>
                <w:rFonts w:ascii="Arial" w:eastAsia="Times New Roman" w:hAnsi="Arial" w:cs="Arial"/>
                <w:noProof/>
              </w:rPr>
              <w:t>4.4.59.</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Servici de grua municipal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_Toc99110783 \h </w:instrText>
            </w:r>
            <w:r w:rsidR="003D3409" w:rsidRPr="003D3409">
              <w:rPr>
                <w:noProof/>
                <w:webHidden/>
              </w:rPr>
            </w:r>
            <w:r w:rsidR="003D3409" w:rsidRPr="003D3409">
              <w:rPr>
                <w:noProof/>
                <w:webHidden/>
              </w:rPr>
              <w:fldChar w:fldCharType="separate"/>
            </w:r>
            <w:r w:rsidR="003D3409" w:rsidRPr="003D3409">
              <w:rPr>
                <w:noProof/>
                <w:webHidden/>
              </w:rPr>
              <w:t>211</w:t>
            </w:r>
            <w:r w:rsidR="003D3409" w:rsidRPr="003D3409">
              <w:rPr>
                <w:noProof/>
                <w:webHidden/>
              </w:rPr>
              <w:fldChar w:fldCharType="end"/>
            </w:r>
          </w:hyperlink>
        </w:p>
        <w:p w14:paraId="667F48F3" w14:textId="68CA817C" w:rsidR="003D3409" w:rsidRPr="003D3409" w:rsidRDefault="00254AEC" w:rsidP="008A26B8">
          <w:pPr>
            <w:pStyle w:val="TDC3"/>
            <w:rPr>
              <w:noProof/>
              <w:sz w:val="22"/>
              <w:szCs w:val="22"/>
              <w:lang w:val="es-ES" w:eastAsia="es-ES"/>
            </w:rPr>
          </w:pPr>
          <w:hyperlink w:anchor="_Toc99110784" w:history="1">
            <w:r w:rsidR="003D3409" w:rsidRPr="003D3409">
              <w:rPr>
                <w:rStyle w:val="Hipervnculo"/>
                <w:rFonts w:ascii="Arial" w:eastAsia="Times New Roman" w:hAnsi="Arial" w:cs="Arial"/>
                <w:noProof/>
              </w:rPr>
              <w:t>4.4.60.</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Callosa de Segura. Despeses realitzades sense procediment en matèria de contractació i concessió de llicència urbanística que no empara les obres executades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_Toc99110784 \h </w:instrText>
            </w:r>
            <w:r w:rsidR="003D3409" w:rsidRPr="003D3409">
              <w:rPr>
                <w:noProof/>
                <w:webHidden/>
              </w:rPr>
            </w:r>
            <w:r w:rsidR="003D3409" w:rsidRPr="003D3409">
              <w:rPr>
                <w:noProof/>
                <w:webHidden/>
              </w:rPr>
              <w:fldChar w:fldCharType="separate"/>
            </w:r>
            <w:r w:rsidR="003D3409" w:rsidRPr="003D3409">
              <w:rPr>
                <w:noProof/>
                <w:webHidden/>
              </w:rPr>
              <w:t>213</w:t>
            </w:r>
            <w:r w:rsidR="003D3409" w:rsidRPr="003D3409">
              <w:rPr>
                <w:noProof/>
                <w:webHidden/>
              </w:rPr>
              <w:fldChar w:fldCharType="end"/>
            </w:r>
          </w:hyperlink>
        </w:p>
        <w:p w14:paraId="3C1E7B67" w14:textId="3FBD1E9F" w:rsidR="003D3409" w:rsidRPr="003D3409" w:rsidRDefault="00254AEC" w:rsidP="008A26B8">
          <w:pPr>
            <w:pStyle w:val="TDC3"/>
            <w:rPr>
              <w:noProof/>
              <w:sz w:val="22"/>
              <w:szCs w:val="22"/>
              <w:lang w:val="es-ES" w:eastAsia="es-ES"/>
            </w:rPr>
          </w:pPr>
          <w:hyperlink w:anchor="_Toc99110785" w:history="1">
            <w:r w:rsidR="003D3409" w:rsidRPr="003D3409">
              <w:rPr>
                <w:rStyle w:val="Hipervnculo"/>
                <w:rFonts w:ascii="Arial" w:eastAsia="Times New Roman" w:hAnsi="Arial" w:cs="Arial"/>
                <w:noProof/>
              </w:rPr>
              <w:t>4.4.61.</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Corporació Valenciana de Mitjans de Comunicació (CVMC) i de la Societat Anònima de Mitjans de Comunicació de la Comunitat Valenciana (SAMC). Irregularitats nomenament personal directiu</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_Toc99110785 \h </w:instrText>
            </w:r>
            <w:r w:rsidR="003D3409" w:rsidRPr="003D3409">
              <w:rPr>
                <w:noProof/>
                <w:webHidden/>
              </w:rPr>
            </w:r>
            <w:r w:rsidR="003D3409" w:rsidRPr="003D3409">
              <w:rPr>
                <w:noProof/>
                <w:webHidden/>
              </w:rPr>
              <w:fldChar w:fldCharType="separate"/>
            </w:r>
            <w:r w:rsidR="003D3409" w:rsidRPr="003D3409">
              <w:rPr>
                <w:noProof/>
                <w:webHidden/>
              </w:rPr>
              <w:t>216</w:t>
            </w:r>
            <w:r w:rsidR="003D3409" w:rsidRPr="003D3409">
              <w:rPr>
                <w:noProof/>
                <w:webHidden/>
              </w:rPr>
              <w:fldChar w:fldCharType="end"/>
            </w:r>
          </w:hyperlink>
        </w:p>
        <w:p w14:paraId="7870F22F" w14:textId="6C9613B6" w:rsidR="003D3409" w:rsidRPr="003D3409" w:rsidRDefault="00254AEC" w:rsidP="008A26B8">
          <w:pPr>
            <w:pStyle w:val="TDC3"/>
            <w:rPr>
              <w:noProof/>
              <w:sz w:val="22"/>
              <w:szCs w:val="22"/>
              <w:lang w:val="es-ES" w:eastAsia="es-ES"/>
            </w:rPr>
          </w:pPr>
          <w:hyperlink w:anchor="_Toc99110786" w:history="1">
            <w:r w:rsidR="003D3409" w:rsidRPr="003D3409">
              <w:rPr>
                <w:rStyle w:val="Hipervnculo"/>
                <w:rFonts w:ascii="Arial" w:eastAsia="Times New Roman" w:hAnsi="Arial" w:cs="Arial"/>
                <w:noProof/>
              </w:rPr>
              <w:t>4.4.62.</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València. Llicència concert La Marina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_Toc99110786 \h </w:instrText>
            </w:r>
            <w:r w:rsidR="003D3409" w:rsidRPr="003D3409">
              <w:rPr>
                <w:noProof/>
                <w:webHidden/>
              </w:rPr>
            </w:r>
            <w:r w:rsidR="003D3409" w:rsidRPr="003D3409">
              <w:rPr>
                <w:noProof/>
                <w:webHidden/>
              </w:rPr>
              <w:fldChar w:fldCharType="separate"/>
            </w:r>
            <w:r w:rsidR="003D3409" w:rsidRPr="003D3409">
              <w:rPr>
                <w:noProof/>
                <w:webHidden/>
              </w:rPr>
              <w:t>217</w:t>
            </w:r>
            <w:r w:rsidR="003D3409" w:rsidRPr="003D3409">
              <w:rPr>
                <w:noProof/>
                <w:webHidden/>
              </w:rPr>
              <w:fldChar w:fldCharType="end"/>
            </w:r>
          </w:hyperlink>
        </w:p>
        <w:p w14:paraId="2007F820" w14:textId="5630ACCD" w:rsidR="003D3409" w:rsidRPr="003D3409" w:rsidRDefault="00254AEC" w:rsidP="008A26B8">
          <w:pPr>
            <w:pStyle w:val="TDC3"/>
            <w:rPr>
              <w:noProof/>
              <w:sz w:val="22"/>
              <w:szCs w:val="22"/>
              <w:lang w:val="es-ES" w:eastAsia="es-ES"/>
            </w:rPr>
          </w:pPr>
          <w:hyperlink w:anchor="_Toc99110787" w:history="1">
            <w:r w:rsidR="003D3409" w:rsidRPr="003D3409">
              <w:rPr>
                <w:rStyle w:val="Hipervnculo"/>
                <w:rFonts w:ascii="Arial" w:eastAsia="Times New Roman" w:hAnsi="Arial" w:cs="Arial"/>
                <w:noProof/>
              </w:rPr>
              <w:t>4.4.63.</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Torrevella. Irregularitats en matèria de contractació i urbanisme</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_Toc99110787 \h </w:instrText>
            </w:r>
            <w:r w:rsidR="003D3409" w:rsidRPr="003D3409">
              <w:rPr>
                <w:noProof/>
                <w:webHidden/>
              </w:rPr>
            </w:r>
            <w:r w:rsidR="003D3409" w:rsidRPr="003D3409">
              <w:rPr>
                <w:noProof/>
                <w:webHidden/>
              </w:rPr>
              <w:fldChar w:fldCharType="separate"/>
            </w:r>
            <w:r w:rsidR="003D3409" w:rsidRPr="003D3409">
              <w:rPr>
                <w:noProof/>
                <w:webHidden/>
              </w:rPr>
              <w:t>218</w:t>
            </w:r>
            <w:r w:rsidR="003D3409" w:rsidRPr="003D3409">
              <w:rPr>
                <w:noProof/>
                <w:webHidden/>
              </w:rPr>
              <w:fldChar w:fldCharType="end"/>
            </w:r>
          </w:hyperlink>
        </w:p>
        <w:p w14:paraId="6CC6B19F" w14:textId="18425762" w:rsidR="003D3409" w:rsidRPr="003D3409" w:rsidRDefault="00254AEC" w:rsidP="008A26B8">
          <w:pPr>
            <w:pStyle w:val="TDC3"/>
            <w:rPr>
              <w:noProof/>
              <w:sz w:val="22"/>
              <w:szCs w:val="22"/>
              <w:lang w:val="es-ES" w:eastAsia="es-ES"/>
            </w:rPr>
          </w:pPr>
          <w:hyperlink w:anchor="_Toc99110788" w:history="1">
            <w:r w:rsidR="003D3409" w:rsidRPr="003D3409">
              <w:rPr>
                <w:rStyle w:val="Hipervnculo"/>
                <w:rFonts w:ascii="Arial" w:eastAsia="Times New Roman" w:hAnsi="Arial" w:cs="Arial"/>
                <w:noProof/>
              </w:rPr>
              <w:t>4.4.64.</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Tous. Incompatibilitats arquitecte municipal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_Toc99110788 \h </w:instrText>
            </w:r>
            <w:r w:rsidR="003D3409" w:rsidRPr="003D3409">
              <w:rPr>
                <w:noProof/>
                <w:webHidden/>
              </w:rPr>
            </w:r>
            <w:r w:rsidR="003D3409" w:rsidRPr="003D3409">
              <w:rPr>
                <w:noProof/>
                <w:webHidden/>
              </w:rPr>
              <w:fldChar w:fldCharType="separate"/>
            </w:r>
            <w:r w:rsidR="003D3409" w:rsidRPr="003D3409">
              <w:rPr>
                <w:noProof/>
                <w:webHidden/>
              </w:rPr>
              <w:t>219</w:t>
            </w:r>
            <w:r w:rsidR="003D3409" w:rsidRPr="003D3409">
              <w:rPr>
                <w:noProof/>
                <w:webHidden/>
              </w:rPr>
              <w:fldChar w:fldCharType="end"/>
            </w:r>
          </w:hyperlink>
        </w:p>
        <w:p w14:paraId="1D992457" w14:textId="2958FB1E" w:rsidR="003D3409" w:rsidRPr="003D3409" w:rsidRDefault="00254AEC" w:rsidP="008A26B8">
          <w:pPr>
            <w:pStyle w:val="TDC3"/>
            <w:rPr>
              <w:noProof/>
              <w:sz w:val="22"/>
              <w:szCs w:val="22"/>
              <w:lang w:val="es-ES" w:eastAsia="es-ES"/>
            </w:rPr>
          </w:pPr>
          <w:hyperlink w:anchor="_Toc99110789" w:history="1">
            <w:r w:rsidR="003D3409" w:rsidRPr="003D3409">
              <w:rPr>
                <w:rStyle w:val="Hipervnculo"/>
                <w:rFonts w:ascii="Arial" w:eastAsia="Times New Roman" w:hAnsi="Arial" w:cs="Arial"/>
                <w:noProof/>
              </w:rPr>
              <w:t>4.4.65.</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Tous. Incompatibilitats enginyer municipal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_Toc99110789 \h </w:instrText>
            </w:r>
            <w:r w:rsidR="003D3409" w:rsidRPr="003D3409">
              <w:rPr>
                <w:noProof/>
                <w:webHidden/>
              </w:rPr>
            </w:r>
            <w:r w:rsidR="003D3409" w:rsidRPr="003D3409">
              <w:rPr>
                <w:noProof/>
                <w:webHidden/>
              </w:rPr>
              <w:fldChar w:fldCharType="separate"/>
            </w:r>
            <w:r w:rsidR="003D3409" w:rsidRPr="003D3409">
              <w:rPr>
                <w:noProof/>
                <w:webHidden/>
              </w:rPr>
              <w:t>220</w:t>
            </w:r>
            <w:r w:rsidR="003D3409" w:rsidRPr="003D3409">
              <w:rPr>
                <w:noProof/>
                <w:webHidden/>
              </w:rPr>
              <w:fldChar w:fldCharType="end"/>
            </w:r>
          </w:hyperlink>
        </w:p>
        <w:p w14:paraId="1713CF96" w14:textId="420AE97A" w:rsidR="003D3409" w:rsidRPr="003D3409" w:rsidRDefault="00254AEC" w:rsidP="008A26B8">
          <w:pPr>
            <w:pStyle w:val="TDC3"/>
            <w:rPr>
              <w:noProof/>
              <w:sz w:val="22"/>
              <w:szCs w:val="22"/>
              <w:lang w:val="es-ES" w:eastAsia="es-ES"/>
            </w:rPr>
          </w:pPr>
          <w:hyperlink w:anchor="_Toc99110790" w:history="1">
            <w:r w:rsidR="003D3409" w:rsidRPr="003D3409">
              <w:rPr>
                <w:rStyle w:val="Hipervnculo"/>
                <w:rFonts w:ascii="Arial" w:eastAsia="Times New Roman" w:hAnsi="Arial" w:cs="Arial"/>
                <w:noProof/>
              </w:rPr>
              <w:t>4.4.66.</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d’Albaida. Irregularitats en matèria d’accés a l’ocupació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_Toc99110790 \h </w:instrText>
            </w:r>
            <w:r w:rsidR="003D3409" w:rsidRPr="003D3409">
              <w:rPr>
                <w:noProof/>
                <w:webHidden/>
              </w:rPr>
            </w:r>
            <w:r w:rsidR="003D3409" w:rsidRPr="003D3409">
              <w:rPr>
                <w:noProof/>
                <w:webHidden/>
              </w:rPr>
              <w:fldChar w:fldCharType="separate"/>
            </w:r>
            <w:r w:rsidR="003D3409" w:rsidRPr="003D3409">
              <w:rPr>
                <w:noProof/>
                <w:webHidden/>
              </w:rPr>
              <w:t>221</w:t>
            </w:r>
            <w:r w:rsidR="003D3409" w:rsidRPr="003D3409">
              <w:rPr>
                <w:noProof/>
                <w:webHidden/>
              </w:rPr>
              <w:fldChar w:fldCharType="end"/>
            </w:r>
          </w:hyperlink>
        </w:p>
        <w:p w14:paraId="6E0F66E3" w14:textId="7931BF68" w:rsidR="003D3409" w:rsidRPr="003D3409" w:rsidRDefault="00254AEC" w:rsidP="008A26B8">
          <w:pPr>
            <w:pStyle w:val="TDC3"/>
            <w:rPr>
              <w:noProof/>
              <w:sz w:val="22"/>
              <w:szCs w:val="22"/>
              <w:lang w:val="es-ES" w:eastAsia="es-ES"/>
            </w:rPr>
          </w:pPr>
          <w:hyperlink w:anchor="_Toc99110791" w:history="1">
            <w:r w:rsidR="003D3409" w:rsidRPr="003D3409">
              <w:rPr>
                <w:rStyle w:val="Hipervnculo"/>
                <w:rFonts w:ascii="Arial" w:eastAsia="Times New Roman" w:hAnsi="Arial" w:cs="Arial"/>
                <w:noProof/>
              </w:rPr>
              <w:t>4.4.67.</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Diputació Provincial de València. Modificació de la forma de provisió de funcionaris d'administració local amb habilitació de caràcter nacional (FHCN)</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_Toc99110791 \h </w:instrText>
            </w:r>
            <w:r w:rsidR="003D3409" w:rsidRPr="003D3409">
              <w:rPr>
                <w:noProof/>
                <w:webHidden/>
              </w:rPr>
            </w:r>
            <w:r w:rsidR="003D3409" w:rsidRPr="003D3409">
              <w:rPr>
                <w:noProof/>
                <w:webHidden/>
              </w:rPr>
              <w:fldChar w:fldCharType="separate"/>
            </w:r>
            <w:r w:rsidR="003D3409" w:rsidRPr="003D3409">
              <w:rPr>
                <w:noProof/>
                <w:webHidden/>
              </w:rPr>
              <w:t>222</w:t>
            </w:r>
            <w:r w:rsidR="003D3409" w:rsidRPr="003D3409">
              <w:rPr>
                <w:noProof/>
                <w:webHidden/>
              </w:rPr>
              <w:fldChar w:fldCharType="end"/>
            </w:r>
          </w:hyperlink>
        </w:p>
        <w:p w14:paraId="5FEAF18C" w14:textId="56029915" w:rsidR="003D3409" w:rsidRPr="003D3409" w:rsidRDefault="00254AEC" w:rsidP="008A26B8">
          <w:pPr>
            <w:pStyle w:val="TDC3"/>
            <w:rPr>
              <w:noProof/>
              <w:sz w:val="22"/>
              <w:szCs w:val="22"/>
              <w:lang w:val="es-ES" w:eastAsia="es-ES"/>
            </w:rPr>
          </w:pPr>
          <w:hyperlink w:anchor="_Toc99110792" w:history="1">
            <w:r w:rsidR="003D3409" w:rsidRPr="003D3409">
              <w:rPr>
                <w:rStyle w:val="Hipervnculo"/>
                <w:rFonts w:ascii="Arial" w:eastAsia="Times New Roman" w:hAnsi="Arial" w:cs="Arial"/>
                <w:noProof/>
              </w:rPr>
              <w:t>4.4.68.</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Tous. Adquisició de la bàscula municipal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_Toc99110792 \h </w:instrText>
            </w:r>
            <w:r w:rsidR="003D3409" w:rsidRPr="003D3409">
              <w:rPr>
                <w:noProof/>
                <w:webHidden/>
              </w:rPr>
            </w:r>
            <w:r w:rsidR="003D3409" w:rsidRPr="003D3409">
              <w:rPr>
                <w:noProof/>
                <w:webHidden/>
              </w:rPr>
              <w:fldChar w:fldCharType="separate"/>
            </w:r>
            <w:r w:rsidR="003D3409" w:rsidRPr="003D3409">
              <w:rPr>
                <w:noProof/>
                <w:webHidden/>
              </w:rPr>
              <w:t>223</w:t>
            </w:r>
            <w:r w:rsidR="003D3409" w:rsidRPr="003D3409">
              <w:rPr>
                <w:noProof/>
                <w:webHidden/>
              </w:rPr>
              <w:fldChar w:fldCharType="end"/>
            </w:r>
          </w:hyperlink>
        </w:p>
        <w:p w14:paraId="53417507" w14:textId="487D8524" w:rsidR="003D3409" w:rsidRPr="003D3409" w:rsidRDefault="00254AEC" w:rsidP="008A26B8">
          <w:pPr>
            <w:pStyle w:val="TDC3"/>
            <w:rPr>
              <w:noProof/>
              <w:sz w:val="22"/>
              <w:szCs w:val="22"/>
              <w:lang w:val="es-ES" w:eastAsia="es-ES"/>
            </w:rPr>
          </w:pPr>
          <w:hyperlink w:anchor="_Toc99110793" w:history="1">
            <w:r w:rsidR="003D3409" w:rsidRPr="003D3409">
              <w:rPr>
                <w:rStyle w:val="Hipervnculo"/>
                <w:rFonts w:ascii="Arial" w:eastAsia="Times New Roman" w:hAnsi="Arial" w:cs="Arial"/>
                <w:noProof/>
              </w:rPr>
              <w:t>4.4.69.</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d'Orihuela. Cessió del dret de superfície</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_Toc99110793 \h </w:instrText>
            </w:r>
            <w:r w:rsidR="003D3409" w:rsidRPr="003D3409">
              <w:rPr>
                <w:noProof/>
                <w:webHidden/>
              </w:rPr>
            </w:r>
            <w:r w:rsidR="003D3409" w:rsidRPr="003D3409">
              <w:rPr>
                <w:noProof/>
                <w:webHidden/>
              </w:rPr>
              <w:fldChar w:fldCharType="separate"/>
            </w:r>
            <w:r w:rsidR="003D3409" w:rsidRPr="003D3409">
              <w:rPr>
                <w:noProof/>
                <w:webHidden/>
              </w:rPr>
              <w:t>224</w:t>
            </w:r>
            <w:r w:rsidR="003D3409" w:rsidRPr="003D3409">
              <w:rPr>
                <w:noProof/>
                <w:webHidden/>
              </w:rPr>
              <w:fldChar w:fldCharType="end"/>
            </w:r>
          </w:hyperlink>
        </w:p>
        <w:p w14:paraId="11338056" w14:textId="79FA67E6" w:rsidR="003D3409" w:rsidRPr="003D3409" w:rsidRDefault="00254AEC" w:rsidP="008A26B8">
          <w:pPr>
            <w:pStyle w:val="TDC3"/>
            <w:rPr>
              <w:noProof/>
              <w:sz w:val="22"/>
              <w:szCs w:val="22"/>
              <w:lang w:val="es-ES" w:eastAsia="es-ES"/>
            </w:rPr>
          </w:pPr>
          <w:hyperlink w:anchor="_Toc99110794" w:history="1">
            <w:r w:rsidR="003D3409" w:rsidRPr="003D3409">
              <w:rPr>
                <w:rStyle w:val="Hipervnculo"/>
                <w:rFonts w:ascii="Arial" w:eastAsia="Times New Roman" w:hAnsi="Arial" w:cs="Arial"/>
                <w:noProof/>
              </w:rPr>
              <w:t>4.4.70.</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Chiva. Utilització sense títol del teatre municipal Astoria.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_Toc99110794 \h </w:instrText>
            </w:r>
            <w:r w:rsidR="003D3409" w:rsidRPr="003D3409">
              <w:rPr>
                <w:noProof/>
                <w:webHidden/>
              </w:rPr>
            </w:r>
            <w:r w:rsidR="003D3409" w:rsidRPr="003D3409">
              <w:rPr>
                <w:noProof/>
                <w:webHidden/>
              </w:rPr>
              <w:fldChar w:fldCharType="separate"/>
            </w:r>
            <w:r w:rsidR="003D3409" w:rsidRPr="003D3409">
              <w:rPr>
                <w:noProof/>
                <w:webHidden/>
              </w:rPr>
              <w:t>225</w:t>
            </w:r>
            <w:r w:rsidR="003D3409" w:rsidRPr="003D3409">
              <w:rPr>
                <w:noProof/>
                <w:webHidden/>
              </w:rPr>
              <w:fldChar w:fldCharType="end"/>
            </w:r>
          </w:hyperlink>
        </w:p>
        <w:p w14:paraId="7FCF2134" w14:textId="044E2705" w:rsidR="003D3409" w:rsidRPr="003D3409" w:rsidRDefault="00254AEC" w:rsidP="008A26B8">
          <w:pPr>
            <w:pStyle w:val="TDC3"/>
            <w:rPr>
              <w:noProof/>
              <w:sz w:val="22"/>
              <w:szCs w:val="22"/>
              <w:lang w:val="es-ES" w:eastAsia="es-ES"/>
            </w:rPr>
          </w:pPr>
          <w:hyperlink w:anchor="_Toc99110795" w:history="1">
            <w:r w:rsidR="003D3409" w:rsidRPr="003D3409">
              <w:rPr>
                <w:rStyle w:val="Hipervnculo"/>
                <w:rFonts w:ascii="Arial" w:eastAsia="Times New Roman" w:hAnsi="Arial" w:cs="Arial"/>
                <w:noProof/>
              </w:rPr>
              <w:t>4.4.71.</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Turís. Irregularitats accés ocupació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_Toc99110795 \h </w:instrText>
            </w:r>
            <w:r w:rsidR="003D3409" w:rsidRPr="003D3409">
              <w:rPr>
                <w:noProof/>
                <w:webHidden/>
              </w:rPr>
            </w:r>
            <w:r w:rsidR="003D3409" w:rsidRPr="003D3409">
              <w:rPr>
                <w:noProof/>
                <w:webHidden/>
              </w:rPr>
              <w:fldChar w:fldCharType="separate"/>
            </w:r>
            <w:r w:rsidR="003D3409" w:rsidRPr="003D3409">
              <w:rPr>
                <w:noProof/>
                <w:webHidden/>
              </w:rPr>
              <w:t>226</w:t>
            </w:r>
            <w:r w:rsidR="003D3409" w:rsidRPr="003D3409">
              <w:rPr>
                <w:noProof/>
                <w:webHidden/>
              </w:rPr>
              <w:fldChar w:fldCharType="end"/>
            </w:r>
          </w:hyperlink>
        </w:p>
        <w:p w14:paraId="4839D069" w14:textId="5D2B82D2" w:rsidR="003D3409" w:rsidRPr="003D3409" w:rsidRDefault="00254AEC" w:rsidP="008A26B8">
          <w:pPr>
            <w:pStyle w:val="TDC3"/>
            <w:rPr>
              <w:noProof/>
              <w:sz w:val="22"/>
              <w:szCs w:val="22"/>
              <w:lang w:val="es-ES" w:eastAsia="es-ES"/>
            </w:rPr>
          </w:pPr>
          <w:hyperlink w:anchor="_Toc99110796" w:history="1">
            <w:r w:rsidR="003D3409" w:rsidRPr="003D3409">
              <w:rPr>
                <w:rStyle w:val="Hipervnculo"/>
                <w:rFonts w:ascii="Arial" w:eastAsia="Times New Roman" w:hAnsi="Arial" w:cs="Arial"/>
                <w:noProof/>
              </w:rPr>
              <w:t>4.4.72.</w:t>
            </w:r>
            <w:r w:rsidR="003D3409" w:rsidRPr="003D3409">
              <w:rPr>
                <w:noProof/>
                <w:sz w:val="22"/>
                <w:szCs w:val="22"/>
                <w:lang w:val="es-ES" w:eastAsia="es-ES"/>
              </w:rPr>
              <w:tab/>
            </w:r>
            <w:r w:rsidR="003D3409" w:rsidRPr="003D3409">
              <w:rPr>
                <w:rStyle w:val="Hipervnculo"/>
                <w:rFonts w:ascii="Arial" w:eastAsia="Times New Roman" w:hAnsi="Arial" w:cs="Arial"/>
                <w:noProof/>
              </w:rPr>
              <w:t>Denominació: Ajuntament de Benidorm. Hotels oberts al públic sense llicència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_Toc99110796 \h </w:instrText>
            </w:r>
            <w:r w:rsidR="003D3409" w:rsidRPr="003D3409">
              <w:rPr>
                <w:noProof/>
                <w:webHidden/>
              </w:rPr>
            </w:r>
            <w:r w:rsidR="003D3409" w:rsidRPr="003D3409">
              <w:rPr>
                <w:noProof/>
                <w:webHidden/>
              </w:rPr>
              <w:fldChar w:fldCharType="separate"/>
            </w:r>
            <w:r w:rsidR="003D3409" w:rsidRPr="003D3409">
              <w:rPr>
                <w:noProof/>
                <w:webHidden/>
              </w:rPr>
              <w:t>227</w:t>
            </w:r>
            <w:r w:rsidR="003D3409" w:rsidRPr="003D3409">
              <w:rPr>
                <w:noProof/>
                <w:webHidden/>
              </w:rPr>
              <w:fldChar w:fldCharType="end"/>
            </w:r>
          </w:hyperlink>
        </w:p>
        <w:p w14:paraId="6CFD242F" w14:textId="60AB1EC5" w:rsidR="003D3409" w:rsidRPr="003D3409" w:rsidRDefault="00254AEC" w:rsidP="008A26B8">
          <w:pPr>
            <w:pStyle w:val="TDC2"/>
            <w:rPr>
              <w:rFonts w:asciiTheme="minorHAnsi" w:eastAsiaTheme="minorEastAsia" w:hAnsiTheme="minorHAnsi" w:cstheme="minorBidi"/>
              <w:sz w:val="22"/>
              <w:lang w:val="es-ES" w:eastAsia="es-ES"/>
            </w:rPr>
          </w:pPr>
          <w:hyperlink w:anchor="_Toc99110797" w:history="1">
            <w:r w:rsidR="003D3409" w:rsidRPr="003D3409">
              <w:rPr>
                <w:rStyle w:val="Hipervnculo"/>
              </w:rPr>
              <w:t>4.5.</w:t>
            </w:r>
            <w:r w:rsidR="003D3409" w:rsidRPr="003D3409">
              <w:rPr>
                <w:rFonts w:asciiTheme="minorHAnsi" w:eastAsiaTheme="minorEastAsia" w:hAnsiTheme="minorHAnsi" w:cstheme="minorBidi"/>
                <w:sz w:val="22"/>
                <w:lang w:val="es-ES" w:eastAsia="es-ES"/>
              </w:rPr>
              <w:tab/>
            </w:r>
            <w:r w:rsidR="003D3409" w:rsidRPr="003D3409">
              <w:rPr>
                <w:rStyle w:val="Hipervnculo"/>
              </w:rPr>
              <w:t>Administracions i entitats que no han acceptat les Recomanacions de l'Agència en les investigacions finalitzades</w:t>
            </w:r>
            <w:r w:rsidR="003D3409" w:rsidRPr="003D3409">
              <w:rPr>
                <w:webHidden/>
              </w:rPr>
              <w:tab/>
            </w:r>
            <w:r w:rsidR="003D3409" w:rsidRPr="003D3409">
              <w:rPr>
                <w:webHidden/>
              </w:rPr>
              <w:fldChar w:fldCharType="begin" w:fldLock="1"/>
            </w:r>
            <w:r w:rsidR="003D3409" w:rsidRPr="003D3409">
              <w:rPr>
                <w:webHidden/>
              </w:rPr>
              <w:instrText xml:space="preserve"> PAGEREF _Toc99110797 \h </w:instrText>
            </w:r>
            <w:r w:rsidR="003D3409" w:rsidRPr="003D3409">
              <w:rPr>
                <w:webHidden/>
              </w:rPr>
            </w:r>
            <w:r w:rsidR="003D3409" w:rsidRPr="003D3409">
              <w:rPr>
                <w:webHidden/>
              </w:rPr>
              <w:fldChar w:fldCharType="separate"/>
            </w:r>
            <w:r w:rsidR="003D3409" w:rsidRPr="003D3409">
              <w:rPr>
                <w:webHidden/>
              </w:rPr>
              <w:t>233</w:t>
            </w:r>
            <w:r w:rsidR="003D3409" w:rsidRPr="003D3409">
              <w:rPr>
                <w:webHidden/>
              </w:rPr>
              <w:fldChar w:fldCharType="end"/>
            </w:r>
          </w:hyperlink>
        </w:p>
        <w:p w14:paraId="46620953" w14:textId="113FD216" w:rsidR="003D3409" w:rsidRPr="003D3409" w:rsidRDefault="00254AEC" w:rsidP="008A26B8">
          <w:pPr>
            <w:pStyle w:val="TDC3"/>
            <w:rPr>
              <w:noProof/>
              <w:sz w:val="22"/>
              <w:szCs w:val="22"/>
              <w:lang w:val="es-ES" w:eastAsia="es-ES"/>
            </w:rPr>
          </w:pPr>
          <w:hyperlink w:anchor="_Toc99110798" w:history="1">
            <w:r w:rsidR="003D3409" w:rsidRPr="003D3409">
              <w:rPr>
                <w:rStyle w:val="Hipervnculo"/>
                <w:rFonts w:ascii="Arial" w:eastAsia="Times New Roman" w:hAnsi="Arial" w:cs="Arial"/>
                <w:noProof/>
              </w:rPr>
              <w:t>4.5.1.</w:t>
            </w:r>
            <w:r w:rsidR="003D3409" w:rsidRPr="003D3409">
              <w:rPr>
                <w:noProof/>
                <w:sz w:val="22"/>
                <w:szCs w:val="22"/>
                <w:lang w:val="es-ES" w:eastAsia="es-ES"/>
              </w:rPr>
              <w:tab/>
            </w:r>
            <w:r w:rsidR="003D3409" w:rsidRPr="003D3409">
              <w:rPr>
                <w:rStyle w:val="Hipervnculo"/>
                <w:rFonts w:ascii="Arial" w:eastAsia="Times New Roman" w:hAnsi="Arial" w:cs="Arial"/>
                <w:noProof/>
              </w:rPr>
              <w:t>Incompliments de Recomanacions de l’Ajuntament de València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_Toc99110798 \h </w:instrText>
            </w:r>
            <w:r w:rsidR="003D3409" w:rsidRPr="003D3409">
              <w:rPr>
                <w:noProof/>
                <w:webHidden/>
              </w:rPr>
            </w:r>
            <w:r w:rsidR="003D3409" w:rsidRPr="003D3409">
              <w:rPr>
                <w:noProof/>
                <w:webHidden/>
              </w:rPr>
              <w:fldChar w:fldCharType="separate"/>
            </w:r>
            <w:r w:rsidR="003D3409" w:rsidRPr="003D3409">
              <w:rPr>
                <w:noProof/>
                <w:webHidden/>
              </w:rPr>
              <w:t>233</w:t>
            </w:r>
            <w:r w:rsidR="003D3409" w:rsidRPr="003D3409">
              <w:rPr>
                <w:noProof/>
                <w:webHidden/>
              </w:rPr>
              <w:fldChar w:fldCharType="end"/>
            </w:r>
          </w:hyperlink>
        </w:p>
        <w:p w14:paraId="3A0C7E82" w14:textId="4021E43D" w:rsidR="003D3409" w:rsidRPr="003D3409" w:rsidRDefault="00254AEC" w:rsidP="008A26B8">
          <w:pPr>
            <w:pStyle w:val="TDC3"/>
            <w:rPr>
              <w:noProof/>
              <w:sz w:val="22"/>
              <w:szCs w:val="22"/>
              <w:lang w:val="es-ES" w:eastAsia="es-ES"/>
            </w:rPr>
          </w:pPr>
          <w:hyperlink w:anchor="_Toc99110799" w:history="1">
            <w:r w:rsidR="003D3409" w:rsidRPr="003D3409">
              <w:rPr>
                <w:rStyle w:val="Hipervnculo"/>
                <w:rFonts w:ascii="Arial" w:eastAsia="Times New Roman" w:hAnsi="Arial" w:cs="Arial"/>
                <w:noProof/>
              </w:rPr>
              <w:t>4.5.2.</w:t>
            </w:r>
            <w:r w:rsidR="003D3409" w:rsidRPr="003D3409">
              <w:rPr>
                <w:noProof/>
                <w:sz w:val="22"/>
                <w:szCs w:val="22"/>
                <w:lang w:val="es-ES" w:eastAsia="es-ES"/>
              </w:rPr>
              <w:tab/>
            </w:r>
            <w:r w:rsidR="003D3409" w:rsidRPr="003D3409">
              <w:rPr>
                <w:rStyle w:val="Hipervnculo"/>
                <w:rFonts w:ascii="Arial" w:eastAsia="Times New Roman" w:hAnsi="Arial" w:cs="Arial"/>
                <w:noProof/>
              </w:rPr>
              <w:t>Incompliments de Recomanacions de l’Ajuntament de Cofrentes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_Toc99110799 \h </w:instrText>
            </w:r>
            <w:r w:rsidR="003D3409" w:rsidRPr="003D3409">
              <w:rPr>
                <w:noProof/>
                <w:webHidden/>
              </w:rPr>
            </w:r>
            <w:r w:rsidR="003D3409" w:rsidRPr="003D3409">
              <w:rPr>
                <w:noProof/>
                <w:webHidden/>
              </w:rPr>
              <w:fldChar w:fldCharType="separate"/>
            </w:r>
            <w:r w:rsidR="003D3409" w:rsidRPr="003D3409">
              <w:rPr>
                <w:noProof/>
                <w:webHidden/>
              </w:rPr>
              <w:t>234</w:t>
            </w:r>
            <w:r w:rsidR="003D3409" w:rsidRPr="003D3409">
              <w:rPr>
                <w:noProof/>
                <w:webHidden/>
              </w:rPr>
              <w:fldChar w:fldCharType="end"/>
            </w:r>
          </w:hyperlink>
        </w:p>
        <w:p w14:paraId="0C5E1467" w14:textId="16B22206" w:rsidR="003D3409" w:rsidRPr="003D3409" w:rsidRDefault="00254AEC" w:rsidP="008A26B8">
          <w:pPr>
            <w:pStyle w:val="TDC3"/>
            <w:rPr>
              <w:noProof/>
              <w:sz w:val="22"/>
              <w:szCs w:val="22"/>
              <w:lang w:val="es-ES" w:eastAsia="es-ES"/>
            </w:rPr>
          </w:pPr>
          <w:hyperlink w:anchor="_Toc99110800" w:history="1">
            <w:r w:rsidR="003D3409" w:rsidRPr="003D3409">
              <w:rPr>
                <w:rStyle w:val="Hipervnculo"/>
                <w:rFonts w:ascii="Arial" w:eastAsia="Times New Roman" w:hAnsi="Arial" w:cs="Arial"/>
                <w:noProof/>
              </w:rPr>
              <w:t>4.5.3.</w:t>
            </w:r>
            <w:r w:rsidR="003D3409" w:rsidRPr="003D3409">
              <w:rPr>
                <w:noProof/>
                <w:sz w:val="22"/>
                <w:szCs w:val="22"/>
                <w:lang w:val="es-ES" w:eastAsia="es-ES"/>
              </w:rPr>
              <w:tab/>
            </w:r>
            <w:r w:rsidR="003D3409" w:rsidRPr="003D3409">
              <w:rPr>
                <w:rStyle w:val="Hipervnculo"/>
                <w:rFonts w:ascii="Arial" w:eastAsia="Times New Roman" w:hAnsi="Arial" w:cs="Arial"/>
                <w:noProof/>
              </w:rPr>
              <w:t>Incompliments de Recomanacions de l’Ajuntament de Rojales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_Toc99110800 \h </w:instrText>
            </w:r>
            <w:r w:rsidR="003D3409" w:rsidRPr="003D3409">
              <w:rPr>
                <w:noProof/>
                <w:webHidden/>
              </w:rPr>
            </w:r>
            <w:r w:rsidR="003D3409" w:rsidRPr="003D3409">
              <w:rPr>
                <w:noProof/>
                <w:webHidden/>
              </w:rPr>
              <w:fldChar w:fldCharType="separate"/>
            </w:r>
            <w:r w:rsidR="003D3409" w:rsidRPr="003D3409">
              <w:rPr>
                <w:noProof/>
                <w:webHidden/>
              </w:rPr>
              <w:t>235</w:t>
            </w:r>
            <w:r w:rsidR="003D3409" w:rsidRPr="003D3409">
              <w:rPr>
                <w:noProof/>
                <w:webHidden/>
              </w:rPr>
              <w:fldChar w:fldCharType="end"/>
            </w:r>
          </w:hyperlink>
        </w:p>
        <w:p w14:paraId="1041585C" w14:textId="75D54CFE" w:rsidR="003D3409" w:rsidRPr="003D3409" w:rsidRDefault="00254AEC" w:rsidP="008A26B8">
          <w:pPr>
            <w:pStyle w:val="TDC3"/>
            <w:rPr>
              <w:noProof/>
              <w:sz w:val="22"/>
              <w:szCs w:val="22"/>
              <w:lang w:val="es-ES" w:eastAsia="es-ES"/>
            </w:rPr>
          </w:pPr>
          <w:hyperlink w:anchor="_Toc99110801" w:history="1">
            <w:r w:rsidR="003D3409" w:rsidRPr="003D3409">
              <w:rPr>
                <w:rStyle w:val="Hipervnculo"/>
                <w:rFonts w:ascii="Arial" w:eastAsia="Times New Roman" w:hAnsi="Arial" w:cs="Arial"/>
                <w:noProof/>
              </w:rPr>
              <w:t>4.5.4.</w:t>
            </w:r>
            <w:r w:rsidR="003D3409" w:rsidRPr="003D3409">
              <w:rPr>
                <w:noProof/>
                <w:sz w:val="22"/>
                <w:szCs w:val="22"/>
                <w:lang w:val="es-ES" w:eastAsia="es-ES"/>
              </w:rPr>
              <w:tab/>
            </w:r>
            <w:r w:rsidR="003D3409" w:rsidRPr="003D3409">
              <w:rPr>
                <w:rStyle w:val="Hipervnculo"/>
                <w:rFonts w:ascii="Arial" w:eastAsia="Times New Roman" w:hAnsi="Arial" w:cs="Arial"/>
                <w:noProof/>
              </w:rPr>
              <w:t>Incompliments de Recomanacions del Institut Valencià de Cultura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_Toc99110801 \h </w:instrText>
            </w:r>
            <w:r w:rsidR="003D3409" w:rsidRPr="003D3409">
              <w:rPr>
                <w:noProof/>
                <w:webHidden/>
              </w:rPr>
            </w:r>
            <w:r w:rsidR="003D3409" w:rsidRPr="003D3409">
              <w:rPr>
                <w:noProof/>
                <w:webHidden/>
              </w:rPr>
              <w:fldChar w:fldCharType="separate"/>
            </w:r>
            <w:r w:rsidR="003D3409" w:rsidRPr="003D3409">
              <w:rPr>
                <w:noProof/>
                <w:webHidden/>
              </w:rPr>
              <w:t>236</w:t>
            </w:r>
            <w:r w:rsidR="003D3409" w:rsidRPr="003D3409">
              <w:rPr>
                <w:noProof/>
                <w:webHidden/>
              </w:rPr>
              <w:fldChar w:fldCharType="end"/>
            </w:r>
          </w:hyperlink>
        </w:p>
        <w:p w14:paraId="35E789F4" w14:textId="3AA89AB6" w:rsidR="003D3409" w:rsidRPr="003D3409" w:rsidRDefault="00254AEC" w:rsidP="008A26B8">
          <w:pPr>
            <w:pStyle w:val="TDC2"/>
            <w:rPr>
              <w:rFonts w:asciiTheme="minorHAnsi" w:eastAsiaTheme="minorEastAsia" w:hAnsiTheme="minorHAnsi" w:cstheme="minorBidi"/>
              <w:sz w:val="22"/>
              <w:lang w:val="es-ES" w:eastAsia="es-ES"/>
            </w:rPr>
          </w:pPr>
          <w:hyperlink w:anchor="_Toc99110802" w:history="1">
            <w:r w:rsidR="003D3409" w:rsidRPr="003D3409">
              <w:rPr>
                <w:rStyle w:val="Hipervnculo"/>
              </w:rPr>
              <w:t>4.6.</w:t>
            </w:r>
            <w:r w:rsidR="003D3409" w:rsidRPr="003D3409">
              <w:rPr>
                <w:rFonts w:asciiTheme="minorHAnsi" w:eastAsiaTheme="minorEastAsia" w:hAnsiTheme="minorHAnsi" w:cstheme="minorBidi"/>
                <w:sz w:val="22"/>
                <w:lang w:val="es-ES" w:eastAsia="es-ES"/>
              </w:rPr>
              <w:tab/>
            </w:r>
            <w:r w:rsidR="003D3409" w:rsidRPr="003D3409">
              <w:rPr>
                <w:rStyle w:val="Hipervnculo"/>
              </w:rPr>
              <w:t>Col·laboració amb altres institucions</w:t>
            </w:r>
            <w:r w:rsidR="003D3409" w:rsidRPr="003D3409">
              <w:rPr>
                <w:webHidden/>
              </w:rPr>
              <w:tab/>
            </w:r>
            <w:r w:rsidR="003D3409" w:rsidRPr="003D3409">
              <w:rPr>
                <w:webHidden/>
              </w:rPr>
              <w:fldChar w:fldCharType="begin" w:fldLock="1"/>
            </w:r>
            <w:r w:rsidR="003D3409" w:rsidRPr="003D3409">
              <w:rPr>
                <w:webHidden/>
              </w:rPr>
              <w:instrText xml:space="preserve"> PAGEREF _Toc99110802 \h </w:instrText>
            </w:r>
            <w:r w:rsidR="003D3409" w:rsidRPr="003D3409">
              <w:rPr>
                <w:webHidden/>
              </w:rPr>
            </w:r>
            <w:r w:rsidR="003D3409" w:rsidRPr="003D3409">
              <w:rPr>
                <w:webHidden/>
              </w:rPr>
              <w:fldChar w:fldCharType="separate"/>
            </w:r>
            <w:r w:rsidR="003D3409" w:rsidRPr="003D3409">
              <w:rPr>
                <w:webHidden/>
              </w:rPr>
              <w:t>237</w:t>
            </w:r>
            <w:r w:rsidR="003D3409" w:rsidRPr="003D3409">
              <w:rPr>
                <w:webHidden/>
              </w:rPr>
              <w:fldChar w:fldCharType="end"/>
            </w:r>
          </w:hyperlink>
        </w:p>
        <w:p w14:paraId="0EA428E4" w14:textId="2C2B098B" w:rsidR="003D3409" w:rsidRPr="003D3409" w:rsidRDefault="00254AEC" w:rsidP="008A26B8">
          <w:pPr>
            <w:pStyle w:val="TDC2"/>
            <w:rPr>
              <w:rFonts w:asciiTheme="minorHAnsi" w:eastAsiaTheme="minorEastAsia" w:hAnsiTheme="minorHAnsi" w:cstheme="minorBidi"/>
              <w:sz w:val="22"/>
              <w:lang w:val="es-ES" w:eastAsia="es-ES"/>
            </w:rPr>
          </w:pPr>
          <w:hyperlink w:anchor="_Toc99110803" w:history="1">
            <w:r w:rsidR="003D3409" w:rsidRPr="003D3409">
              <w:rPr>
                <w:rStyle w:val="Hipervnculo"/>
              </w:rPr>
              <w:t>4.7.</w:t>
            </w:r>
            <w:r w:rsidR="003D3409" w:rsidRPr="003D3409">
              <w:rPr>
                <w:rFonts w:asciiTheme="minorHAnsi" w:eastAsiaTheme="minorEastAsia" w:hAnsiTheme="minorHAnsi" w:cstheme="minorBidi"/>
                <w:sz w:val="22"/>
                <w:lang w:val="es-ES" w:eastAsia="es-ES"/>
              </w:rPr>
              <w:tab/>
            </w:r>
            <w:r w:rsidR="003D3409" w:rsidRPr="003D3409">
              <w:rPr>
                <w:rStyle w:val="Hipervnculo"/>
              </w:rPr>
              <w:t>Sistemes d’informació</w:t>
            </w:r>
            <w:r w:rsidR="003D3409" w:rsidRPr="003D3409">
              <w:rPr>
                <w:webHidden/>
              </w:rPr>
              <w:tab/>
            </w:r>
            <w:r w:rsidR="003D3409" w:rsidRPr="003D3409">
              <w:rPr>
                <w:webHidden/>
              </w:rPr>
              <w:fldChar w:fldCharType="begin" w:fldLock="1"/>
            </w:r>
            <w:r w:rsidR="003D3409" w:rsidRPr="003D3409">
              <w:rPr>
                <w:webHidden/>
              </w:rPr>
              <w:instrText xml:space="preserve"> PAGEREF _Toc99110803 \h </w:instrText>
            </w:r>
            <w:r w:rsidR="003D3409" w:rsidRPr="003D3409">
              <w:rPr>
                <w:webHidden/>
              </w:rPr>
            </w:r>
            <w:r w:rsidR="003D3409" w:rsidRPr="003D3409">
              <w:rPr>
                <w:webHidden/>
              </w:rPr>
              <w:fldChar w:fldCharType="separate"/>
            </w:r>
            <w:r w:rsidR="003D3409" w:rsidRPr="003D3409">
              <w:rPr>
                <w:webHidden/>
              </w:rPr>
              <w:t>238</w:t>
            </w:r>
            <w:r w:rsidR="003D3409" w:rsidRPr="003D3409">
              <w:rPr>
                <w:webHidden/>
              </w:rPr>
              <w:fldChar w:fldCharType="end"/>
            </w:r>
          </w:hyperlink>
        </w:p>
        <w:p w14:paraId="4AC15EBC" w14:textId="7A27A4DD" w:rsidR="003D3409" w:rsidRPr="003D3409" w:rsidRDefault="00254AEC" w:rsidP="003D3409">
          <w:pPr>
            <w:pStyle w:val="TDC1"/>
            <w:rPr>
              <w:rFonts w:asciiTheme="minorHAnsi" w:eastAsiaTheme="minorEastAsia" w:hAnsiTheme="minorHAnsi" w:cstheme="minorBidi"/>
              <w:kern w:val="0"/>
              <w:sz w:val="22"/>
              <w:szCs w:val="22"/>
              <w:lang w:val="es-ES" w:bidi="ar-SA"/>
            </w:rPr>
          </w:pPr>
          <w:hyperlink w:anchor="_Toc99110804" w:history="1">
            <w:r w:rsidR="003D3409" w:rsidRPr="003D3409">
              <w:rPr>
                <w:rStyle w:val="Hipervnculo"/>
                <w:rFonts w:eastAsia="Times New Roman"/>
              </w:rPr>
              <w:t>5.</w:t>
            </w:r>
            <w:r w:rsidR="003D3409" w:rsidRPr="003D3409">
              <w:rPr>
                <w:rFonts w:asciiTheme="minorHAnsi" w:eastAsiaTheme="minorEastAsia" w:hAnsiTheme="minorHAnsi" w:cstheme="minorBidi"/>
                <w:kern w:val="0"/>
                <w:sz w:val="22"/>
                <w:szCs w:val="22"/>
                <w:lang w:val="es-ES" w:bidi="ar-SA"/>
              </w:rPr>
              <w:tab/>
            </w:r>
            <w:r w:rsidR="003D3409" w:rsidRPr="003D3409">
              <w:rPr>
                <w:rStyle w:val="Hipervnculo"/>
                <w:rFonts w:eastAsia="Times New Roman"/>
              </w:rPr>
              <w:t>Prevenció,  formació i documentació</w:t>
            </w:r>
            <w:r w:rsidR="003D3409" w:rsidRPr="003D3409">
              <w:rPr>
                <w:webHidden/>
              </w:rPr>
              <w:tab/>
            </w:r>
            <w:r w:rsidR="003D3409" w:rsidRPr="003D3409">
              <w:rPr>
                <w:webHidden/>
              </w:rPr>
              <w:fldChar w:fldCharType="begin" w:fldLock="1"/>
            </w:r>
            <w:r w:rsidR="003D3409" w:rsidRPr="003D3409">
              <w:rPr>
                <w:webHidden/>
              </w:rPr>
              <w:instrText xml:space="preserve"> PAGEREF _Toc99110804 \h </w:instrText>
            </w:r>
            <w:r w:rsidR="003D3409" w:rsidRPr="003D3409">
              <w:rPr>
                <w:webHidden/>
              </w:rPr>
            </w:r>
            <w:r w:rsidR="003D3409" w:rsidRPr="003D3409">
              <w:rPr>
                <w:webHidden/>
              </w:rPr>
              <w:fldChar w:fldCharType="separate"/>
            </w:r>
            <w:r w:rsidR="003D3409" w:rsidRPr="003D3409">
              <w:rPr>
                <w:webHidden/>
              </w:rPr>
              <w:t>241</w:t>
            </w:r>
            <w:r w:rsidR="003D3409" w:rsidRPr="003D3409">
              <w:rPr>
                <w:webHidden/>
              </w:rPr>
              <w:fldChar w:fldCharType="end"/>
            </w:r>
          </w:hyperlink>
        </w:p>
        <w:p w14:paraId="775C3D11" w14:textId="08D55CE8" w:rsidR="003D3409" w:rsidRPr="003D3409" w:rsidRDefault="00254AEC" w:rsidP="008A26B8">
          <w:pPr>
            <w:pStyle w:val="TDC2"/>
            <w:rPr>
              <w:rFonts w:asciiTheme="minorHAnsi" w:eastAsiaTheme="minorEastAsia" w:hAnsiTheme="minorHAnsi" w:cstheme="minorBidi"/>
              <w:sz w:val="22"/>
              <w:lang w:val="es-ES" w:eastAsia="es-ES"/>
            </w:rPr>
          </w:pPr>
          <w:hyperlink w:anchor="_Toc99110805" w:history="1">
            <w:r w:rsidR="003D3409" w:rsidRPr="003D3409">
              <w:rPr>
                <w:rStyle w:val="Hipervnculo"/>
                <w:rFonts w:eastAsiaTheme="majorEastAsia"/>
              </w:rPr>
              <w:t>5.1.</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Introducció</w:t>
            </w:r>
            <w:r w:rsidR="003D3409" w:rsidRPr="003D3409">
              <w:rPr>
                <w:webHidden/>
              </w:rPr>
              <w:tab/>
            </w:r>
            <w:r w:rsidR="003D3409" w:rsidRPr="003D3409">
              <w:rPr>
                <w:webHidden/>
              </w:rPr>
              <w:fldChar w:fldCharType="begin" w:fldLock="1"/>
            </w:r>
            <w:r w:rsidR="003D3409" w:rsidRPr="003D3409">
              <w:rPr>
                <w:webHidden/>
              </w:rPr>
              <w:instrText xml:space="preserve"> PAGEREF _Toc99110805 \h </w:instrText>
            </w:r>
            <w:r w:rsidR="003D3409" w:rsidRPr="003D3409">
              <w:rPr>
                <w:webHidden/>
              </w:rPr>
            </w:r>
            <w:r w:rsidR="003D3409" w:rsidRPr="003D3409">
              <w:rPr>
                <w:webHidden/>
              </w:rPr>
              <w:fldChar w:fldCharType="separate"/>
            </w:r>
            <w:r w:rsidR="003D3409" w:rsidRPr="003D3409">
              <w:rPr>
                <w:webHidden/>
              </w:rPr>
              <w:t>241</w:t>
            </w:r>
            <w:r w:rsidR="003D3409" w:rsidRPr="003D3409">
              <w:rPr>
                <w:webHidden/>
              </w:rPr>
              <w:fldChar w:fldCharType="end"/>
            </w:r>
          </w:hyperlink>
        </w:p>
        <w:p w14:paraId="289FAF29" w14:textId="0692D119" w:rsidR="003D3409" w:rsidRPr="003D3409" w:rsidRDefault="00254AEC" w:rsidP="008A26B8">
          <w:pPr>
            <w:pStyle w:val="TDC2"/>
            <w:rPr>
              <w:rFonts w:asciiTheme="minorHAnsi" w:eastAsiaTheme="minorEastAsia" w:hAnsiTheme="minorHAnsi" w:cstheme="minorBidi"/>
              <w:sz w:val="22"/>
              <w:lang w:val="es-ES" w:eastAsia="es-ES"/>
            </w:rPr>
          </w:pPr>
          <w:hyperlink w:anchor="_Toc99110806" w:history="1">
            <w:r w:rsidR="003D3409" w:rsidRPr="003D3409">
              <w:rPr>
                <w:rStyle w:val="Hipervnculo"/>
                <w:rFonts w:eastAsiaTheme="majorEastAsia"/>
              </w:rPr>
              <w:t>5.2.</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Prevenció</w:t>
            </w:r>
            <w:r w:rsidR="003D3409" w:rsidRPr="003D3409">
              <w:rPr>
                <w:webHidden/>
              </w:rPr>
              <w:tab/>
            </w:r>
            <w:r w:rsidR="003D3409" w:rsidRPr="003D3409">
              <w:rPr>
                <w:webHidden/>
              </w:rPr>
              <w:fldChar w:fldCharType="begin" w:fldLock="1"/>
            </w:r>
            <w:r w:rsidR="003D3409" w:rsidRPr="003D3409">
              <w:rPr>
                <w:webHidden/>
              </w:rPr>
              <w:instrText xml:space="preserve"> PAGEREF _Toc99110806 \h </w:instrText>
            </w:r>
            <w:r w:rsidR="003D3409" w:rsidRPr="003D3409">
              <w:rPr>
                <w:webHidden/>
              </w:rPr>
            </w:r>
            <w:r w:rsidR="003D3409" w:rsidRPr="003D3409">
              <w:rPr>
                <w:webHidden/>
              </w:rPr>
              <w:fldChar w:fldCharType="separate"/>
            </w:r>
            <w:r w:rsidR="003D3409" w:rsidRPr="003D3409">
              <w:rPr>
                <w:webHidden/>
              </w:rPr>
              <w:t>243</w:t>
            </w:r>
            <w:r w:rsidR="003D3409" w:rsidRPr="003D3409">
              <w:rPr>
                <w:webHidden/>
              </w:rPr>
              <w:fldChar w:fldCharType="end"/>
            </w:r>
          </w:hyperlink>
        </w:p>
        <w:p w14:paraId="110F86A6" w14:textId="1CBA2879" w:rsidR="003D3409" w:rsidRPr="003D3409" w:rsidRDefault="00254AEC" w:rsidP="008A26B8">
          <w:pPr>
            <w:pStyle w:val="TDC3"/>
            <w:rPr>
              <w:noProof/>
              <w:sz w:val="22"/>
              <w:szCs w:val="22"/>
              <w:lang w:val="es-ES" w:eastAsia="es-ES"/>
            </w:rPr>
          </w:pPr>
          <w:hyperlink w:anchor="_Toc99110807" w:history="1">
            <w:r w:rsidR="003D3409" w:rsidRPr="003D3409">
              <w:rPr>
                <w:rStyle w:val="Hipervnculo"/>
                <w:rFonts w:ascii="Arial" w:hAnsi="Arial"/>
                <w:noProof/>
              </w:rPr>
              <w:t>5.2.1.</w:t>
            </w:r>
            <w:r w:rsidR="003D3409" w:rsidRPr="003D3409">
              <w:rPr>
                <w:noProof/>
                <w:sz w:val="22"/>
                <w:szCs w:val="22"/>
                <w:lang w:val="es-ES" w:eastAsia="es-ES"/>
              </w:rPr>
              <w:tab/>
            </w:r>
            <w:r w:rsidR="003D3409" w:rsidRPr="003D3409">
              <w:rPr>
                <w:rStyle w:val="Hipervnculo"/>
                <w:rFonts w:ascii="Arial" w:hAnsi="Arial"/>
                <w:noProof/>
              </w:rPr>
              <w:t>Missió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_Toc99110807 \h </w:instrText>
            </w:r>
            <w:r w:rsidR="003D3409" w:rsidRPr="003D3409">
              <w:rPr>
                <w:noProof/>
                <w:webHidden/>
              </w:rPr>
            </w:r>
            <w:r w:rsidR="003D3409" w:rsidRPr="003D3409">
              <w:rPr>
                <w:noProof/>
                <w:webHidden/>
              </w:rPr>
              <w:fldChar w:fldCharType="separate"/>
            </w:r>
            <w:r w:rsidR="003D3409" w:rsidRPr="003D3409">
              <w:rPr>
                <w:noProof/>
                <w:webHidden/>
              </w:rPr>
              <w:t>243</w:t>
            </w:r>
            <w:r w:rsidR="003D3409" w:rsidRPr="003D3409">
              <w:rPr>
                <w:noProof/>
                <w:webHidden/>
              </w:rPr>
              <w:fldChar w:fldCharType="end"/>
            </w:r>
          </w:hyperlink>
        </w:p>
        <w:p w14:paraId="1BAD3E1D" w14:textId="0CAC27A3" w:rsidR="003D3409" w:rsidRPr="003D3409" w:rsidRDefault="00254AEC" w:rsidP="008A26B8">
          <w:pPr>
            <w:pStyle w:val="TDC3"/>
            <w:rPr>
              <w:noProof/>
              <w:sz w:val="22"/>
              <w:szCs w:val="22"/>
              <w:lang w:val="es-ES" w:eastAsia="es-ES"/>
            </w:rPr>
          </w:pPr>
          <w:hyperlink w:anchor="_Toc99110808" w:history="1">
            <w:r w:rsidR="003D3409" w:rsidRPr="003D3409">
              <w:rPr>
                <w:rStyle w:val="Hipervnculo"/>
                <w:rFonts w:ascii="Arial" w:hAnsi="Arial"/>
                <w:noProof/>
              </w:rPr>
              <w:t>5.2.2.</w:t>
            </w:r>
            <w:r w:rsidR="003D3409" w:rsidRPr="003D3409">
              <w:rPr>
                <w:noProof/>
                <w:sz w:val="22"/>
                <w:szCs w:val="22"/>
                <w:lang w:val="es-ES" w:eastAsia="es-ES"/>
              </w:rPr>
              <w:tab/>
            </w:r>
            <w:r w:rsidR="003D3409" w:rsidRPr="003D3409">
              <w:rPr>
                <w:rStyle w:val="Hipervnculo"/>
                <w:rFonts w:ascii="Arial" w:hAnsi="Arial"/>
                <w:noProof/>
              </w:rPr>
              <w:t>Desenvolupament del Pla Estratègic de Prevenció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_Toc99110808 \h </w:instrText>
            </w:r>
            <w:r w:rsidR="003D3409" w:rsidRPr="003D3409">
              <w:rPr>
                <w:noProof/>
                <w:webHidden/>
              </w:rPr>
            </w:r>
            <w:r w:rsidR="003D3409" w:rsidRPr="003D3409">
              <w:rPr>
                <w:noProof/>
                <w:webHidden/>
              </w:rPr>
              <w:fldChar w:fldCharType="separate"/>
            </w:r>
            <w:r w:rsidR="003D3409" w:rsidRPr="003D3409">
              <w:rPr>
                <w:noProof/>
                <w:webHidden/>
              </w:rPr>
              <w:t>243</w:t>
            </w:r>
            <w:r w:rsidR="003D3409" w:rsidRPr="003D3409">
              <w:rPr>
                <w:noProof/>
                <w:webHidden/>
              </w:rPr>
              <w:fldChar w:fldCharType="end"/>
            </w:r>
          </w:hyperlink>
        </w:p>
        <w:p w14:paraId="60348DAA" w14:textId="2B18824E" w:rsidR="003D3409" w:rsidRPr="003D3409" w:rsidRDefault="00254AEC" w:rsidP="008A26B8">
          <w:pPr>
            <w:pStyle w:val="TDC3"/>
            <w:rPr>
              <w:noProof/>
              <w:sz w:val="22"/>
              <w:szCs w:val="22"/>
              <w:lang w:val="es-ES" w:eastAsia="es-ES"/>
            </w:rPr>
          </w:pPr>
          <w:hyperlink w:anchor="_Toc99110809" w:history="1">
            <w:r w:rsidR="003D3409" w:rsidRPr="003D3409">
              <w:rPr>
                <w:rStyle w:val="Hipervnculo"/>
                <w:rFonts w:ascii="Arial" w:hAnsi="Arial"/>
                <w:noProof/>
              </w:rPr>
              <w:t>5.2.3.</w:t>
            </w:r>
            <w:r w:rsidR="003D3409" w:rsidRPr="003D3409">
              <w:rPr>
                <w:noProof/>
                <w:sz w:val="22"/>
                <w:szCs w:val="22"/>
                <w:lang w:val="es-ES" w:eastAsia="es-ES"/>
              </w:rPr>
              <w:tab/>
            </w:r>
            <w:r w:rsidR="003D3409" w:rsidRPr="003D3409">
              <w:rPr>
                <w:rStyle w:val="Hipervnculo"/>
                <w:rFonts w:ascii="Arial" w:hAnsi="Arial"/>
                <w:noProof/>
              </w:rPr>
              <w:t>Recomanacions, guies i manuals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_Toc99110809 \h </w:instrText>
            </w:r>
            <w:r w:rsidR="003D3409" w:rsidRPr="003D3409">
              <w:rPr>
                <w:noProof/>
                <w:webHidden/>
              </w:rPr>
            </w:r>
            <w:r w:rsidR="003D3409" w:rsidRPr="003D3409">
              <w:rPr>
                <w:noProof/>
                <w:webHidden/>
              </w:rPr>
              <w:fldChar w:fldCharType="separate"/>
            </w:r>
            <w:r w:rsidR="003D3409" w:rsidRPr="003D3409">
              <w:rPr>
                <w:noProof/>
                <w:webHidden/>
              </w:rPr>
              <w:t>245</w:t>
            </w:r>
            <w:r w:rsidR="003D3409" w:rsidRPr="003D3409">
              <w:rPr>
                <w:noProof/>
                <w:webHidden/>
              </w:rPr>
              <w:fldChar w:fldCharType="end"/>
            </w:r>
          </w:hyperlink>
        </w:p>
        <w:p w14:paraId="5B2B9643" w14:textId="4356F675" w:rsidR="003D3409" w:rsidRPr="003D3409" w:rsidRDefault="00254AEC" w:rsidP="008A26B8">
          <w:pPr>
            <w:pStyle w:val="TDC3"/>
            <w:rPr>
              <w:noProof/>
              <w:sz w:val="22"/>
              <w:szCs w:val="22"/>
              <w:lang w:val="es-ES" w:eastAsia="es-ES"/>
            </w:rPr>
          </w:pPr>
          <w:hyperlink w:anchor="_Toc99110810" w:history="1">
            <w:r w:rsidR="003D3409" w:rsidRPr="003D3409">
              <w:rPr>
                <w:rStyle w:val="Hipervnculo"/>
                <w:rFonts w:ascii="Arial" w:hAnsi="Arial"/>
                <w:noProof/>
              </w:rPr>
              <w:t>5.2.4.</w:t>
            </w:r>
            <w:r w:rsidR="003D3409" w:rsidRPr="003D3409">
              <w:rPr>
                <w:noProof/>
                <w:sz w:val="22"/>
                <w:szCs w:val="22"/>
                <w:lang w:val="es-ES" w:eastAsia="es-ES"/>
              </w:rPr>
              <w:tab/>
            </w:r>
            <w:r w:rsidR="003D3409" w:rsidRPr="003D3409">
              <w:rPr>
                <w:rStyle w:val="Hipervnculo"/>
                <w:rFonts w:ascii="Arial" w:hAnsi="Arial"/>
                <w:noProof/>
              </w:rPr>
              <w:t>Propostes sobre disposicions normatives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_Toc99110810 \h </w:instrText>
            </w:r>
            <w:r w:rsidR="003D3409" w:rsidRPr="003D3409">
              <w:rPr>
                <w:noProof/>
                <w:webHidden/>
              </w:rPr>
            </w:r>
            <w:r w:rsidR="003D3409" w:rsidRPr="003D3409">
              <w:rPr>
                <w:noProof/>
                <w:webHidden/>
              </w:rPr>
              <w:fldChar w:fldCharType="separate"/>
            </w:r>
            <w:r w:rsidR="003D3409" w:rsidRPr="003D3409">
              <w:rPr>
                <w:noProof/>
                <w:webHidden/>
              </w:rPr>
              <w:t>250</w:t>
            </w:r>
            <w:r w:rsidR="003D3409" w:rsidRPr="003D3409">
              <w:rPr>
                <w:noProof/>
                <w:webHidden/>
              </w:rPr>
              <w:fldChar w:fldCharType="end"/>
            </w:r>
          </w:hyperlink>
        </w:p>
        <w:p w14:paraId="32306A92" w14:textId="246E0FB7" w:rsidR="003D3409" w:rsidRPr="003D3409" w:rsidRDefault="00254AEC" w:rsidP="008A26B8">
          <w:pPr>
            <w:pStyle w:val="TDC3"/>
            <w:rPr>
              <w:noProof/>
              <w:sz w:val="22"/>
              <w:szCs w:val="22"/>
              <w:lang w:val="es-ES" w:eastAsia="es-ES"/>
            </w:rPr>
          </w:pPr>
          <w:hyperlink w:anchor="_Toc99110811" w:history="1">
            <w:r w:rsidR="003D3409" w:rsidRPr="003D3409">
              <w:rPr>
                <w:rStyle w:val="Hipervnculo"/>
                <w:rFonts w:ascii="Arial" w:hAnsi="Arial"/>
                <w:noProof/>
              </w:rPr>
              <w:t>5.2.5.</w:t>
            </w:r>
            <w:r w:rsidR="003D3409" w:rsidRPr="003D3409">
              <w:rPr>
                <w:noProof/>
                <w:sz w:val="22"/>
                <w:szCs w:val="22"/>
                <w:lang w:val="es-ES" w:eastAsia="es-ES"/>
              </w:rPr>
              <w:tab/>
            </w:r>
            <w:r w:rsidR="003D3409" w:rsidRPr="003D3409">
              <w:rPr>
                <w:rStyle w:val="Hipervnculo"/>
                <w:rFonts w:ascii="Arial" w:hAnsi="Arial"/>
                <w:noProof/>
              </w:rPr>
              <w:t>Identificació de riscos de corrupció i estratègia d’integritat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_Toc99110811 \h </w:instrText>
            </w:r>
            <w:r w:rsidR="003D3409" w:rsidRPr="003D3409">
              <w:rPr>
                <w:noProof/>
                <w:webHidden/>
              </w:rPr>
            </w:r>
            <w:r w:rsidR="003D3409" w:rsidRPr="003D3409">
              <w:rPr>
                <w:noProof/>
                <w:webHidden/>
              </w:rPr>
              <w:fldChar w:fldCharType="separate"/>
            </w:r>
            <w:r w:rsidR="003D3409" w:rsidRPr="003D3409">
              <w:rPr>
                <w:noProof/>
                <w:webHidden/>
              </w:rPr>
              <w:t>253</w:t>
            </w:r>
            <w:r w:rsidR="003D3409" w:rsidRPr="003D3409">
              <w:rPr>
                <w:noProof/>
                <w:webHidden/>
              </w:rPr>
              <w:fldChar w:fldCharType="end"/>
            </w:r>
          </w:hyperlink>
        </w:p>
        <w:p w14:paraId="067541E7" w14:textId="1F6062E0" w:rsidR="003D3409" w:rsidRPr="003D3409" w:rsidRDefault="00254AEC" w:rsidP="008A26B8">
          <w:pPr>
            <w:pStyle w:val="TDC3"/>
            <w:rPr>
              <w:noProof/>
              <w:sz w:val="22"/>
              <w:szCs w:val="22"/>
              <w:lang w:val="es-ES" w:eastAsia="es-ES"/>
            </w:rPr>
          </w:pPr>
          <w:hyperlink w:anchor="_Toc99110812" w:history="1">
            <w:r w:rsidR="003D3409" w:rsidRPr="003D3409">
              <w:rPr>
                <w:rStyle w:val="Hipervnculo"/>
                <w:rFonts w:ascii="Arial" w:hAnsi="Arial"/>
                <w:noProof/>
              </w:rPr>
              <w:t>5.2.6.</w:t>
            </w:r>
            <w:r w:rsidR="003D3409" w:rsidRPr="003D3409">
              <w:rPr>
                <w:noProof/>
                <w:sz w:val="22"/>
                <w:szCs w:val="22"/>
                <w:lang w:val="es-ES" w:eastAsia="es-ES"/>
              </w:rPr>
              <w:tab/>
            </w:r>
            <w:r w:rsidR="003D3409" w:rsidRPr="003D3409">
              <w:rPr>
                <w:rStyle w:val="Hipervnculo"/>
                <w:rFonts w:ascii="Arial" w:hAnsi="Arial"/>
                <w:noProof/>
              </w:rPr>
              <w:t>Consultoria, difusió i altres activitats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_Toc99110812 \h </w:instrText>
            </w:r>
            <w:r w:rsidR="003D3409" w:rsidRPr="003D3409">
              <w:rPr>
                <w:noProof/>
                <w:webHidden/>
              </w:rPr>
            </w:r>
            <w:r w:rsidR="003D3409" w:rsidRPr="003D3409">
              <w:rPr>
                <w:noProof/>
                <w:webHidden/>
              </w:rPr>
              <w:fldChar w:fldCharType="separate"/>
            </w:r>
            <w:r w:rsidR="003D3409" w:rsidRPr="003D3409">
              <w:rPr>
                <w:noProof/>
                <w:webHidden/>
              </w:rPr>
              <w:t>257</w:t>
            </w:r>
            <w:r w:rsidR="003D3409" w:rsidRPr="003D3409">
              <w:rPr>
                <w:noProof/>
                <w:webHidden/>
              </w:rPr>
              <w:fldChar w:fldCharType="end"/>
            </w:r>
          </w:hyperlink>
        </w:p>
        <w:p w14:paraId="5B6DECBE" w14:textId="45DF3DF5" w:rsidR="003D3409" w:rsidRPr="003D3409" w:rsidRDefault="00254AEC" w:rsidP="008A26B8">
          <w:pPr>
            <w:pStyle w:val="TDC2"/>
            <w:rPr>
              <w:rFonts w:asciiTheme="minorHAnsi" w:eastAsiaTheme="minorEastAsia" w:hAnsiTheme="minorHAnsi" w:cstheme="minorBidi"/>
              <w:sz w:val="22"/>
              <w:lang w:val="es-ES" w:eastAsia="es-ES"/>
            </w:rPr>
          </w:pPr>
          <w:hyperlink w:anchor="_Toc99110813" w:history="1">
            <w:r w:rsidR="003D3409" w:rsidRPr="003D3409">
              <w:rPr>
                <w:rStyle w:val="Hipervnculo"/>
                <w:rFonts w:eastAsiaTheme="majorEastAsia"/>
              </w:rPr>
              <w:t>5.3.</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Formació</w:t>
            </w:r>
            <w:r w:rsidR="003D3409" w:rsidRPr="003D3409">
              <w:rPr>
                <w:webHidden/>
              </w:rPr>
              <w:tab/>
            </w:r>
            <w:r w:rsidR="003D3409" w:rsidRPr="003D3409">
              <w:rPr>
                <w:webHidden/>
              </w:rPr>
              <w:fldChar w:fldCharType="begin" w:fldLock="1"/>
            </w:r>
            <w:r w:rsidR="003D3409" w:rsidRPr="003D3409">
              <w:rPr>
                <w:webHidden/>
              </w:rPr>
              <w:instrText xml:space="preserve"> PAGEREF _Toc99110813 \h </w:instrText>
            </w:r>
            <w:r w:rsidR="003D3409" w:rsidRPr="003D3409">
              <w:rPr>
                <w:webHidden/>
              </w:rPr>
            </w:r>
            <w:r w:rsidR="003D3409" w:rsidRPr="003D3409">
              <w:rPr>
                <w:webHidden/>
              </w:rPr>
              <w:fldChar w:fldCharType="separate"/>
            </w:r>
            <w:r w:rsidR="003D3409" w:rsidRPr="003D3409">
              <w:rPr>
                <w:webHidden/>
              </w:rPr>
              <w:t>259</w:t>
            </w:r>
            <w:r w:rsidR="003D3409" w:rsidRPr="003D3409">
              <w:rPr>
                <w:webHidden/>
              </w:rPr>
              <w:fldChar w:fldCharType="end"/>
            </w:r>
          </w:hyperlink>
        </w:p>
        <w:p w14:paraId="23202D36" w14:textId="25EC563D" w:rsidR="003D3409" w:rsidRPr="003D3409" w:rsidRDefault="00254AEC" w:rsidP="008A26B8">
          <w:pPr>
            <w:pStyle w:val="TDC3"/>
            <w:rPr>
              <w:noProof/>
              <w:sz w:val="22"/>
              <w:szCs w:val="22"/>
              <w:lang w:val="es-ES" w:eastAsia="es-ES"/>
            </w:rPr>
          </w:pPr>
          <w:hyperlink w:anchor="_Toc99110814" w:history="1">
            <w:r w:rsidR="003D3409" w:rsidRPr="003D3409">
              <w:rPr>
                <w:rStyle w:val="Hipervnculo"/>
                <w:rFonts w:ascii="Arial" w:hAnsi="Arial"/>
                <w:noProof/>
              </w:rPr>
              <w:t>5.3.1.</w:t>
            </w:r>
            <w:r w:rsidR="003D3409" w:rsidRPr="003D3409">
              <w:rPr>
                <w:noProof/>
                <w:sz w:val="22"/>
                <w:szCs w:val="22"/>
                <w:lang w:val="es-ES" w:eastAsia="es-ES"/>
              </w:rPr>
              <w:tab/>
            </w:r>
            <w:r w:rsidR="003D3409" w:rsidRPr="003D3409">
              <w:rPr>
                <w:rStyle w:val="Hipervnculo"/>
                <w:rFonts w:ascii="Arial" w:hAnsi="Arial"/>
                <w:noProof/>
              </w:rPr>
              <w:t>Funcions del Servei de Formació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_Toc99110814 \h </w:instrText>
            </w:r>
            <w:r w:rsidR="003D3409" w:rsidRPr="003D3409">
              <w:rPr>
                <w:noProof/>
                <w:webHidden/>
              </w:rPr>
            </w:r>
            <w:r w:rsidR="003D3409" w:rsidRPr="003D3409">
              <w:rPr>
                <w:noProof/>
                <w:webHidden/>
              </w:rPr>
              <w:fldChar w:fldCharType="separate"/>
            </w:r>
            <w:r w:rsidR="003D3409" w:rsidRPr="003D3409">
              <w:rPr>
                <w:noProof/>
                <w:webHidden/>
              </w:rPr>
              <w:t>259</w:t>
            </w:r>
            <w:r w:rsidR="003D3409" w:rsidRPr="003D3409">
              <w:rPr>
                <w:noProof/>
                <w:webHidden/>
              </w:rPr>
              <w:fldChar w:fldCharType="end"/>
            </w:r>
          </w:hyperlink>
        </w:p>
        <w:p w14:paraId="24733195" w14:textId="542620D5" w:rsidR="003D3409" w:rsidRPr="003D3409" w:rsidRDefault="00254AEC" w:rsidP="008A26B8">
          <w:pPr>
            <w:pStyle w:val="TDC3"/>
            <w:rPr>
              <w:noProof/>
              <w:sz w:val="22"/>
              <w:szCs w:val="22"/>
              <w:lang w:val="es-ES" w:eastAsia="es-ES"/>
            </w:rPr>
          </w:pPr>
          <w:hyperlink w:anchor="_Toc99110815" w:history="1">
            <w:r w:rsidR="003D3409" w:rsidRPr="003D3409">
              <w:rPr>
                <w:rStyle w:val="Hipervnculo"/>
                <w:rFonts w:ascii="Arial" w:hAnsi="Arial"/>
                <w:noProof/>
              </w:rPr>
              <w:t>5.3.2.</w:t>
            </w:r>
            <w:r w:rsidR="003D3409" w:rsidRPr="003D3409">
              <w:rPr>
                <w:noProof/>
                <w:sz w:val="22"/>
                <w:szCs w:val="22"/>
                <w:lang w:val="es-ES" w:eastAsia="es-ES"/>
              </w:rPr>
              <w:tab/>
            </w:r>
            <w:r w:rsidR="003D3409" w:rsidRPr="003D3409">
              <w:rPr>
                <w:rStyle w:val="Hipervnculo"/>
                <w:rFonts w:ascii="Arial" w:hAnsi="Arial"/>
                <w:noProof/>
              </w:rPr>
              <w:t>Pla Estratègic de Formació 2021-2024</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_Toc99110815 \h </w:instrText>
            </w:r>
            <w:r w:rsidR="003D3409" w:rsidRPr="003D3409">
              <w:rPr>
                <w:noProof/>
                <w:webHidden/>
              </w:rPr>
            </w:r>
            <w:r w:rsidR="003D3409" w:rsidRPr="003D3409">
              <w:rPr>
                <w:noProof/>
                <w:webHidden/>
              </w:rPr>
              <w:fldChar w:fldCharType="separate"/>
            </w:r>
            <w:r w:rsidR="003D3409" w:rsidRPr="003D3409">
              <w:rPr>
                <w:noProof/>
                <w:webHidden/>
              </w:rPr>
              <w:t>259</w:t>
            </w:r>
            <w:r w:rsidR="003D3409" w:rsidRPr="003D3409">
              <w:rPr>
                <w:noProof/>
                <w:webHidden/>
              </w:rPr>
              <w:fldChar w:fldCharType="end"/>
            </w:r>
          </w:hyperlink>
        </w:p>
        <w:p w14:paraId="7241E71C" w14:textId="58A3D378" w:rsidR="003D3409" w:rsidRPr="003D3409" w:rsidRDefault="00254AEC" w:rsidP="008A26B8">
          <w:pPr>
            <w:pStyle w:val="TDC3"/>
            <w:rPr>
              <w:noProof/>
              <w:sz w:val="22"/>
              <w:szCs w:val="22"/>
              <w:lang w:val="es-ES" w:eastAsia="es-ES"/>
            </w:rPr>
          </w:pPr>
          <w:hyperlink w:anchor="_Toc99110816" w:history="1">
            <w:r w:rsidR="003D3409" w:rsidRPr="003D3409">
              <w:rPr>
                <w:rStyle w:val="Hipervnculo"/>
                <w:rFonts w:ascii="Arial" w:hAnsi="Arial"/>
                <w:noProof/>
              </w:rPr>
              <w:t>5.3.3.</w:t>
            </w:r>
            <w:r w:rsidR="003D3409" w:rsidRPr="003D3409">
              <w:rPr>
                <w:noProof/>
                <w:sz w:val="22"/>
                <w:szCs w:val="22"/>
                <w:lang w:val="es-ES" w:eastAsia="es-ES"/>
              </w:rPr>
              <w:tab/>
            </w:r>
            <w:r w:rsidR="003D3409" w:rsidRPr="003D3409">
              <w:rPr>
                <w:rStyle w:val="Hipervnculo"/>
                <w:rFonts w:ascii="Arial" w:hAnsi="Arial"/>
                <w:noProof/>
              </w:rPr>
              <w:t>Suport a la formació interna de caràcter general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_Toc99110816 \h </w:instrText>
            </w:r>
            <w:r w:rsidR="003D3409" w:rsidRPr="003D3409">
              <w:rPr>
                <w:noProof/>
                <w:webHidden/>
              </w:rPr>
            </w:r>
            <w:r w:rsidR="003D3409" w:rsidRPr="003D3409">
              <w:rPr>
                <w:noProof/>
                <w:webHidden/>
              </w:rPr>
              <w:fldChar w:fldCharType="separate"/>
            </w:r>
            <w:r w:rsidR="003D3409" w:rsidRPr="003D3409">
              <w:rPr>
                <w:noProof/>
                <w:webHidden/>
              </w:rPr>
              <w:t>263</w:t>
            </w:r>
            <w:r w:rsidR="003D3409" w:rsidRPr="003D3409">
              <w:rPr>
                <w:noProof/>
                <w:webHidden/>
              </w:rPr>
              <w:fldChar w:fldCharType="end"/>
            </w:r>
          </w:hyperlink>
        </w:p>
        <w:p w14:paraId="654C1009" w14:textId="45741E22" w:rsidR="003D3409" w:rsidRPr="003D3409" w:rsidRDefault="00254AEC" w:rsidP="008A26B8">
          <w:pPr>
            <w:pStyle w:val="TDC3"/>
            <w:rPr>
              <w:noProof/>
              <w:sz w:val="22"/>
              <w:szCs w:val="22"/>
              <w:lang w:val="es-ES" w:eastAsia="es-ES"/>
            </w:rPr>
          </w:pPr>
          <w:hyperlink w:anchor="_Toc99110817" w:history="1">
            <w:r w:rsidR="003D3409" w:rsidRPr="003D3409">
              <w:rPr>
                <w:rStyle w:val="Hipervnculo"/>
                <w:rFonts w:ascii="Arial" w:hAnsi="Arial"/>
                <w:noProof/>
              </w:rPr>
              <w:t>5.3.4.</w:t>
            </w:r>
            <w:r w:rsidR="003D3409" w:rsidRPr="003D3409">
              <w:rPr>
                <w:noProof/>
                <w:sz w:val="22"/>
                <w:szCs w:val="22"/>
                <w:lang w:val="es-ES" w:eastAsia="es-ES"/>
              </w:rPr>
              <w:tab/>
            </w:r>
            <w:r w:rsidR="003D3409" w:rsidRPr="003D3409">
              <w:rPr>
                <w:rStyle w:val="Hipervnculo"/>
                <w:rFonts w:ascii="Arial" w:hAnsi="Arial"/>
                <w:noProof/>
              </w:rPr>
              <w:t>Activitats de formació cívica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_Toc99110817 \h </w:instrText>
            </w:r>
            <w:r w:rsidR="003D3409" w:rsidRPr="003D3409">
              <w:rPr>
                <w:noProof/>
                <w:webHidden/>
              </w:rPr>
            </w:r>
            <w:r w:rsidR="003D3409" w:rsidRPr="003D3409">
              <w:rPr>
                <w:noProof/>
                <w:webHidden/>
              </w:rPr>
              <w:fldChar w:fldCharType="separate"/>
            </w:r>
            <w:r w:rsidR="003D3409" w:rsidRPr="003D3409">
              <w:rPr>
                <w:noProof/>
                <w:webHidden/>
              </w:rPr>
              <w:t>263</w:t>
            </w:r>
            <w:r w:rsidR="003D3409" w:rsidRPr="003D3409">
              <w:rPr>
                <w:noProof/>
                <w:webHidden/>
              </w:rPr>
              <w:fldChar w:fldCharType="end"/>
            </w:r>
          </w:hyperlink>
        </w:p>
        <w:p w14:paraId="321014A5" w14:textId="3A9D1F43" w:rsidR="003D3409" w:rsidRPr="003D3409" w:rsidRDefault="00254AEC" w:rsidP="008A26B8">
          <w:pPr>
            <w:pStyle w:val="TDC3"/>
            <w:rPr>
              <w:noProof/>
              <w:sz w:val="22"/>
              <w:szCs w:val="22"/>
              <w:lang w:val="es-ES" w:eastAsia="es-ES"/>
            </w:rPr>
          </w:pPr>
          <w:hyperlink w:anchor="_Toc99110818" w:history="1">
            <w:r w:rsidR="003D3409" w:rsidRPr="003D3409">
              <w:rPr>
                <w:rStyle w:val="Hipervnculo"/>
                <w:rFonts w:ascii="Arial" w:hAnsi="Arial"/>
                <w:noProof/>
              </w:rPr>
              <w:t>5.3.5.</w:t>
            </w:r>
            <w:r w:rsidR="003D3409" w:rsidRPr="003D3409">
              <w:rPr>
                <w:noProof/>
                <w:sz w:val="22"/>
                <w:szCs w:val="22"/>
                <w:lang w:val="es-ES" w:eastAsia="es-ES"/>
              </w:rPr>
              <w:tab/>
            </w:r>
            <w:r w:rsidR="003D3409" w:rsidRPr="003D3409">
              <w:rPr>
                <w:rStyle w:val="Hipervnculo"/>
                <w:rFonts w:ascii="Arial" w:hAnsi="Arial"/>
                <w:noProof/>
              </w:rPr>
              <w:t>Activitats de formació en la Funció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_Toc99110818 \h </w:instrText>
            </w:r>
            <w:r w:rsidR="003D3409" w:rsidRPr="003D3409">
              <w:rPr>
                <w:noProof/>
                <w:webHidden/>
              </w:rPr>
            </w:r>
            <w:r w:rsidR="003D3409" w:rsidRPr="003D3409">
              <w:rPr>
                <w:noProof/>
                <w:webHidden/>
              </w:rPr>
              <w:fldChar w:fldCharType="separate"/>
            </w:r>
            <w:r w:rsidR="003D3409" w:rsidRPr="003D3409">
              <w:rPr>
                <w:noProof/>
                <w:webHidden/>
              </w:rPr>
              <w:t>271</w:t>
            </w:r>
            <w:r w:rsidR="003D3409" w:rsidRPr="003D3409">
              <w:rPr>
                <w:noProof/>
                <w:webHidden/>
              </w:rPr>
              <w:fldChar w:fldCharType="end"/>
            </w:r>
          </w:hyperlink>
        </w:p>
        <w:p w14:paraId="2DF4BC95" w14:textId="7F7D9CB3" w:rsidR="003D3409" w:rsidRPr="003D3409" w:rsidRDefault="00254AEC" w:rsidP="008A26B8">
          <w:pPr>
            <w:pStyle w:val="TDC3"/>
            <w:rPr>
              <w:noProof/>
              <w:sz w:val="22"/>
              <w:szCs w:val="22"/>
              <w:lang w:val="es-ES" w:eastAsia="es-ES"/>
            </w:rPr>
          </w:pPr>
          <w:hyperlink w:anchor="_Toc99110819" w:history="1">
            <w:r w:rsidR="003D3409" w:rsidRPr="003D3409">
              <w:rPr>
                <w:rStyle w:val="Hipervnculo"/>
                <w:rFonts w:ascii="Arial" w:hAnsi="Arial"/>
                <w:noProof/>
              </w:rPr>
              <w:t>5.3.6.</w:t>
            </w:r>
            <w:r w:rsidR="003D3409" w:rsidRPr="003D3409">
              <w:rPr>
                <w:noProof/>
                <w:sz w:val="22"/>
                <w:szCs w:val="22"/>
                <w:lang w:val="es-ES" w:eastAsia="es-ES"/>
              </w:rPr>
              <w:tab/>
            </w:r>
            <w:r w:rsidR="003D3409" w:rsidRPr="003D3409">
              <w:rPr>
                <w:rStyle w:val="Hipervnculo"/>
                <w:rFonts w:ascii="Arial" w:hAnsi="Arial"/>
                <w:noProof/>
              </w:rPr>
              <w:t>Activitats en les universitats i per a la ciutadania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_Toc99110819 \h </w:instrText>
            </w:r>
            <w:r w:rsidR="003D3409" w:rsidRPr="003D3409">
              <w:rPr>
                <w:noProof/>
                <w:webHidden/>
              </w:rPr>
            </w:r>
            <w:r w:rsidR="003D3409" w:rsidRPr="003D3409">
              <w:rPr>
                <w:noProof/>
                <w:webHidden/>
              </w:rPr>
              <w:fldChar w:fldCharType="separate"/>
            </w:r>
            <w:r w:rsidR="003D3409" w:rsidRPr="003D3409">
              <w:rPr>
                <w:noProof/>
                <w:webHidden/>
              </w:rPr>
              <w:t>273</w:t>
            </w:r>
            <w:r w:rsidR="003D3409" w:rsidRPr="003D3409">
              <w:rPr>
                <w:noProof/>
                <w:webHidden/>
              </w:rPr>
              <w:fldChar w:fldCharType="end"/>
            </w:r>
          </w:hyperlink>
        </w:p>
        <w:p w14:paraId="20F37447" w14:textId="463D9091" w:rsidR="003D3409" w:rsidRPr="003D3409" w:rsidRDefault="00254AEC" w:rsidP="008A26B8">
          <w:pPr>
            <w:pStyle w:val="TDC3"/>
            <w:rPr>
              <w:noProof/>
              <w:sz w:val="22"/>
              <w:szCs w:val="22"/>
              <w:lang w:val="es-ES" w:eastAsia="es-ES"/>
            </w:rPr>
          </w:pPr>
          <w:hyperlink w:anchor="_Toc99110820" w:history="1">
            <w:r w:rsidR="003D3409" w:rsidRPr="003D3409">
              <w:rPr>
                <w:rStyle w:val="Hipervnculo"/>
                <w:rFonts w:ascii="Arial" w:hAnsi="Arial"/>
                <w:noProof/>
              </w:rPr>
              <w:t>5.3.7.</w:t>
            </w:r>
            <w:r w:rsidR="003D3409" w:rsidRPr="003D3409">
              <w:rPr>
                <w:noProof/>
                <w:sz w:val="22"/>
                <w:szCs w:val="22"/>
                <w:lang w:val="es-ES" w:eastAsia="es-ES"/>
              </w:rPr>
              <w:tab/>
            </w:r>
            <w:r w:rsidR="003D3409" w:rsidRPr="003D3409">
              <w:rPr>
                <w:rStyle w:val="Hipervnculo"/>
                <w:rFonts w:ascii="Arial" w:hAnsi="Arial"/>
                <w:noProof/>
              </w:rPr>
              <w:t>Col·laboracions amb diferents institucions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_Toc99110820 \h </w:instrText>
            </w:r>
            <w:r w:rsidR="003D3409" w:rsidRPr="003D3409">
              <w:rPr>
                <w:noProof/>
                <w:webHidden/>
              </w:rPr>
            </w:r>
            <w:r w:rsidR="003D3409" w:rsidRPr="003D3409">
              <w:rPr>
                <w:noProof/>
                <w:webHidden/>
              </w:rPr>
              <w:fldChar w:fldCharType="separate"/>
            </w:r>
            <w:r w:rsidR="003D3409" w:rsidRPr="003D3409">
              <w:rPr>
                <w:noProof/>
                <w:webHidden/>
              </w:rPr>
              <w:t>281</w:t>
            </w:r>
            <w:r w:rsidR="003D3409" w:rsidRPr="003D3409">
              <w:rPr>
                <w:noProof/>
                <w:webHidden/>
              </w:rPr>
              <w:fldChar w:fldCharType="end"/>
            </w:r>
          </w:hyperlink>
        </w:p>
        <w:p w14:paraId="36C07A98" w14:textId="660B9CFC" w:rsidR="003D3409" w:rsidRPr="003D3409" w:rsidRDefault="00254AEC" w:rsidP="008A26B8">
          <w:pPr>
            <w:pStyle w:val="TDC3"/>
            <w:rPr>
              <w:noProof/>
              <w:sz w:val="22"/>
              <w:szCs w:val="22"/>
              <w:lang w:val="es-ES" w:eastAsia="es-ES"/>
            </w:rPr>
          </w:pPr>
          <w:hyperlink w:anchor="_Toc99110821" w:history="1">
            <w:r w:rsidR="003D3409" w:rsidRPr="003D3409">
              <w:rPr>
                <w:rStyle w:val="Hipervnculo"/>
                <w:rFonts w:ascii="Arial" w:hAnsi="Arial"/>
                <w:noProof/>
              </w:rPr>
              <w:t>5.3.8.</w:t>
            </w:r>
            <w:r w:rsidR="003D3409" w:rsidRPr="003D3409">
              <w:rPr>
                <w:noProof/>
                <w:sz w:val="22"/>
                <w:szCs w:val="22"/>
                <w:lang w:val="es-ES" w:eastAsia="es-ES"/>
              </w:rPr>
              <w:tab/>
            </w:r>
            <w:r w:rsidR="003D3409" w:rsidRPr="003D3409">
              <w:rPr>
                <w:rStyle w:val="Hipervnculo"/>
                <w:rFonts w:ascii="Arial" w:hAnsi="Arial"/>
                <w:noProof/>
              </w:rPr>
              <w:t>Reflexió final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_Toc99110821 \h </w:instrText>
            </w:r>
            <w:r w:rsidR="003D3409" w:rsidRPr="003D3409">
              <w:rPr>
                <w:noProof/>
                <w:webHidden/>
              </w:rPr>
            </w:r>
            <w:r w:rsidR="003D3409" w:rsidRPr="003D3409">
              <w:rPr>
                <w:noProof/>
                <w:webHidden/>
              </w:rPr>
              <w:fldChar w:fldCharType="separate"/>
            </w:r>
            <w:r w:rsidR="003D3409" w:rsidRPr="003D3409">
              <w:rPr>
                <w:noProof/>
                <w:webHidden/>
              </w:rPr>
              <w:t>282</w:t>
            </w:r>
            <w:r w:rsidR="003D3409" w:rsidRPr="003D3409">
              <w:rPr>
                <w:noProof/>
                <w:webHidden/>
              </w:rPr>
              <w:fldChar w:fldCharType="end"/>
            </w:r>
          </w:hyperlink>
        </w:p>
        <w:p w14:paraId="112BF8E8" w14:textId="4E5C173A" w:rsidR="003D3409" w:rsidRPr="003D3409" w:rsidRDefault="00254AEC" w:rsidP="008A26B8">
          <w:pPr>
            <w:pStyle w:val="TDC2"/>
            <w:rPr>
              <w:rFonts w:asciiTheme="minorHAnsi" w:eastAsiaTheme="minorEastAsia" w:hAnsiTheme="minorHAnsi" w:cstheme="minorBidi"/>
              <w:sz w:val="22"/>
              <w:lang w:val="es-ES" w:eastAsia="es-ES"/>
            </w:rPr>
          </w:pPr>
          <w:hyperlink w:anchor="_Toc99110822" w:history="1">
            <w:r w:rsidR="003D3409" w:rsidRPr="003D3409">
              <w:rPr>
                <w:rStyle w:val="Hipervnculo"/>
                <w:rFonts w:eastAsiaTheme="majorEastAsia"/>
              </w:rPr>
              <w:t>5.4.</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Documentació i informes</w:t>
            </w:r>
            <w:r w:rsidR="003D3409" w:rsidRPr="003D3409">
              <w:rPr>
                <w:webHidden/>
              </w:rPr>
              <w:tab/>
            </w:r>
            <w:r w:rsidR="003D3409" w:rsidRPr="003D3409">
              <w:rPr>
                <w:webHidden/>
              </w:rPr>
              <w:fldChar w:fldCharType="begin" w:fldLock="1"/>
            </w:r>
            <w:r w:rsidR="003D3409" w:rsidRPr="003D3409">
              <w:rPr>
                <w:webHidden/>
              </w:rPr>
              <w:instrText xml:space="preserve"> PAGEREF _Toc99110822 \h </w:instrText>
            </w:r>
            <w:r w:rsidR="003D3409" w:rsidRPr="003D3409">
              <w:rPr>
                <w:webHidden/>
              </w:rPr>
            </w:r>
            <w:r w:rsidR="003D3409" w:rsidRPr="003D3409">
              <w:rPr>
                <w:webHidden/>
              </w:rPr>
              <w:fldChar w:fldCharType="separate"/>
            </w:r>
            <w:r w:rsidR="003D3409" w:rsidRPr="003D3409">
              <w:rPr>
                <w:webHidden/>
              </w:rPr>
              <w:t>283</w:t>
            </w:r>
            <w:r w:rsidR="003D3409" w:rsidRPr="003D3409">
              <w:rPr>
                <w:webHidden/>
              </w:rPr>
              <w:fldChar w:fldCharType="end"/>
            </w:r>
          </w:hyperlink>
        </w:p>
        <w:p w14:paraId="5EF88E08" w14:textId="5BE48458" w:rsidR="003D3409" w:rsidRPr="003D3409" w:rsidRDefault="00254AEC" w:rsidP="008A26B8">
          <w:pPr>
            <w:pStyle w:val="TDC3"/>
            <w:rPr>
              <w:noProof/>
              <w:sz w:val="22"/>
              <w:szCs w:val="22"/>
              <w:lang w:val="es-ES" w:eastAsia="es-ES"/>
            </w:rPr>
          </w:pPr>
          <w:hyperlink w:anchor="_Toc99110823" w:history="1">
            <w:r w:rsidR="003D3409" w:rsidRPr="003D3409">
              <w:rPr>
                <w:rStyle w:val="Hipervnculo"/>
                <w:rFonts w:ascii="Arial" w:hAnsi="Arial"/>
                <w:noProof/>
              </w:rPr>
              <w:t>5.4.1.</w:t>
            </w:r>
            <w:r w:rsidR="003D3409" w:rsidRPr="003D3409">
              <w:rPr>
                <w:noProof/>
                <w:sz w:val="22"/>
                <w:szCs w:val="22"/>
                <w:lang w:val="es-ES" w:eastAsia="es-ES"/>
              </w:rPr>
              <w:tab/>
            </w:r>
            <w:r w:rsidR="003D3409" w:rsidRPr="003D3409">
              <w:rPr>
                <w:rStyle w:val="Hipervnculo"/>
                <w:rFonts w:ascii="Arial" w:hAnsi="Arial"/>
                <w:noProof/>
              </w:rPr>
              <w:t>Introducció al Servei</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_Toc99110823 \h </w:instrText>
            </w:r>
            <w:r w:rsidR="003D3409" w:rsidRPr="003D3409">
              <w:rPr>
                <w:noProof/>
                <w:webHidden/>
              </w:rPr>
            </w:r>
            <w:r w:rsidR="003D3409" w:rsidRPr="003D3409">
              <w:rPr>
                <w:noProof/>
                <w:webHidden/>
              </w:rPr>
              <w:fldChar w:fldCharType="separate"/>
            </w:r>
            <w:r w:rsidR="003D3409" w:rsidRPr="003D3409">
              <w:rPr>
                <w:noProof/>
                <w:webHidden/>
              </w:rPr>
              <w:t>283</w:t>
            </w:r>
            <w:r w:rsidR="003D3409" w:rsidRPr="003D3409">
              <w:rPr>
                <w:noProof/>
                <w:webHidden/>
              </w:rPr>
              <w:fldChar w:fldCharType="end"/>
            </w:r>
          </w:hyperlink>
        </w:p>
        <w:p w14:paraId="006DBA21" w14:textId="61E79D15" w:rsidR="003D3409" w:rsidRPr="003D3409" w:rsidRDefault="00254AEC" w:rsidP="008A26B8">
          <w:pPr>
            <w:pStyle w:val="TDC3"/>
            <w:rPr>
              <w:noProof/>
              <w:sz w:val="22"/>
              <w:szCs w:val="22"/>
              <w:lang w:val="es-ES" w:eastAsia="es-ES"/>
            </w:rPr>
          </w:pPr>
          <w:hyperlink w:anchor="_Toc99110824" w:history="1">
            <w:r w:rsidR="003D3409" w:rsidRPr="003D3409">
              <w:rPr>
                <w:rStyle w:val="Hipervnculo"/>
                <w:rFonts w:ascii="Arial" w:hAnsi="Arial"/>
                <w:noProof/>
              </w:rPr>
              <w:t>5.4.2.</w:t>
            </w:r>
            <w:r w:rsidR="003D3409" w:rsidRPr="003D3409">
              <w:rPr>
                <w:noProof/>
                <w:sz w:val="22"/>
                <w:szCs w:val="22"/>
                <w:lang w:val="es-ES" w:eastAsia="es-ES"/>
              </w:rPr>
              <w:tab/>
            </w:r>
            <w:r w:rsidR="003D3409" w:rsidRPr="003D3409">
              <w:rPr>
                <w:rStyle w:val="Hipervnculo"/>
                <w:rFonts w:ascii="Arial" w:hAnsi="Arial"/>
                <w:noProof/>
              </w:rPr>
              <w:t>Recursos humans i tecnològics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_Toc99110824 \h </w:instrText>
            </w:r>
            <w:r w:rsidR="003D3409" w:rsidRPr="003D3409">
              <w:rPr>
                <w:noProof/>
                <w:webHidden/>
              </w:rPr>
            </w:r>
            <w:r w:rsidR="003D3409" w:rsidRPr="003D3409">
              <w:rPr>
                <w:noProof/>
                <w:webHidden/>
              </w:rPr>
              <w:fldChar w:fldCharType="separate"/>
            </w:r>
            <w:r w:rsidR="003D3409" w:rsidRPr="003D3409">
              <w:rPr>
                <w:noProof/>
                <w:webHidden/>
              </w:rPr>
              <w:t>284</w:t>
            </w:r>
            <w:r w:rsidR="003D3409" w:rsidRPr="003D3409">
              <w:rPr>
                <w:noProof/>
                <w:webHidden/>
              </w:rPr>
              <w:fldChar w:fldCharType="end"/>
            </w:r>
          </w:hyperlink>
        </w:p>
        <w:p w14:paraId="0C8A22B6" w14:textId="3B910008" w:rsidR="003D3409" w:rsidRPr="003D3409" w:rsidRDefault="00254AEC" w:rsidP="008A26B8">
          <w:pPr>
            <w:pStyle w:val="TDC3"/>
            <w:rPr>
              <w:noProof/>
              <w:sz w:val="22"/>
              <w:szCs w:val="22"/>
              <w:lang w:val="es-ES" w:eastAsia="es-ES"/>
            </w:rPr>
          </w:pPr>
          <w:hyperlink w:anchor="_Toc99110825" w:history="1">
            <w:r w:rsidR="003D3409" w:rsidRPr="003D3409">
              <w:rPr>
                <w:rStyle w:val="Hipervnculo"/>
                <w:rFonts w:ascii="Arial" w:hAnsi="Arial"/>
                <w:noProof/>
              </w:rPr>
              <w:t>5.4.3.</w:t>
            </w:r>
            <w:r w:rsidR="003D3409" w:rsidRPr="003D3409">
              <w:rPr>
                <w:noProof/>
                <w:sz w:val="22"/>
                <w:szCs w:val="22"/>
                <w:lang w:val="es-ES" w:eastAsia="es-ES"/>
              </w:rPr>
              <w:tab/>
            </w:r>
            <w:r w:rsidR="003D3409" w:rsidRPr="003D3409">
              <w:rPr>
                <w:rStyle w:val="Hipervnculo"/>
                <w:rFonts w:ascii="Arial" w:hAnsi="Arial"/>
                <w:noProof/>
              </w:rPr>
              <w:t>Col·leccions i processos tècnics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_Toc99110825 \h </w:instrText>
            </w:r>
            <w:r w:rsidR="003D3409" w:rsidRPr="003D3409">
              <w:rPr>
                <w:noProof/>
                <w:webHidden/>
              </w:rPr>
            </w:r>
            <w:r w:rsidR="003D3409" w:rsidRPr="003D3409">
              <w:rPr>
                <w:noProof/>
                <w:webHidden/>
              </w:rPr>
              <w:fldChar w:fldCharType="separate"/>
            </w:r>
            <w:r w:rsidR="003D3409" w:rsidRPr="003D3409">
              <w:rPr>
                <w:noProof/>
                <w:webHidden/>
              </w:rPr>
              <w:t>285</w:t>
            </w:r>
            <w:r w:rsidR="003D3409" w:rsidRPr="003D3409">
              <w:rPr>
                <w:noProof/>
                <w:webHidden/>
              </w:rPr>
              <w:fldChar w:fldCharType="end"/>
            </w:r>
          </w:hyperlink>
        </w:p>
        <w:p w14:paraId="2A6265BA" w14:textId="48741097" w:rsidR="003D3409" w:rsidRPr="003D3409" w:rsidRDefault="00254AEC" w:rsidP="008A26B8">
          <w:pPr>
            <w:pStyle w:val="TDC3"/>
            <w:rPr>
              <w:noProof/>
              <w:sz w:val="22"/>
              <w:szCs w:val="22"/>
              <w:lang w:val="es-ES" w:eastAsia="es-ES"/>
            </w:rPr>
          </w:pPr>
          <w:hyperlink w:anchor="_Toc99110826" w:history="1">
            <w:r w:rsidR="003D3409" w:rsidRPr="003D3409">
              <w:rPr>
                <w:rStyle w:val="Hipervnculo"/>
                <w:rFonts w:ascii="Arial" w:hAnsi="Arial"/>
                <w:noProof/>
              </w:rPr>
              <w:t>5.4.4.</w:t>
            </w:r>
            <w:r w:rsidR="003D3409" w:rsidRPr="003D3409">
              <w:rPr>
                <w:noProof/>
                <w:sz w:val="22"/>
                <w:szCs w:val="22"/>
                <w:lang w:val="es-ES" w:eastAsia="es-ES"/>
              </w:rPr>
              <w:tab/>
            </w:r>
            <w:r w:rsidR="003D3409" w:rsidRPr="003D3409">
              <w:rPr>
                <w:rStyle w:val="Hipervnculo"/>
                <w:rFonts w:ascii="Arial" w:hAnsi="Arial"/>
                <w:noProof/>
              </w:rPr>
              <w:t>Vigilància de l’entorn i serveis de referència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_Toc99110826 \h </w:instrText>
            </w:r>
            <w:r w:rsidR="003D3409" w:rsidRPr="003D3409">
              <w:rPr>
                <w:noProof/>
                <w:webHidden/>
              </w:rPr>
            </w:r>
            <w:r w:rsidR="003D3409" w:rsidRPr="003D3409">
              <w:rPr>
                <w:noProof/>
                <w:webHidden/>
              </w:rPr>
              <w:fldChar w:fldCharType="separate"/>
            </w:r>
            <w:r w:rsidR="003D3409" w:rsidRPr="003D3409">
              <w:rPr>
                <w:noProof/>
                <w:webHidden/>
              </w:rPr>
              <w:t>287</w:t>
            </w:r>
            <w:r w:rsidR="003D3409" w:rsidRPr="003D3409">
              <w:rPr>
                <w:noProof/>
                <w:webHidden/>
              </w:rPr>
              <w:fldChar w:fldCharType="end"/>
            </w:r>
          </w:hyperlink>
        </w:p>
        <w:p w14:paraId="1BE56C19" w14:textId="33F008EB" w:rsidR="003D3409" w:rsidRPr="003D3409" w:rsidRDefault="00254AEC" w:rsidP="008A26B8">
          <w:pPr>
            <w:pStyle w:val="TDC3"/>
            <w:rPr>
              <w:noProof/>
              <w:sz w:val="22"/>
              <w:szCs w:val="22"/>
              <w:lang w:val="es-ES" w:eastAsia="es-ES"/>
            </w:rPr>
          </w:pPr>
          <w:hyperlink w:anchor="_Toc99110827" w:history="1">
            <w:r w:rsidR="003D3409" w:rsidRPr="003D3409">
              <w:rPr>
                <w:rStyle w:val="Hipervnculo"/>
                <w:rFonts w:ascii="Arial" w:hAnsi="Arial"/>
                <w:noProof/>
              </w:rPr>
              <w:t>5.4.5.</w:t>
            </w:r>
            <w:r w:rsidR="003D3409" w:rsidRPr="003D3409">
              <w:rPr>
                <w:noProof/>
                <w:sz w:val="22"/>
                <w:szCs w:val="22"/>
                <w:lang w:val="es-ES" w:eastAsia="es-ES"/>
              </w:rPr>
              <w:tab/>
            </w:r>
            <w:r w:rsidR="003D3409" w:rsidRPr="003D3409">
              <w:rPr>
                <w:rStyle w:val="Hipervnculo"/>
                <w:rFonts w:ascii="Arial" w:hAnsi="Arial"/>
                <w:noProof/>
              </w:rPr>
              <w:t>Política de Gestió de Documents Electrònics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_Toc99110827 \h </w:instrText>
            </w:r>
            <w:r w:rsidR="003D3409" w:rsidRPr="003D3409">
              <w:rPr>
                <w:noProof/>
                <w:webHidden/>
              </w:rPr>
            </w:r>
            <w:r w:rsidR="003D3409" w:rsidRPr="003D3409">
              <w:rPr>
                <w:noProof/>
                <w:webHidden/>
              </w:rPr>
              <w:fldChar w:fldCharType="separate"/>
            </w:r>
            <w:r w:rsidR="003D3409" w:rsidRPr="003D3409">
              <w:rPr>
                <w:noProof/>
                <w:webHidden/>
              </w:rPr>
              <w:t>288</w:t>
            </w:r>
            <w:r w:rsidR="003D3409" w:rsidRPr="003D3409">
              <w:rPr>
                <w:noProof/>
                <w:webHidden/>
              </w:rPr>
              <w:fldChar w:fldCharType="end"/>
            </w:r>
          </w:hyperlink>
        </w:p>
        <w:p w14:paraId="4B70BCE8" w14:textId="51175D21" w:rsidR="003D3409" w:rsidRPr="003D3409" w:rsidRDefault="00254AEC" w:rsidP="008A26B8">
          <w:pPr>
            <w:pStyle w:val="TDC3"/>
            <w:rPr>
              <w:noProof/>
              <w:sz w:val="22"/>
              <w:szCs w:val="22"/>
              <w:lang w:val="es-ES" w:eastAsia="es-ES"/>
            </w:rPr>
          </w:pPr>
          <w:hyperlink w:anchor="_Toc99110828" w:history="1">
            <w:r w:rsidR="003D3409" w:rsidRPr="003D3409">
              <w:rPr>
                <w:rStyle w:val="Hipervnculo"/>
                <w:rFonts w:ascii="Arial" w:hAnsi="Arial"/>
                <w:noProof/>
              </w:rPr>
              <w:t>5.4.6.</w:t>
            </w:r>
            <w:r w:rsidR="003D3409" w:rsidRPr="003D3409">
              <w:rPr>
                <w:noProof/>
                <w:sz w:val="22"/>
                <w:szCs w:val="22"/>
                <w:lang w:val="es-ES" w:eastAsia="es-ES"/>
              </w:rPr>
              <w:tab/>
            </w:r>
            <w:r w:rsidR="003D3409" w:rsidRPr="003D3409">
              <w:rPr>
                <w:rStyle w:val="Hipervnculo"/>
                <w:rFonts w:ascii="Arial" w:hAnsi="Arial"/>
                <w:noProof/>
              </w:rPr>
              <w:t>Visibilització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_Toc99110828 \h </w:instrText>
            </w:r>
            <w:r w:rsidR="003D3409" w:rsidRPr="003D3409">
              <w:rPr>
                <w:noProof/>
                <w:webHidden/>
              </w:rPr>
            </w:r>
            <w:r w:rsidR="003D3409" w:rsidRPr="003D3409">
              <w:rPr>
                <w:noProof/>
                <w:webHidden/>
              </w:rPr>
              <w:fldChar w:fldCharType="separate"/>
            </w:r>
            <w:r w:rsidR="003D3409" w:rsidRPr="003D3409">
              <w:rPr>
                <w:noProof/>
                <w:webHidden/>
              </w:rPr>
              <w:t>289</w:t>
            </w:r>
            <w:r w:rsidR="003D3409" w:rsidRPr="003D3409">
              <w:rPr>
                <w:noProof/>
                <w:webHidden/>
              </w:rPr>
              <w:fldChar w:fldCharType="end"/>
            </w:r>
          </w:hyperlink>
        </w:p>
        <w:p w14:paraId="3F0BECDB" w14:textId="60E78673" w:rsidR="003D3409" w:rsidRPr="003D3409" w:rsidRDefault="00254AEC" w:rsidP="008A26B8">
          <w:pPr>
            <w:pStyle w:val="TDC3"/>
            <w:rPr>
              <w:noProof/>
              <w:sz w:val="22"/>
              <w:szCs w:val="22"/>
              <w:lang w:val="es-ES" w:eastAsia="es-ES"/>
            </w:rPr>
          </w:pPr>
          <w:hyperlink w:anchor="_Toc99110829" w:history="1">
            <w:r w:rsidR="003D3409" w:rsidRPr="003D3409">
              <w:rPr>
                <w:rStyle w:val="Hipervnculo"/>
                <w:rFonts w:ascii="Arial" w:hAnsi="Arial"/>
                <w:noProof/>
              </w:rPr>
              <w:t>5.4.7.</w:t>
            </w:r>
            <w:r w:rsidR="003D3409" w:rsidRPr="003D3409">
              <w:rPr>
                <w:noProof/>
                <w:sz w:val="22"/>
                <w:szCs w:val="22"/>
                <w:lang w:val="es-ES" w:eastAsia="es-ES"/>
              </w:rPr>
              <w:tab/>
            </w:r>
            <w:r w:rsidR="003D3409" w:rsidRPr="003D3409">
              <w:rPr>
                <w:rStyle w:val="Hipervnculo"/>
                <w:rFonts w:ascii="Arial" w:hAnsi="Arial"/>
                <w:noProof/>
              </w:rPr>
              <w:t>A manera de conclusió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_Toc99110829 \h </w:instrText>
            </w:r>
            <w:r w:rsidR="003D3409" w:rsidRPr="003D3409">
              <w:rPr>
                <w:noProof/>
                <w:webHidden/>
              </w:rPr>
            </w:r>
            <w:r w:rsidR="003D3409" w:rsidRPr="003D3409">
              <w:rPr>
                <w:noProof/>
                <w:webHidden/>
              </w:rPr>
              <w:fldChar w:fldCharType="separate"/>
            </w:r>
            <w:r w:rsidR="003D3409" w:rsidRPr="003D3409">
              <w:rPr>
                <w:noProof/>
                <w:webHidden/>
              </w:rPr>
              <w:t>298</w:t>
            </w:r>
            <w:r w:rsidR="003D3409" w:rsidRPr="003D3409">
              <w:rPr>
                <w:noProof/>
                <w:webHidden/>
              </w:rPr>
              <w:fldChar w:fldCharType="end"/>
            </w:r>
          </w:hyperlink>
        </w:p>
        <w:p w14:paraId="478A642D" w14:textId="26C5E47E" w:rsidR="003D3409" w:rsidRPr="003D3409" w:rsidRDefault="00254AEC" w:rsidP="003D3409">
          <w:pPr>
            <w:pStyle w:val="TDC1"/>
            <w:rPr>
              <w:rFonts w:asciiTheme="minorHAnsi" w:eastAsiaTheme="minorEastAsia" w:hAnsiTheme="minorHAnsi" w:cstheme="minorBidi"/>
              <w:kern w:val="0"/>
              <w:sz w:val="22"/>
              <w:szCs w:val="22"/>
              <w:lang w:val="es-ES" w:bidi="ar-SA"/>
            </w:rPr>
          </w:pPr>
          <w:hyperlink w:anchor="_Toc99110830" w:history="1">
            <w:r w:rsidR="003D3409" w:rsidRPr="003D3409">
              <w:rPr>
                <w:rStyle w:val="Hipervnculo"/>
              </w:rPr>
              <w:t>6.</w:t>
            </w:r>
            <w:r w:rsidR="003D3409" w:rsidRPr="003D3409">
              <w:rPr>
                <w:rFonts w:asciiTheme="minorHAnsi" w:eastAsiaTheme="minorEastAsia" w:hAnsiTheme="minorHAnsi" w:cstheme="minorBidi"/>
                <w:kern w:val="0"/>
                <w:sz w:val="22"/>
                <w:szCs w:val="22"/>
                <w:lang w:val="es-ES" w:bidi="ar-SA"/>
              </w:rPr>
              <w:tab/>
            </w:r>
            <w:r w:rsidR="003D3409" w:rsidRPr="003D3409">
              <w:rPr>
                <w:rStyle w:val="Hipervnculo"/>
                <w:rFonts w:eastAsia="Calibri"/>
              </w:rPr>
              <w:t>Administració, organització i recursos</w:t>
            </w:r>
            <w:r w:rsidR="003D3409" w:rsidRPr="003D3409">
              <w:rPr>
                <w:webHidden/>
              </w:rPr>
              <w:tab/>
            </w:r>
            <w:r w:rsidR="003D3409" w:rsidRPr="003D3409">
              <w:rPr>
                <w:webHidden/>
              </w:rPr>
              <w:fldChar w:fldCharType="begin" w:fldLock="1"/>
            </w:r>
            <w:r w:rsidR="003D3409" w:rsidRPr="003D3409">
              <w:rPr>
                <w:webHidden/>
              </w:rPr>
              <w:instrText xml:space="preserve"> PAGEREF _Toc99110830 \h </w:instrText>
            </w:r>
            <w:r w:rsidR="003D3409" w:rsidRPr="003D3409">
              <w:rPr>
                <w:webHidden/>
              </w:rPr>
            </w:r>
            <w:r w:rsidR="003D3409" w:rsidRPr="003D3409">
              <w:rPr>
                <w:webHidden/>
              </w:rPr>
              <w:fldChar w:fldCharType="separate"/>
            </w:r>
            <w:r w:rsidR="003D3409" w:rsidRPr="003D3409">
              <w:rPr>
                <w:webHidden/>
              </w:rPr>
              <w:t>300</w:t>
            </w:r>
            <w:r w:rsidR="003D3409" w:rsidRPr="003D3409">
              <w:rPr>
                <w:webHidden/>
              </w:rPr>
              <w:fldChar w:fldCharType="end"/>
            </w:r>
          </w:hyperlink>
        </w:p>
        <w:p w14:paraId="2331EB4A" w14:textId="55EDC41A" w:rsidR="003D3409" w:rsidRPr="003D3409" w:rsidRDefault="00254AEC" w:rsidP="008A26B8">
          <w:pPr>
            <w:pStyle w:val="TDC2"/>
            <w:rPr>
              <w:rFonts w:asciiTheme="minorHAnsi" w:eastAsiaTheme="minorEastAsia" w:hAnsiTheme="minorHAnsi" w:cstheme="minorBidi"/>
              <w:sz w:val="22"/>
              <w:lang w:val="es-ES" w:eastAsia="es-ES"/>
            </w:rPr>
          </w:pPr>
          <w:hyperlink w:anchor="_Toc99110831" w:history="1">
            <w:r w:rsidR="003D3409" w:rsidRPr="003D3409">
              <w:rPr>
                <w:rStyle w:val="Hipervnculo"/>
                <w:rFonts w:eastAsiaTheme="majorEastAsia"/>
              </w:rPr>
              <w:t>6.1.</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Introducció</w:t>
            </w:r>
            <w:r w:rsidR="003D3409" w:rsidRPr="003D3409">
              <w:rPr>
                <w:webHidden/>
              </w:rPr>
              <w:tab/>
            </w:r>
            <w:r w:rsidR="003D3409" w:rsidRPr="003D3409">
              <w:rPr>
                <w:webHidden/>
              </w:rPr>
              <w:fldChar w:fldCharType="begin" w:fldLock="1"/>
            </w:r>
            <w:r w:rsidR="003D3409" w:rsidRPr="003D3409">
              <w:rPr>
                <w:webHidden/>
              </w:rPr>
              <w:instrText xml:space="preserve"> PAGEREF _Toc99110831 \h </w:instrText>
            </w:r>
            <w:r w:rsidR="003D3409" w:rsidRPr="003D3409">
              <w:rPr>
                <w:webHidden/>
              </w:rPr>
            </w:r>
            <w:r w:rsidR="003D3409" w:rsidRPr="003D3409">
              <w:rPr>
                <w:webHidden/>
              </w:rPr>
              <w:fldChar w:fldCharType="separate"/>
            </w:r>
            <w:r w:rsidR="003D3409" w:rsidRPr="003D3409">
              <w:rPr>
                <w:webHidden/>
              </w:rPr>
              <w:t>300</w:t>
            </w:r>
            <w:r w:rsidR="003D3409" w:rsidRPr="003D3409">
              <w:rPr>
                <w:webHidden/>
              </w:rPr>
              <w:fldChar w:fldCharType="end"/>
            </w:r>
          </w:hyperlink>
        </w:p>
        <w:p w14:paraId="4D1C40A9" w14:textId="27E12F63" w:rsidR="003D3409" w:rsidRPr="003D3409" w:rsidRDefault="00254AEC" w:rsidP="008A26B8">
          <w:pPr>
            <w:pStyle w:val="TDC2"/>
            <w:rPr>
              <w:rFonts w:asciiTheme="minorHAnsi" w:eastAsiaTheme="minorEastAsia" w:hAnsiTheme="minorHAnsi" w:cstheme="minorBidi"/>
              <w:sz w:val="22"/>
              <w:lang w:val="es-ES" w:eastAsia="es-ES"/>
            </w:rPr>
          </w:pPr>
          <w:hyperlink w:anchor="_Toc99110832" w:history="1">
            <w:r w:rsidR="003D3409" w:rsidRPr="003D3409">
              <w:rPr>
                <w:rStyle w:val="Hipervnculo"/>
                <w:rFonts w:eastAsiaTheme="majorEastAsia"/>
              </w:rPr>
              <w:t>6.2.</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Estructura organitzativa de l'AVAF</w:t>
            </w:r>
            <w:r w:rsidR="003D3409" w:rsidRPr="003D3409">
              <w:rPr>
                <w:webHidden/>
              </w:rPr>
              <w:tab/>
            </w:r>
            <w:r w:rsidR="003D3409" w:rsidRPr="003D3409">
              <w:rPr>
                <w:webHidden/>
              </w:rPr>
              <w:fldChar w:fldCharType="begin" w:fldLock="1"/>
            </w:r>
            <w:r w:rsidR="003D3409" w:rsidRPr="003D3409">
              <w:rPr>
                <w:webHidden/>
              </w:rPr>
              <w:instrText xml:space="preserve"> PAGEREF _Toc99110832 \h </w:instrText>
            </w:r>
            <w:r w:rsidR="003D3409" w:rsidRPr="003D3409">
              <w:rPr>
                <w:webHidden/>
              </w:rPr>
            </w:r>
            <w:r w:rsidR="003D3409" w:rsidRPr="003D3409">
              <w:rPr>
                <w:webHidden/>
              </w:rPr>
              <w:fldChar w:fldCharType="separate"/>
            </w:r>
            <w:r w:rsidR="003D3409" w:rsidRPr="003D3409">
              <w:rPr>
                <w:webHidden/>
              </w:rPr>
              <w:t>302</w:t>
            </w:r>
            <w:r w:rsidR="003D3409" w:rsidRPr="003D3409">
              <w:rPr>
                <w:webHidden/>
              </w:rPr>
              <w:fldChar w:fldCharType="end"/>
            </w:r>
          </w:hyperlink>
        </w:p>
        <w:p w14:paraId="4FE977DF" w14:textId="6B276ABF" w:rsidR="003D3409" w:rsidRPr="003D3409" w:rsidRDefault="00254AEC" w:rsidP="008A26B8">
          <w:pPr>
            <w:pStyle w:val="TDC3"/>
            <w:rPr>
              <w:noProof/>
              <w:sz w:val="22"/>
              <w:szCs w:val="22"/>
              <w:lang w:val="es-ES" w:eastAsia="es-ES"/>
            </w:rPr>
          </w:pPr>
          <w:hyperlink w:anchor="_Toc99110833" w:history="1">
            <w:r w:rsidR="003D3409" w:rsidRPr="003D3409">
              <w:rPr>
                <w:rStyle w:val="Hipervnculo"/>
                <w:rFonts w:ascii="Arial" w:hAnsi="Arial" w:cs="Arial"/>
                <w:noProof/>
              </w:rPr>
              <w:t>6.2.1.</w:t>
            </w:r>
            <w:r w:rsidR="003D3409" w:rsidRPr="003D3409">
              <w:rPr>
                <w:noProof/>
                <w:sz w:val="22"/>
                <w:szCs w:val="22"/>
                <w:lang w:val="es-ES" w:eastAsia="es-ES"/>
              </w:rPr>
              <w:tab/>
            </w:r>
            <w:r w:rsidR="003D3409" w:rsidRPr="003D3409">
              <w:rPr>
                <w:rStyle w:val="Hipervnculo"/>
                <w:rFonts w:ascii="Arial" w:hAnsi="Arial" w:cs="Arial"/>
                <w:noProof/>
              </w:rPr>
              <w:t>Organigrama de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_Toc99110833 \h </w:instrText>
            </w:r>
            <w:r w:rsidR="003D3409" w:rsidRPr="003D3409">
              <w:rPr>
                <w:noProof/>
                <w:webHidden/>
              </w:rPr>
            </w:r>
            <w:r w:rsidR="003D3409" w:rsidRPr="003D3409">
              <w:rPr>
                <w:noProof/>
                <w:webHidden/>
              </w:rPr>
              <w:fldChar w:fldCharType="separate"/>
            </w:r>
            <w:r w:rsidR="003D3409" w:rsidRPr="003D3409">
              <w:rPr>
                <w:noProof/>
                <w:webHidden/>
              </w:rPr>
              <w:t>302</w:t>
            </w:r>
            <w:r w:rsidR="003D3409" w:rsidRPr="003D3409">
              <w:rPr>
                <w:noProof/>
                <w:webHidden/>
              </w:rPr>
              <w:fldChar w:fldCharType="end"/>
            </w:r>
          </w:hyperlink>
        </w:p>
        <w:p w14:paraId="4AA8961B" w14:textId="3B350704" w:rsidR="003D3409" w:rsidRPr="003D3409" w:rsidRDefault="00254AEC" w:rsidP="008A26B8">
          <w:pPr>
            <w:pStyle w:val="TDC3"/>
            <w:rPr>
              <w:noProof/>
              <w:sz w:val="22"/>
              <w:szCs w:val="22"/>
              <w:lang w:val="es-ES" w:eastAsia="es-ES"/>
            </w:rPr>
          </w:pPr>
          <w:hyperlink w:anchor="_Toc99110834" w:history="1">
            <w:r w:rsidR="003D3409" w:rsidRPr="003D3409">
              <w:rPr>
                <w:rStyle w:val="Hipervnculo"/>
                <w:rFonts w:ascii="Arial" w:hAnsi="Arial" w:cs="Arial"/>
                <w:noProof/>
              </w:rPr>
              <w:t>6.2.2.</w:t>
            </w:r>
            <w:r w:rsidR="003D3409" w:rsidRPr="003D3409">
              <w:rPr>
                <w:noProof/>
                <w:sz w:val="22"/>
                <w:szCs w:val="22"/>
                <w:lang w:val="es-ES" w:eastAsia="es-ES"/>
              </w:rPr>
              <w:tab/>
            </w:r>
            <w:r w:rsidR="003D3409" w:rsidRPr="003D3409">
              <w:rPr>
                <w:rStyle w:val="Hipervnculo"/>
                <w:rFonts w:ascii="Arial" w:hAnsi="Arial" w:cs="Arial"/>
                <w:noProof/>
              </w:rPr>
              <w:t>Relació de Llocs de Treball de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_Toc99110834 \h </w:instrText>
            </w:r>
            <w:r w:rsidR="003D3409" w:rsidRPr="003D3409">
              <w:rPr>
                <w:noProof/>
                <w:webHidden/>
              </w:rPr>
            </w:r>
            <w:r w:rsidR="003D3409" w:rsidRPr="003D3409">
              <w:rPr>
                <w:noProof/>
                <w:webHidden/>
              </w:rPr>
              <w:fldChar w:fldCharType="separate"/>
            </w:r>
            <w:r w:rsidR="003D3409" w:rsidRPr="003D3409">
              <w:rPr>
                <w:noProof/>
                <w:webHidden/>
              </w:rPr>
              <w:t>302</w:t>
            </w:r>
            <w:r w:rsidR="003D3409" w:rsidRPr="003D3409">
              <w:rPr>
                <w:noProof/>
                <w:webHidden/>
              </w:rPr>
              <w:fldChar w:fldCharType="end"/>
            </w:r>
          </w:hyperlink>
        </w:p>
        <w:p w14:paraId="40935975" w14:textId="1797104A" w:rsidR="003D3409" w:rsidRPr="003D3409" w:rsidRDefault="00254AEC" w:rsidP="008A26B8">
          <w:pPr>
            <w:pStyle w:val="TDC2"/>
            <w:rPr>
              <w:rFonts w:asciiTheme="minorHAnsi" w:eastAsiaTheme="minorEastAsia" w:hAnsiTheme="minorHAnsi" w:cstheme="minorBidi"/>
              <w:sz w:val="22"/>
              <w:lang w:val="es-ES" w:eastAsia="es-ES"/>
            </w:rPr>
          </w:pPr>
          <w:hyperlink w:anchor="_Toc99110835" w:history="1">
            <w:r w:rsidR="003D3409" w:rsidRPr="003D3409">
              <w:rPr>
                <w:rStyle w:val="Hipervnculo"/>
                <w:rFonts w:eastAsiaTheme="majorEastAsia"/>
              </w:rPr>
              <w:t>6.3.</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Gestió de recursos humans</w:t>
            </w:r>
            <w:r w:rsidR="003D3409" w:rsidRPr="003D3409">
              <w:rPr>
                <w:webHidden/>
              </w:rPr>
              <w:tab/>
            </w:r>
            <w:r w:rsidR="003D3409" w:rsidRPr="003D3409">
              <w:rPr>
                <w:webHidden/>
              </w:rPr>
              <w:fldChar w:fldCharType="begin" w:fldLock="1"/>
            </w:r>
            <w:r w:rsidR="003D3409" w:rsidRPr="003D3409">
              <w:rPr>
                <w:webHidden/>
              </w:rPr>
              <w:instrText xml:space="preserve"> PAGEREF _Toc99110835 \h </w:instrText>
            </w:r>
            <w:r w:rsidR="003D3409" w:rsidRPr="003D3409">
              <w:rPr>
                <w:webHidden/>
              </w:rPr>
            </w:r>
            <w:r w:rsidR="003D3409" w:rsidRPr="003D3409">
              <w:rPr>
                <w:webHidden/>
              </w:rPr>
              <w:fldChar w:fldCharType="separate"/>
            </w:r>
            <w:r w:rsidR="003D3409" w:rsidRPr="003D3409">
              <w:rPr>
                <w:webHidden/>
              </w:rPr>
              <w:t>304</w:t>
            </w:r>
            <w:r w:rsidR="003D3409" w:rsidRPr="003D3409">
              <w:rPr>
                <w:webHidden/>
              </w:rPr>
              <w:fldChar w:fldCharType="end"/>
            </w:r>
          </w:hyperlink>
        </w:p>
        <w:p w14:paraId="6FDBBA90" w14:textId="5B86BAD0" w:rsidR="003D3409" w:rsidRPr="003D3409" w:rsidRDefault="00254AEC" w:rsidP="008A26B8">
          <w:pPr>
            <w:pStyle w:val="TDC2"/>
            <w:rPr>
              <w:rFonts w:asciiTheme="minorHAnsi" w:eastAsiaTheme="minorEastAsia" w:hAnsiTheme="minorHAnsi" w:cstheme="minorBidi"/>
              <w:sz w:val="22"/>
              <w:lang w:val="es-ES" w:eastAsia="es-ES"/>
            </w:rPr>
          </w:pPr>
          <w:hyperlink w:anchor="_Toc99110836" w:history="1">
            <w:r w:rsidR="003D3409" w:rsidRPr="003D3409">
              <w:rPr>
                <w:rStyle w:val="Hipervnculo"/>
                <w:rFonts w:eastAsiaTheme="majorEastAsia"/>
              </w:rPr>
              <w:t>6.4.</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Gestió econòmica i contractació</w:t>
            </w:r>
            <w:r w:rsidR="003D3409" w:rsidRPr="003D3409">
              <w:rPr>
                <w:webHidden/>
              </w:rPr>
              <w:tab/>
            </w:r>
            <w:r w:rsidR="003D3409" w:rsidRPr="003D3409">
              <w:rPr>
                <w:webHidden/>
              </w:rPr>
              <w:fldChar w:fldCharType="begin" w:fldLock="1"/>
            </w:r>
            <w:r w:rsidR="003D3409" w:rsidRPr="003D3409">
              <w:rPr>
                <w:webHidden/>
              </w:rPr>
              <w:instrText xml:space="preserve"> PAGEREF _Toc99110836 \h </w:instrText>
            </w:r>
            <w:r w:rsidR="003D3409" w:rsidRPr="003D3409">
              <w:rPr>
                <w:webHidden/>
              </w:rPr>
            </w:r>
            <w:r w:rsidR="003D3409" w:rsidRPr="003D3409">
              <w:rPr>
                <w:webHidden/>
              </w:rPr>
              <w:fldChar w:fldCharType="separate"/>
            </w:r>
            <w:r w:rsidR="003D3409" w:rsidRPr="003D3409">
              <w:rPr>
                <w:webHidden/>
              </w:rPr>
              <w:t>304</w:t>
            </w:r>
            <w:r w:rsidR="003D3409" w:rsidRPr="003D3409">
              <w:rPr>
                <w:webHidden/>
              </w:rPr>
              <w:fldChar w:fldCharType="end"/>
            </w:r>
          </w:hyperlink>
        </w:p>
        <w:p w14:paraId="5B911714" w14:textId="7A3E4698" w:rsidR="003D3409" w:rsidRPr="003D3409" w:rsidRDefault="00254AEC" w:rsidP="008A26B8">
          <w:pPr>
            <w:pStyle w:val="TDC3"/>
            <w:rPr>
              <w:noProof/>
              <w:sz w:val="22"/>
              <w:szCs w:val="22"/>
              <w:lang w:val="es-ES" w:eastAsia="es-ES"/>
            </w:rPr>
          </w:pPr>
          <w:hyperlink w:anchor="_Toc99110837" w:history="1">
            <w:r w:rsidR="003D3409" w:rsidRPr="003D3409">
              <w:rPr>
                <w:rStyle w:val="Hipervnculo"/>
                <w:rFonts w:ascii="Arial" w:hAnsi="Arial" w:cs="Arial"/>
                <w:noProof/>
              </w:rPr>
              <w:t>6.4.1.</w:t>
            </w:r>
            <w:r w:rsidR="003D3409" w:rsidRPr="003D3409">
              <w:rPr>
                <w:noProof/>
                <w:sz w:val="22"/>
                <w:szCs w:val="22"/>
                <w:lang w:val="es-ES" w:eastAsia="es-ES"/>
              </w:rPr>
              <w:tab/>
            </w:r>
            <w:r w:rsidR="003D3409" w:rsidRPr="003D3409">
              <w:rPr>
                <w:rStyle w:val="Hipervnculo"/>
                <w:rFonts w:ascii="Arial" w:hAnsi="Arial" w:cs="Arial"/>
                <w:noProof/>
              </w:rPr>
              <w:t>Execució pressupostària 2021</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_Toc99110837 \h </w:instrText>
            </w:r>
            <w:r w:rsidR="003D3409" w:rsidRPr="003D3409">
              <w:rPr>
                <w:noProof/>
                <w:webHidden/>
              </w:rPr>
            </w:r>
            <w:r w:rsidR="003D3409" w:rsidRPr="003D3409">
              <w:rPr>
                <w:noProof/>
                <w:webHidden/>
              </w:rPr>
              <w:fldChar w:fldCharType="separate"/>
            </w:r>
            <w:r w:rsidR="003D3409" w:rsidRPr="003D3409">
              <w:rPr>
                <w:noProof/>
                <w:webHidden/>
              </w:rPr>
              <w:t>305</w:t>
            </w:r>
            <w:r w:rsidR="003D3409" w:rsidRPr="003D3409">
              <w:rPr>
                <w:noProof/>
                <w:webHidden/>
              </w:rPr>
              <w:fldChar w:fldCharType="end"/>
            </w:r>
          </w:hyperlink>
        </w:p>
        <w:p w14:paraId="682F4257" w14:textId="2C675955" w:rsidR="003D3409" w:rsidRPr="003D3409" w:rsidRDefault="00254AEC" w:rsidP="008A26B8">
          <w:pPr>
            <w:pStyle w:val="TDC3"/>
            <w:rPr>
              <w:noProof/>
              <w:sz w:val="22"/>
              <w:szCs w:val="22"/>
              <w:lang w:val="es-ES" w:eastAsia="es-ES"/>
            </w:rPr>
          </w:pPr>
          <w:hyperlink w:anchor="_Toc99110838" w:history="1">
            <w:r w:rsidR="003D3409" w:rsidRPr="003D3409">
              <w:rPr>
                <w:rStyle w:val="Hipervnculo"/>
                <w:rFonts w:ascii="Arial" w:hAnsi="Arial" w:cs="Arial"/>
                <w:noProof/>
              </w:rPr>
              <w:t>6.4.2.</w:t>
            </w:r>
            <w:r w:rsidR="003D3409" w:rsidRPr="003D3409">
              <w:rPr>
                <w:noProof/>
                <w:sz w:val="22"/>
                <w:szCs w:val="22"/>
                <w:lang w:val="es-ES" w:eastAsia="es-ES"/>
              </w:rPr>
              <w:tab/>
            </w:r>
            <w:r w:rsidR="003D3409" w:rsidRPr="003D3409">
              <w:rPr>
                <w:rStyle w:val="Hipervnculo"/>
                <w:rFonts w:ascii="Arial" w:hAnsi="Arial" w:cs="Arial"/>
                <w:noProof/>
              </w:rPr>
              <w:t>Contractació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_Toc99110838 \h </w:instrText>
            </w:r>
            <w:r w:rsidR="003D3409" w:rsidRPr="003D3409">
              <w:rPr>
                <w:noProof/>
                <w:webHidden/>
              </w:rPr>
            </w:r>
            <w:r w:rsidR="003D3409" w:rsidRPr="003D3409">
              <w:rPr>
                <w:noProof/>
                <w:webHidden/>
              </w:rPr>
              <w:fldChar w:fldCharType="separate"/>
            </w:r>
            <w:r w:rsidR="003D3409" w:rsidRPr="003D3409">
              <w:rPr>
                <w:noProof/>
                <w:webHidden/>
              </w:rPr>
              <w:t>313</w:t>
            </w:r>
            <w:r w:rsidR="003D3409" w:rsidRPr="003D3409">
              <w:rPr>
                <w:noProof/>
                <w:webHidden/>
              </w:rPr>
              <w:fldChar w:fldCharType="end"/>
            </w:r>
          </w:hyperlink>
        </w:p>
        <w:p w14:paraId="7810E8E8" w14:textId="763F64B9" w:rsidR="003D3409" w:rsidRPr="003D3409" w:rsidRDefault="00254AEC" w:rsidP="003D3409">
          <w:pPr>
            <w:pStyle w:val="TDC1"/>
            <w:rPr>
              <w:rFonts w:asciiTheme="minorHAnsi" w:eastAsiaTheme="minorEastAsia" w:hAnsiTheme="minorHAnsi" w:cstheme="minorBidi"/>
              <w:kern w:val="0"/>
              <w:sz w:val="22"/>
              <w:szCs w:val="22"/>
              <w:lang w:val="es-ES" w:bidi="ar-SA"/>
            </w:rPr>
          </w:pPr>
          <w:hyperlink w:anchor="_Toc99110839" w:history="1">
            <w:r w:rsidR="003D3409" w:rsidRPr="003D3409">
              <w:rPr>
                <w:rStyle w:val="Hipervnculo"/>
              </w:rPr>
              <w:t>7.</w:t>
            </w:r>
            <w:r w:rsidR="003D3409" w:rsidRPr="003D3409">
              <w:rPr>
                <w:rFonts w:asciiTheme="minorHAnsi" w:eastAsiaTheme="minorEastAsia" w:hAnsiTheme="minorHAnsi" w:cstheme="minorBidi"/>
                <w:kern w:val="0"/>
                <w:sz w:val="22"/>
                <w:szCs w:val="22"/>
                <w:lang w:val="es-ES" w:bidi="ar-SA"/>
              </w:rPr>
              <w:tab/>
            </w:r>
            <w:r w:rsidR="003D3409" w:rsidRPr="003D3409">
              <w:rPr>
                <w:rStyle w:val="Hipervnculo"/>
              </w:rPr>
              <w:t>Conclusions i recomanacions</w:t>
            </w:r>
            <w:r w:rsidR="003D3409" w:rsidRPr="003D3409">
              <w:rPr>
                <w:webHidden/>
              </w:rPr>
              <w:tab/>
            </w:r>
            <w:r w:rsidR="003D3409" w:rsidRPr="003D3409">
              <w:rPr>
                <w:webHidden/>
              </w:rPr>
              <w:fldChar w:fldCharType="begin" w:fldLock="1"/>
            </w:r>
            <w:r w:rsidR="003D3409" w:rsidRPr="003D3409">
              <w:rPr>
                <w:webHidden/>
              </w:rPr>
              <w:instrText xml:space="preserve"> PAGEREF _Toc99110839 \h </w:instrText>
            </w:r>
            <w:r w:rsidR="003D3409" w:rsidRPr="003D3409">
              <w:rPr>
                <w:webHidden/>
              </w:rPr>
            </w:r>
            <w:r w:rsidR="003D3409" w:rsidRPr="003D3409">
              <w:rPr>
                <w:webHidden/>
              </w:rPr>
              <w:fldChar w:fldCharType="separate"/>
            </w:r>
            <w:r w:rsidR="003D3409" w:rsidRPr="003D3409">
              <w:rPr>
                <w:webHidden/>
              </w:rPr>
              <w:t>316</w:t>
            </w:r>
            <w:r w:rsidR="003D3409" w:rsidRPr="003D3409">
              <w:rPr>
                <w:webHidden/>
              </w:rPr>
              <w:fldChar w:fldCharType="end"/>
            </w:r>
          </w:hyperlink>
        </w:p>
        <w:p w14:paraId="3BC3FC4D" w14:textId="77936B5E" w:rsidR="003D3409" w:rsidRPr="003D3409" w:rsidRDefault="00254AEC" w:rsidP="008A26B8">
          <w:pPr>
            <w:pStyle w:val="TDC2"/>
            <w:rPr>
              <w:rFonts w:asciiTheme="minorHAnsi" w:eastAsiaTheme="minorEastAsia" w:hAnsiTheme="minorHAnsi" w:cstheme="minorBidi"/>
              <w:sz w:val="22"/>
              <w:lang w:val="es-ES" w:eastAsia="es-ES"/>
            </w:rPr>
          </w:pPr>
          <w:hyperlink w:anchor="_Toc99110840" w:history="1">
            <w:r w:rsidR="003D3409" w:rsidRPr="003D3409">
              <w:rPr>
                <w:rStyle w:val="Hipervnculo"/>
                <w:rFonts w:eastAsiaTheme="majorEastAsia"/>
              </w:rPr>
              <w:t>7.1.</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Sobre l'elusió dels principis rectors aplicables als processos de selecció i provisió dels empleats públics</w:t>
            </w:r>
            <w:r w:rsidR="003D3409" w:rsidRPr="003D3409">
              <w:rPr>
                <w:webHidden/>
              </w:rPr>
              <w:tab/>
            </w:r>
            <w:r w:rsidR="003D3409" w:rsidRPr="003D3409">
              <w:rPr>
                <w:webHidden/>
              </w:rPr>
              <w:fldChar w:fldCharType="begin" w:fldLock="1"/>
            </w:r>
            <w:r w:rsidR="003D3409" w:rsidRPr="003D3409">
              <w:rPr>
                <w:webHidden/>
              </w:rPr>
              <w:instrText xml:space="preserve"> PAGEREF _Toc99110840 \h </w:instrText>
            </w:r>
            <w:r w:rsidR="003D3409" w:rsidRPr="003D3409">
              <w:rPr>
                <w:webHidden/>
              </w:rPr>
            </w:r>
            <w:r w:rsidR="003D3409" w:rsidRPr="003D3409">
              <w:rPr>
                <w:webHidden/>
              </w:rPr>
              <w:fldChar w:fldCharType="separate"/>
            </w:r>
            <w:r w:rsidR="003D3409" w:rsidRPr="003D3409">
              <w:rPr>
                <w:webHidden/>
              </w:rPr>
              <w:t>316</w:t>
            </w:r>
            <w:r w:rsidR="003D3409" w:rsidRPr="003D3409">
              <w:rPr>
                <w:webHidden/>
              </w:rPr>
              <w:fldChar w:fldCharType="end"/>
            </w:r>
          </w:hyperlink>
        </w:p>
        <w:p w14:paraId="68B2DEBA" w14:textId="409460F8" w:rsidR="003D3409" w:rsidRPr="003D3409" w:rsidRDefault="00254AEC" w:rsidP="008A26B8">
          <w:pPr>
            <w:pStyle w:val="TDC2"/>
            <w:rPr>
              <w:rFonts w:asciiTheme="minorHAnsi" w:eastAsiaTheme="minorEastAsia" w:hAnsiTheme="minorHAnsi" w:cstheme="minorBidi"/>
              <w:sz w:val="22"/>
              <w:lang w:val="es-ES" w:eastAsia="es-ES"/>
            </w:rPr>
          </w:pPr>
          <w:hyperlink w:anchor="_Toc99110841" w:history="1">
            <w:r w:rsidR="003D3409" w:rsidRPr="003D3409">
              <w:rPr>
                <w:rStyle w:val="Hipervnculo"/>
                <w:rFonts w:eastAsiaTheme="majorEastAsia"/>
              </w:rPr>
              <w:t>7.2.</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Sobre l'increment de la contractació d'emergència i el necessari control d'aquest mecanisme excepcional</w:t>
            </w:r>
            <w:r w:rsidR="003D3409" w:rsidRPr="003D3409">
              <w:rPr>
                <w:webHidden/>
              </w:rPr>
              <w:tab/>
            </w:r>
            <w:r w:rsidR="003D3409" w:rsidRPr="003D3409">
              <w:rPr>
                <w:webHidden/>
              </w:rPr>
              <w:fldChar w:fldCharType="begin" w:fldLock="1"/>
            </w:r>
            <w:r w:rsidR="003D3409" w:rsidRPr="003D3409">
              <w:rPr>
                <w:webHidden/>
              </w:rPr>
              <w:instrText xml:space="preserve"> PAGEREF _Toc99110841 \h </w:instrText>
            </w:r>
            <w:r w:rsidR="003D3409" w:rsidRPr="003D3409">
              <w:rPr>
                <w:webHidden/>
              </w:rPr>
            </w:r>
            <w:r w:rsidR="003D3409" w:rsidRPr="003D3409">
              <w:rPr>
                <w:webHidden/>
              </w:rPr>
              <w:fldChar w:fldCharType="separate"/>
            </w:r>
            <w:r w:rsidR="003D3409" w:rsidRPr="003D3409">
              <w:rPr>
                <w:webHidden/>
              </w:rPr>
              <w:t>318</w:t>
            </w:r>
            <w:r w:rsidR="003D3409" w:rsidRPr="003D3409">
              <w:rPr>
                <w:webHidden/>
              </w:rPr>
              <w:fldChar w:fldCharType="end"/>
            </w:r>
          </w:hyperlink>
        </w:p>
        <w:p w14:paraId="31176DB9" w14:textId="1C41A954" w:rsidR="003D3409" w:rsidRPr="003D3409" w:rsidRDefault="00254AEC" w:rsidP="008A26B8">
          <w:pPr>
            <w:pStyle w:val="TDC2"/>
            <w:rPr>
              <w:rFonts w:asciiTheme="minorHAnsi" w:eastAsiaTheme="minorEastAsia" w:hAnsiTheme="minorHAnsi" w:cstheme="minorBidi"/>
              <w:sz w:val="22"/>
              <w:lang w:val="es-ES" w:eastAsia="es-ES"/>
            </w:rPr>
          </w:pPr>
          <w:hyperlink w:anchor="_Toc99110842" w:history="1">
            <w:r w:rsidR="003D3409" w:rsidRPr="003D3409">
              <w:rPr>
                <w:rStyle w:val="Hipervnculo"/>
                <w:rFonts w:eastAsiaTheme="majorEastAsia"/>
              </w:rPr>
              <w:t>7.3.</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Sobre el canvi de paradigma en la cultura de la gestió pública: cap a la integritat institucional</w:t>
            </w:r>
            <w:r w:rsidR="003D3409" w:rsidRPr="003D3409">
              <w:rPr>
                <w:webHidden/>
              </w:rPr>
              <w:tab/>
            </w:r>
            <w:r w:rsidR="003D3409" w:rsidRPr="003D3409">
              <w:rPr>
                <w:webHidden/>
              </w:rPr>
              <w:fldChar w:fldCharType="begin" w:fldLock="1"/>
            </w:r>
            <w:r w:rsidR="003D3409" w:rsidRPr="003D3409">
              <w:rPr>
                <w:webHidden/>
              </w:rPr>
              <w:instrText xml:space="preserve"> PAGEREF _Toc99110842 \h </w:instrText>
            </w:r>
            <w:r w:rsidR="003D3409" w:rsidRPr="003D3409">
              <w:rPr>
                <w:webHidden/>
              </w:rPr>
            </w:r>
            <w:r w:rsidR="003D3409" w:rsidRPr="003D3409">
              <w:rPr>
                <w:webHidden/>
              </w:rPr>
              <w:fldChar w:fldCharType="separate"/>
            </w:r>
            <w:r w:rsidR="003D3409" w:rsidRPr="003D3409">
              <w:rPr>
                <w:webHidden/>
              </w:rPr>
              <w:t>321</w:t>
            </w:r>
            <w:r w:rsidR="003D3409" w:rsidRPr="003D3409">
              <w:rPr>
                <w:webHidden/>
              </w:rPr>
              <w:fldChar w:fldCharType="end"/>
            </w:r>
          </w:hyperlink>
        </w:p>
        <w:p w14:paraId="6AD9181D" w14:textId="590AA377" w:rsidR="003D3409" w:rsidRPr="003D3409" w:rsidRDefault="00254AEC" w:rsidP="008A26B8">
          <w:pPr>
            <w:pStyle w:val="TDC2"/>
            <w:rPr>
              <w:rFonts w:asciiTheme="minorHAnsi" w:eastAsiaTheme="minorEastAsia" w:hAnsiTheme="minorHAnsi" w:cstheme="minorBidi"/>
              <w:sz w:val="22"/>
              <w:lang w:val="es-ES" w:eastAsia="es-ES"/>
            </w:rPr>
          </w:pPr>
          <w:hyperlink w:anchor="_Toc99110843" w:history="1">
            <w:r w:rsidR="003D3409" w:rsidRPr="003D3409">
              <w:rPr>
                <w:rStyle w:val="Hipervnculo"/>
                <w:rFonts w:eastAsiaTheme="majorEastAsia"/>
              </w:rPr>
              <w:t>7.4.</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Sobre l'ètica pública i col·laboració institucional</w:t>
            </w:r>
            <w:r w:rsidR="003D3409" w:rsidRPr="003D3409">
              <w:rPr>
                <w:webHidden/>
              </w:rPr>
              <w:tab/>
            </w:r>
            <w:r w:rsidR="003D3409" w:rsidRPr="003D3409">
              <w:rPr>
                <w:webHidden/>
              </w:rPr>
              <w:fldChar w:fldCharType="begin" w:fldLock="1"/>
            </w:r>
            <w:r w:rsidR="003D3409" w:rsidRPr="003D3409">
              <w:rPr>
                <w:webHidden/>
              </w:rPr>
              <w:instrText xml:space="preserve"> PAGEREF _Toc99110843 \h </w:instrText>
            </w:r>
            <w:r w:rsidR="003D3409" w:rsidRPr="003D3409">
              <w:rPr>
                <w:webHidden/>
              </w:rPr>
            </w:r>
            <w:r w:rsidR="003D3409" w:rsidRPr="003D3409">
              <w:rPr>
                <w:webHidden/>
              </w:rPr>
              <w:fldChar w:fldCharType="separate"/>
            </w:r>
            <w:r w:rsidR="003D3409" w:rsidRPr="003D3409">
              <w:rPr>
                <w:webHidden/>
              </w:rPr>
              <w:t>324</w:t>
            </w:r>
            <w:r w:rsidR="003D3409" w:rsidRPr="003D3409">
              <w:rPr>
                <w:webHidden/>
              </w:rPr>
              <w:fldChar w:fldCharType="end"/>
            </w:r>
          </w:hyperlink>
        </w:p>
        <w:p w14:paraId="257EFC6F" w14:textId="6A737198" w:rsidR="003D3409" w:rsidRPr="003D3409" w:rsidRDefault="00254AEC" w:rsidP="008A26B8">
          <w:pPr>
            <w:pStyle w:val="TDC2"/>
            <w:rPr>
              <w:rFonts w:asciiTheme="minorHAnsi" w:eastAsiaTheme="minorEastAsia" w:hAnsiTheme="minorHAnsi" w:cstheme="minorBidi"/>
              <w:sz w:val="22"/>
              <w:lang w:val="es-ES" w:eastAsia="es-ES"/>
            </w:rPr>
          </w:pPr>
          <w:hyperlink w:anchor="_Toc99110844" w:history="1">
            <w:r w:rsidR="003D3409" w:rsidRPr="003D3409">
              <w:rPr>
                <w:rStyle w:val="Hipervnculo"/>
                <w:rFonts w:eastAsiaTheme="majorEastAsia"/>
              </w:rPr>
              <w:t>7.5.</w:t>
            </w:r>
            <w:r w:rsidR="003D3409" w:rsidRPr="003D3409">
              <w:rPr>
                <w:rFonts w:asciiTheme="minorHAnsi" w:eastAsiaTheme="minorEastAsia" w:hAnsiTheme="minorHAnsi" w:cstheme="minorBidi"/>
                <w:sz w:val="22"/>
                <w:lang w:val="es-ES" w:eastAsia="es-ES"/>
              </w:rPr>
              <w:tab/>
            </w:r>
            <w:r w:rsidR="003D3409" w:rsidRPr="003D3409">
              <w:rPr>
                <w:rStyle w:val="Hipervnculo"/>
                <w:rFonts w:eastAsiaTheme="majorEastAsia"/>
              </w:rPr>
              <w:t>Sobre l’efecte directe de la Directiva (UE) 2019/1937 del Parlament Europeu i del Consell de 23 d'octubre de 2019, relativa a la protecció de les persones que informen sobre infraccions del Dret de la Unió</w:t>
            </w:r>
            <w:r w:rsidR="003D3409" w:rsidRPr="003D3409">
              <w:rPr>
                <w:webHidden/>
              </w:rPr>
              <w:tab/>
            </w:r>
            <w:r w:rsidR="003D3409" w:rsidRPr="003D3409">
              <w:rPr>
                <w:webHidden/>
              </w:rPr>
              <w:fldChar w:fldCharType="begin" w:fldLock="1"/>
            </w:r>
            <w:r w:rsidR="003D3409" w:rsidRPr="003D3409">
              <w:rPr>
                <w:webHidden/>
              </w:rPr>
              <w:instrText xml:space="preserve"> PAGEREF _Toc99110844 \h </w:instrText>
            </w:r>
            <w:r w:rsidR="003D3409" w:rsidRPr="003D3409">
              <w:rPr>
                <w:webHidden/>
              </w:rPr>
            </w:r>
            <w:r w:rsidR="003D3409" w:rsidRPr="003D3409">
              <w:rPr>
                <w:webHidden/>
              </w:rPr>
              <w:fldChar w:fldCharType="separate"/>
            </w:r>
            <w:r w:rsidR="003D3409" w:rsidRPr="003D3409">
              <w:rPr>
                <w:webHidden/>
              </w:rPr>
              <w:t>326</w:t>
            </w:r>
            <w:r w:rsidR="003D3409" w:rsidRPr="003D3409">
              <w:rPr>
                <w:webHidden/>
              </w:rPr>
              <w:fldChar w:fldCharType="end"/>
            </w:r>
          </w:hyperlink>
        </w:p>
        <w:p w14:paraId="13A6F762" w14:textId="0D3EF94A" w:rsidR="003D3409" w:rsidRPr="003D3409" w:rsidRDefault="00254AEC" w:rsidP="003D3409">
          <w:pPr>
            <w:pStyle w:val="TDC1"/>
            <w:rPr>
              <w:rFonts w:asciiTheme="minorHAnsi" w:eastAsiaTheme="minorEastAsia" w:hAnsiTheme="minorHAnsi" w:cstheme="minorBidi"/>
              <w:kern w:val="0"/>
              <w:sz w:val="22"/>
              <w:szCs w:val="22"/>
              <w:lang w:val="es-ES" w:bidi="ar-SA"/>
            </w:rPr>
          </w:pPr>
          <w:hyperlink w:anchor="_Toc99110845" w:history="1">
            <w:r w:rsidR="003D3409" w:rsidRPr="003D3409">
              <w:rPr>
                <w:rStyle w:val="Hipervnculo"/>
              </w:rPr>
              <w:t>Annex.</w:t>
            </w:r>
            <w:r w:rsidR="003D3409" w:rsidRPr="003D3409">
              <w:rPr>
                <w:rFonts w:asciiTheme="minorHAnsi" w:eastAsiaTheme="minorEastAsia" w:hAnsiTheme="minorHAnsi" w:cstheme="minorBidi"/>
                <w:kern w:val="0"/>
                <w:sz w:val="22"/>
                <w:szCs w:val="22"/>
                <w:lang w:val="es-ES" w:bidi="ar-SA"/>
              </w:rPr>
              <w:tab/>
            </w:r>
            <w:r w:rsidR="003D3409" w:rsidRPr="003D3409">
              <w:rPr>
                <w:rStyle w:val="Hipervnculo"/>
                <w:smallCaps/>
              </w:rPr>
              <w:t xml:space="preserve"> </w:t>
            </w:r>
            <w:r w:rsidR="003D3409" w:rsidRPr="003D3409">
              <w:rPr>
                <w:rStyle w:val="Hipervnculo"/>
              </w:rPr>
              <w:t>Codi ètic i de conducta de l’Agencia de Prevenció i Lluita contra el Frau i la Corrupció de la Comunitat Valenciana</w:t>
            </w:r>
            <w:r w:rsidR="003D3409" w:rsidRPr="003D3409">
              <w:rPr>
                <w:webHidden/>
              </w:rPr>
              <w:tab/>
            </w:r>
            <w:r w:rsidR="003D3409" w:rsidRPr="003D3409">
              <w:rPr>
                <w:webHidden/>
              </w:rPr>
              <w:fldChar w:fldCharType="begin" w:fldLock="1"/>
            </w:r>
            <w:r w:rsidR="003D3409" w:rsidRPr="003D3409">
              <w:rPr>
                <w:webHidden/>
              </w:rPr>
              <w:instrText xml:space="preserve"> PAGEREF _Toc99110845 \h </w:instrText>
            </w:r>
            <w:r w:rsidR="003D3409" w:rsidRPr="003D3409">
              <w:rPr>
                <w:webHidden/>
              </w:rPr>
            </w:r>
            <w:r w:rsidR="003D3409" w:rsidRPr="003D3409">
              <w:rPr>
                <w:webHidden/>
              </w:rPr>
              <w:fldChar w:fldCharType="separate"/>
            </w:r>
            <w:r w:rsidR="003D3409" w:rsidRPr="003D3409">
              <w:rPr>
                <w:webHidden/>
              </w:rPr>
              <w:t>332</w:t>
            </w:r>
            <w:r w:rsidR="003D3409" w:rsidRPr="003D3409">
              <w:rPr>
                <w:webHidden/>
              </w:rPr>
              <w:fldChar w:fldCharType="end"/>
            </w:r>
          </w:hyperlink>
        </w:p>
        <w:p w14:paraId="0CC1BA74" w14:textId="076D21E7" w:rsidR="00AD0B4D" w:rsidRPr="00DA3DC3" w:rsidRDefault="00AD0B4D" w:rsidP="00D733DF">
          <w:pPr>
            <w:jc w:val="both"/>
            <w:rPr>
              <w:rFonts w:ascii="Arial" w:hAnsi="Arial" w:cs="Arial"/>
            </w:rPr>
          </w:pPr>
          <w:r w:rsidRPr="00D733DF">
            <w:rPr>
              <w:rFonts w:ascii="Arial" w:hAnsi="Arial" w:cs="Arial"/>
              <w:sz w:val="20"/>
              <w:szCs w:val="20"/>
            </w:rPr>
            <w:fldChar w:fldCharType="end"/>
          </w:r>
        </w:p>
      </w:sdtContent>
    </w:sdt>
    <w:p w14:paraId="05BAF825" w14:textId="77777777" w:rsidR="00AD140C" w:rsidRPr="00DA3DC3" w:rsidRDefault="00AD140C" w:rsidP="00AD140C">
      <w:pPr>
        <w:pStyle w:val="Prrafodelista"/>
        <w:spacing w:after="0" w:line="276" w:lineRule="auto"/>
        <w:ind w:left="357"/>
        <w:jc w:val="both"/>
        <w:rPr>
          <w:rFonts w:ascii="Arial" w:hAnsi="Arial" w:cs="Arial"/>
          <w:sz w:val="20"/>
          <w:szCs w:val="20"/>
        </w:rPr>
      </w:pPr>
    </w:p>
    <w:p w14:paraId="29C76582" w14:textId="554412EE" w:rsidR="00A32227" w:rsidRPr="00DA3DC3" w:rsidRDefault="00A46175">
      <w:pPr>
        <w:rPr>
          <w:rFonts w:ascii="Arial" w:hAnsi="Arial" w:cs="Arial"/>
          <w:sz w:val="21"/>
          <w:szCs w:val="21"/>
        </w:rPr>
      </w:pPr>
      <w:r w:rsidRPr="00DA3DC3">
        <w:rPr>
          <w:rFonts w:ascii="Arial" w:hAnsi="Arial" w:cs="Arial"/>
          <w:sz w:val="21"/>
          <w:szCs w:val="21"/>
        </w:rPr>
        <w:br w:type="page"/>
      </w:r>
    </w:p>
    <w:p w14:paraId="04170D00" w14:textId="7B5F8C2B" w:rsidR="002A4453" w:rsidRPr="00DA3DC3" w:rsidRDefault="002A4453">
      <w:pPr>
        <w:rPr>
          <w:rFonts w:ascii="Arial" w:hAnsi="Arial" w:cs="Arial"/>
          <w:b/>
          <w:bCs/>
          <w:color w:val="9D2235" w:themeColor="accent1"/>
          <w:sz w:val="60"/>
          <w:szCs w:val="60"/>
        </w:rPr>
      </w:pPr>
      <w:r w:rsidRPr="00DA3DC3">
        <w:rPr>
          <w:rFonts w:ascii="Arial" w:hAnsi="Arial" w:cs="Arial"/>
          <w:b/>
          <w:bCs/>
          <w:color w:val="9D2235" w:themeColor="accent1"/>
          <w:sz w:val="60"/>
          <w:szCs w:val="60"/>
        </w:rPr>
        <w:lastRenderedPageBreak/>
        <w:t>Índ</w:t>
      </w:r>
      <w:r w:rsidR="006A3245" w:rsidRPr="00DA3DC3">
        <w:rPr>
          <w:rFonts w:ascii="Arial" w:hAnsi="Arial" w:cs="Arial"/>
          <w:b/>
          <w:bCs/>
          <w:color w:val="9D2235" w:themeColor="accent1"/>
          <w:sz w:val="60"/>
          <w:szCs w:val="60"/>
        </w:rPr>
        <w:t>ex</w:t>
      </w:r>
      <w:r w:rsidRPr="00DA3DC3">
        <w:rPr>
          <w:rFonts w:ascii="Arial" w:hAnsi="Arial" w:cs="Arial"/>
          <w:b/>
          <w:bCs/>
          <w:color w:val="9D2235" w:themeColor="accent1"/>
          <w:sz w:val="60"/>
          <w:szCs w:val="60"/>
        </w:rPr>
        <w:t xml:space="preserve"> de Ta</w:t>
      </w:r>
      <w:r w:rsidR="006A3245" w:rsidRPr="00DA3DC3">
        <w:rPr>
          <w:rFonts w:ascii="Arial" w:hAnsi="Arial" w:cs="Arial"/>
          <w:b/>
          <w:bCs/>
          <w:color w:val="9D2235" w:themeColor="accent1"/>
          <w:sz w:val="60"/>
          <w:szCs w:val="60"/>
        </w:rPr>
        <w:t>ule</w:t>
      </w:r>
      <w:r w:rsidRPr="00DA3DC3">
        <w:rPr>
          <w:rFonts w:ascii="Arial" w:hAnsi="Arial" w:cs="Arial"/>
          <w:b/>
          <w:bCs/>
          <w:color w:val="9D2235" w:themeColor="accent1"/>
          <w:sz w:val="60"/>
          <w:szCs w:val="60"/>
        </w:rPr>
        <w:t>s</w:t>
      </w:r>
    </w:p>
    <w:p w14:paraId="753E7EF1" w14:textId="1457AE77" w:rsidR="003D3409" w:rsidRPr="003D3409" w:rsidRDefault="0056090D">
      <w:pPr>
        <w:pStyle w:val="Tabladeilustraciones"/>
        <w:tabs>
          <w:tab w:val="right" w:leader="dot" w:pos="8212"/>
        </w:tabs>
        <w:rPr>
          <w:rFonts w:asciiTheme="minorHAnsi" w:eastAsiaTheme="minorEastAsia" w:hAnsiTheme="minorHAnsi" w:cstheme="minorBidi"/>
          <w:bCs w:val="0"/>
          <w:noProof/>
          <w:sz w:val="22"/>
          <w:szCs w:val="22"/>
          <w:lang w:val="es-ES" w:eastAsia="es-ES"/>
        </w:rPr>
      </w:pPr>
      <w:r w:rsidRPr="003D3409">
        <w:rPr>
          <w:rFonts w:cs="Arial"/>
          <w:bCs w:val="0"/>
          <w:color w:val="FF0000"/>
        </w:rPr>
        <w:fldChar w:fldCharType="begin" w:fldLock="1"/>
      </w:r>
      <w:r w:rsidRPr="003D3409">
        <w:rPr>
          <w:rFonts w:cs="Arial"/>
          <w:bCs w:val="0"/>
          <w:color w:val="FF0000"/>
        </w:rPr>
        <w:instrText xml:space="preserve"> TOC \h \z \c "Taula" </w:instrText>
      </w:r>
      <w:r w:rsidRPr="003D3409">
        <w:rPr>
          <w:rFonts w:cs="Arial"/>
          <w:bCs w:val="0"/>
          <w:color w:val="FF0000"/>
        </w:rPr>
        <w:fldChar w:fldCharType="separate"/>
      </w:r>
      <w:hyperlink w:anchor="_Toc99110846" w:history="1">
        <w:r w:rsidR="003D3409" w:rsidRPr="003D3409">
          <w:rPr>
            <w:rStyle w:val="Hipervnculo"/>
            <w:rFonts w:cs="Arial"/>
            <w:bCs w:val="0"/>
            <w:noProof/>
          </w:rPr>
          <w:t>Taula 1. Actes amb participació de l'Agència</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_Toc99110846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33</w:t>
        </w:r>
        <w:r w:rsidR="003D3409" w:rsidRPr="003D3409">
          <w:rPr>
            <w:bCs w:val="0"/>
            <w:noProof/>
            <w:webHidden/>
          </w:rPr>
          <w:fldChar w:fldCharType="end"/>
        </w:r>
      </w:hyperlink>
    </w:p>
    <w:p w14:paraId="7998D4B0" w14:textId="0CBB79E4"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47" w:history="1">
        <w:r w:rsidR="003D3409" w:rsidRPr="003D3409">
          <w:rPr>
            <w:rStyle w:val="Hipervnculo"/>
            <w:rFonts w:cs="Arial"/>
            <w:bCs w:val="0"/>
            <w:noProof/>
          </w:rPr>
          <w:t>Taula 2. Conferències impartides per l'Agència</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_Toc99110847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34</w:t>
        </w:r>
        <w:r w:rsidR="003D3409" w:rsidRPr="003D3409">
          <w:rPr>
            <w:bCs w:val="0"/>
            <w:noProof/>
            <w:webHidden/>
          </w:rPr>
          <w:fldChar w:fldCharType="end"/>
        </w:r>
      </w:hyperlink>
    </w:p>
    <w:p w14:paraId="77246EED" w14:textId="5CFA2EE5"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48" w:history="1">
        <w:r w:rsidR="003D3409" w:rsidRPr="003D3409">
          <w:rPr>
            <w:rStyle w:val="Hipervnculo"/>
            <w:rFonts w:cs="Arial"/>
            <w:bCs w:val="0"/>
            <w:noProof/>
          </w:rPr>
          <w:t>Taula 3. Entrevistes i reunions mantingudes pel director de l'Agència</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_Toc99110848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37</w:t>
        </w:r>
        <w:r w:rsidR="003D3409" w:rsidRPr="003D3409">
          <w:rPr>
            <w:bCs w:val="0"/>
            <w:noProof/>
            <w:webHidden/>
          </w:rPr>
          <w:fldChar w:fldCharType="end"/>
        </w:r>
      </w:hyperlink>
    </w:p>
    <w:p w14:paraId="4BC07834" w14:textId="75BA71E5"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49" w:history="1">
        <w:r w:rsidR="003D3409" w:rsidRPr="003D3409">
          <w:rPr>
            <w:rStyle w:val="Hipervnculo"/>
            <w:rFonts w:cs="Arial"/>
            <w:bCs w:val="0"/>
            <w:noProof/>
          </w:rPr>
          <w:t>Taula 4. Notes de premsa enviades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_Toc99110849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47</w:t>
        </w:r>
        <w:r w:rsidR="003D3409" w:rsidRPr="003D3409">
          <w:rPr>
            <w:bCs w:val="0"/>
            <w:noProof/>
            <w:webHidden/>
          </w:rPr>
          <w:fldChar w:fldCharType="end"/>
        </w:r>
      </w:hyperlink>
    </w:p>
    <w:p w14:paraId="31D03157" w14:textId="77553CAF"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0" w:history="1">
        <w:r w:rsidR="003D3409" w:rsidRPr="003D3409">
          <w:rPr>
            <w:rStyle w:val="Hipervnculo"/>
            <w:rFonts w:cs="Arial"/>
            <w:bCs w:val="0"/>
            <w:noProof/>
          </w:rPr>
          <w:t>Taula 5. Publicacions en bolletins oficials any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_Toc99110850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53</w:t>
        </w:r>
        <w:r w:rsidR="003D3409" w:rsidRPr="003D3409">
          <w:rPr>
            <w:bCs w:val="0"/>
            <w:noProof/>
            <w:webHidden/>
          </w:rPr>
          <w:fldChar w:fldCharType="end"/>
        </w:r>
      </w:hyperlink>
    </w:p>
    <w:p w14:paraId="1B01B744" w14:textId="13F63D81"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1" w:history="1">
        <w:r w:rsidR="003D3409" w:rsidRPr="003D3409">
          <w:rPr>
            <w:rStyle w:val="Hipervnculo"/>
            <w:rFonts w:cs="Arial"/>
            <w:bCs w:val="0"/>
            <w:noProof/>
          </w:rPr>
          <w:t>Taula 6. Convenis vigents a 31 de desembre de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_Toc99110851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124</w:t>
        </w:r>
        <w:r w:rsidR="003D3409" w:rsidRPr="003D3409">
          <w:rPr>
            <w:bCs w:val="0"/>
            <w:noProof/>
            <w:webHidden/>
          </w:rPr>
          <w:fldChar w:fldCharType="end"/>
        </w:r>
      </w:hyperlink>
    </w:p>
    <w:p w14:paraId="2BE06B52" w14:textId="710E675C"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2" w:history="1">
        <w:r w:rsidR="003D3409" w:rsidRPr="003D3409">
          <w:rPr>
            <w:rStyle w:val="Hipervnculo"/>
            <w:rFonts w:cs="Arial"/>
            <w:bCs w:val="0"/>
            <w:noProof/>
          </w:rPr>
          <w:t>Taula 7. Procediments judicials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_Toc99110852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129</w:t>
        </w:r>
        <w:r w:rsidR="003D3409" w:rsidRPr="003D3409">
          <w:rPr>
            <w:bCs w:val="0"/>
            <w:noProof/>
            <w:webHidden/>
          </w:rPr>
          <w:fldChar w:fldCharType="end"/>
        </w:r>
      </w:hyperlink>
    </w:p>
    <w:p w14:paraId="5B81E46E" w14:textId="5B2C8CB9"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3" w:history="1">
        <w:r w:rsidR="003D3409" w:rsidRPr="003D3409">
          <w:rPr>
            <w:rStyle w:val="Hipervnculo"/>
            <w:rFonts w:cs="Arial"/>
            <w:bCs w:val="0"/>
            <w:noProof/>
          </w:rPr>
          <w:t>Taula 8. Sol·licituds d'informació pel canal parlamentari de l'article 12 del RCV</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_Toc99110853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130</w:t>
        </w:r>
        <w:r w:rsidR="003D3409" w:rsidRPr="003D3409">
          <w:rPr>
            <w:bCs w:val="0"/>
            <w:noProof/>
            <w:webHidden/>
          </w:rPr>
          <w:fldChar w:fldCharType="end"/>
        </w:r>
      </w:hyperlink>
    </w:p>
    <w:p w14:paraId="21254048" w14:textId="541C194A"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4" w:history="1">
        <w:r w:rsidR="003D3409" w:rsidRPr="003D3409">
          <w:rPr>
            <w:rStyle w:val="Hipervnculo"/>
            <w:rFonts w:cs="Arial"/>
            <w:bCs w:val="0"/>
            <w:noProof/>
          </w:rPr>
          <w:t>Taula 9. Denúncies presentades per àmbit subjectiu</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_Toc99110854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136</w:t>
        </w:r>
        <w:r w:rsidR="003D3409" w:rsidRPr="003D3409">
          <w:rPr>
            <w:bCs w:val="0"/>
            <w:noProof/>
            <w:webHidden/>
          </w:rPr>
          <w:fldChar w:fldCharType="end"/>
        </w:r>
      </w:hyperlink>
    </w:p>
    <w:p w14:paraId="2D1FC859" w14:textId="285F6F3C"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5" w:history="1">
        <w:r w:rsidR="003D3409" w:rsidRPr="003D3409">
          <w:rPr>
            <w:rStyle w:val="Hipervnculo"/>
            <w:rFonts w:cs="Arial"/>
            <w:bCs w:val="0"/>
            <w:noProof/>
          </w:rPr>
          <w:t>Taula 10. Denúncies presentades segons el canal de comunicació</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_Toc99110855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139</w:t>
        </w:r>
        <w:r w:rsidR="003D3409" w:rsidRPr="003D3409">
          <w:rPr>
            <w:bCs w:val="0"/>
            <w:noProof/>
            <w:webHidden/>
          </w:rPr>
          <w:fldChar w:fldCharType="end"/>
        </w:r>
      </w:hyperlink>
    </w:p>
    <w:p w14:paraId="3755CF08" w14:textId="67FE81DE"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6" w:history="1">
        <w:r w:rsidR="003D3409" w:rsidRPr="003D3409">
          <w:rPr>
            <w:rStyle w:val="Hipervnculo"/>
            <w:rFonts w:cs="Arial"/>
            <w:bCs w:val="0"/>
            <w:noProof/>
          </w:rPr>
          <w:t>Taula 11. Denúncies presentades segons el territori d'afectació</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_Toc99110856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140</w:t>
        </w:r>
        <w:r w:rsidR="003D3409" w:rsidRPr="003D3409">
          <w:rPr>
            <w:bCs w:val="0"/>
            <w:noProof/>
            <w:webHidden/>
          </w:rPr>
          <w:fldChar w:fldCharType="end"/>
        </w:r>
      </w:hyperlink>
    </w:p>
    <w:p w14:paraId="71F4316E" w14:textId="6B5B2112"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7" w:history="1">
        <w:r w:rsidR="003D3409" w:rsidRPr="003D3409">
          <w:rPr>
            <w:rStyle w:val="Hipervnculo"/>
            <w:rFonts w:cs="Arial"/>
            <w:bCs w:val="0"/>
            <w:noProof/>
          </w:rPr>
          <w:t>Taula 12. Denúncies presentades segons l’àmbit material</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_Toc99110857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141</w:t>
        </w:r>
        <w:r w:rsidR="003D3409" w:rsidRPr="003D3409">
          <w:rPr>
            <w:bCs w:val="0"/>
            <w:noProof/>
            <w:webHidden/>
          </w:rPr>
          <w:fldChar w:fldCharType="end"/>
        </w:r>
      </w:hyperlink>
    </w:p>
    <w:p w14:paraId="40194CC3" w14:textId="54D592FF"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8" w:history="1">
        <w:r w:rsidR="003D3409" w:rsidRPr="003D3409">
          <w:rPr>
            <w:rStyle w:val="Hipervnculo"/>
            <w:rFonts w:cs="Arial"/>
            <w:bCs w:val="0"/>
            <w:noProof/>
          </w:rPr>
          <w:t>Taula 13. Denúncies presentades segons la tipologia, condició o naturalesa del comunicant</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_Toc99110858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144</w:t>
        </w:r>
        <w:r w:rsidR="003D3409" w:rsidRPr="003D3409">
          <w:rPr>
            <w:bCs w:val="0"/>
            <w:noProof/>
            <w:webHidden/>
          </w:rPr>
          <w:fldChar w:fldCharType="end"/>
        </w:r>
      </w:hyperlink>
    </w:p>
    <w:p w14:paraId="25A29BCD" w14:textId="28038055"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59" w:history="1">
        <w:r w:rsidR="003D3409" w:rsidRPr="003D3409">
          <w:rPr>
            <w:rStyle w:val="Hipervnculo"/>
            <w:rFonts w:cs="Arial"/>
            <w:bCs w:val="0"/>
            <w:noProof/>
          </w:rPr>
          <w:t>Taula 14. Denúncies de persones físiques classificades per gènere</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_Toc99110859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145</w:t>
        </w:r>
        <w:r w:rsidR="003D3409" w:rsidRPr="003D3409">
          <w:rPr>
            <w:bCs w:val="0"/>
            <w:noProof/>
            <w:webHidden/>
          </w:rPr>
          <w:fldChar w:fldCharType="end"/>
        </w:r>
      </w:hyperlink>
    </w:p>
    <w:p w14:paraId="6A3FBB78" w14:textId="33ABA59A"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0" w:history="1">
        <w:r w:rsidR="003D3409" w:rsidRPr="003D3409">
          <w:rPr>
            <w:rStyle w:val="Hipervnculo"/>
            <w:rFonts w:cs="Arial"/>
            <w:bCs w:val="0"/>
            <w:noProof/>
          </w:rPr>
          <w:t>Taula 15. Estat de Situació dels expedients d'anàlisis i investigació</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_Toc99110860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146</w:t>
        </w:r>
        <w:r w:rsidR="003D3409" w:rsidRPr="003D3409">
          <w:rPr>
            <w:bCs w:val="0"/>
            <w:noProof/>
            <w:webHidden/>
          </w:rPr>
          <w:fldChar w:fldCharType="end"/>
        </w:r>
      </w:hyperlink>
    </w:p>
    <w:p w14:paraId="2A07ED0C" w14:textId="0E665281"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1" w:history="1">
        <w:r w:rsidR="003D3409" w:rsidRPr="003D3409">
          <w:rPr>
            <w:rStyle w:val="Hipervnculo"/>
            <w:rFonts w:cs="Arial"/>
            <w:bCs w:val="0"/>
            <w:noProof/>
          </w:rPr>
          <w:t>Taula 16. Taula resum d'expedients tramitats en 2021 i comparativa amb l'any precedent</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_Toc99110861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147</w:t>
        </w:r>
        <w:r w:rsidR="003D3409" w:rsidRPr="003D3409">
          <w:rPr>
            <w:bCs w:val="0"/>
            <w:noProof/>
            <w:webHidden/>
          </w:rPr>
          <w:fldChar w:fldCharType="end"/>
        </w:r>
      </w:hyperlink>
    </w:p>
    <w:p w14:paraId="0D1DA1E8" w14:textId="1AB6FDA7"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2" w:history="1">
        <w:r w:rsidR="003D3409" w:rsidRPr="003D3409">
          <w:rPr>
            <w:rStyle w:val="Hipervnculo"/>
            <w:rFonts w:cs="Arial"/>
            <w:bCs w:val="0"/>
            <w:noProof/>
          </w:rPr>
          <w:t>Taula 17. Quadre resum investigacions finalitzades en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_Toc99110862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228</w:t>
        </w:r>
        <w:r w:rsidR="003D3409" w:rsidRPr="003D3409">
          <w:rPr>
            <w:bCs w:val="0"/>
            <w:noProof/>
            <w:webHidden/>
          </w:rPr>
          <w:fldChar w:fldCharType="end"/>
        </w:r>
      </w:hyperlink>
    </w:p>
    <w:p w14:paraId="44D8EBC4" w14:textId="19CA1DD0"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3" w:history="1">
        <w:r w:rsidR="003D3409" w:rsidRPr="003D3409">
          <w:rPr>
            <w:rStyle w:val="Hipervnculo"/>
            <w:rFonts w:cs="Arial"/>
            <w:bCs w:val="0"/>
            <w:noProof/>
          </w:rPr>
          <w:t>Taula 18. Quadre resum registres d'entrada AVAF</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_Toc99110863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239</w:t>
        </w:r>
        <w:r w:rsidR="003D3409" w:rsidRPr="003D3409">
          <w:rPr>
            <w:bCs w:val="0"/>
            <w:noProof/>
            <w:webHidden/>
          </w:rPr>
          <w:fldChar w:fldCharType="end"/>
        </w:r>
      </w:hyperlink>
    </w:p>
    <w:p w14:paraId="50D997AB" w14:textId="2C2321A8"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4" w:history="1">
        <w:r w:rsidR="003D3409" w:rsidRPr="003D3409">
          <w:rPr>
            <w:rStyle w:val="Hipervnculo"/>
            <w:rFonts w:cs="Arial"/>
            <w:bCs w:val="0"/>
            <w:noProof/>
          </w:rPr>
          <w:t>Taula 19. Quadre resum notificacions seu AVAF</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_Toc99110864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240</w:t>
        </w:r>
        <w:r w:rsidR="003D3409" w:rsidRPr="003D3409">
          <w:rPr>
            <w:bCs w:val="0"/>
            <w:noProof/>
            <w:webHidden/>
          </w:rPr>
          <w:fldChar w:fldCharType="end"/>
        </w:r>
      </w:hyperlink>
    </w:p>
    <w:p w14:paraId="469C5051" w14:textId="39CCFAED"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5" w:history="1">
        <w:r w:rsidR="003D3409" w:rsidRPr="003D3409">
          <w:rPr>
            <w:rStyle w:val="Hipervnculo"/>
            <w:rFonts w:cs="Arial"/>
            <w:bCs w:val="0"/>
            <w:noProof/>
          </w:rPr>
          <w:t>Taula 20. Línies estratègiques del Servei de Prevenció</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_Toc99110865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244</w:t>
        </w:r>
        <w:r w:rsidR="003D3409" w:rsidRPr="003D3409">
          <w:rPr>
            <w:bCs w:val="0"/>
            <w:noProof/>
            <w:webHidden/>
          </w:rPr>
          <w:fldChar w:fldCharType="end"/>
        </w:r>
      </w:hyperlink>
    </w:p>
    <w:p w14:paraId="75C1FB0E" w14:textId="1B8EA0AB"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6" w:history="1">
        <w:r w:rsidR="003D3409" w:rsidRPr="003D3409">
          <w:rPr>
            <w:rStyle w:val="Hipervnculo"/>
            <w:rFonts w:cs="Arial"/>
            <w:bCs w:val="0"/>
            <w:noProof/>
          </w:rPr>
          <w:t>Taula 21 . Activitats formatives cíviques, participants i hores lectives des de 2017</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_Toc99110866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264</w:t>
        </w:r>
        <w:r w:rsidR="003D3409" w:rsidRPr="003D3409">
          <w:rPr>
            <w:bCs w:val="0"/>
            <w:noProof/>
            <w:webHidden/>
          </w:rPr>
          <w:fldChar w:fldCharType="end"/>
        </w:r>
      </w:hyperlink>
    </w:p>
    <w:p w14:paraId="2DC93ACD" w14:textId="1045BBD8"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7" w:history="1">
        <w:r w:rsidR="003D3409" w:rsidRPr="003D3409">
          <w:rPr>
            <w:rStyle w:val="Hipervnculo"/>
            <w:rFonts w:cs="Arial"/>
            <w:bCs w:val="0"/>
            <w:noProof/>
          </w:rPr>
          <w:t>Taula 22. Participació en cursos dirigits a servidors públics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_Toc99110867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272</w:t>
        </w:r>
        <w:r w:rsidR="003D3409" w:rsidRPr="003D3409">
          <w:rPr>
            <w:bCs w:val="0"/>
            <w:noProof/>
            <w:webHidden/>
          </w:rPr>
          <w:fldChar w:fldCharType="end"/>
        </w:r>
      </w:hyperlink>
    </w:p>
    <w:p w14:paraId="1BE1A7E9" w14:textId="46750A71"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8" w:history="1">
        <w:r w:rsidR="003D3409" w:rsidRPr="003D3409">
          <w:rPr>
            <w:rStyle w:val="Hipervnculo"/>
            <w:rFonts w:cs="Arial"/>
            <w:bCs w:val="0"/>
            <w:noProof/>
          </w:rPr>
          <w:t>Taula 23. Participació en Jornades i altres activitats formatives singulars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_Toc99110868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273</w:t>
        </w:r>
        <w:r w:rsidR="003D3409" w:rsidRPr="003D3409">
          <w:rPr>
            <w:bCs w:val="0"/>
            <w:noProof/>
            <w:webHidden/>
          </w:rPr>
          <w:fldChar w:fldCharType="end"/>
        </w:r>
      </w:hyperlink>
    </w:p>
    <w:p w14:paraId="3AF35C87" w14:textId="66915255"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69" w:history="1">
        <w:r w:rsidR="003D3409" w:rsidRPr="003D3409">
          <w:rPr>
            <w:rStyle w:val="Hipervnculo"/>
            <w:rFonts w:cs="Arial"/>
            <w:bCs w:val="0"/>
            <w:noProof/>
          </w:rPr>
          <w:t>Taula 24. Resum de docufòrum en universitats valencianes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_Toc99110869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277</w:t>
        </w:r>
        <w:r w:rsidR="003D3409" w:rsidRPr="003D3409">
          <w:rPr>
            <w:bCs w:val="0"/>
            <w:noProof/>
            <w:webHidden/>
          </w:rPr>
          <w:fldChar w:fldCharType="end"/>
        </w:r>
      </w:hyperlink>
    </w:p>
    <w:p w14:paraId="25317A71" w14:textId="4ABD1512"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0" w:history="1">
        <w:r w:rsidR="003D3409" w:rsidRPr="003D3409">
          <w:rPr>
            <w:rStyle w:val="Hipervnculo"/>
            <w:rFonts w:cs="Arial"/>
            <w:bCs w:val="0"/>
            <w:noProof/>
          </w:rPr>
          <w:t>Taula 25. Participació en Masters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_Toc99110870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278</w:t>
        </w:r>
        <w:r w:rsidR="003D3409" w:rsidRPr="003D3409">
          <w:rPr>
            <w:bCs w:val="0"/>
            <w:noProof/>
            <w:webHidden/>
          </w:rPr>
          <w:fldChar w:fldCharType="end"/>
        </w:r>
      </w:hyperlink>
    </w:p>
    <w:p w14:paraId="7632FAE4" w14:textId="0BD5450F"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1" w:history="1">
        <w:r w:rsidR="003D3409" w:rsidRPr="003D3409">
          <w:rPr>
            <w:rStyle w:val="Hipervnculo"/>
            <w:rFonts w:cs="Arial"/>
            <w:bCs w:val="0"/>
            <w:noProof/>
          </w:rPr>
          <w:t>Taula 26. Conferències en col·laboració amb universitats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_Toc99110871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279</w:t>
        </w:r>
        <w:r w:rsidR="003D3409" w:rsidRPr="003D3409">
          <w:rPr>
            <w:bCs w:val="0"/>
            <w:noProof/>
            <w:webHidden/>
          </w:rPr>
          <w:fldChar w:fldCharType="end"/>
        </w:r>
      </w:hyperlink>
    </w:p>
    <w:p w14:paraId="1CD005B9" w14:textId="485222E4"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2" w:history="1">
        <w:r w:rsidR="003D3409" w:rsidRPr="003D3409">
          <w:rPr>
            <w:rStyle w:val="Hipervnculo"/>
            <w:rFonts w:cs="Arial"/>
            <w:bCs w:val="0"/>
            <w:noProof/>
          </w:rPr>
          <w:t>Taula 27. Conferències per a la ciutadania en el programa Unisocietat</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_Toc99110872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279</w:t>
        </w:r>
        <w:r w:rsidR="003D3409" w:rsidRPr="003D3409">
          <w:rPr>
            <w:bCs w:val="0"/>
            <w:noProof/>
            <w:webHidden/>
          </w:rPr>
          <w:fldChar w:fldCharType="end"/>
        </w:r>
      </w:hyperlink>
    </w:p>
    <w:p w14:paraId="73785EA6" w14:textId="3A4E7582"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3" w:history="1">
        <w:r w:rsidR="003D3409" w:rsidRPr="003D3409">
          <w:rPr>
            <w:rStyle w:val="Hipervnculo"/>
            <w:rFonts w:cs="Arial"/>
            <w:bCs w:val="0"/>
            <w:noProof/>
          </w:rPr>
          <w:t>Taula 28. Resum de Jornades específiques AVAF-UV</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_Toc99110873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281</w:t>
        </w:r>
        <w:r w:rsidR="003D3409" w:rsidRPr="003D3409">
          <w:rPr>
            <w:bCs w:val="0"/>
            <w:noProof/>
            <w:webHidden/>
          </w:rPr>
          <w:fldChar w:fldCharType="end"/>
        </w:r>
      </w:hyperlink>
    </w:p>
    <w:p w14:paraId="6BD3FB57" w14:textId="233EB3FE"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4" w:history="1">
        <w:r w:rsidR="003D3409" w:rsidRPr="003D3409">
          <w:rPr>
            <w:rStyle w:val="Hipervnculo"/>
            <w:rFonts w:cs="Arial"/>
            <w:bCs w:val="0"/>
            <w:noProof/>
          </w:rPr>
          <w:t>Taula 29. Activitats formatives 2017-2021 per entitats col·laboradors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_Toc99110874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282</w:t>
        </w:r>
        <w:r w:rsidR="003D3409" w:rsidRPr="003D3409">
          <w:rPr>
            <w:bCs w:val="0"/>
            <w:noProof/>
            <w:webHidden/>
          </w:rPr>
          <w:fldChar w:fldCharType="end"/>
        </w:r>
      </w:hyperlink>
    </w:p>
    <w:p w14:paraId="3E5E2E51" w14:textId="0B90FED3"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5" w:history="1">
        <w:r w:rsidR="003D3409" w:rsidRPr="003D3409">
          <w:rPr>
            <w:rStyle w:val="Hipervnculo"/>
            <w:rFonts w:cs="Arial"/>
            <w:bCs w:val="0"/>
            <w:noProof/>
          </w:rPr>
          <w:t>Taula 30. Pressupost de despeses exercici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_Toc99110875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305</w:t>
        </w:r>
        <w:r w:rsidR="003D3409" w:rsidRPr="003D3409">
          <w:rPr>
            <w:bCs w:val="0"/>
            <w:noProof/>
            <w:webHidden/>
          </w:rPr>
          <w:fldChar w:fldCharType="end"/>
        </w:r>
      </w:hyperlink>
    </w:p>
    <w:p w14:paraId="3E23C10D" w14:textId="33BE3F5C"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6" w:history="1">
        <w:r w:rsidR="003D3409" w:rsidRPr="003D3409">
          <w:rPr>
            <w:rStyle w:val="Hipervnculo"/>
            <w:rFonts w:cs="Arial"/>
            <w:bCs w:val="0"/>
            <w:noProof/>
          </w:rPr>
          <w:t>Taula 31. Pressupost d'ingressos exercici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_Toc99110876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305</w:t>
        </w:r>
        <w:r w:rsidR="003D3409" w:rsidRPr="003D3409">
          <w:rPr>
            <w:bCs w:val="0"/>
            <w:noProof/>
            <w:webHidden/>
          </w:rPr>
          <w:fldChar w:fldCharType="end"/>
        </w:r>
      </w:hyperlink>
    </w:p>
    <w:p w14:paraId="7CB1F193" w14:textId="6BB1F4E5"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7" w:history="1">
        <w:r w:rsidR="003D3409" w:rsidRPr="003D3409">
          <w:rPr>
            <w:rStyle w:val="Hipervnculo"/>
            <w:rFonts w:cs="Arial"/>
            <w:bCs w:val="0"/>
            <w:noProof/>
          </w:rPr>
          <w:t>Taula 32. Transferències a l'AVAF previstes en la llei 4/2020, de 30 de desembre, de Pressupostos de la Generalitat per a l'exercici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_Toc99110877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305</w:t>
        </w:r>
        <w:r w:rsidR="003D3409" w:rsidRPr="003D3409">
          <w:rPr>
            <w:bCs w:val="0"/>
            <w:noProof/>
            <w:webHidden/>
          </w:rPr>
          <w:fldChar w:fldCharType="end"/>
        </w:r>
      </w:hyperlink>
    </w:p>
    <w:p w14:paraId="518D9D25" w14:textId="35451205"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8" w:history="1">
        <w:r w:rsidR="003D3409" w:rsidRPr="003D3409">
          <w:rPr>
            <w:rStyle w:val="Hipervnculo"/>
            <w:rFonts w:cs="Arial"/>
            <w:bCs w:val="0"/>
            <w:noProof/>
          </w:rPr>
          <w:t>Taula 33. Romanents acumulats a 31 de desembre de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_Toc99110878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306</w:t>
        </w:r>
        <w:r w:rsidR="003D3409" w:rsidRPr="003D3409">
          <w:rPr>
            <w:bCs w:val="0"/>
            <w:noProof/>
            <w:webHidden/>
          </w:rPr>
          <w:fldChar w:fldCharType="end"/>
        </w:r>
      </w:hyperlink>
    </w:p>
    <w:p w14:paraId="40D28150" w14:textId="0D1633DD"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79" w:history="1">
        <w:r w:rsidR="003D3409" w:rsidRPr="003D3409">
          <w:rPr>
            <w:rStyle w:val="Hipervnculo"/>
            <w:rFonts w:cs="Arial"/>
            <w:bCs w:val="0"/>
            <w:noProof/>
          </w:rPr>
          <w:t>Taula 34. Modificació pressupostària aprovada el 2021 per a devolució a la Conselleria d'Hisenda dels romanents acumulats</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_Toc99110879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306</w:t>
        </w:r>
        <w:r w:rsidR="003D3409" w:rsidRPr="003D3409">
          <w:rPr>
            <w:bCs w:val="0"/>
            <w:noProof/>
            <w:webHidden/>
          </w:rPr>
          <w:fldChar w:fldCharType="end"/>
        </w:r>
      </w:hyperlink>
    </w:p>
    <w:p w14:paraId="66B7B0FA" w14:textId="3F462AB9"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0" w:history="1">
        <w:r w:rsidR="003D3409" w:rsidRPr="003D3409">
          <w:rPr>
            <w:rStyle w:val="Hipervnculo"/>
            <w:rFonts w:cs="Arial"/>
            <w:bCs w:val="0"/>
            <w:noProof/>
          </w:rPr>
          <w:t>Taula 35. Execució del pressupost d'ingressos de l'exercici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_Toc99110880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307</w:t>
        </w:r>
        <w:r w:rsidR="003D3409" w:rsidRPr="003D3409">
          <w:rPr>
            <w:bCs w:val="0"/>
            <w:noProof/>
            <w:webHidden/>
          </w:rPr>
          <w:fldChar w:fldCharType="end"/>
        </w:r>
      </w:hyperlink>
    </w:p>
    <w:p w14:paraId="300D5BA3" w14:textId="7A74F835"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1" w:history="1">
        <w:r w:rsidR="003D3409" w:rsidRPr="003D3409">
          <w:rPr>
            <w:rStyle w:val="Hipervnculo"/>
            <w:rFonts w:cs="Arial"/>
            <w:bCs w:val="0"/>
            <w:noProof/>
          </w:rPr>
          <w:t>Taula 36. Comparativa de l'estat d'execució d'ingressos a 31 de desembre dels exercicis 2020 i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_Toc99110881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308</w:t>
        </w:r>
        <w:r w:rsidR="003D3409" w:rsidRPr="003D3409">
          <w:rPr>
            <w:bCs w:val="0"/>
            <w:noProof/>
            <w:webHidden/>
          </w:rPr>
          <w:fldChar w:fldCharType="end"/>
        </w:r>
      </w:hyperlink>
    </w:p>
    <w:p w14:paraId="0B813683" w14:textId="0E676AA0"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2" w:history="1">
        <w:r w:rsidR="003D3409" w:rsidRPr="003D3409">
          <w:rPr>
            <w:rStyle w:val="Hipervnculo"/>
            <w:rFonts w:cs="Arial"/>
            <w:bCs w:val="0"/>
            <w:noProof/>
          </w:rPr>
          <w:t>Taula 37. Execució del pressupost de despeses de l'exercici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_Toc99110882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309</w:t>
        </w:r>
        <w:r w:rsidR="003D3409" w:rsidRPr="003D3409">
          <w:rPr>
            <w:bCs w:val="0"/>
            <w:noProof/>
            <w:webHidden/>
          </w:rPr>
          <w:fldChar w:fldCharType="end"/>
        </w:r>
      </w:hyperlink>
    </w:p>
    <w:p w14:paraId="7714FF33" w14:textId="59B500C5"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3" w:history="1">
        <w:r w:rsidR="003D3409" w:rsidRPr="003D3409">
          <w:rPr>
            <w:rStyle w:val="Hipervnculo"/>
            <w:rFonts w:cs="Arial"/>
            <w:bCs w:val="0"/>
            <w:noProof/>
          </w:rPr>
          <w:t>Taula 38. Comparativa de l'estat d'execució de despeses a 31 de desembre dels exercicis 2020 i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_Toc99110883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310</w:t>
        </w:r>
        <w:r w:rsidR="003D3409" w:rsidRPr="003D3409">
          <w:rPr>
            <w:bCs w:val="0"/>
            <w:noProof/>
            <w:webHidden/>
          </w:rPr>
          <w:fldChar w:fldCharType="end"/>
        </w:r>
      </w:hyperlink>
    </w:p>
    <w:p w14:paraId="7B8F4FE5" w14:textId="09BE2406"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4" w:history="1">
        <w:r w:rsidR="003D3409" w:rsidRPr="003D3409">
          <w:rPr>
            <w:rStyle w:val="Hipervnculo"/>
            <w:rFonts w:cs="Arial"/>
            <w:bCs w:val="0"/>
            <w:noProof/>
          </w:rPr>
          <w:t>Taula 39. Resultat pressupostari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_Toc99110884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311</w:t>
        </w:r>
        <w:r w:rsidR="003D3409" w:rsidRPr="003D3409">
          <w:rPr>
            <w:bCs w:val="0"/>
            <w:noProof/>
            <w:webHidden/>
          </w:rPr>
          <w:fldChar w:fldCharType="end"/>
        </w:r>
      </w:hyperlink>
    </w:p>
    <w:p w14:paraId="43F8F482" w14:textId="05755F57"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5" w:history="1">
        <w:r w:rsidR="003D3409" w:rsidRPr="003D3409">
          <w:rPr>
            <w:rStyle w:val="Hipervnculo"/>
            <w:rFonts w:cs="Arial"/>
            <w:bCs w:val="0"/>
            <w:noProof/>
          </w:rPr>
          <w:t>Taula 40. Situació i evolució dels fons del compte corrent</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_Toc99110885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311</w:t>
        </w:r>
        <w:r w:rsidR="003D3409" w:rsidRPr="003D3409">
          <w:rPr>
            <w:bCs w:val="0"/>
            <w:noProof/>
            <w:webHidden/>
          </w:rPr>
          <w:fldChar w:fldCharType="end"/>
        </w:r>
      </w:hyperlink>
    </w:p>
    <w:p w14:paraId="40C903DB" w14:textId="67C24957"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6" w:history="1">
        <w:r w:rsidR="003D3409" w:rsidRPr="003D3409">
          <w:rPr>
            <w:rStyle w:val="Hipervnculo"/>
            <w:rFonts w:cs="Arial"/>
            <w:bCs w:val="0"/>
            <w:noProof/>
          </w:rPr>
          <w:t>Taula 41. Estat del romanent de tresoreria</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_Toc99110886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312</w:t>
        </w:r>
        <w:r w:rsidR="003D3409" w:rsidRPr="003D3409">
          <w:rPr>
            <w:bCs w:val="0"/>
            <w:noProof/>
            <w:webHidden/>
          </w:rPr>
          <w:fldChar w:fldCharType="end"/>
        </w:r>
      </w:hyperlink>
    </w:p>
    <w:p w14:paraId="7AA5C039" w14:textId="7316C743"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7" w:history="1">
        <w:r w:rsidR="003D3409" w:rsidRPr="003D3409">
          <w:rPr>
            <w:rStyle w:val="Hipervnculo"/>
            <w:rFonts w:cs="Arial"/>
            <w:bCs w:val="0"/>
            <w:noProof/>
          </w:rPr>
          <w:t>Taula 42. Període mitjà de pagament 2021</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_Toc99110887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313</w:t>
        </w:r>
        <w:r w:rsidR="003D3409" w:rsidRPr="003D3409">
          <w:rPr>
            <w:bCs w:val="0"/>
            <w:noProof/>
            <w:webHidden/>
          </w:rPr>
          <w:fldChar w:fldCharType="end"/>
        </w:r>
      </w:hyperlink>
    </w:p>
    <w:p w14:paraId="43CC387A" w14:textId="442BB7E1"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8" w:history="1">
        <w:r w:rsidR="003D3409" w:rsidRPr="003D3409">
          <w:rPr>
            <w:rStyle w:val="Hipervnculo"/>
            <w:rFonts w:cs="Arial"/>
            <w:bCs w:val="0"/>
            <w:noProof/>
          </w:rPr>
          <w:t>Taula 43. Resum de l'activitat contractual per tipus de contracte</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_Toc99110888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314</w:t>
        </w:r>
        <w:r w:rsidR="003D3409" w:rsidRPr="003D3409">
          <w:rPr>
            <w:bCs w:val="0"/>
            <w:noProof/>
            <w:webHidden/>
          </w:rPr>
          <w:fldChar w:fldCharType="end"/>
        </w:r>
      </w:hyperlink>
    </w:p>
    <w:p w14:paraId="0C9F7E35" w14:textId="5B831350" w:rsidR="003D3409" w:rsidRPr="003D3409"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889" w:history="1">
        <w:r w:rsidR="003D3409" w:rsidRPr="003D3409">
          <w:rPr>
            <w:rStyle w:val="Hipervnculo"/>
            <w:rFonts w:cs="Arial"/>
            <w:bCs w:val="0"/>
            <w:noProof/>
          </w:rPr>
          <w:t>Taula 44. Resum de l'activitat contractual per procediment d'adjudicació</w:t>
        </w:r>
        <w:r w:rsidR="003D3409" w:rsidRPr="003D3409">
          <w:rPr>
            <w:bCs w:val="0"/>
            <w:noProof/>
            <w:webHidden/>
          </w:rPr>
          <w:tab/>
        </w:r>
        <w:r w:rsidR="003D3409" w:rsidRPr="003D3409">
          <w:rPr>
            <w:bCs w:val="0"/>
            <w:noProof/>
            <w:webHidden/>
          </w:rPr>
          <w:fldChar w:fldCharType="begin" w:fldLock="1"/>
        </w:r>
        <w:r w:rsidR="003D3409" w:rsidRPr="003D3409">
          <w:rPr>
            <w:bCs w:val="0"/>
            <w:noProof/>
            <w:webHidden/>
          </w:rPr>
          <w:instrText xml:space="preserve"> PAGEREF _Toc99110889 \h </w:instrText>
        </w:r>
        <w:r w:rsidR="003D3409" w:rsidRPr="003D3409">
          <w:rPr>
            <w:bCs w:val="0"/>
            <w:noProof/>
            <w:webHidden/>
          </w:rPr>
        </w:r>
        <w:r w:rsidR="003D3409" w:rsidRPr="003D3409">
          <w:rPr>
            <w:bCs w:val="0"/>
            <w:noProof/>
            <w:webHidden/>
          </w:rPr>
          <w:fldChar w:fldCharType="separate"/>
        </w:r>
        <w:r w:rsidR="003D3409" w:rsidRPr="003D3409">
          <w:rPr>
            <w:bCs w:val="0"/>
            <w:noProof/>
            <w:webHidden/>
          </w:rPr>
          <w:t>314</w:t>
        </w:r>
        <w:r w:rsidR="003D3409" w:rsidRPr="003D3409">
          <w:rPr>
            <w:bCs w:val="0"/>
            <w:noProof/>
            <w:webHidden/>
          </w:rPr>
          <w:fldChar w:fldCharType="end"/>
        </w:r>
      </w:hyperlink>
    </w:p>
    <w:p w14:paraId="7963A27E" w14:textId="5DB98195" w:rsidR="004927C3" w:rsidRDefault="0056090D" w:rsidP="006F2B42">
      <w:pPr>
        <w:rPr>
          <w:rFonts w:ascii="Arial" w:hAnsi="Arial" w:cs="Arial"/>
          <w:b/>
          <w:color w:val="9D2235" w:themeColor="accent1"/>
          <w:sz w:val="60"/>
          <w:szCs w:val="60"/>
        </w:rPr>
      </w:pPr>
      <w:r w:rsidRPr="003D3409">
        <w:rPr>
          <w:rFonts w:ascii="Arial" w:hAnsi="Arial" w:cs="Arial"/>
          <w:color w:val="FF0000"/>
          <w:sz w:val="20"/>
          <w:szCs w:val="20"/>
        </w:rPr>
        <w:lastRenderedPageBreak/>
        <w:fldChar w:fldCharType="end"/>
      </w:r>
      <w:r w:rsidR="004927C3" w:rsidRPr="00DA3DC3">
        <w:rPr>
          <w:rFonts w:ascii="Arial" w:hAnsi="Arial" w:cs="Arial"/>
          <w:b/>
          <w:color w:val="9D2235" w:themeColor="accent1"/>
          <w:sz w:val="60"/>
          <w:szCs w:val="60"/>
        </w:rPr>
        <w:t>Índ</w:t>
      </w:r>
      <w:r w:rsidR="006A3245" w:rsidRPr="00DA3DC3">
        <w:rPr>
          <w:rFonts w:ascii="Arial" w:hAnsi="Arial" w:cs="Arial"/>
          <w:b/>
          <w:color w:val="9D2235" w:themeColor="accent1"/>
          <w:sz w:val="60"/>
          <w:szCs w:val="60"/>
        </w:rPr>
        <w:t>ex</w:t>
      </w:r>
      <w:r w:rsidR="004927C3" w:rsidRPr="00DA3DC3">
        <w:rPr>
          <w:rFonts w:ascii="Arial" w:hAnsi="Arial" w:cs="Arial"/>
          <w:b/>
          <w:color w:val="9D2235" w:themeColor="accent1"/>
          <w:sz w:val="60"/>
          <w:szCs w:val="60"/>
        </w:rPr>
        <w:t xml:space="preserve"> d</w:t>
      </w:r>
      <w:r w:rsidR="006A3245" w:rsidRPr="00DA3DC3">
        <w:rPr>
          <w:rFonts w:ascii="Arial" w:hAnsi="Arial" w:cs="Arial"/>
          <w:b/>
          <w:color w:val="9D2235" w:themeColor="accent1"/>
          <w:sz w:val="60"/>
          <w:szCs w:val="60"/>
        </w:rPr>
        <w:t>’</w:t>
      </w:r>
      <w:r w:rsidR="004927C3" w:rsidRPr="00DA3DC3">
        <w:rPr>
          <w:rFonts w:ascii="Arial" w:hAnsi="Arial" w:cs="Arial"/>
          <w:b/>
          <w:color w:val="9D2235" w:themeColor="accent1"/>
          <w:sz w:val="60"/>
          <w:szCs w:val="60"/>
        </w:rPr>
        <w:t>im</w:t>
      </w:r>
      <w:r w:rsidR="006A3245" w:rsidRPr="00DA3DC3">
        <w:rPr>
          <w:rFonts w:ascii="Arial" w:hAnsi="Arial" w:cs="Arial"/>
          <w:b/>
          <w:color w:val="9D2235" w:themeColor="accent1"/>
          <w:sz w:val="60"/>
          <w:szCs w:val="60"/>
        </w:rPr>
        <w:t>at</w:t>
      </w:r>
      <w:r w:rsidR="004927C3" w:rsidRPr="00DA3DC3">
        <w:rPr>
          <w:rFonts w:ascii="Arial" w:hAnsi="Arial" w:cs="Arial"/>
          <w:b/>
          <w:color w:val="9D2235" w:themeColor="accent1"/>
          <w:sz w:val="60"/>
          <w:szCs w:val="60"/>
        </w:rPr>
        <w:t>ges</w:t>
      </w:r>
    </w:p>
    <w:p w14:paraId="11D25378" w14:textId="6BA6FCE2" w:rsidR="003D3409" w:rsidRPr="003D3409" w:rsidRDefault="00921F4D">
      <w:pPr>
        <w:pStyle w:val="Tabladeilustraciones"/>
        <w:tabs>
          <w:tab w:val="right" w:leader="dot" w:pos="8212"/>
        </w:tabs>
        <w:rPr>
          <w:rFonts w:asciiTheme="minorHAnsi" w:eastAsiaTheme="minorEastAsia" w:hAnsiTheme="minorHAnsi" w:cstheme="minorBidi"/>
          <w:noProof/>
          <w:sz w:val="22"/>
          <w:szCs w:val="22"/>
          <w:lang w:val="es-ES" w:eastAsia="es-ES"/>
        </w:rPr>
      </w:pPr>
      <w:r>
        <w:rPr>
          <w:rFonts w:cs="Arial"/>
          <w:b/>
          <w:color w:val="9D2235" w:themeColor="accent1"/>
        </w:rPr>
        <w:fldChar w:fldCharType="begin" w:fldLock="1"/>
      </w:r>
      <w:r>
        <w:rPr>
          <w:rFonts w:cs="Arial"/>
          <w:b/>
          <w:color w:val="9D2235" w:themeColor="accent1"/>
        </w:rPr>
        <w:instrText xml:space="preserve"> TOC \h \z \c "Imatge" </w:instrText>
      </w:r>
      <w:r>
        <w:rPr>
          <w:rFonts w:cs="Arial"/>
          <w:b/>
          <w:color w:val="9D2235" w:themeColor="accent1"/>
        </w:rPr>
        <w:fldChar w:fldCharType="separate"/>
      </w:r>
      <w:hyperlink w:anchor="_Toc99110890" w:history="1">
        <w:r w:rsidR="003D3409" w:rsidRPr="003D3409">
          <w:rPr>
            <w:rStyle w:val="Hipervnculo"/>
            <w:rFonts w:cs="Arial"/>
            <w:noProof/>
          </w:rPr>
          <w:t>Imatge 1. IV Reunió del Consell de Participació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_Toc99110890 \h </w:instrText>
        </w:r>
        <w:r w:rsidR="003D3409" w:rsidRPr="003D3409">
          <w:rPr>
            <w:noProof/>
            <w:webHidden/>
          </w:rPr>
        </w:r>
        <w:r w:rsidR="003D3409" w:rsidRPr="003D3409">
          <w:rPr>
            <w:noProof/>
            <w:webHidden/>
          </w:rPr>
          <w:fldChar w:fldCharType="separate"/>
        </w:r>
        <w:r w:rsidR="003D3409" w:rsidRPr="003D3409">
          <w:rPr>
            <w:noProof/>
            <w:webHidden/>
          </w:rPr>
          <w:t>26</w:t>
        </w:r>
        <w:r w:rsidR="003D3409" w:rsidRPr="003D3409">
          <w:rPr>
            <w:noProof/>
            <w:webHidden/>
          </w:rPr>
          <w:fldChar w:fldCharType="end"/>
        </w:r>
      </w:hyperlink>
    </w:p>
    <w:p w14:paraId="4CD8E967" w14:textId="656808B2"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891" w:history="1">
        <w:r w:rsidR="003D3409" w:rsidRPr="003D3409">
          <w:rPr>
            <w:rStyle w:val="Hipervnculo"/>
            <w:rFonts w:cs="Arial"/>
            <w:noProof/>
          </w:rPr>
          <w:t>Imatge 2. VII Trobada de la Xarxa Estatal d'Oficines i Agències Antifrau</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_Toc99110891 \h </w:instrText>
        </w:r>
        <w:r w:rsidR="003D3409" w:rsidRPr="003D3409">
          <w:rPr>
            <w:noProof/>
            <w:webHidden/>
          </w:rPr>
        </w:r>
        <w:r w:rsidR="003D3409" w:rsidRPr="003D3409">
          <w:rPr>
            <w:noProof/>
            <w:webHidden/>
          </w:rPr>
          <w:fldChar w:fldCharType="separate"/>
        </w:r>
        <w:r w:rsidR="003D3409" w:rsidRPr="003D3409">
          <w:rPr>
            <w:noProof/>
            <w:webHidden/>
          </w:rPr>
          <w:t>28</w:t>
        </w:r>
        <w:r w:rsidR="003D3409" w:rsidRPr="003D3409">
          <w:rPr>
            <w:noProof/>
            <w:webHidden/>
          </w:rPr>
          <w:fldChar w:fldCharType="end"/>
        </w:r>
      </w:hyperlink>
    </w:p>
    <w:p w14:paraId="387EE0D8" w14:textId="44BF8231"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892" w:history="1">
        <w:r w:rsidR="003D3409" w:rsidRPr="003D3409">
          <w:rPr>
            <w:rStyle w:val="Hipervnculo"/>
            <w:rFonts w:cs="Arial"/>
            <w:noProof/>
          </w:rPr>
          <w:t>Imatge 3. Infografia estat de la transposició mama Europa de Transparència Internacional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_Toc99110892 \h </w:instrText>
        </w:r>
        <w:r w:rsidR="003D3409" w:rsidRPr="003D3409">
          <w:rPr>
            <w:noProof/>
            <w:webHidden/>
          </w:rPr>
        </w:r>
        <w:r w:rsidR="003D3409" w:rsidRPr="003D3409">
          <w:rPr>
            <w:noProof/>
            <w:webHidden/>
          </w:rPr>
          <w:fldChar w:fldCharType="separate"/>
        </w:r>
        <w:r w:rsidR="003D3409" w:rsidRPr="003D3409">
          <w:rPr>
            <w:noProof/>
            <w:webHidden/>
          </w:rPr>
          <w:t>64</w:t>
        </w:r>
        <w:r w:rsidR="003D3409" w:rsidRPr="003D3409">
          <w:rPr>
            <w:noProof/>
            <w:webHidden/>
          </w:rPr>
          <w:fldChar w:fldCharType="end"/>
        </w:r>
      </w:hyperlink>
    </w:p>
    <w:p w14:paraId="7684A2CB" w14:textId="352C128D"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893" w:history="1">
        <w:r w:rsidR="003D3409" w:rsidRPr="003D3409">
          <w:rPr>
            <w:rStyle w:val="Hipervnculo"/>
            <w:rFonts w:cs="Arial"/>
            <w:noProof/>
          </w:rPr>
          <w:t>Imatge 4. Infografia calendari transposició de la Directiva (UE) 2019/1937 segons l'IV Pla de Govern Obert d’Espanya (2020 - 2024</w:t>
        </w:r>
        <w:r w:rsidR="003D3409" w:rsidRPr="003D3409">
          <w:rPr>
            <w:rStyle w:val="Hipervnculo"/>
            <w:noProof/>
          </w:rPr>
          <w: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_Toc99110893 \h </w:instrText>
        </w:r>
        <w:r w:rsidR="003D3409" w:rsidRPr="003D3409">
          <w:rPr>
            <w:noProof/>
            <w:webHidden/>
          </w:rPr>
        </w:r>
        <w:r w:rsidR="003D3409" w:rsidRPr="003D3409">
          <w:rPr>
            <w:noProof/>
            <w:webHidden/>
          </w:rPr>
          <w:fldChar w:fldCharType="separate"/>
        </w:r>
        <w:r w:rsidR="003D3409" w:rsidRPr="003D3409">
          <w:rPr>
            <w:noProof/>
            <w:webHidden/>
          </w:rPr>
          <w:t>67</w:t>
        </w:r>
        <w:r w:rsidR="003D3409" w:rsidRPr="003D3409">
          <w:rPr>
            <w:noProof/>
            <w:webHidden/>
          </w:rPr>
          <w:fldChar w:fldCharType="end"/>
        </w:r>
      </w:hyperlink>
    </w:p>
    <w:p w14:paraId="59664E44" w14:textId="023E3497"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894" w:history="1">
        <w:r w:rsidR="003D3409" w:rsidRPr="003D3409">
          <w:rPr>
            <w:rStyle w:val="Hipervnculo"/>
            <w:rFonts w:cs="Arial"/>
            <w:noProof/>
          </w:rPr>
          <w:t>Imatge 5. Infografia iniciatives legislatives en el Congrés dels Diputats (2019 - 2023</w:t>
        </w:r>
        <w:r w:rsidR="003D3409" w:rsidRPr="003D3409">
          <w:rPr>
            <w:rStyle w:val="Hipervnculo"/>
            <w:noProof/>
          </w:rPr>
          <w: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_Toc99110894 \h </w:instrText>
        </w:r>
        <w:r w:rsidR="003D3409" w:rsidRPr="003D3409">
          <w:rPr>
            <w:noProof/>
            <w:webHidden/>
          </w:rPr>
        </w:r>
        <w:r w:rsidR="003D3409" w:rsidRPr="003D3409">
          <w:rPr>
            <w:noProof/>
            <w:webHidden/>
          </w:rPr>
          <w:fldChar w:fldCharType="separate"/>
        </w:r>
        <w:r w:rsidR="003D3409" w:rsidRPr="003D3409">
          <w:rPr>
            <w:noProof/>
            <w:webHidden/>
          </w:rPr>
          <w:t>69</w:t>
        </w:r>
        <w:r w:rsidR="003D3409" w:rsidRPr="003D3409">
          <w:rPr>
            <w:noProof/>
            <w:webHidden/>
          </w:rPr>
          <w:fldChar w:fldCharType="end"/>
        </w:r>
      </w:hyperlink>
    </w:p>
    <w:p w14:paraId="44D55EBE" w14:textId="5E6F9CEB"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895" w:history="1">
        <w:r w:rsidR="003D3409" w:rsidRPr="003D3409">
          <w:rPr>
            <w:rStyle w:val="Hipervnculo"/>
            <w:rFonts w:cs="Arial"/>
            <w:noProof/>
          </w:rPr>
          <w:t>Imatge 6. Infografia mapa d'Europa amb els països que integren NEIWA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_Toc99110895 \h </w:instrText>
        </w:r>
        <w:r w:rsidR="003D3409" w:rsidRPr="003D3409">
          <w:rPr>
            <w:noProof/>
            <w:webHidden/>
          </w:rPr>
        </w:r>
        <w:r w:rsidR="003D3409" w:rsidRPr="003D3409">
          <w:rPr>
            <w:noProof/>
            <w:webHidden/>
          </w:rPr>
          <w:fldChar w:fldCharType="separate"/>
        </w:r>
        <w:r w:rsidR="003D3409" w:rsidRPr="003D3409">
          <w:rPr>
            <w:noProof/>
            <w:webHidden/>
          </w:rPr>
          <w:t>73</w:t>
        </w:r>
        <w:r w:rsidR="003D3409" w:rsidRPr="003D3409">
          <w:rPr>
            <w:noProof/>
            <w:webHidden/>
          </w:rPr>
          <w:fldChar w:fldCharType="end"/>
        </w:r>
      </w:hyperlink>
    </w:p>
    <w:p w14:paraId="48A08946" w14:textId="141B04CD"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896" w:history="1">
        <w:r w:rsidR="003D3409" w:rsidRPr="003D3409">
          <w:rPr>
            <w:rStyle w:val="Hipervnculo"/>
            <w:rFonts w:cs="Arial"/>
            <w:noProof/>
          </w:rPr>
          <w:t>Imatge 7. Infografia mapa d'Espanya composició REDOAF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_Toc99110896 \h </w:instrText>
        </w:r>
        <w:r w:rsidR="003D3409" w:rsidRPr="003D3409">
          <w:rPr>
            <w:noProof/>
            <w:webHidden/>
          </w:rPr>
        </w:r>
        <w:r w:rsidR="003D3409" w:rsidRPr="003D3409">
          <w:rPr>
            <w:noProof/>
            <w:webHidden/>
          </w:rPr>
          <w:fldChar w:fldCharType="separate"/>
        </w:r>
        <w:r w:rsidR="003D3409" w:rsidRPr="003D3409">
          <w:rPr>
            <w:noProof/>
            <w:webHidden/>
          </w:rPr>
          <w:t>77</w:t>
        </w:r>
        <w:r w:rsidR="003D3409" w:rsidRPr="003D3409">
          <w:rPr>
            <w:noProof/>
            <w:webHidden/>
          </w:rPr>
          <w:fldChar w:fldCharType="end"/>
        </w:r>
      </w:hyperlink>
    </w:p>
    <w:p w14:paraId="51BF0BA2" w14:textId="69C7C8A1"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41" w:anchor="_Toc99110897" w:history="1">
        <w:r w:rsidR="003D3409" w:rsidRPr="003D3409">
          <w:rPr>
            <w:rStyle w:val="Hipervnculo"/>
            <w:rFonts w:cs="Arial"/>
            <w:noProof/>
          </w:rPr>
          <w:t>Imatge 8. Guia AVAF. El Pla d'integritat Pública: Full de Ruta i Annexos Facilitadors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_Toc99110897 \h </w:instrText>
        </w:r>
        <w:r w:rsidR="003D3409" w:rsidRPr="003D3409">
          <w:rPr>
            <w:noProof/>
            <w:webHidden/>
          </w:rPr>
        </w:r>
        <w:r w:rsidR="003D3409" w:rsidRPr="003D3409">
          <w:rPr>
            <w:noProof/>
            <w:webHidden/>
          </w:rPr>
          <w:fldChar w:fldCharType="separate"/>
        </w:r>
        <w:r w:rsidR="003D3409" w:rsidRPr="003D3409">
          <w:rPr>
            <w:noProof/>
            <w:webHidden/>
          </w:rPr>
          <w:t>246</w:t>
        </w:r>
        <w:r w:rsidR="003D3409" w:rsidRPr="003D3409">
          <w:rPr>
            <w:noProof/>
            <w:webHidden/>
          </w:rPr>
          <w:fldChar w:fldCharType="end"/>
        </w:r>
      </w:hyperlink>
    </w:p>
    <w:p w14:paraId="292E3173" w14:textId="68B118E8"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42" w:anchor="_Toc99110898" w:history="1">
        <w:r w:rsidR="003D3409" w:rsidRPr="003D3409">
          <w:rPr>
            <w:rStyle w:val="Hipervnculo"/>
            <w:rFonts w:cs="Arial"/>
            <w:noProof/>
          </w:rPr>
          <w:t>Imatge 9. Manual didàctic visual. Els conflictes d'interés en clau d'integritat pública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_Toc99110898 \h </w:instrText>
        </w:r>
        <w:r w:rsidR="003D3409" w:rsidRPr="003D3409">
          <w:rPr>
            <w:noProof/>
            <w:webHidden/>
          </w:rPr>
        </w:r>
        <w:r w:rsidR="003D3409" w:rsidRPr="003D3409">
          <w:rPr>
            <w:noProof/>
            <w:webHidden/>
          </w:rPr>
          <w:fldChar w:fldCharType="separate"/>
        </w:r>
        <w:r w:rsidR="003D3409" w:rsidRPr="003D3409">
          <w:rPr>
            <w:noProof/>
            <w:webHidden/>
          </w:rPr>
          <w:t>249</w:t>
        </w:r>
        <w:r w:rsidR="003D3409" w:rsidRPr="003D3409">
          <w:rPr>
            <w:noProof/>
            <w:webHidden/>
          </w:rPr>
          <w:fldChar w:fldCharType="end"/>
        </w:r>
      </w:hyperlink>
    </w:p>
    <w:p w14:paraId="6C2BDC52" w14:textId="3E2050BC"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43" w:anchor="_Toc99110899" w:history="1">
        <w:r w:rsidR="003D3409" w:rsidRPr="003D3409">
          <w:rPr>
            <w:rStyle w:val="Hipervnculo"/>
            <w:rFonts w:cs="Arial"/>
            <w:noProof/>
          </w:rPr>
          <w:t>Imatge 10. Catàleg de riscos comuns en els processos de presa de decisions i alguns mecanismes de prevenció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_Toc99110899 \h </w:instrText>
        </w:r>
        <w:r w:rsidR="003D3409" w:rsidRPr="003D3409">
          <w:rPr>
            <w:noProof/>
            <w:webHidden/>
          </w:rPr>
        </w:r>
        <w:r w:rsidR="003D3409" w:rsidRPr="003D3409">
          <w:rPr>
            <w:noProof/>
            <w:webHidden/>
          </w:rPr>
          <w:fldChar w:fldCharType="separate"/>
        </w:r>
        <w:r w:rsidR="003D3409" w:rsidRPr="003D3409">
          <w:rPr>
            <w:noProof/>
            <w:webHidden/>
          </w:rPr>
          <w:t>249</w:t>
        </w:r>
        <w:r w:rsidR="003D3409" w:rsidRPr="003D3409">
          <w:rPr>
            <w:noProof/>
            <w:webHidden/>
          </w:rPr>
          <w:fldChar w:fldCharType="end"/>
        </w:r>
      </w:hyperlink>
    </w:p>
    <w:p w14:paraId="69B023EE" w14:textId="35A40970"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44" w:anchor="_Toc99110900" w:history="1">
        <w:r w:rsidR="003D3409" w:rsidRPr="003D3409">
          <w:rPr>
            <w:rStyle w:val="Hipervnculo"/>
            <w:rFonts w:cs="Arial"/>
            <w:noProof/>
          </w:rPr>
          <w:t>Imatge 11. Reflexions sobre conflictes d'interés: El seu desconeixement, l'avantsala de la corrupció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_Toc99110900 \h </w:instrText>
        </w:r>
        <w:r w:rsidR="003D3409" w:rsidRPr="003D3409">
          <w:rPr>
            <w:noProof/>
            <w:webHidden/>
          </w:rPr>
        </w:r>
        <w:r w:rsidR="003D3409" w:rsidRPr="003D3409">
          <w:rPr>
            <w:noProof/>
            <w:webHidden/>
          </w:rPr>
          <w:fldChar w:fldCharType="separate"/>
        </w:r>
        <w:r w:rsidR="003D3409" w:rsidRPr="003D3409">
          <w:rPr>
            <w:noProof/>
            <w:webHidden/>
          </w:rPr>
          <w:t>258</w:t>
        </w:r>
        <w:r w:rsidR="003D3409" w:rsidRPr="003D3409">
          <w:rPr>
            <w:noProof/>
            <w:webHidden/>
          </w:rPr>
          <w:fldChar w:fldCharType="end"/>
        </w:r>
      </w:hyperlink>
    </w:p>
    <w:p w14:paraId="255F6244" w14:textId="5E19A13A"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45" w:anchor="_Toc99110901" w:history="1">
        <w:r w:rsidR="003D3409" w:rsidRPr="003D3409">
          <w:rPr>
            <w:rStyle w:val="Hipervnculo"/>
            <w:rFonts w:cs="Arial"/>
            <w:noProof/>
          </w:rPr>
          <w:t>Imatge 12. Recomanació general. Planificació: Eina clau per a previndre els riscos de la corrupció en les organitzacions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_Toc99110901 \h </w:instrText>
        </w:r>
        <w:r w:rsidR="003D3409" w:rsidRPr="003D3409">
          <w:rPr>
            <w:noProof/>
            <w:webHidden/>
          </w:rPr>
        </w:r>
        <w:r w:rsidR="003D3409" w:rsidRPr="003D3409">
          <w:rPr>
            <w:noProof/>
            <w:webHidden/>
          </w:rPr>
          <w:fldChar w:fldCharType="separate"/>
        </w:r>
        <w:r w:rsidR="003D3409" w:rsidRPr="003D3409">
          <w:rPr>
            <w:noProof/>
            <w:webHidden/>
          </w:rPr>
          <w:t>258</w:t>
        </w:r>
        <w:r w:rsidR="003D3409" w:rsidRPr="003D3409">
          <w:rPr>
            <w:noProof/>
            <w:webHidden/>
          </w:rPr>
          <w:fldChar w:fldCharType="end"/>
        </w:r>
      </w:hyperlink>
    </w:p>
    <w:p w14:paraId="57498765" w14:textId="30EF4AD4"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46" w:anchor="_Toc99110902" w:history="1">
        <w:r w:rsidR="003D3409" w:rsidRPr="003D3409">
          <w:rPr>
            <w:rStyle w:val="Hipervnculo"/>
            <w:rFonts w:cs="Arial"/>
            <w:noProof/>
          </w:rPr>
          <w:t>Imatge 13. Recomanació general. Enriquiment injust</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_Toc99110902 \h </w:instrText>
        </w:r>
        <w:r w:rsidR="003D3409" w:rsidRPr="003D3409">
          <w:rPr>
            <w:noProof/>
            <w:webHidden/>
          </w:rPr>
        </w:r>
        <w:r w:rsidR="003D3409" w:rsidRPr="003D3409">
          <w:rPr>
            <w:noProof/>
            <w:webHidden/>
          </w:rPr>
          <w:fldChar w:fldCharType="separate"/>
        </w:r>
        <w:r w:rsidR="003D3409" w:rsidRPr="003D3409">
          <w:rPr>
            <w:noProof/>
            <w:webHidden/>
          </w:rPr>
          <w:t>258</w:t>
        </w:r>
        <w:r w:rsidR="003D3409" w:rsidRPr="003D3409">
          <w:rPr>
            <w:noProof/>
            <w:webHidden/>
          </w:rPr>
          <w:fldChar w:fldCharType="end"/>
        </w:r>
      </w:hyperlink>
    </w:p>
    <w:p w14:paraId="3ADC0C7A" w14:textId="3AC35CB1"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03" w:history="1">
        <w:r w:rsidR="003D3409" w:rsidRPr="003D3409">
          <w:rPr>
            <w:rStyle w:val="Hipervnculo"/>
            <w:rFonts w:cs="Arial"/>
            <w:noProof/>
          </w:rPr>
          <w:t>Imatge 14. Biblioteca de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_Toc99110903 \h </w:instrText>
        </w:r>
        <w:r w:rsidR="003D3409" w:rsidRPr="003D3409">
          <w:rPr>
            <w:noProof/>
            <w:webHidden/>
          </w:rPr>
        </w:r>
        <w:r w:rsidR="003D3409" w:rsidRPr="003D3409">
          <w:rPr>
            <w:noProof/>
            <w:webHidden/>
          </w:rPr>
          <w:fldChar w:fldCharType="separate"/>
        </w:r>
        <w:r w:rsidR="003D3409" w:rsidRPr="003D3409">
          <w:rPr>
            <w:noProof/>
            <w:webHidden/>
          </w:rPr>
          <w:t>286</w:t>
        </w:r>
        <w:r w:rsidR="003D3409" w:rsidRPr="003D3409">
          <w:rPr>
            <w:noProof/>
            <w:webHidden/>
          </w:rPr>
          <w:fldChar w:fldCharType="end"/>
        </w:r>
      </w:hyperlink>
    </w:p>
    <w:p w14:paraId="26D7758B" w14:textId="3BD4F26B"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04" w:history="1">
        <w:r w:rsidR="003D3409" w:rsidRPr="003D3409">
          <w:rPr>
            <w:rStyle w:val="Hipervnculo"/>
            <w:rFonts w:cs="Arial"/>
            <w:noProof/>
          </w:rPr>
          <w:t>Imatge 15. Coberta del llibre Les cares de l'evasió fiscal</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_Toc99110904 \h </w:instrText>
        </w:r>
        <w:r w:rsidR="003D3409" w:rsidRPr="003D3409">
          <w:rPr>
            <w:noProof/>
            <w:webHidden/>
          </w:rPr>
        </w:r>
        <w:r w:rsidR="003D3409" w:rsidRPr="003D3409">
          <w:rPr>
            <w:noProof/>
            <w:webHidden/>
          </w:rPr>
          <w:fldChar w:fldCharType="separate"/>
        </w:r>
        <w:r w:rsidR="003D3409" w:rsidRPr="003D3409">
          <w:rPr>
            <w:noProof/>
            <w:webHidden/>
          </w:rPr>
          <w:t>289</w:t>
        </w:r>
        <w:r w:rsidR="003D3409" w:rsidRPr="003D3409">
          <w:rPr>
            <w:noProof/>
            <w:webHidden/>
          </w:rPr>
          <w:fldChar w:fldCharType="end"/>
        </w:r>
      </w:hyperlink>
    </w:p>
    <w:p w14:paraId="32C52B71" w14:textId="4D651BAD"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05" w:history="1">
        <w:r w:rsidR="003D3409" w:rsidRPr="003D3409">
          <w:rPr>
            <w:rStyle w:val="Hipervnculo"/>
            <w:rFonts w:cs="Arial"/>
            <w:noProof/>
          </w:rPr>
          <w:t>Imatge 16. Coberta de l'Informe sobre la transparència local en la Comunitat Valenciana</w:t>
        </w:r>
        <w:r w:rsidR="003D3409" w:rsidRPr="003D3409">
          <w:rPr>
            <w:rStyle w:val="Hipervnculo"/>
            <w:noProof/>
          </w:rPr>
          <w:t xml:space="preserve"> (2019)</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_Toc99110905 \h </w:instrText>
        </w:r>
        <w:r w:rsidR="003D3409" w:rsidRPr="003D3409">
          <w:rPr>
            <w:noProof/>
            <w:webHidden/>
          </w:rPr>
        </w:r>
        <w:r w:rsidR="003D3409" w:rsidRPr="003D3409">
          <w:rPr>
            <w:noProof/>
            <w:webHidden/>
          </w:rPr>
          <w:fldChar w:fldCharType="separate"/>
        </w:r>
        <w:r w:rsidR="003D3409" w:rsidRPr="003D3409">
          <w:rPr>
            <w:noProof/>
            <w:webHidden/>
          </w:rPr>
          <w:t>291</w:t>
        </w:r>
        <w:r w:rsidR="003D3409" w:rsidRPr="003D3409">
          <w:rPr>
            <w:noProof/>
            <w:webHidden/>
          </w:rPr>
          <w:fldChar w:fldCharType="end"/>
        </w:r>
      </w:hyperlink>
    </w:p>
    <w:p w14:paraId="51204EA3" w14:textId="5C7CFA25"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06" w:history="1">
        <w:r w:rsidR="003D3409" w:rsidRPr="003D3409">
          <w:rPr>
            <w:rStyle w:val="Hipervnculo"/>
            <w:rFonts w:cs="Arial"/>
            <w:noProof/>
          </w:rPr>
          <w:t>Imatge 17. Coberta de l'Anuario del Buen Gobierno y de la Calidad de la Regulación 2020</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_Toc99110906 \h </w:instrText>
        </w:r>
        <w:r w:rsidR="003D3409" w:rsidRPr="003D3409">
          <w:rPr>
            <w:noProof/>
            <w:webHidden/>
          </w:rPr>
        </w:r>
        <w:r w:rsidR="003D3409" w:rsidRPr="003D3409">
          <w:rPr>
            <w:noProof/>
            <w:webHidden/>
          </w:rPr>
          <w:fldChar w:fldCharType="separate"/>
        </w:r>
        <w:r w:rsidR="003D3409" w:rsidRPr="003D3409">
          <w:rPr>
            <w:noProof/>
            <w:webHidden/>
          </w:rPr>
          <w:t>293</w:t>
        </w:r>
        <w:r w:rsidR="003D3409" w:rsidRPr="003D3409">
          <w:rPr>
            <w:noProof/>
            <w:webHidden/>
          </w:rPr>
          <w:fldChar w:fldCharType="end"/>
        </w:r>
      </w:hyperlink>
    </w:p>
    <w:p w14:paraId="5F75B315" w14:textId="13A7B600"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07" w:history="1">
        <w:r w:rsidR="003D3409" w:rsidRPr="003D3409">
          <w:rPr>
            <w:rStyle w:val="Hipervnculo"/>
            <w:rFonts w:cs="Arial"/>
            <w:noProof/>
          </w:rPr>
          <w:t>Imatge 18. Coberta del llibre La ciudad de la euforia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_Toc99110907 \h </w:instrText>
        </w:r>
        <w:r w:rsidR="003D3409" w:rsidRPr="003D3409">
          <w:rPr>
            <w:noProof/>
            <w:webHidden/>
          </w:rPr>
        </w:r>
        <w:r w:rsidR="003D3409" w:rsidRPr="003D3409">
          <w:rPr>
            <w:noProof/>
            <w:webHidden/>
          </w:rPr>
          <w:fldChar w:fldCharType="separate"/>
        </w:r>
        <w:r w:rsidR="003D3409" w:rsidRPr="003D3409">
          <w:rPr>
            <w:noProof/>
            <w:webHidden/>
          </w:rPr>
          <w:t>295</w:t>
        </w:r>
        <w:r w:rsidR="003D3409" w:rsidRPr="003D3409">
          <w:rPr>
            <w:noProof/>
            <w:webHidden/>
          </w:rPr>
          <w:fldChar w:fldCharType="end"/>
        </w:r>
      </w:hyperlink>
    </w:p>
    <w:p w14:paraId="41640DBC" w14:textId="5F94F8DD"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08" w:history="1">
        <w:r w:rsidR="003D3409" w:rsidRPr="003D3409">
          <w:rPr>
            <w:rStyle w:val="Hipervnculo"/>
            <w:rFonts w:cs="Arial"/>
            <w:noProof/>
          </w:rPr>
          <w:t>Imatge 19. Coberta del llibre Fundamentos de la transparencia, aspectos políticos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_Toc99110908 \h </w:instrText>
        </w:r>
        <w:r w:rsidR="003D3409" w:rsidRPr="003D3409">
          <w:rPr>
            <w:noProof/>
            <w:webHidden/>
          </w:rPr>
        </w:r>
        <w:r w:rsidR="003D3409" w:rsidRPr="003D3409">
          <w:rPr>
            <w:noProof/>
            <w:webHidden/>
          </w:rPr>
          <w:fldChar w:fldCharType="separate"/>
        </w:r>
        <w:r w:rsidR="003D3409" w:rsidRPr="003D3409">
          <w:rPr>
            <w:noProof/>
            <w:webHidden/>
          </w:rPr>
          <w:t>297</w:t>
        </w:r>
        <w:r w:rsidR="003D3409" w:rsidRPr="003D3409">
          <w:rPr>
            <w:noProof/>
            <w:webHidden/>
          </w:rPr>
          <w:fldChar w:fldCharType="end"/>
        </w:r>
      </w:hyperlink>
    </w:p>
    <w:p w14:paraId="366FCEB9" w14:textId="46AB0476"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09" w:history="1">
        <w:r w:rsidR="003D3409" w:rsidRPr="003D3409">
          <w:rPr>
            <w:rStyle w:val="Hipervnculo"/>
            <w:rFonts w:cs="Arial"/>
            <w:noProof/>
          </w:rPr>
          <w:t>Imatge 20. Coberta del llibre La integridad en la Administración: Contratación Pública y Lucha contra la Corrupción</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_Toc99110909 \h </w:instrText>
        </w:r>
        <w:r w:rsidR="003D3409" w:rsidRPr="003D3409">
          <w:rPr>
            <w:noProof/>
            <w:webHidden/>
          </w:rPr>
        </w:r>
        <w:r w:rsidR="003D3409" w:rsidRPr="003D3409">
          <w:rPr>
            <w:noProof/>
            <w:webHidden/>
          </w:rPr>
          <w:fldChar w:fldCharType="separate"/>
        </w:r>
        <w:r w:rsidR="003D3409" w:rsidRPr="003D3409">
          <w:rPr>
            <w:noProof/>
            <w:webHidden/>
          </w:rPr>
          <w:t>298</w:t>
        </w:r>
        <w:r w:rsidR="003D3409" w:rsidRPr="003D3409">
          <w:rPr>
            <w:noProof/>
            <w:webHidden/>
          </w:rPr>
          <w:fldChar w:fldCharType="end"/>
        </w:r>
      </w:hyperlink>
    </w:p>
    <w:p w14:paraId="18F4B378" w14:textId="7A5A587C" w:rsidR="00921F4D" w:rsidRPr="00D22195" w:rsidRDefault="00921F4D" w:rsidP="006F2B42">
      <w:pPr>
        <w:rPr>
          <w:rFonts w:ascii="Arial" w:hAnsi="Arial" w:cs="Arial"/>
          <w:b/>
          <w:sz w:val="20"/>
          <w:szCs w:val="20"/>
        </w:rPr>
      </w:pPr>
      <w:r>
        <w:rPr>
          <w:rFonts w:ascii="Arial" w:hAnsi="Arial" w:cs="Arial"/>
          <w:b/>
          <w:color w:val="9D2235" w:themeColor="accent1"/>
          <w:sz w:val="20"/>
          <w:szCs w:val="20"/>
        </w:rPr>
        <w:fldChar w:fldCharType="end"/>
      </w:r>
    </w:p>
    <w:p w14:paraId="7FE1BA88" w14:textId="519798C9" w:rsidR="004927C3" w:rsidRPr="00DA3DC3" w:rsidRDefault="004927C3" w:rsidP="006F2B42">
      <w:pPr>
        <w:rPr>
          <w:rFonts w:ascii="Arial" w:hAnsi="Arial" w:cs="Arial"/>
          <w:b/>
          <w:color w:val="9D2235" w:themeColor="accent1"/>
          <w:sz w:val="60"/>
          <w:szCs w:val="60"/>
        </w:rPr>
      </w:pPr>
      <w:r w:rsidRPr="00DA3DC3">
        <w:rPr>
          <w:rFonts w:ascii="Arial" w:hAnsi="Arial" w:cs="Arial"/>
          <w:b/>
          <w:color w:val="9D2235" w:themeColor="accent1"/>
          <w:sz w:val="60"/>
          <w:szCs w:val="60"/>
        </w:rPr>
        <w:t>Índ</w:t>
      </w:r>
      <w:r w:rsidR="006A3245" w:rsidRPr="00DA3DC3">
        <w:rPr>
          <w:rFonts w:ascii="Arial" w:hAnsi="Arial" w:cs="Arial"/>
          <w:b/>
          <w:color w:val="9D2235" w:themeColor="accent1"/>
          <w:sz w:val="60"/>
          <w:szCs w:val="60"/>
        </w:rPr>
        <w:t>ex</w:t>
      </w:r>
      <w:r w:rsidRPr="00DA3DC3">
        <w:rPr>
          <w:rFonts w:ascii="Arial" w:hAnsi="Arial" w:cs="Arial"/>
          <w:b/>
          <w:color w:val="9D2235" w:themeColor="accent1"/>
          <w:sz w:val="60"/>
          <w:szCs w:val="60"/>
        </w:rPr>
        <w:t xml:space="preserve"> de gr</w:t>
      </w:r>
      <w:r w:rsidR="006A3245" w:rsidRPr="00DA3DC3">
        <w:rPr>
          <w:rFonts w:ascii="Arial" w:hAnsi="Arial" w:cs="Arial"/>
          <w:b/>
          <w:color w:val="9D2235" w:themeColor="accent1"/>
          <w:sz w:val="60"/>
          <w:szCs w:val="60"/>
        </w:rPr>
        <w:t>à</w:t>
      </w:r>
      <w:r w:rsidRPr="00DA3DC3">
        <w:rPr>
          <w:rFonts w:ascii="Arial" w:hAnsi="Arial" w:cs="Arial"/>
          <w:b/>
          <w:color w:val="9D2235" w:themeColor="accent1"/>
          <w:sz w:val="60"/>
          <w:szCs w:val="60"/>
        </w:rPr>
        <w:t>fic</w:t>
      </w:r>
      <w:r w:rsidR="006A3245" w:rsidRPr="00DA3DC3">
        <w:rPr>
          <w:rFonts w:ascii="Arial" w:hAnsi="Arial" w:cs="Arial"/>
          <w:b/>
          <w:color w:val="9D2235" w:themeColor="accent1"/>
          <w:sz w:val="60"/>
          <w:szCs w:val="60"/>
        </w:rPr>
        <w:t>s</w:t>
      </w:r>
    </w:p>
    <w:p w14:paraId="3527F638" w14:textId="26A6C398" w:rsidR="00E64230" w:rsidRPr="00E64230" w:rsidRDefault="0020076C">
      <w:pPr>
        <w:pStyle w:val="Tabladeilustraciones"/>
        <w:tabs>
          <w:tab w:val="right" w:leader="dot" w:pos="8212"/>
        </w:tabs>
        <w:rPr>
          <w:rFonts w:asciiTheme="minorHAnsi" w:eastAsiaTheme="minorEastAsia" w:hAnsiTheme="minorHAnsi" w:cstheme="minorBidi"/>
          <w:noProof/>
          <w:sz w:val="22"/>
          <w:szCs w:val="22"/>
          <w:lang w:val="es-ES" w:eastAsia="es-ES"/>
        </w:rPr>
      </w:pPr>
      <w:r w:rsidRPr="00DA3DC3">
        <w:rPr>
          <w:rFonts w:cs="Arial"/>
          <w:b/>
          <w:color w:val="9D2235" w:themeColor="accent1"/>
          <w:sz w:val="60"/>
          <w:szCs w:val="60"/>
        </w:rPr>
        <w:fldChar w:fldCharType="begin" w:fldLock="1"/>
      </w:r>
      <w:r w:rsidRPr="00DA3DC3">
        <w:rPr>
          <w:rFonts w:cs="Arial"/>
          <w:b/>
          <w:color w:val="9D2235" w:themeColor="accent1"/>
          <w:sz w:val="60"/>
          <w:szCs w:val="60"/>
        </w:rPr>
        <w:instrText xml:space="preserve"> TOC \h \z \c "Gràfic" </w:instrText>
      </w:r>
      <w:r w:rsidRPr="00DA3DC3">
        <w:rPr>
          <w:rFonts w:cs="Arial"/>
          <w:b/>
          <w:color w:val="9D2235" w:themeColor="accent1"/>
          <w:sz w:val="60"/>
          <w:szCs w:val="60"/>
        </w:rPr>
        <w:fldChar w:fldCharType="separate"/>
      </w:r>
      <w:hyperlink r:id="rId47" w:anchor="_Toc99110960" w:history="1">
        <w:r w:rsidR="00E64230" w:rsidRPr="00E64230">
          <w:rPr>
            <w:rStyle w:val="Hipervnculo"/>
            <w:rFonts w:cs="Arial"/>
            <w:noProof/>
          </w:rPr>
          <w:t>Gràfic 1. Evolució d'usuari/es de la web 2019 a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_Toc99110960 \h </w:instrText>
        </w:r>
        <w:r w:rsidR="00E64230" w:rsidRPr="00E64230">
          <w:rPr>
            <w:noProof/>
            <w:webHidden/>
          </w:rPr>
        </w:r>
        <w:r w:rsidR="00E64230" w:rsidRPr="00E64230">
          <w:rPr>
            <w:noProof/>
            <w:webHidden/>
          </w:rPr>
          <w:fldChar w:fldCharType="separate"/>
        </w:r>
        <w:r w:rsidR="00E64230" w:rsidRPr="00E64230">
          <w:rPr>
            <w:noProof/>
            <w:webHidden/>
          </w:rPr>
          <w:t>43</w:t>
        </w:r>
        <w:r w:rsidR="00E64230" w:rsidRPr="00E64230">
          <w:rPr>
            <w:noProof/>
            <w:webHidden/>
          </w:rPr>
          <w:fldChar w:fldCharType="end"/>
        </w:r>
      </w:hyperlink>
    </w:p>
    <w:p w14:paraId="591D9AFC" w14:textId="080F4346"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61" w:history="1">
        <w:r w:rsidR="00E64230" w:rsidRPr="00E64230">
          <w:rPr>
            <w:rStyle w:val="Hipervnculo"/>
            <w:rFonts w:cs="Arial"/>
            <w:noProof/>
          </w:rPr>
          <w:t>Gràfic 2. Mencions de l'AVAF segons el mitjà de comunicació</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_Toc99110961 \h </w:instrText>
        </w:r>
        <w:r w:rsidR="00E64230" w:rsidRPr="00E64230">
          <w:rPr>
            <w:noProof/>
            <w:webHidden/>
          </w:rPr>
        </w:r>
        <w:r w:rsidR="00E64230" w:rsidRPr="00E64230">
          <w:rPr>
            <w:noProof/>
            <w:webHidden/>
          </w:rPr>
          <w:fldChar w:fldCharType="separate"/>
        </w:r>
        <w:r w:rsidR="00E64230" w:rsidRPr="00E64230">
          <w:rPr>
            <w:noProof/>
            <w:webHidden/>
          </w:rPr>
          <w:t>46</w:t>
        </w:r>
        <w:r w:rsidR="00E64230" w:rsidRPr="00E64230">
          <w:rPr>
            <w:noProof/>
            <w:webHidden/>
          </w:rPr>
          <w:fldChar w:fldCharType="end"/>
        </w:r>
      </w:hyperlink>
    </w:p>
    <w:p w14:paraId="5FCF8AD0" w14:textId="1026D438"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48" w:anchor="_Toc99110962" w:history="1">
        <w:r w:rsidR="00E64230" w:rsidRPr="00E64230">
          <w:rPr>
            <w:rStyle w:val="Hipervnculo"/>
            <w:rFonts w:cs="Arial"/>
            <w:noProof/>
          </w:rPr>
          <w:t>Gràfic 3. Nombre de mencions en mitjans de l'AVAF</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_Toc99110962 \h </w:instrText>
        </w:r>
        <w:r w:rsidR="00E64230" w:rsidRPr="00E64230">
          <w:rPr>
            <w:noProof/>
            <w:webHidden/>
          </w:rPr>
        </w:r>
        <w:r w:rsidR="00E64230" w:rsidRPr="00E64230">
          <w:rPr>
            <w:noProof/>
            <w:webHidden/>
          </w:rPr>
          <w:fldChar w:fldCharType="separate"/>
        </w:r>
        <w:r w:rsidR="00E64230" w:rsidRPr="00E64230">
          <w:rPr>
            <w:noProof/>
            <w:webHidden/>
          </w:rPr>
          <w:t>47</w:t>
        </w:r>
        <w:r w:rsidR="00E64230" w:rsidRPr="00E64230">
          <w:rPr>
            <w:noProof/>
            <w:webHidden/>
          </w:rPr>
          <w:fldChar w:fldCharType="end"/>
        </w:r>
      </w:hyperlink>
    </w:p>
    <w:p w14:paraId="380D4287" w14:textId="110B3E19"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63" w:history="1">
        <w:r w:rsidR="00E64230" w:rsidRPr="00E64230">
          <w:rPr>
            <w:rStyle w:val="Hipervnculo"/>
            <w:rFonts w:cs="Arial"/>
            <w:noProof/>
          </w:rPr>
          <w:t>Gràfic 4.  Núm. sol·licituds de protecció presentades des de 2017 fins a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_Toc99110963 \h </w:instrText>
        </w:r>
        <w:r w:rsidR="00E64230" w:rsidRPr="00E64230">
          <w:rPr>
            <w:noProof/>
            <w:webHidden/>
          </w:rPr>
        </w:r>
        <w:r w:rsidR="00E64230" w:rsidRPr="00E64230">
          <w:rPr>
            <w:noProof/>
            <w:webHidden/>
          </w:rPr>
          <w:fldChar w:fldCharType="separate"/>
        </w:r>
        <w:r w:rsidR="00E64230" w:rsidRPr="00E64230">
          <w:rPr>
            <w:noProof/>
            <w:webHidden/>
          </w:rPr>
          <w:t>116</w:t>
        </w:r>
        <w:r w:rsidR="00E64230" w:rsidRPr="00E64230">
          <w:rPr>
            <w:noProof/>
            <w:webHidden/>
          </w:rPr>
          <w:fldChar w:fldCharType="end"/>
        </w:r>
      </w:hyperlink>
    </w:p>
    <w:p w14:paraId="6FBDFD45" w14:textId="7B6367E8"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64" w:history="1">
        <w:r w:rsidR="00E64230" w:rsidRPr="00E64230">
          <w:rPr>
            <w:rStyle w:val="Hipervnculo"/>
            <w:rFonts w:cs="Arial"/>
            <w:noProof/>
          </w:rPr>
          <w:t>Gràfic 5. Sol·licituds de protecció des de 2017 a 2021, segons l’estat de tramitació de l’expedient administratiu</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_Toc99110964 \h </w:instrText>
        </w:r>
        <w:r w:rsidR="00E64230" w:rsidRPr="00E64230">
          <w:rPr>
            <w:noProof/>
            <w:webHidden/>
          </w:rPr>
        </w:r>
        <w:r w:rsidR="00E64230" w:rsidRPr="00E64230">
          <w:rPr>
            <w:noProof/>
            <w:webHidden/>
          </w:rPr>
          <w:fldChar w:fldCharType="separate"/>
        </w:r>
        <w:r w:rsidR="00E64230" w:rsidRPr="00E64230">
          <w:rPr>
            <w:noProof/>
            <w:webHidden/>
          </w:rPr>
          <w:t>117</w:t>
        </w:r>
        <w:r w:rsidR="00E64230" w:rsidRPr="00E64230">
          <w:rPr>
            <w:noProof/>
            <w:webHidden/>
          </w:rPr>
          <w:fldChar w:fldCharType="end"/>
        </w:r>
      </w:hyperlink>
    </w:p>
    <w:p w14:paraId="66AA442A" w14:textId="25EFAF07"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65" w:history="1">
        <w:r w:rsidR="00E64230" w:rsidRPr="00E64230">
          <w:rPr>
            <w:rStyle w:val="Hipervnculo"/>
            <w:rFonts w:cs="Arial"/>
            <w:noProof/>
          </w:rPr>
          <w:t>Gràfic 6. Canal o mitjà de presentació de les sol·licituds de protecció des de 2017 a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_Toc99110965 \h </w:instrText>
        </w:r>
        <w:r w:rsidR="00E64230" w:rsidRPr="00E64230">
          <w:rPr>
            <w:noProof/>
            <w:webHidden/>
          </w:rPr>
        </w:r>
        <w:r w:rsidR="00E64230" w:rsidRPr="00E64230">
          <w:rPr>
            <w:noProof/>
            <w:webHidden/>
          </w:rPr>
          <w:fldChar w:fldCharType="separate"/>
        </w:r>
        <w:r w:rsidR="00E64230" w:rsidRPr="00E64230">
          <w:rPr>
            <w:noProof/>
            <w:webHidden/>
          </w:rPr>
          <w:t>117</w:t>
        </w:r>
        <w:r w:rsidR="00E64230" w:rsidRPr="00E64230">
          <w:rPr>
            <w:noProof/>
            <w:webHidden/>
          </w:rPr>
          <w:fldChar w:fldCharType="end"/>
        </w:r>
      </w:hyperlink>
    </w:p>
    <w:p w14:paraId="2D05E217" w14:textId="1C476374"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66" w:history="1">
        <w:r w:rsidR="00E64230" w:rsidRPr="00E64230">
          <w:rPr>
            <w:rStyle w:val="Hipervnculo"/>
            <w:rFonts w:cs="Arial"/>
            <w:noProof/>
          </w:rPr>
          <w:t>Gràfic 7. Nombre de sol·licituds de protecció presentades segons la mena d'administració, institució entitat afectada per la denúncia des de 2017 a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_Toc99110966 \h </w:instrText>
        </w:r>
        <w:r w:rsidR="00E64230" w:rsidRPr="00E64230">
          <w:rPr>
            <w:noProof/>
            <w:webHidden/>
          </w:rPr>
        </w:r>
        <w:r w:rsidR="00E64230" w:rsidRPr="00E64230">
          <w:rPr>
            <w:noProof/>
            <w:webHidden/>
          </w:rPr>
          <w:fldChar w:fldCharType="separate"/>
        </w:r>
        <w:r w:rsidR="00E64230" w:rsidRPr="00E64230">
          <w:rPr>
            <w:noProof/>
            <w:webHidden/>
          </w:rPr>
          <w:t>118</w:t>
        </w:r>
        <w:r w:rsidR="00E64230" w:rsidRPr="00E64230">
          <w:rPr>
            <w:noProof/>
            <w:webHidden/>
          </w:rPr>
          <w:fldChar w:fldCharType="end"/>
        </w:r>
      </w:hyperlink>
    </w:p>
    <w:p w14:paraId="55BF563C" w14:textId="77BAA943"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67" w:history="1">
        <w:r w:rsidR="00E64230" w:rsidRPr="00E64230">
          <w:rPr>
            <w:rStyle w:val="Hipervnculo"/>
            <w:rFonts w:cs="Arial"/>
            <w:noProof/>
          </w:rPr>
          <w:t>Gràfic 8. Nombre de sol·licituds presentades des de 2017 a 2021 segons la província en la qual se situa l'administració o entitat demandada</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_Toc99110967 \h </w:instrText>
        </w:r>
        <w:r w:rsidR="00E64230" w:rsidRPr="00E64230">
          <w:rPr>
            <w:noProof/>
            <w:webHidden/>
          </w:rPr>
        </w:r>
        <w:r w:rsidR="00E64230" w:rsidRPr="00E64230">
          <w:rPr>
            <w:noProof/>
            <w:webHidden/>
          </w:rPr>
          <w:fldChar w:fldCharType="separate"/>
        </w:r>
        <w:r w:rsidR="00E64230" w:rsidRPr="00E64230">
          <w:rPr>
            <w:noProof/>
            <w:webHidden/>
          </w:rPr>
          <w:t>118</w:t>
        </w:r>
        <w:r w:rsidR="00E64230" w:rsidRPr="00E64230">
          <w:rPr>
            <w:noProof/>
            <w:webHidden/>
          </w:rPr>
          <w:fldChar w:fldCharType="end"/>
        </w:r>
      </w:hyperlink>
    </w:p>
    <w:p w14:paraId="285C1962" w14:textId="348EABD8"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68" w:history="1">
        <w:r w:rsidR="00E64230" w:rsidRPr="00E64230">
          <w:rPr>
            <w:rStyle w:val="Hipervnculo"/>
            <w:rFonts w:cs="Arial"/>
            <w:noProof/>
          </w:rPr>
          <w:t>Gràfic 9. Segons el contingut de la denúncia realitzada pels denunciants protegits</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_Toc99110968 \h </w:instrText>
        </w:r>
        <w:r w:rsidR="00E64230" w:rsidRPr="00E64230">
          <w:rPr>
            <w:noProof/>
            <w:webHidden/>
          </w:rPr>
        </w:r>
        <w:r w:rsidR="00E64230" w:rsidRPr="00E64230">
          <w:rPr>
            <w:noProof/>
            <w:webHidden/>
          </w:rPr>
          <w:fldChar w:fldCharType="separate"/>
        </w:r>
        <w:r w:rsidR="00E64230" w:rsidRPr="00E64230">
          <w:rPr>
            <w:noProof/>
            <w:webHidden/>
          </w:rPr>
          <w:t>119</w:t>
        </w:r>
        <w:r w:rsidR="00E64230" w:rsidRPr="00E64230">
          <w:rPr>
            <w:noProof/>
            <w:webHidden/>
          </w:rPr>
          <w:fldChar w:fldCharType="end"/>
        </w:r>
      </w:hyperlink>
    </w:p>
    <w:p w14:paraId="7046996B" w14:textId="54C1E150"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69" w:history="1">
        <w:r w:rsidR="00E64230" w:rsidRPr="00E64230">
          <w:rPr>
            <w:rStyle w:val="Hipervnculo"/>
            <w:rFonts w:cs="Arial"/>
            <w:noProof/>
          </w:rPr>
          <w:t>Gràfic 10. Nombre de sol·licituds de protecció presentades i concedides (anys 2017 a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_Toc99110969 \h </w:instrText>
        </w:r>
        <w:r w:rsidR="00E64230" w:rsidRPr="00E64230">
          <w:rPr>
            <w:noProof/>
            <w:webHidden/>
          </w:rPr>
        </w:r>
        <w:r w:rsidR="00E64230" w:rsidRPr="00E64230">
          <w:rPr>
            <w:noProof/>
            <w:webHidden/>
          </w:rPr>
          <w:fldChar w:fldCharType="separate"/>
        </w:r>
        <w:r w:rsidR="00E64230" w:rsidRPr="00E64230">
          <w:rPr>
            <w:noProof/>
            <w:webHidden/>
          </w:rPr>
          <w:t>119</w:t>
        </w:r>
        <w:r w:rsidR="00E64230" w:rsidRPr="00E64230">
          <w:rPr>
            <w:noProof/>
            <w:webHidden/>
          </w:rPr>
          <w:fldChar w:fldCharType="end"/>
        </w:r>
      </w:hyperlink>
    </w:p>
    <w:p w14:paraId="5F788F63" w14:textId="21FF70B6"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0" w:history="1">
        <w:r w:rsidR="00E64230" w:rsidRPr="00E64230">
          <w:rPr>
            <w:rStyle w:val="Hipervnculo"/>
            <w:rFonts w:cs="Arial"/>
            <w:noProof/>
          </w:rPr>
          <w:t>Gràfic 11. Persones denunciants protegides classificades per gènere (anys 2017 a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_Toc99110970 \h </w:instrText>
        </w:r>
        <w:r w:rsidR="00E64230" w:rsidRPr="00E64230">
          <w:rPr>
            <w:noProof/>
            <w:webHidden/>
          </w:rPr>
        </w:r>
        <w:r w:rsidR="00E64230" w:rsidRPr="00E64230">
          <w:rPr>
            <w:noProof/>
            <w:webHidden/>
          </w:rPr>
          <w:fldChar w:fldCharType="separate"/>
        </w:r>
        <w:r w:rsidR="00E64230" w:rsidRPr="00E64230">
          <w:rPr>
            <w:noProof/>
            <w:webHidden/>
          </w:rPr>
          <w:t>120</w:t>
        </w:r>
        <w:r w:rsidR="00E64230" w:rsidRPr="00E64230">
          <w:rPr>
            <w:noProof/>
            <w:webHidden/>
          </w:rPr>
          <w:fldChar w:fldCharType="end"/>
        </w:r>
      </w:hyperlink>
    </w:p>
    <w:p w14:paraId="2F21AA00" w14:textId="25FC0535"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1" w:history="1">
        <w:r w:rsidR="00E64230" w:rsidRPr="00E64230">
          <w:rPr>
            <w:rStyle w:val="Hipervnculo"/>
            <w:rFonts w:cs="Arial"/>
            <w:noProof/>
          </w:rPr>
          <w:t>Gràfic 12. Condició laboral dels treballadors als quals se li ha condecit l'estatut de persona denunciant (anys 2017 a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_Toc99110971 \h </w:instrText>
        </w:r>
        <w:r w:rsidR="00E64230" w:rsidRPr="00E64230">
          <w:rPr>
            <w:noProof/>
            <w:webHidden/>
          </w:rPr>
        </w:r>
        <w:r w:rsidR="00E64230" w:rsidRPr="00E64230">
          <w:rPr>
            <w:noProof/>
            <w:webHidden/>
          </w:rPr>
          <w:fldChar w:fldCharType="separate"/>
        </w:r>
        <w:r w:rsidR="00E64230" w:rsidRPr="00E64230">
          <w:rPr>
            <w:noProof/>
            <w:webHidden/>
          </w:rPr>
          <w:t>120</w:t>
        </w:r>
        <w:r w:rsidR="00E64230" w:rsidRPr="00E64230">
          <w:rPr>
            <w:noProof/>
            <w:webHidden/>
          </w:rPr>
          <w:fldChar w:fldCharType="end"/>
        </w:r>
      </w:hyperlink>
    </w:p>
    <w:p w14:paraId="39837E18" w14:textId="541D4167"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2" w:history="1">
        <w:r w:rsidR="00E64230" w:rsidRPr="00E64230">
          <w:rPr>
            <w:rStyle w:val="Hipervnculo"/>
            <w:rFonts w:cs="Arial"/>
            <w:noProof/>
          </w:rPr>
          <w:t>Gràfic 13. Segons el contingut de la denúncia realitzada pels denunciant protegits en la sol·licitud (anys 2017 a 2021</w:t>
        </w:r>
        <w:r w:rsidR="00E64230" w:rsidRPr="00E64230">
          <w:rPr>
            <w:rStyle w:val="Hipervnculo"/>
            <w:noProof/>
          </w:rPr>
          <w:t>)</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_Toc99110972 \h </w:instrText>
        </w:r>
        <w:r w:rsidR="00E64230" w:rsidRPr="00E64230">
          <w:rPr>
            <w:noProof/>
            <w:webHidden/>
          </w:rPr>
        </w:r>
        <w:r w:rsidR="00E64230" w:rsidRPr="00E64230">
          <w:rPr>
            <w:noProof/>
            <w:webHidden/>
          </w:rPr>
          <w:fldChar w:fldCharType="separate"/>
        </w:r>
        <w:r w:rsidR="00E64230" w:rsidRPr="00E64230">
          <w:rPr>
            <w:noProof/>
            <w:webHidden/>
          </w:rPr>
          <w:t>121</w:t>
        </w:r>
        <w:r w:rsidR="00E64230" w:rsidRPr="00E64230">
          <w:rPr>
            <w:noProof/>
            <w:webHidden/>
          </w:rPr>
          <w:fldChar w:fldCharType="end"/>
        </w:r>
      </w:hyperlink>
    </w:p>
    <w:p w14:paraId="04892C20" w14:textId="122CE61A"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3" w:history="1">
        <w:r w:rsidR="00E64230" w:rsidRPr="00E64230">
          <w:rPr>
            <w:rStyle w:val="Hipervnculo"/>
            <w:rFonts w:cs="Arial"/>
            <w:noProof/>
          </w:rPr>
          <w:t>Gràfic 14. Denúncies presentades per àmbit subjectiu</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_Toc99110973 \h </w:instrText>
        </w:r>
        <w:r w:rsidR="00E64230" w:rsidRPr="00E64230">
          <w:rPr>
            <w:noProof/>
            <w:webHidden/>
          </w:rPr>
        </w:r>
        <w:r w:rsidR="00E64230" w:rsidRPr="00E64230">
          <w:rPr>
            <w:noProof/>
            <w:webHidden/>
          </w:rPr>
          <w:fldChar w:fldCharType="separate"/>
        </w:r>
        <w:r w:rsidR="00E64230" w:rsidRPr="00E64230">
          <w:rPr>
            <w:noProof/>
            <w:webHidden/>
          </w:rPr>
          <w:t>137</w:t>
        </w:r>
        <w:r w:rsidR="00E64230" w:rsidRPr="00E64230">
          <w:rPr>
            <w:noProof/>
            <w:webHidden/>
          </w:rPr>
          <w:fldChar w:fldCharType="end"/>
        </w:r>
      </w:hyperlink>
    </w:p>
    <w:p w14:paraId="1D6E6D17" w14:textId="56AA7453"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4" w:history="1">
        <w:r w:rsidR="00E64230" w:rsidRPr="00E64230">
          <w:rPr>
            <w:rStyle w:val="Hipervnculo"/>
            <w:rFonts w:cs="Arial"/>
            <w:noProof/>
          </w:rPr>
          <w:t>Gràfic 15. Denúncies presentades segons el canal de comunicació</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_Toc99110974 \h </w:instrText>
        </w:r>
        <w:r w:rsidR="00E64230" w:rsidRPr="00E64230">
          <w:rPr>
            <w:noProof/>
            <w:webHidden/>
          </w:rPr>
        </w:r>
        <w:r w:rsidR="00E64230" w:rsidRPr="00E64230">
          <w:rPr>
            <w:noProof/>
            <w:webHidden/>
          </w:rPr>
          <w:fldChar w:fldCharType="separate"/>
        </w:r>
        <w:r w:rsidR="00E64230" w:rsidRPr="00E64230">
          <w:rPr>
            <w:noProof/>
            <w:webHidden/>
          </w:rPr>
          <w:t>139</w:t>
        </w:r>
        <w:r w:rsidR="00E64230" w:rsidRPr="00E64230">
          <w:rPr>
            <w:noProof/>
            <w:webHidden/>
          </w:rPr>
          <w:fldChar w:fldCharType="end"/>
        </w:r>
      </w:hyperlink>
    </w:p>
    <w:p w14:paraId="305BDE4D" w14:textId="3B9AB643"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5" w:history="1">
        <w:r w:rsidR="00E64230" w:rsidRPr="00E64230">
          <w:rPr>
            <w:rStyle w:val="Hipervnculo"/>
            <w:rFonts w:cs="Arial"/>
            <w:noProof/>
          </w:rPr>
          <w:t>Gràfic 16. Denúncies presentades segons el territori d'afectació</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_Toc99110975 \h </w:instrText>
        </w:r>
        <w:r w:rsidR="00E64230" w:rsidRPr="00E64230">
          <w:rPr>
            <w:noProof/>
            <w:webHidden/>
          </w:rPr>
        </w:r>
        <w:r w:rsidR="00E64230" w:rsidRPr="00E64230">
          <w:rPr>
            <w:noProof/>
            <w:webHidden/>
          </w:rPr>
          <w:fldChar w:fldCharType="separate"/>
        </w:r>
        <w:r w:rsidR="00E64230" w:rsidRPr="00E64230">
          <w:rPr>
            <w:noProof/>
            <w:webHidden/>
          </w:rPr>
          <w:t>140</w:t>
        </w:r>
        <w:r w:rsidR="00E64230" w:rsidRPr="00E64230">
          <w:rPr>
            <w:noProof/>
            <w:webHidden/>
          </w:rPr>
          <w:fldChar w:fldCharType="end"/>
        </w:r>
      </w:hyperlink>
    </w:p>
    <w:p w14:paraId="4F6C0CBC" w14:textId="203D328E"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6" w:history="1">
        <w:r w:rsidR="00E64230" w:rsidRPr="00E64230">
          <w:rPr>
            <w:rStyle w:val="Hipervnculo"/>
            <w:rFonts w:cs="Arial"/>
            <w:noProof/>
          </w:rPr>
          <w:t>Gràfic 17. Denúncies presentades segons l’àmbit material</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_Toc99110976 \h </w:instrText>
        </w:r>
        <w:r w:rsidR="00E64230" w:rsidRPr="00E64230">
          <w:rPr>
            <w:noProof/>
            <w:webHidden/>
          </w:rPr>
        </w:r>
        <w:r w:rsidR="00E64230" w:rsidRPr="00E64230">
          <w:rPr>
            <w:noProof/>
            <w:webHidden/>
          </w:rPr>
          <w:fldChar w:fldCharType="separate"/>
        </w:r>
        <w:r w:rsidR="00E64230" w:rsidRPr="00E64230">
          <w:rPr>
            <w:noProof/>
            <w:webHidden/>
          </w:rPr>
          <w:t>143</w:t>
        </w:r>
        <w:r w:rsidR="00E64230" w:rsidRPr="00E64230">
          <w:rPr>
            <w:noProof/>
            <w:webHidden/>
          </w:rPr>
          <w:fldChar w:fldCharType="end"/>
        </w:r>
      </w:hyperlink>
    </w:p>
    <w:p w14:paraId="7F315D30" w14:textId="7B918B59"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7" w:history="1">
        <w:r w:rsidR="00E64230" w:rsidRPr="00E64230">
          <w:rPr>
            <w:rStyle w:val="Hipervnculo"/>
            <w:rFonts w:cs="Arial"/>
            <w:noProof/>
          </w:rPr>
          <w:t>Gràfic 18. Denúncies presentades segons la tipologia, condició o naturalesa del comunicant</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_Toc99110977 \h </w:instrText>
        </w:r>
        <w:r w:rsidR="00E64230" w:rsidRPr="00E64230">
          <w:rPr>
            <w:noProof/>
            <w:webHidden/>
          </w:rPr>
        </w:r>
        <w:r w:rsidR="00E64230" w:rsidRPr="00E64230">
          <w:rPr>
            <w:noProof/>
            <w:webHidden/>
          </w:rPr>
          <w:fldChar w:fldCharType="separate"/>
        </w:r>
        <w:r w:rsidR="00E64230" w:rsidRPr="00E64230">
          <w:rPr>
            <w:noProof/>
            <w:webHidden/>
          </w:rPr>
          <w:t>144</w:t>
        </w:r>
        <w:r w:rsidR="00E64230" w:rsidRPr="00E64230">
          <w:rPr>
            <w:noProof/>
            <w:webHidden/>
          </w:rPr>
          <w:fldChar w:fldCharType="end"/>
        </w:r>
      </w:hyperlink>
    </w:p>
    <w:p w14:paraId="23D0F2ED" w14:textId="2878C9C9"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8" w:history="1">
        <w:r w:rsidR="00E64230" w:rsidRPr="00E64230">
          <w:rPr>
            <w:rStyle w:val="Hipervnculo"/>
            <w:rFonts w:cs="Arial"/>
            <w:noProof/>
          </w:rPr>
          <w:t>Gràfic 19. Denúncies de persones físiques classificades per gènere</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_Toc99110978 \h </w:instrText>
        </w:r>
        <w:r w:rsidR="00E64230" w:rsidRPr="00E64230">
          <w:rPr>
            <w:noProof/>
            <w:webHidden/>
          </w:rPr>
        </w:r>
        <w:r w:rsidR="00E64230" w:rsidRPr="00E64230">
          <w:rPr>
            <w:noProof/>
            <w:webHidden/>
          </w:rPr>
          <w:fldChar w:fldCharType="separate"/>
        </w:r>
        <w:r w:rsidR="00E64230" w:rsidRPr="00E64230">
          <w:rPr>
            <w:noProof/>
            <w:webHidden/>
          </w:rPr>
          <w:t>145</w:t>
        </w:r>
        <w:r w:rsidR="00E64230" w:rsidRPr="00E64230">
          <w:rPr>
            <w:noProof/>
            <w:webHidden/>
          </w:rPr>
          <w:fldChar w:fldCharType="end"/>
        </w:r>
      </w:hyperlink>
    </w:p>
    <w:p w14:paraId="22042493" w14:textId="3EBBA0A7"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79" w:history="1">
        <w:r w:rsidR="00E64230" w:rsidRPr="00E64230">
          <w:rPr>
            <w:rStyle w:val="Hipervnculo"/>
            <w:rFonts w:cs="Arial"/>
            <w:noProof/>
          </w:rPr>
          <w:t>Gràfic 20. Estat de Situació dels expedients d'anàlisis i investigació</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_Toc99110979 \h </w:instrText>
        </w:r>
        <w:r w:rsidR="00E64230" w:rsidRPr="00E64230">
          <w:rPr>
            <w:noProof/>
            <w:webHidden/>
          </w:rPr>
        </w:r>
        <w:r w:rsidR="00E64230" w:rsidRPr="00E64230">
          <w:rPr>
            <w:noProof/>
            <w:webHidden/>
          </w:rPr>
          <w:fldChar w:fldCharType="separate"/>
        </w:r>
        <w:r w:rsidR="00E64230" w:rsidRPr="00E64230">
          <w:rPr>
            <w:noProof/>
            <w:webHidden/>
          </w:rPr>
          <w:t>147</w:t>
        </w:r>
        <w:r w:rsidR="00E64230" w:rsidRPr="00E64230">
          <w:rPr>
            <w:noProof/>
            <w:webHidden/>
          </w:rPr>
          <w:fldChar w:fldCharType="end"/>
        </w:r>
      </w:hyperlink>
    </w:p>
    <w:p w14:paraId="13FBD0E7" w14:textId="0052FE9C"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80" w:history="1">
        <w:r w:rsidR="00E64230" w:rsidRPr="00E64230">
          <w:rPr>
            <w:rStyle w:val="Hipervnculo"/>
            <w:rFonts w:cs="Arial"/>
            <w:noProof/>
          </w:rPr>
          <w:t>Gràfic 21. Resum d'expedients tramitats en 2021 i 2020</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_Toc99110980 \h </w:instrText>
        </w:r>
        <w:r w:rsidR="00E64230" w:rsidRPr="00E64230">
          <w:rPr>
            <w:noProof/>
            <w:webHidden/>
          </w:rPr>
        </w:r>
        <w:r w:rsidR="00E64230" w:rsidRPr="00E64230">
          <w:rPr>
            <w:noProof/>
            <w:webHidden/>
          </w:rPr>
          <w:fldChar w:fldCharType="separate"/>
        </w:r>
        <w:r w:rsidR="00E64230" w:rsidRPr="00E64230">
          <w:rPr>
            <w:noProof/>
            <w:webHidden/>
          </w:rPr>
          <w:t>148</w:t>
        </w:r>
        <w:r w:rsidR="00E64230" w:rsidRPr="00E64230">
          <w:rPr>
            <w:noProof/>
            <w:webHidden/>
          </w:rPr>
          <w:fldChar w:fldCharType="end"/>
        </w:r>
      </w:hyperlink>
    </w:p>
    <w:p w14:paraId="3E89FBEB" w14:textId="6DA504D2"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81" w:history="1">
        <w:r w:rsidR="00E64230" w:rsidRPr="00E64230">
          <w:rPr>
            <w:rStyle w:val="Hipervnculo"/>
            <w:rFonts w:cs="Arial"/>
            <w:noProof/>
          </w:rPr>
          <w:t>Gràfic 22. Eixos estratègics del Pla de Formació de l'AVAF 2021-2024</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_Toc99110981 \h </w:instrText>
        </w:r>
        <w:r w:rsidR="00E64230" w:rsidRPr="00E64230">
          <w:rPr>
            <w:noProof/>
            <w:webHidden/>
          </w:rPr>
        </w:r>
        <w:r w:rsidR="00E64230" w:rsidRPr="00E64230">
          <w:rPr>
            <w:noProof/>
            <w:webHidden/>
          </w:rPr>
          <w:fldChar w:fldCharType="separate"/>
        </w:r>
        <w:r w:rsidR="00E64230" w:rsidRPr="00E64230">
          <w:rPr>
            <w:noProof/>
            <w:webHidden/>
          </w:rPr>
          <w:t>261</w:t>
        </w:r>
        <w:r w:rsidR="00E64230" w:rsidRPr="00E64230">
          <w:rPr>
            <w:noProof/>
            <w:webHidden/>
          </w:rPr>
          <w:fldChar w:fldCharType="end"/>
        </w:r>
      </w:hyperlink>
    </w:p>
    <w:p w14:paraId="4E924395" w14:textId="67FB8826"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82" w:history="1">
        <w:r w:rsidR="00E64230" w:rsidRPr="00E64230">
          <w:rPr>
            <w:rStyle w:val="Hipervnculo"/>
            <w:rFonts w:cs="Arial"/>
            <w:noProof/>
          </w:rPr>
          <w:t>Gràfic 23. Evolució Activitats formatives 2017-2021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_Toc99110982 \h </w:instrText>
        </w:r>
        <w:r w:rsidR="00E64230" w:rsidRPr="00E64230">
          <w:rPr>
            <w:noProof/>
            <w:webHidden/>
          </w:rPr>
        </w:r>
        <w:r w:rsidR="00E64230" w:rsidRPr="00E64230">
          <w:rPr>
            <w:noProof/>
            <w:webHidden/>
          </w:rPr>
          <w:fldChar w:fldCharType="separate"/>
        </w:r>
        <w:r w:rsidR="00E64230" w:rsidRPr="00E64230">
          <w:rPr>
            <w:noProof/>
            <w:webHidden/>
          </w:rPr>
          <w:t>265</w:t>
        </w:r>
        <w:r w:rsidR="00E64230" w:rsidRPr="00E64230">
          <w:rPr>
            <w:noProof/>
            <w:webHidden/>
          </w:rPr>
          <w:fldChar w:fldCharType="end"/>
        </w:r>
      </w:hyperlink>
    </w:p>
    <w:p w14:paraId="5C378378" w14:textId="4463BB20"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83" w:history="1">
        <w:r w:rsidR="00E64230" w:rsidRPr="00E64230">
          <w:rPr>
            <w:rStyle w:val="Hipervnculo"/>
            <w:rFonts w:cs="Arial"/>
            <w:noProof/>
          </w:rPr>
          <w:t>Gràfic 24. Distribució anual d'activitats formatives 2017-2021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_Toc99110983 \h </w:instrText>
        </w:r>
        <w:r w:rsidR="00E64230" w:rsidRPr="00E64230">
          <w:rPr>
            <w:noProof/>
            <w:webHidden/>
          </w:rPr>
        </w:r>
        <w:r w:rsidR="00E64230" w:rsidRPr="00E64230">
          <w:rPr>
            <w:noProof/>
            <w:webHidden/>
          </w:rPr>
          <w:fldChar w:fldCharType="separate"/>
        </w:r>
        <w:r w:rsidR="00E64230" w:rsidRPr="00E64230">
          <w:rPr>
            <w:noProof/>
            <w:webHidden/>
          </w:rPr>
          <w:t>265</w:t>
        </w:r>
        <w:r w:rsidR="00E64230" w:rsidRPr="00E64230">
          <w:rPr>
            <w:noProof/>
            <w:webHidden/>
          </w:rPr>
          <w:fldChar w:fldCharType="end"/>
        </w:r>
      </w:hyperlink>
    </w:p>
    <w:p w14:paraId="58BB725A" w14:textId="03781C4F"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49" w:anchor="_Toc99110984" w:history="1">
        <w:r w:rsidR="00E64230" w:rsidRPr="00E64230">
          <w:rPr>
            <w:rStyle w:val="Hipervnculo"/>
            <w:rFonts w:cs="Arial"/>
            <w:noProof/>
          </w:rPr>
          <w:t>Gràfic 25. Evolució participants en activitats formatives 2017-2021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_Toc99110984 \h </w:instrText>
        </w:r>
        <w:r w:rsidR="00E64230" w:rsidRPr="00E64230">
          <w:rPr>
            <w:noProof/>
            <w:webHidden/>
          </w:rPr>
        </w:r>
        <w:r w:rsidR="00E64230" w:rsidRPr="00E64230">
          <w:rPr>
            <w:noProof/>
            <w:webHidden/>
          </w:rPr>
          <w:fldChar w:fldCharType="separate"/>
        </w:r>
        <w:r w:rsidR="00E64230" w:rsidRPr="00E64230">
          <w:rPr>
            <w:noProof/>
            <w:webHidden/>
          </w:rPr>
          <w:t>266</w:t>
        </w:r>
        <w:r w:rsidR="00E64230" w:rsidRPr="00E64230">
          <w:rPr>
            <w:noProof/>
            <w:webHidden/>
          </w:rPr>
          <w:fldChar w:fldCharType="end"/>
        </w:r>
      </w:hyperlink>
    </w:p>
    <w:p w14:paraId="2A1EC5C8" w14:textId="421DAF85"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85" w:history="1">
        <w:r w:rsidR="00E64230" w:rsidRPr="00E64230">
          <w:rPr>
            <w:rStyle w:val="Hipervnculo"/>
            <w:rFonts w:cs="Arial"/>
            <w:noProof/>
          </w:rPr>
          <w:t>Gràfic 26. Distribució de participants en activitats formatives 2017-2021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_Toc99110985 \h </w:instrText>
        </w:r>
        <w:r w:rsidR="00E64230" w:rsidRPr="00E64230">
          <w:rPr>
            <w:noProof/>
            <w:webHidden/>
          </w:rPr>
        </w:r>
        <w:r w:rsidR="00E64230" w:rsidRPr="00E64230">
          <w:rPr>
            <w:noProof/>
            <w:webHidden/>
          </w:rPr>
          <w:fldChar w:fldCharType="separate"/>
        </w:r>
        <w:r w:rsidR="00E64230" w:rsidRPr="00E64230">
          <w:rPr>
            <w:noProof/>
            <w:webHidden/>
          </w:rPr>
          <w:t>266</w:t>
        </w:r>
        <w:r w:rsidR="00E64230" w:rsidRPr="00E64230">
          <w:rPr>
            <w:noProof/>
            <w:webHidden/>
          </w:rPr>
          <w:fldChar w:fldCharType="end"/>
        </w:r>
      </w:hyperlink>
    </w:p>
    <w:p w14:paraId="79965063" w14:textId="2F4B80D9"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50" w:anchor="_Toc99110986" w:history="1">
        <w:r w:rsidR="00E64230" w:rsidRPr="00E64230">
          <w:rPr>
            <w:rStyle w:val="Hipervnculo"/>
            <w:rFonts w:cs="Arial"/>
            <w:noProof/>
          </w:rPr>
          <w:t>Gràfic 27. Evolució hores lectives en activitats formatives 2017-2021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_Toc99110986 \h </w:instrText>
        </w:r>
        <w:r w:rsidR="00E64230" w:rsidRPr="00E64230">
          <w:rPr>
            <w:noProof/>
            <w:webHidden/>
          </w:rPr>
        </w:r>
        <w:r w:rsidR="00E64230" w:rsidRPr="00E64230">
          <w:rPr>
            <w:noProof/>
            <w:webHidden/>
          </w:rPr>
          <w:fldChar w:fldCharType="separate"/>
        </w:r>
        <w:r w:rsidR="00E64230" w:rsidRPr="00E64230">
          <w:rPr>
            <w:noProof/>
            <w:webHidden/>
          </w:rPr>
          <w:t>267</w:t>
        </w:r>
        <w:r w:rsidR="00E64230" w:rsidRPr="00E64230">
          <w:rPr>
            <w:noProof/>
            <w:webHidden/>
          </w:rPr>
          <w:fldChar w:fldCharType="end"/>
        </w:r>
      </w:hyperlink>
    </w:p>
    <w:p w14:paraId="1696D1CA" w14:textId="2B99DE35"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51" w:anchor="_Toc99110987" w:history="1">
        <w:r w:rsidR="00E64230" w:rsidRPr="00E64230">
          <w:rPr>
            <w:rStyle w:val="Hipervnculo"/>
            <w:rFonts w:cs="Arial"/>
            <w:noProof/>
          </w:rPr>
          <w:t>Gràfic 28. Distribució hores lectives en activitats formatives 2017-2021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_Toc99110987 \h </w:instrText>
        </w:r>
        <w:r w:rsidR="00E64230" w:rsidRPr="00E64230">
          <w:rPr>
            <w:noProof/>
            <w:webHidden/>
          </w:rPr>
        </w:r>
        <w:r w:rsidR="00E64230" w:rsidRPr="00E64230">
          <w:rPr>
            <w:noProof/>
            <w:webHidden/>
          </w:rPr>
          <w:fldChar w:fldCharType="separate"/>
        </w:r>
        <w:r w:rsidR="00E64230" w:rsidRPr="00E64230">
          <w:rPr>
            <w:noProof/>
            <w:webHidden/>
          </w:rPr>
          <w:t>267</w:t>
        </w:r>
        <w:r w:rsidR="00E64230" w:rsidRPr="00E64230">
          <w:rPr>
            <w:noProof/>
            <w:webHidden/>
          </w:rPr>
          <w:fldChar w:fldCharType="end"/>
        </w:r>
      </w:hyperlink>
    </w:p>
    <w:p w14:paraId="32FAF48C" w14:textId="7C407C6C"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88" w:history="1">
        <w:r w:rsidR="00E64230" w:rsidRPr="00E64230">
          <w:rPr>
            <w:rStyle w:val="Hipervnculo"/>
            <w:rFonts w:cs="Arial"/>
            <w:noProof/>
          </w:rPr>
          <w:t>Gràfic 29. Distribució d'activitats formatives per quadrimestres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_Toc99110988 \h </w:instrText>
        </w:r>
        <w:r w:rsidR="00E64230" w:rsidRPr="00E64230">
          <w:rPr>
            <w:noProof/>
            <w:webHidden/>
          </w:rPr>
        </w:r>
        <w:r w:rsidR="00E64230" w:rsidRPr="00E64230">
          <w:rPr>
            <w:noProof/>
            <w:webHidden/>
          </w:rPr>
          <w:fldChar w:fldCharType="separate"/>
        </w:r>
        <w:r w:rsidR="00E64230" w:rsidRPr="00E64230">
          <w:rPr>
            <w:noProof/>
            <w:webHidden/>
          </w:rPr>
          <w:t>268</w:t>
        </w:r>
        <w:r w:rsidR="00E64230" w:rsidRPr="00E64230">
          <w:rPr>
            <w:noProof/>
            <w:webHidden/>
          </w:rPr>
          <w:fldChar w:fldCharType="end"/>
        </w:r>
      </w:hyperlink>
    </w:p>
    <w:p w14:paraId="6084613F" w14:textId="1A6344CE"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89" w:history="1">
        <w:r w:rsidR="00E64230" w:rsidRPr="00E64230">
          <w:rPr>
            <w:rStyle w:val="Hipervnculo"/>
            <w:rFonts w:cs="Arial"/>
            <w:noProof/>
          </w:rPr>
          <w:t>Gràfic 30. Distribució territorial d'activitats formatives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_Toc99110989 \h </w:instrText>
        </w:r>
        <w:r w:rsidR="00E64230" w:rsidRPr="00E64230">
          <w:rPr>
            <w:noProof/>
            <w:webHidden/>
          </w:rPr>
        </w:r>
        <w:r w:rsidR="00E64230" w:rsidRPr="00E64230">
          <w:rPr>
            <w:noProof/>
            <w:webHidden/>
          </w:rPr>
          <w:fldChar w:fldCharType="separate"/>
        </w:r>
        <w:r w:rsidR="00E64230" w:rsidRPr="00E64230">
          <w:rPr>
            <w:noProof/>
            <w:webHidden/>
          </w:rPr>
          <w:t>269</w:t>
        </w:r>
        <w:r w:rsidR="00E64230" w:rsidRPr="00E64230">
          <w:rPr>
            <w:noProof/>
            <w:webHidden/>
          </w:rPr>
          <w:fldChar w:fldCharType="end"/>
        </w:r>
      </w:hyperlink>
    </w:p>
    <w:p w14:paraId="5193852D" w14:textId="666D6820"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90" w:history="1">
        <w:r w:rsidR="00E64230" w:rsidRPr="00E64230">
          <w:rPr>
            <w:rStyle w:val="Hipervnculo"/>
            <w:rFonts w:cs="Arial"/>
            <w:noProof/>
          </w:rPr>
          <w:t>Gràfic 31. Localitats en les quals s'ha dut a terme activitats formatives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_Toc99110990 \h </w:instrText>
        </w:r>
        <w:r w:rsidR="00E64230" w:rsidRPr="00E64230">
          <w:rPr>
            <w:noProof/>
            <w:webHidden/>
          </w:rPr>
        </w:r>
        <w:r w:rsidR="00E64230" w:rsidRPr="00E64230">
          <w:rPr>
            <w:noProof/>
            <w:webHidden/>
          </w:rPr>
          <w:fldChar w:fldCharType="separate"/>
        </w:r>
        <w:r w:rsidR="00E64230" w:rsidRPr="00E64230">
          <w:rPr>
            <w:noProof/>
            <w:webHidden/>
          </w:rPr>
          <w:t>270</w:t>
        </w:r>
        <w:r w:rsidR="00E64230" w:rsidRPr="00E64230">
          <w:rPr>
            <w:noProof/>
            <w:webHidden/>
          </w:rPr>
          <w:fldChar w:fldCharType="end"/>
        </w:r>
      </w:hyperlink>
    </w:p>
    <w:p w14:paraId="236900A4" w14:textId="27DABC46"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91" w:history="1">
        <w:r w:rsidR="00E64230" w:rsidRPr="00E64230">
          <w:rPr>
            <w:rStyle w:val="Hipervnculo"/>
            <w:rFonts w:cs="Arial"/>
            <w:noProof/>
          </w:rPr>
          <w:t>Gràfic 32. Origen de la iniciativa d'activitats formatives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_Toc99110991 \h </w:instrText>
        </w:r>
        <w:r w:rsidR="00E64230" w:rsidRPr="00E64230">
          <w:rPr>
            <w:noProof/>
            <w:webHidden/>
          </w:rPr>
        </w:r>
        <w:r w:rsidR="00E64230" w:rsidRPr="00E64230">
          <w:rPr>
            <w:noProof/>
            <w:webHidden/>
          </w:rPr>
          <w:fldChar w:fldCharType="separate"/>
        </w:r>
        <w:r w:rsidR="00E64230" w:rsidRPr="00E64230">
          <w:rPr>
            <w:noProof/>
            <w:webHidden/>
          </w:rPr>
          <w:t>271</w:t>
        </w:r>
        <w:r w:rsidR="00E64230" w:rsidRPr="00E64230">
          <w:rPr>
            <w:noProof/>
            <w:webHidden/>
          </w:rPr>
          <w:fldChar w:fldCharType="end"/>
        </w:r>
      </w:hyperlink>
    </w:p>
    <w:p w14:paraId="0E4A5FA2" w14:textId="71D2B693"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92" w:history="1">
        <w:r w:rsidR="00E64230" w:rsidRPr="00E64230">
          <w:rPr>
            <w:rStyle w:val="Hipervnculo"/>
            <w:rFonts w:cs="Arial"/>
            <w:noProof/>
          </w:rPr>
          <w:t>Gràfic 33. Mapa d'Universitats que han participat del docufòrum</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_Toc99110992 \h </w:instrText>
        </w:r>
        <w:r w:rsidR="00E64230" w:rsidRPr="00E64230">
          <w:rPr>
            <w:noProof/>
            <w:webHidden/>
          </w:rPr>
        </w:r>
        <w:r w:rsidR="00E64230" w:rsidRPr="00E64230">
          <w:rPr>
            <w:noProof/>
            <w:webHidden/>
          </w:rPr>
          <w:fldChar w:fldCharType="separate"/>
        </w:r>
        <w:r w:rsidR="00E64230" w:rsidRPr="00E64230">
          <w:rPr>
            <w:noProof/>
            <w:webHidden/>
          </w:rPr>
          <w:t>275</w:t>
        </w:r>
        <w:r w:rsidR="00E64230" w:rsidRPr="00E64230">
          <w:rPr>
            <w:noProof/>
            <w:webHidden/>
          </w:rPr>
          <w:fldChar w:fldCharType="end"/>
        </w:r>
      </w:hyperlink>
    </w:p>
    <w:p w14:paraId="56438B56" w14:textId="31980831"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93" w:history="1">
        <w:r w:rsidR="00E64230" w:rsidRPr="00E64230">
          <w:rPr>
            <w:rStyle w:val="Hipervnculo"/>
            <w:rFonts w:cs="Arial"/>
            <w:noProof/>
          </w:rPr>
          <w:t>Gràfic 34. Col·laboració institucional en activitats formatives</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_Toc99110993 \h </w:instrText>
        </w:r>
        <w:r w:rsidR="00E64230" w:rsidRPr="00E64230">
          <w:rPr>
            <w:noProof/>
            <w:webHidden/>
          </w:rPr>
        </w:r>
        <w:r w:rsidR="00E64230" w:rsidRPr="00E64230">
          <w:rPr>
            <w:noProof/>
            <w:webHidden/>
          </w:rPr>
          <w:fldChar w:fldCharType="separate"/>
        </w:r>
        <w:r w:rsidR="00E64230" w:rsidRPr="00E64230">
          <w:rPr>
            <w:noProof/>
            <w:webHidden/>
          </w:rPr>
          <w:t>282</w:t>
        </w:r>
        <w:r w:rsidR="00E64230" w:rsidRPr="00E64230">
          <w:rPr>
            <w:noProof/>
            <w:webHidden/>
          </w:rPr>
          <w:fldChar w:fldCharType="end"/>
        </w:r>
      </w:hyperlink>
    </w:p>
    <w:p w14:paraId="78455900" w14:textId="5FAB0863"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94" w:history="1">
        <w:r w:rsidR="00E64230" w:rsidRPr="00E64230">
          <w:rPr>
            <w:rStyle w:val="Hipervnculo"/>
            <w:rFonts w:cs="Arial"/>
            <w:noProof/>
          </w:rPr>
          <w:t>Gràfic 35. Evolució del nombre de llocs de treball per unitat administrativa segons la RPT</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_Toc99110994 \h </w:instrText>
        </w:r>
        <w:r w:rsidR="00E64230" w:rsidRPr="00E64230">
          <w:rPr>
            <w:noProof/>
            <w:webHidden/>
          </w:rPr>
        </w:r>
        <w:r w:rsidR="00E64230" w:rsidRPr="00E64230">
          <w:rPr>
            <w:noProof/>
            <w:webHidden/>
          </w:rPr>
          <w:fldChar w:fldCharType="separate"/>
        </w:r>
        <w:r w:rsidR="00E64230" w:rsidRPr="00E64230">
          <w:rPr>
            <w:noProof/>
            <w:webHidden/>
          </w:rPr>
          <w:t>303</w:t>
        </w:r>
        <w:r w:rsidR="00E64230" w:rsidRPr="00E64230">
          <w:rPr>
            <w:noProof/>
            <w:webHidden/>
          </w:rPr>
          <w:fldChar w:fldCharType="end"/>
        </w:r>
      </w:hyperlink>
    </w:p>
    <w:p w14:paraId="17745162" w14:textId="4119A77F" w:rsidR="00E64230" w:rsidRPr="00E64230"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95" w:history="1">
        <w:r w:rsidR="00E64230" w:rsidRPr="00E64230">
          <w:rPr>
            <w:rStyle w:val="Hipervnculo"/>
            <w:rFonts w:cs="Arial"/>
            <w:noProof/>
          </w:rPr>
          <w:t>Gràfic 36. Evolució del nombre de llocs de treball per unitat administrativa ocupats a 31 de desembre</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_Toc99110995 \h </w:instrText>
        </w:r>
        <w:r w:rsidR="00E64230" w:rsidRPr="00E64230">
          <w:rPr>
            <w:noProof/>
            <w:webHidden/>
          </w:rPr>
        </w:r>
        <w:r w:rsidR="00E64230" w:rsidRPr="00E64230">
          <w:rPr>
            <w:noProof/>
            <w:webHidden/>
          </w:rPr>
          <w:fldChar w:fldCharType="separate"/>
        </w:r>
        <w:r w:rsidR="00E64230" w:rsidRPr="00E64230">
          <w:rPr>
            <w:noProof/>
            <w:webHidden/>
          </w:rPr>
          <w:t>303</w:t>
        </w:r>
        <w:r w:rsidR="00E64230" w:rsidRPr="00E64230">
          <w:rPr>
            <w:noProof/>
            <w:webHidden/>
          </w:rPr>
          <w:fldChar w:fldCharType="end"/>
        </w:r>
      </w:hyperlink>
    </w:p>
    <w:p w14:paraId="6462E428" w14:textId="58E7BF3C" w:rsidR="00E64230" w:rsidRDefault="00254AEC">
      <w:pPr>
        <w:pStyle w:val="Tabladeilustraciones"/>
        <w:tabs>
          <w:tab w:val="right" w:leader="dot" w:pos="8212"/>
        </w:tabs>
        <w:rPr>
          <w:rFonts w:asciiTheme="minorHAnsi" w:eastAsiaTheme="minorEastAsia" w:hAnsiTheme="minorHAnsi" w:cstheme="minorBidi"/>
          <w:bCs w:val="0"/>
          <w:noProof/>
          <w:sz w:val="22"/>
          <w:szCs w:val="22"/>
          <w:lang w:val="es-ES" w:eastAsia="es-ES"/>
        </w:rPr>
      </w:pPr>
      <w:hyperlink w:anchor="_Toc99110996" w:history="1">
        <w:r w:rsidR="00E64230" w:rsidRPr="00E64230">
          <w:rPr>
            <w:rStyle w:val="Hipervnculo"/>
            <w:rFonts w:cs="Arial"/>
            <w:noProof/>
          </w:rPr>
          <w:t>Gràfic 37. Ocupació de llocs de treball per gènere a 31 de desembre de 2021</w:t>
        </w:r>
        <w:r w:rsidR="00E64230" w:rsidRPr="00E64230">
          <w:rPr>
            <w:noProof/>
            <w:webHidden/>
          </w:rPr>
          <w:tab/>
        </w:r>
        <w:r w:rsidR="00E64230" w:rsidRPr="00E64230">
          <w:rPr>
            <w:noProof/>
            <w:webHidden/>
          </w:rPr>
          <w:fldChar w:fldCharType="begin" w:fldLock="1"/>
        </w:r>
        <w:r w:rsidR="00E64230" w:rsidRPr="00E64230">
          <w:rPr>
            <w:noProof/>
            <w:webHidden/>
          </w:rPr>
          <w:instrText xml:space="preserve"> PAGEREF _Toc99110996 \h </w:instrText>
        </w:r>
        <w:r w:rsidR="00E64230" w:rsidRPr="00E64230">
          <w:rPr>
            <w:noProof/>
            <w:webHidden/>
          </w:rPr>
        </w:r>
        <w:r w:rsidR="00E64230" w:rsidRPr="00E64230">
          <w:rPr>
            <w:noProof/>
            <w:webHidden/>
          </w:rPr>
          <w:fldChar w:fldCharType="separate"/>
        </w:r>
        <w:r w:rsidR="00E64230" w:rsidRPr="00E64230">
          <w:rPr>
            <w:noProof/>
            <w:webHidden/>
          </w:rPr>
          <w:t>304</w:t>
        </w:r>
        <w:r w:rsidR="00E64230" w:rsidRPr="00E64230">
          <w:rPr>
            <w:noProof/>
            <w:webHidden/>
          </w:rPr>
          <w:fldChar w:fldCharType="end"/>
        </w:r>
      </w:hyperlink>
    </w:p>
    <w:p w14:paraId="2603516D" w14:textId="40D7BE47" w:rsidR="004927C3" w:rsidRPr="0014689C" w:rsidRDefault="0020076C" w:rsidP="006F2B42">
      <w:pPr>
        <w:jc w:val="both"/>
        <w:rPr>
          <w:rFonts w:ascii="Arial" w:hAnsi="Arial" w:cs="Arial"/>
          <w:b/>
          <w:color w:val="9D2235" w:themeColor="accent1"/>
          <w:sz w:val="20"/>
          <w:szCs w:val="20"/>
        </w:rPr>
      </w:pPr>
      <w:r w:rsidRPr="00DA3DC3">
        <w:rPr>
          <w:rFonts w:ascii="Arial" w:hAnsi="Arial" w:cs="Arial"/>
          <w:b/>
          <w:color w:val="9D2235" w:themeColor="accent1"/>
          <w:sz w:val="60"/>
          <w:szCs w:val="60"/>
        </w:rPr>
        <w:fldChar w:fldCharType="end"/>
      </w:r>
    </w:p>
    <w:p w14:paraId="7928FBD0" w14:textId="27F44BB3" w:rsidR="004927C3" w:rsidRPr="00DA3DC3" w:rsidRDefault="004927C3" w:rsidP="006F2B42">
      <w:pPr>
        <w:rPr>
          <w:rFonts w:ascii="Arial" w:hAnsi="Arial" w:cs="Arial"/>
          <w:b/>
          <w:color w:val="9D2235" w:themeColor="accent1"/>
          <w:sz w:val="60"/>
          <w:szCs w:val="60"/>
        </w:rPr>
      </w:pPr>
      <w:r w:rsidRPr="00DA3DC3">
        <w:rPr>
          <w:rFonts w:ascii="Arial" w:hAnsi="Arial" w:cs="Arial"/>
          <w:b/>
          <w:color w:val="9D2235" w:themeColor="accent1"/>
          <w:sz w:val="60"/>
          <w:szCs w:val="60"/>
        </w:rPr>
        <w:t>Índ</w:t>
      </w:r>
      <w:r w:rsidR="006A3245" w:rsidRPr="00DA3DC3">
        <w:rPr>
          <w:rFonts w:ascii="Arial" w:hAnsi="Arial" w:cs="Arial"/>
          <w:b/>
          <w:color w:val="9D2235" w:themeColor="accent1"/>
          <w:sz w:val="60"/>
          <w:szCs w:val="60"/>
        </w:rPr>
        <w:t>ex</w:t>
      </w:r>
      <w:r w:rsidRPr="00DA3DC3">
        <w:rPr>
          <w:rFonts w:ascii="Arial" w:hAnsi="Arial" w:cs="Arial"/>
          <w:b/>
          <w:color w:val="9D2235" w:themeColor="accent1"/>
          <w:sz w:val="60"/>
          <w:szCs w:val="60"/>
        </w:rPr>
        <w:t xml:space="preserve"> d</w:t>
      </w:r>
      <w:r w:rsidR="006A3245" w:rsidRPr="00DA3DC3">
        <w:rPr>
          <w:rFonts w:ascii="Arial" w:hAnsi="Arial" w:cs="Arial"/>
          <w:b/>
          <w:color w:val="9D2235" w:themeColor="accent1"/>
          <w:sz w:val="60"/>
          <w:szCs w:val="60"/>
        </w:rPr>
        <w:t>’</w:t>
      </w:r>
      <w:r w:rsidRPr="00DA3DC3">
        <w:rPr>
          <w:rFonts w:ascii="Arial" w:hAnsi="Arial" w:cs="Arial"/>
          <w:b/>
          <w:color w:val="9D2235" w:themeColor="accent1"/>
          <w:sz w:val="60"/>
          <w:szCs w:val="60"/>
        </w:rPr>
        <w:t>il</w:t>
      </w:r>
      <w:r w:rsidR="006A3245" w:rsidRPr="00DA3DC3">
        <w:rPr>
          <w:rFonts w:ascii="Arial" w:hAnsi="Arial" w:cs="Arial"/>
          <w:b/>
          <w:color w:val="9D2235" w:themeColor="accent1"/>
          <w:sz w:val="60"/>
          <w:szCs w:val="60"/>
        </w:rPr>
        <w:t>·l</w:t>
      </w:r>
      <w:r w:rsidRPr="00DA3DC3">
        <w:rPr>
          <w:rFonts w:ascii="Arial" w:hAnsi="Arial" w:cs="Arial"/>
          <w:b/>
          <w:color w:val="9D2235" w:themeColor="accent1"/>
          <w:sz w:val="60"/>
          <w:szCs w:val="60"/>
        </w:rPr>
        <w:t>ustracions</w:t>
      </w:r>
    </w:p>
    <w:p w14:paraId="353B5685" w14:textId="1B2E0D3A" w:rsidR="003D3409" w:rsidRPr="003D3409" w:rsidRDefault="00506C3D">
      <w:pPr>
        <w:pStyle w:val="Tabladeilustraciones"/>
        <w:tabs>
          <w:tab w:val="right" w:leader="dot" w:pos="8212"/>
        </w:tabs>
        <w:rPr>
          <w:rFonts w:asciiTheme="minorHAnsi" w:eastAsiaTheme="minorEastAsia" w:hAnsiTheme="minorHAnsi" w:cstheme="minorBidi"/>
          <w:noProof/>
          <w:sz w:val="22"/>
          <w:szCs w:val="22"/>
          <w:lang w:val="es-ES" w:eastAsia="es-ES"/>
        </w:rPr>
      </w:pPr>
      <w:r w:rsidRPr="00DA3DC3">
        <w:rPr>
          <w:rFonts w:cs="Arial"/>
          <w:bCs w:val="0"/>
          <w:color w:val="FF0000"/>
        </w:rPr>
        <w:fldChar w:fldCharType="begin" w:fldLock="1"/>
      </w:r>
      <w:r w:rsidRPr="00DA3DC3">
        <w:rPr>
          <w:rFonts w:cs="Arial"/>
          <w:bCs w:val="0"/>
          <w:color w:val="FF0000"/>
        </w:rPr>
        <w:instrText xml:space="preserve"> TOC \h \z \c "Il·lustració" </w:instrText>
      </w:r>
      <w:r w:rsidRPr="00DA3DC3">
        <w:rPr>
          <w:rFonts w:cs="Arial"/>
          <w:bCs w:val="0"/>
          <w:color w:val="FF0000"/>
        </w:rPr>
        <w:fldChar w:fldCharType="separate"/>
      </w:r>
      <w:hyperlink r:id="rId52" w:anchor="_Toc99110947" w:history="1">
        <w:r w:rsidR="003D3409" w:rsidRPr="003D3409">
          <w:rPr>
            <w:rStyle w:val="Hipervnculo"/>
            <w:rFonts w:cs="Arial"/>
            <w:noProof/>
          </w:rPr>
          <w:t>Il·lustració 1. Infografia del webinar: Enriquiment injust. ¿Ús o abús?</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_Toc99110947 \h </w:instrText>
        </w:r>
        <w:r w:rsidR="003D3409" w:rsidRPr="003D3409">
          <w:rPr>
            <w:noProof/>
            <w:webHidden/>
          </w:rPr>
        </w:r>
        <w:r w:rsidR="003D3409" w:rsidRPr="003D3409">
          <w:rPr>
            <w:noProof/>
            <w:webHidden/>
          </w:rPr>
          <w:fldChar w:fldCharType="separate"/>
        </w:r>
        <w:r w:rsidR="003D3409" w:rsidRPr="003D3409">
          <w:rPr>
            <w:noProof/>
            <w:webHidden/>
          </w:rPr>
          <w:t>20</w:t>
        </w:r>
        <w:r w:rsidR="003D3409" w:rsidRPr="003D3409">
          <w:rPr>
            <w:noProof/>
            <w:webHidden/>
          </w:rPr>
          <w:fldChar w:fldCharType="end"/>
        </w:r>
      </w:hyperlink>
    </w:p>
    <w:p w14:paraId="4072F97E" w14:textId="14B19F15"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48" w:history="1">
        <w:r w:rsidR="003D3409" w:rsidRPr="003D3409">
          <w:rPr>
            <w:rStyle w:val="Hipervnculo"/>
            <w:rFonts w:cs="Arial"/>
            <w:noProof/>
          </w:rPr>
          <w:t>Il·lustració 2. Infografia del webinar: La bústia de denúncies de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_Toc99110948 \h </w:instrText>
        </w:r>
        <w:r w:rsidR="003D3409" w:rsidRPr="003D3409">
          <w:rPr>
            <w:noProof/>
            <w:webHidden/>
          </w:rPr>
        </w:r>
        <w:r w:rsidR="003D3409" w:rsidRPr="003D3409">
          <w:rPr>
            <w:noProof/>
            <w:webHidden/>
          </w:rPr>
          <w:fldChar w:fldCharType="separate"/>
        </w:r>
        <w:r w:rsidR="003D3409" w:rsidRPr="003D3409">
          <w:rPr>
            <w:noProof/>
            <w:webHidden/>
          </w:rPr>
          <w:t>21</w:t>
        </w:r>
        <w:r w:rsidR="003D3409" w:rsidRPr="003D3409">
          <w:rPr>
            <w:noProof/>
            <w:webHidden/>
          </w:rPr>
          <w:fldChar w:fldCharType="end"/>
        </w:r>
      </w:hyperlink>
    </w:p>
    <w:p w14:paraId="15DA3410" w14:textId="56B0BF22"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53" w:anchor="_Toc99110949" w:history="1">
        <w:r w:rsidR="003D3409" w:rsidRPr="003D3409">
          <w:rPr>
            <w:rStyle w:val="Hipervnculo"/>
            <w:rFonts w:cs="Arial"/>
            <w:noProof/>
          </w:rPr>
          <w:t>Il·lustració 3. Infografia del webinar: Què passarà el 17 de desembre?</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_Toc99110949 \h </w:instrText>
        </w:r>
        <w:r w:rsidR="003D3409" w:rsidRPr="003D3409">
          <w:rPr>
            <w:noProof/>
            <w:webHidden/>
          </w:rPr>
        </w:r>
        <w:r w:rsidR="003D3409" w:rsidRPr="003D3409">
          <w:rPr>
            <w:noProof/>
            <w:webHidden/>
          </w:rPr>
          <w:fldChar w:fldCharType="separate"/>
        </w:r>
        <w:r w:rsidR="003D3409" w:rsidRPr="003D3409">
          <w:rPr>
            <w:noProof/>
            <w:webHidden/>
          </w:rPr>
          <w:t>21</w:t>
        </w:r>
        <w:r w:rsidR="003D3409" w:rsidRPr="003D3409">
          <w:rPr>
            <w:noProof/>
            <w:webHidden/>
          </w:rPr>
          <w:fldChar w:fldCharType="end"/>
        </w:r>
      </w:hyperlink>
    </w:p>
    <w:p w14:paraId="6F0C02C1" w14:textId="1FFE194E"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54" w:anchor="_Toc99110950" w:history="1">
        <w:r w:rsidR="003D3409" w:rsidRPr="003D3409">
          <w:rPr>
            <w:rStyle w:val="Hipervnculo"/>
            <w:rFonts w:cs="Arial"/>
            <w:noProof/>
          </w:rPr>
          <w:t>Il·lustració 4. Infografia del webina: Dia Mundial de la persona alertadora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_Toc99110950 \h </w:instrText>
        </w:r>
        <w:r w:rsidR="003D3409" w:rsidRPr="003D3409">
          <w:rPr>
            <w:noProof/>
            <w:webHidden/>
          </w:rPr>
        </w:r>
        <w:r w:rsidR="003D3409" w:rsidRPr="003D3409">
          <w:rPr>
            <w:noProof/>
            <w:webHidden/>
          </w:rPr>
          <w:fldChar w:fldCharType="separate"/>
        </w:r>
        <w:r w:rsidR="003D3409" w:rsidRPr="003D3409">
          <w:rPr>
            <w:noProof/>
            <w:webHidden/>
          </w:rPr>
          <w:t>22</w:t>
        </w:r>
        <w:r w:rsidR="003D3409" w:rsidRPr="003D3409">
          <w:rPr>
            <w:noProof/>
            <w:webHidden/>
          </w:rPr>
          <w:fldChar w:fldCharType="end"/>
        </w:r>
      </w:hyperlink>
    </w:p>
    <w:p w14:paraId="3AD2A81D" w14:textId="2DA6C2A8"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55" w:anchor="_Toc99110951" w:history="1">
        <w:r w:rsidR="003D3409" w:rsidRPr="003D3409">
          <w:rPr>
            <w:rStyle w:val="Hipervnculo"/>
            <w:rFonts w:cs="Arial"/>
            <w:noProof/>
          </w:rPr>
          <w:t>Il·lustració 5. Infografia del webinar: 5</w:t>
        </w:r>
        <w:r w:rsidR="003D3409" w:rsidRPr="003D3409">
          <w:rPr>
            <w:rStyle w:val="Hipervnculo"/>
            <w:rFonts w:cs="Arial"/>
            <w:noProof/>
            <w:vertAlign w:val="superscript"/>
          </w:rPr>
          <w:t>è</w:t>
        </w:r>
        <w:r w:rsidR="003D3409" w:rsidRPr="003D3409">
          <w:rPr>
            <w:rStyle w:val="Hipervnculo"/>
            <w:rFonts w:cs="Arial"/>
            <w:noProof/>
          </w:rPr>
          <w:t xml:space="preserve"> Aniversario de la Llei 11/2016, de creació de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_Toc99110951 \h </w:instrText>
        </w:r>
        <w:r w:rsidR="003D3409" w:rsidRPr="003D3409">
          <w:rPr>
            <w:noProof/>
            <w:webHidden/>
          </w:rPr>
        </w:r>
        <w:r w:rsidR="003D3409" w:rsidRPr="003D3409">
          <w:rPr>
            <w:noProof/>
            <w:webHidden/>
          </w:rPr>
          <w:fldChar w:fldCharType="separate"/>
        </w:r>
        <w:r w:rsidR="003D3409" w:rsidRPr="003D3409">
          <w:rPr>
            <w:noProof/>
            <w:webHidden/>
          </w:rPr>
          <w:t>23</w:t>
        </w:r>
        <w:r w:rsidR="003D3409" w:rsidRPr="003D3409">
          <w:rPr>
            <w:noProof/>
            <w:webHidden/>
          </w:rPr>
          <w:fldChar w:fldCharType="end"/>
        </w:r>
      </w:hyperlink>
    </w:p>
    <w:p w14:paraId="3E884012" w14:textId="019A5E9D"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52" w:history="1">
        <w:r w:rsidR="003D3409" w:rsidRPr="003D3409">
          <w:rPr>
            <w:rStyle w:val="Hipervnculo"/>
            <w:rFonts w:cs="Arial"/>
            <w:noProof/>
          </w:rPr>
          <w:t>Il·lustració 6. Infografia del webinar: Dia Internacional contra la Corrupció</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_Toc99110952 \h </w:instrText>
        </w:r>
        <w:r w:rsidR="003D3409" w:rsidRPr="003D3409">
          <w:rPr>
            <w:noProof/>
            <w:webHidden/>
          </w:rPr>
        </w:r>
        <w:r w:rsidR="003D3409" w:rsidRPr="003D3409">
          <w:rPr>
            <w:noProof/>
            <w:webHidden/>
          </w:rPr>
          <w:fldChar w:fldCharType="separate"/>
        </w:r>
        <w:r w:rsidR="003D3409" w:rsidRPr="003D3409">
          <w:rPr>
            <w:noProof/>
            <w:webHidden/>
          </w:rPr>
          <w:t>25</w:t>
        </w:r>
        <w:r w:rsidR="003D3409" w:rsidRPr="003D3409">
          <w:rPr>
            <w:noProof/>
            <w:webHidden/>
          </w:rPr>
          <w:fldChar w:fldCharType="end"/>
        </w:r>
      </w:hyperlink>
    </w:p>
    <w:p w14:paraId="0C0EBCB9" w14:textId="039B658B"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56" w:anchor="_Toc99110953" w:history="1">
        <w:r w:rsidR="003D3409" w:rsidRPr="003D3409">
          <w:rPr>
            <w:rStyle w:val="Hipervnculo"/>
            <w:rFonts w:cs="Arial"/>
            <w:noProof/>
          </w:rPr>
          <w:t>Il·lustració 7. Diàlegs a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_Toc99110953 \h </w:instrText>
        </w:r>
        <w:r w:rsidR="003D3409" w:rsidRPr="003D3409">
          <w:rPr>
            <w:noProof/>
            <w:webHidden/>
          </w:rPr>
        </w:r>
        <w:r w:rsidR="003D3409" w:rsidRPr="003D3409">
          <w:rPr>
            <w:noProof/>
            <w:webHidden/>
          </w:rPr>
          <w:fldChar w:fldCharType="separate"/>
        </w:r>
        <w:r w:rsidR="003D3409" w:rsidRPr="003D3409">
          <w:rPr>
            <w:noProof/>
            <w:webHidden/>
          </w:rPr>
          <w:t>41</w:t>
        </w:r>
        <w:r w:rsidR="003D3409" w:rsidRPr="003D3409">
          <w:rPr>
            <w:noProof/>
            <w:webHidden/>
          </w:rPr>
          <w:fldChar w:fldCharType="end"/>
        </w:r>
      </w:hyperlink>
    </w:p>
    <w:p w14:paraId="2C6AB1F1" w14:textId="7C6688EF"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54" w:history="1">
        <w:r w:rsidR="003D3409" w:rsidRPr="003D3409">
          <w:rPr>
            <w:rStyle w:val="Hipervnculo"/>
            <w:rFonts w:cs="Arial"/>
            <w:noProof/>
          </w:rPr>
          <w:t>Il·lustració 8. El Blog de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_Toc99110954 \h </w:instrText>
        </w:r>
        <w:r w:rsidR="003D3409" w:rsidRPr="003D3409">
          <w:rPr>
            <w:noProof/>
            <w:webHidden/>
          </w:rPr>
        </w:r>
        <w:r w:rsidR="003D3409" w:rsidRPr="003D3409">
          <w:rPr>
            <w:noProof/>
            <w:webHidden/>
          </w:rPr>
          <w:fldChar w:fldCharType="separate"/>
        </w:r>
        <w:r w:rsidR="003D3409" w:rsidRPr="003D3409">
          <w:rPr>
            <w:noProof/>
            <w:webHidden/>
          </w:rPr>
          <w:t>42</w:t>
        </w:r>
        <w:r w:rsidR="003D3409" w:rsidRPr="003D3409">
          <w:rPr>
            <w:noProof/>
            <w:webHidden/>
          </w:rPr>
          <w:fldChar w:fldCharType="end"/>
        </w:r>
      </w:hyperlink>
    </w:p>
    <w:p w14:paraId="14392EE3" w14:textId="4358D34D"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57" w:anchor="_Toc99110955" w:history="1">
        <w:r w:rsidR="003D3409" w:rsidRPr="003D3409">
          <w:rPr>
            <w:rStyle w:val="Hipervnculo"/>
            <w:rFonts w:cs="Arial"/>
            <w:noProof/>
          </w:rPr>
          <w:t>Il·lustració 9. Les xarxes socials de l'AVAF</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_Toc99110955 \h </w:instrText>
        </w:r>
        <w:r w:rsidR="003D3409" w:rsidRPr="003D3409">
          <w:rPr>
            <w:noProof/>
            <w:webHidden/>
          </w:rPr>
        </w:r>
        <w:r w:rsidR="003D3409" w:rsidRPr="003D3409">
          <w:rPr>
            <w:noProof/>
            <w:webHidden/>
          </w:rPr>
          <w:fldChar w:fldCharType="separate"/>
        </w:r>
        <w:r w:rsidR="003D3409" w:rsidRPr="003D3409">
          <w:rPr>
            <w:noProof/>
            <w:webHidden/>
          </w:rPr>
          <w:t>45</w:t>
        </w:r>
        <w:r w:rsidR="003D3409" w:rsidRPr="003D3409">
          <w:rPr>
            <w:noProof/>
            <w:webHidden/>
          </w:rPr>
          <w:fldChar w:fldCharType="end"/>
        </w:r>
      </w:hyperlink>
    </w:p>
    <w:p w14:paraId="70C8871D" w14:textId="3251E779"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r:id="rId58" w:anchor="_Toc99110956" w:history="1">
        <w:r w:rsidR="003D3409" w:rsidRPr="003D3409">
          <w:rPr>
            <w:rStyle w:val="Hipervnculo"/>
            <w:rFonts w:cs="Arial"/>
            <w:noProof/>
          </w:rPr>
          <w:t>Il·lustració 10. Campanya #Éslateuabústia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_Toc99110956 \h </w:instrText>
        </w:r>
        <w:r w:rsidR="003D3409" w:rsidRPr="003D3409">
          <w:rPr>
            <w:noProof/>
            <w:webHidden/>
          </w:rPr>
        </w:r>
        <w:r w:rsidR="003D3409" w:rsidRPr="003D3409">
          <w:rPr>
            <w:noProof/>
            <w:webHidden/>
          </w:rPr>
          <w:fldChar w:fldCharType="separate"/>
        </w:r>
        <w:r w:rsidR="003D3409" w:rsidRPr="003D3409">
          <w:rPr>
            <w:noProof/>
            <w:webHidden/>
          </w:rPr>
          <w:t>50</w:t>
        </w:r>
        <w:r w:rsidR="003D3409" w:rsidRPr="003D3409">
          <w:rPr>
            <w:noProof/>
            <w:webHidden/>
          </w:rPr>
          <w:fldChar w:fldCharType="end"/>
        </w:r>
      </w:hyperlink>
    </w:p>
    <w:p w14:paraId="57F45CC5" w14:textId="13692CB9" w:rsidR="003D3409" w:rsidRPr="003D3409" w:rsidRDefault="00254AEC">
      <w:pPr>
        <w:pStyle w:val="Tabladeilustraciones"/>
        <w:tabs>
          <w:tab w:val="right" w:leader="dot" w:pos="8212"/>
        </w:tabs>
        <w:rPr>
          <w:rFonts w:asciiTheme="minorHAnsi" w:eastAsiaTheme="minorEastAsia" w:hAnsiTheme="minorHAnsi" w:cstheme="minorBidi"/>
          <w:noProof/>
          <w:sz w:val="22"/>
          <w:szCs w:val="22"/>
          <w:lang w:val="es-ES" w:eastAsia="es-ES"/>
        </w:rPr>
      </w:pPr>
      <w:hyperlink w:anchor="_Toc99110957" w:history="1">
        <w:r w:rsidR="003D3409" w:rsidRPr="003D3409">
          <w:rPr>
            <w:rStyle w:val="Hipervnculo"/>
            <w:rFonts w:cs="Arial"/>
            <w:noProof/>
          </w:rPr>
          <w:t xml:space="preserve">Il·lustració 11. Organigrama de l'AVAF </w:t>
        </w:r>
        <w:r w:rsidR="003D3409" w:rsidRPr="003D3409">
          <w:rPr>
            <w:rStyle w:val="Hipervnculo"/>
            <w:rFonts w:cs="Arial"/>
            <w:noProof/>
            <w:lang w:val="ca"/>
          </w:rPr>
          <w:t xml:space="preserve"> https://www.antifraucv.es/es/la-agencia/organigrama</w:t>
        </w:r>
        <w:r w:rsidR="003D3409" w:rsidRPr="003D3409">
          <w:rPr>
            <w:noProof/>
            <w:webHidden/>
          </w:rPr>
          <w:tab/>
        </w:r>
        <w:r w:rsidR="003D3409" w:rsidRPr="003D3409">
          <w:rPr>
            <w:noProof/>
            <w:webHidden/>
          </w:rPr>
          <w:fldChar w:fldCharType="begin" w:fldLock="1"/>
        </w:r>
        <w:r w:rsidR="003D3409" w:rsidRPr="003D3409">
          <w:rPr>
            <w:noProof/>
            <w:webHidden/>
          </w:rPr>
          <w:instrText xml:space="preserve"> PAGEREF _Toc99110957 \h </w:instrText>
        </w:r>
        <w:r w:rsidR="003D3409" w:rsidRPr="003D3409">
          <w:rPr>
            <w:noProof/>
            <w:webHidden/>
          </w:rPr>
        </w:r>
        <w:r w:rsidR="003D3409" w:rsidRPr="003D3409">
          <w:rPr>
            <w:noProof/>
            <w:webHidden/>
          </w:rPr>
          <w:fldChar w:fldCharType="separate"/>
        </w:r>
        <w:r w:rsidR="003D3409" w:rsidRPr="003D3409">
          <w:rPr>
            <w:noProof/>
            <w:webHidden/>
          </w:rPr>
          <w:t>302</w:t>
        </w:r>
        <w:r w:rsidR="003D3409" w:rsidRPr="003D3409">
          <w:rPr>
            <w:noProof/>
            <w:webHidden/>
          </w:rPr>
          <w:fldChar w:fldCharType="end"/>
        </w:r>
      </w:hyperlink>
    </w:p>
    <w:p w14:paraId="222E9D0E" w14:textId="5497C782" w:rsidR="004927C3" w:rsidRPr="00755B31" w:rsidRDefault="00506C3D" w:rsidP="006F2B42">
      <w:pPr>
        <w:jc w:val="both"/>
        <w:rPr>
          <w:rFonts w:ascii="Arial" w:hAnsi="Arial" w:cs="Arial"/>
          <w:bCs/>
          <w:sz w:val="20"/>
          <w:szCs w:val="20"/>
        </w:rPr>
      </w:pPr>
      <w:r w:rsidRPr="00DA3DC3">
        <w:rPr>
          <w:rFonts w:cs="Arial"/>
          <w:bCs/>
          <w:color w:val="FF0000"/>
        </w:rPr>
        <w:fldChar w:fldCharType="end"/>
      </w:r>
    </w:p>
    <w:p w14:paraId="372F2CEC" w14:textId="67AD260D" w:rsidR="00FB44DE" w:rsidRPr="0014689C" w:rsidRDefault="002A4453">
      <w:pPr>
        <w:rPr>
          <w:rFonts w:ascii="Arial" w:hAnsi="Arial" w:cs="Arial"/>
          <w:sz w:val="20"/>
          <w:szCs w:val="20"/>
        </w:rPr>
      </w:pPr>
      <w:r w:rsidRPr="00755B31">
        <w:rPr>
          <w:rFonts w:ascii="Arial" w:hAnsi="Arial" w:cs="Arial"/>
          <w:sz w:val="20"/>
          <w:szCs w:val="20"/>
        </w:rPr>
        <w:br w:type="page"/>
      </w:r>
    </w:p>
    <w:p w14:paraId="537E5A6B" w14:textId="77777777" w:rsidR="006E30DA" w:rsidRPr="00DA3DC3" w:rsidRDefault="006E30DA" w:rsidP="00EA0E82">
      <w:pPr>
        <w:spacing w:after="0" w:line="276" w:lineRule="auto"/>
        <w:jc w:val="both"/>
        <w:rPr>
          <w:rFonts w:ascii="Arial" w:hAnsi="Arial" w:cs="Arial"/>
          <w:color w:val="FF0000"/>
          <w:sz w:val="20"/>
          <w:szCs w:val="20"/>
        </w:rPr>
        <w:sectPr w:rsidR="006E30DA" w:rsidRPr="00DA3DC3" w:rsidSect="002B6E00">
          <w:headerReference w:type="default" r:id="rId59"/>
          <w:footerReference w:type="default" r:id="rId60"/>
          <w:pgSz w:w="11906" w:h="16838"/>
          <w:pgMar w:top="1134" w:right="1983" w:bottom="1134" w:left="1701" w:header="567" w:footer="227" w:gutter="0"/>
          <w:cols w:space="708"/>
          <w:titlePg/>
          <w:docGrid w:linePitch="360"/>
        </w:sectPr>
      </w:pPr>
    </w:p>
    <w:p w14:paraId="63BBE23D" w14:textId="39E32CE8" w:rsidR="00F9435B" w:rsidRDefault="00F9435B" w:rsidP="006B23D2">
      <w:pPr>
        <w:keepNext/>
        <w:widowControl w:val="0"/>
        <w:tabs>
          <w:tab w:val="left" w:pos="0"/>
        </w:tabs>
        <w:suppressAutoHyphens/>
        <w:autoSpaceDN w:val="0"/>
        <w:spacing w:after="0" w:line="276" w:lineRule="auto"/>
        <w:jc w:val="both"/>
        <w:textAlignment w:val="baseline"/>
        <w:outlineLvl w:val="0"/>
        <w:rPr>
          <w:rFonts w:ascii="Arial" w:eastAsia="Calibri" w:hAnsi="Arial" w:cs="Arial"/>
          <w:b/>
          <w:bCs/>
          <w:color w:val="993333"/>
          <w:spacing w:val="-14"/>
          <w:w w:val="95"/>
          <w:sz w:val="20"/>
          <w:szCs w:val="20"/>
        </w:rPr>
      </w:pPr>
      <w:bookmarkStart w:id="3" w:name="_Hlk97105007"/>
    </w:p>
    <w:p w14:paraId="5B3E8597" w14:textId="77777777" w:rsidR="00F9435B" w:rsidRPr="00DA3DC3" w:rsidRDefault="00F9435B" w:rsidP="006B23D2">
      <w:pPr>
        <w:keepNext/>
        <w:widowControl w:val="0"/>
        <w:tabs>
          <w:tab w:val="left" w:pos="0"/>
        </w:tabs>
        <w:suppressAutoHyphens/>
        <w:autoSpaceDN w:val="0"/>
        <w:spacing w:after="0" w:line="276" w:lineRule="auto"/>
        <w:jc w:val="both"/>
        <w:textAlignment w:val="baseline"/>
        <w:outlineLvl w:val="0"/>
        <w:rPr>
          <w:rFonts w:ascii="Arial" w:eastAsia="Calibri" w:hAnsi="Arial" w:cs="Arial"/>
          <w:b/>
          <w:bCs/>
          <w:color w:val="993333"/>
          <w:spacing w:val="-14"/>
          <w:w w:val="95"/>
          <w:sz w:val="20"/>
          <w:szCs w:val="20"/>
        </w:rPr>
      </w:pPr>
    </w:p>
    <w:p w14:paraId="15D3E226" w14:textId="77777777" w:rsidR="003834B9" w:rsidRPr="00DA3DC3" w:rsidRDefault="003834B9" w:rsidP="006B23D2">
      <w:pPr>
        <w:keepNext/>
        <w:widowControl w:val="0"/>
        <w:tabs>
          <w:tab w:val="left" w:pos="0"/>
        </w:tabs>
        <w:suppressAutoHyphens/>
        <w:autoSpaceDN w:val="0"/>
        <w:spacing w:after="0" w:line="276" w:lineRule="auto"/>
        <w:jc w:val="both"/>
        <w:textAlignment w:val="baseline"/>
        <w:outlineLvl w:val="0"/>
        <w:rPr>
          <w:rFonts w:ascii="Arial" w:eastAsia="Calibri" w:hAnsi="Arial" w:cs="Arial"/>
          <w:b/>
          <w:bCs/>
          <w:color w:val="993333"/>
          <w:spacing w:val="-14"/>
          <w:w w:val="95"/>
          <w:sz w:val="20"/>
          <w:szCs w:val="20"/>
        </w:rPr>
      </w:pPr>
    </w:p>
    <w:bookmarkEnd w:id="3"/>
    <w:p w14:paraId="6F5A92B4" w14:textId="0897CC5F" w:rsidR="006B23D2" w:rsidRPr="002D3252" w:rsidRDefault="00AD0B4D" w:rsidP="00EB4ECF">
      <w:pPr>
        <w:pStyle w:val="Prrafodelista"/>
        <w:widowControl w:val="0"/>
        <w:numPr>
          <w:ilvl w:val="0"/>
          <w:numId w:val="14"/>
        </w:numPr>
        <w:tabs>
          <w:tab w:val="left" w:pos="0"/>
        </w:tabs>
        <w:suppressAutoHyphens/>
        <w:autoSpaceDN w:val="0"/>
        <w:spacing w:after="0" w:line="240" w:lineRule="auto"/>
        <w:ind w:left="0" w:firstLine="0"/>
        <w:textAlignment w:val="baseline"/>
        <w:outlineLvl w:val="0"/>
        <w:rPr>
          <w:rFonts w:ascii="Arial" w:eastAsia="Calibri" w:hAnsi="Arial" w:cs="Arial"/>
          <w:b/>
          <w:bCs/>
          <w:color w:val="993333"/>
          <w:spacing w:val="-24"/>
          <w:sz w:val="80"/>
          <w:szCs w:val="80"/>
        </w:rPr>
      </w:pPr>
      <w:r w:rsidRPr="00DA3DC3">
        <w:rPr>
          <w:rFonts w:ascii="Arial" w:eastAsia="Calibri" w:hAnsi="Arial" w:cs="Arial"/>
          <w:b/>
          <w:bCs/>
          <w:color w:val="993333"/>
          <w:spacing w:val="-24"/>
          <w:sz w:val="80"/>
          <w:szCs w:val="80"/>
        </w:rPr>
        <w:br/>
      </w:r>
      <w:bookmarkStart w:id="4" w:name="_Toc99110664"/>
      <w:r w:rsidR="006B23D2" w:rsidRPr="002D3252">
        <w:rPr>
          <w:rFonts w:ascii="Arial" w:eastAsia="Calibri" w:hAnsi="Arial" w:cs="Arial"/>
          <w:b/>
          <w:bCs/>
          <w:color w:val="993333"/>
          <w:spacing w:val="-24"/>
          <w:sz w:val="80"/>
          <w:szCs w:val="80"/>
        </w:rPr>
        <w:t>Presentació</w:t>
      </w:r>
      <w:bookmarkEnd w:id="4"/>
      <w:r w:rsidR="00F9435B" w:rsidRPr="002D3252">
        <w:rPr>
          <w:rFonts w:ascii="Arial" w:eastAsia="Calibri" w:hAnsi="Arial" w:cs="Arial"/>
          <w:b/>
          <w:bCs/>
          <w:color w:val="993333"/>
          <w:spacing w:val="-24"/>
          <w:sz w:val="80"/>
          <w:szCs w:val="80"/>
        </w:rPr>
        <w:br/>
      </w:r>
    </w:p>
    <w:p w14:paraId="74F3EC78"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Un any més, l'Agència Valenciana Antifrau presenta la seua Memòria d'activitat acomplint el deure de rendir comptes davant el parlament valencià, les Corts, almenys una vegada a l'any tal com es recull en l'article 22 de la Llei 11/2016, de 28 de novembre, de la Generalitat, de prevenció i lluita contra la corrupció i en l'article 81 del Reglament de funcionament i règim interior que la desenvolupa.</w:t>
      </w:r>
    </w:p>
    <w:p w14:paraId="099D33D0"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L'elaboració de la Memòria d'activitat constitueix a més un exercici intern de l'Agència en tant que totes les àrees, serveis, unitats i l’equip directiu escometen una revisió ordenada de totes les activitats desenvolupades al llarg de l'any, podent contrastar els resultats assolits amb els objectius que es van fixar al seu inici i així poder avaluar l'eficiència i eficàcia de l'organització en relació amb els recursos disponibles. És per tant una eina indissociable de la planificació estratègica i de la seua avaluació i un mitjà de rendició de comptes davant la societat valenciana.</w:t>
      </w:r>
    </w:p>
    <w:p w14:paraId="22B6DBA1"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L'exercici 2021 ha estat de nou un any de desenvolupament normatiu. D'una banda, s'ha aprovat el Codi ètic i de conducta de tot el personal de l'Agència amb la creació d'un Comité d'ètica format majoritàriament per experts externs a l'Agència i un canal de denúncies internes. I, d'altra banda, s'ha modificat puntualment el Reglament de funcionament i règim intern creant la Direcció Adjunta de l'Agència. Respecte al primer, es reforça d'aquesta manera el compromís de tots els servidors i servidores públiques de l'AVAF amb els principis que han de regir el funcionament de tot òrgan de control, l'objectivitat, neutralitat, independència, exemplaritat, imparcialitat, confidencialitat i proporcionalitat, així com l'honestedat, professionalitat i lleialtat institucional. Quant a la creació de la funció de Direcció Adjunta, que queda adscrita a la Direcció d'Assumptes Jurídics, es millora la coordinació i el funcionament general de l'Agència a més d'establir reglamentàriament una resposta natural i ràpida a qualsevol imponderable que en puguen derivar en una absència prolongada de la Direcció de l'Agència.</w:t>
      </w:r>
    </w:p>
    <w:p w14:paraId="181C4D43"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 xml:space="preserve">La participació ciutadana en la lluita contra la corrupció és essencial i això ho ha demostrat una vegada més, a través de les seues preocupacions i el seu suport, el Consell de Participació de l'Agència, compost per organitzacions de la societat civil i persones expertes. </w:t>
      </w:r>
      <w:r w:rsidRPr="003A4FD1">
        <w:rPr>
          <w:rFonts w:ascii="Arial" w:hAnsi="Arial" w:cs="Arial"/>
          <w:sz w:val="21"/>
          <w:szCs w:val="21"/>
        </w:rPr>
        <w:lastRenderedPageBreak/>
        <w:t>2021 també ha estat l'any en què la Directiva (UE) 2019/1937 de protecció de les persones que informen o denuncien infraccions del dret de la Unió i de creació de canals de denúncia, havia d'haver estat transposada per l'Estat, però no ho ha estat. A entendre de la doctrina del Tribunal de Justícia de la Unió Europea l'esmentada Directiva ja tindria efectes directes i totes les administracions públiques haurien d'estar integrant en el seu funcionament els seus preceptes. En aquest sentit, i abans de signar aquesta Memòria s'ha conegut l'avantprojecte de llei que el govern de l'Estat ha sotmés a tràmit d'audiència i informació pública i respecte del qual aquesta Agència ha formulat al·legacions. No és menester recordar que la Directiva ve a consagrar, en l’àmbit d'Espanya i dels països de la Unión Europea que encara no la tinguen, l'obligació ja establida a la Comunitat Valenciana per l'article 14 de la nostra Llei i el 41 del seu Reglament per protegir enfront de represàlies les persones que denuncien, informen o alerten de corrupció, frau o males pràctiques. L'Agència fins hui ha atorgat l'estatut de protecció a 27 persones. L'efectiva transposició de la Directiva a Espanya vindrà a reforçar aquesta funció de l'Agència i tindrà sens dubte una gran repercussió en totes les Administracions Públiques.</w:t>
      </w:r>
    </w:p>
    <w:p w14:paraId="1C2BD7F5"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 xml:space="preserve">En el nostre àmbit territorial la ciutadania compta amb un mitjà confidencial i segur per informar d'infraccions des que el 2018 l'Agència va posar en funcionament la bústia de denúncies electrònic, de fàcil accés i senzill maneig des de la web. De fet, el 2021 aquest ha estat el canal utilitzat per al 88,5% de les 359 denúncies rebudes. Aquest nombre de denúncies representa un increment del 58,8% respecte a l'any anterior, sens dubte pel millor coneixement públic de l'Agència i la confiança en el seu treball. Per les matèries denunciades, la gestió de recursos humans (45%) ha desplaçat a la contractació pública (14%) del primer lloc per nombre de denúncies seguides a molta distància per subvencions (7%) i urbanisme (6%). </w:t>
      </w:r>
    </w:p>
    <w:p w14:paraId="393FF6F9"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En la Memòria que ara es presenta s'han incorporat diverses novetats, com ara l'ampliació més detallada de les matèries que són objecte de denúncies o la constància enumerada de les administracions i entitats públiques que no han complit les recomanacions efectuades per l'Agència després del corresponent expedient d'investigació, en compliment de l'article 40, apartats 4 i 5, del Reglament, que ordena donar compte a les Corts. Es tracta de tres corporacions locals i un ens públic de la Generalitat.</w:t>
      </w:r>
    </w:p>
    <w:p w14:paraId="24D0D85E"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Entre altres novetats que cal destacar, es troba la incorporació d'una relació quantificada i detallada de l'impacte econòmic de les actuacions investigadores de l'Agència, que es xifra en 23.315.890,38 euros, quantia respecte de la qual les administracions objecte de l'actuació investigadora tenen el dret i l'obligació de rescabalar-se. D'aquesta xifra, 524.905,59 euros han estat recuperats per les administracions perjudicades.</w:t>
      </w:r>
    </w:p>
    <w:p w14:paraId="325D2CCA"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Així mateix, el 2021 s'ha continuat amb la primera actuació combinada entre l'AVAF, l'OLAF-Oficina Europea Antifrau adscrita al Parlament Europeu i l'SNCA-Servei Nacional de Coordinació Antifrau, adscrit a l'IGAE-Ministeri d'Hisenda. Aquesta actuació es troba encara en curs.</w:t>
      </w:r>
    </w:p>
    <w:p w14:paraId="09D7A18E"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 xml:space="preserve">Ha estat molt important l'impuls assolit en l'àrea d'anàlisi i investigació que ha incrementat exponencialment el nombre d'expedients resolts, aproximant-se molt a l'objectiu inicial (la taxa de finalització representa el 75% de les denúncies de 2021), relatiu a l'equilibri entre casos resolts i casos nous que entren a l'Agència. Així mateix, per segon any consecutiu els </w:t>
      </w:r>
      <w:r w:rsidRPr="003A4FD1">
        <w:rPr>
          <w:rFonts w:ascii="Arial" w:hAnsi="Arial" w:cs="Arial"/>
          <w:sz w:val="21"/>
          <w:szCs w:val="21"/>
        </w:rPr>
        <w:lastRenderedPageBreak/>
        <w:t>expedients d'investigació, una vegada finalitzats i anonimitzats, estan disponibles per a consulta de la ciutadania en la pàgina web de l'Agència.</w:t>
      </w:r>
    </w:p>
    <w:p w14:paraId="0BD11B21"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 xml:space="preserve">La prevenció és la primera funció i fonament del principi que dona sentit a l'Agència, evitar el mal abans que aquest es produïsca. Per a això s'han dut a terme des de l'àrea de prevenció, formació i documentació actuacions d'investigació intel·lectual de gran profunditat analítica, de les quals han emanat guies i recomanacions dirigides a tot el sector públic i que han sigut adoptades per altres òrgans de control de la Comunitat i més enllà del nostre àmbit geogràfic. Entre elles cal destacar, en primer lloc, el </w:t>
      </w:r>
      <w:r w:rsidRPr="003A4FD1">
        <w:rPr>
          <w:rFonts w:ascii="Arial" w:hAnsi="Arial" w:cs="Arial"/>
          <w:i/>
          <w:iCs/>
          <w:sz w:val="21"/>
          <w:szCs w:val="21"/>
        </w:rPr>
        <w:t>Manual didàctic visual: els conflictes d'interés en clau d'integritat</w:t>
      </w:r>
      <w:r w:rsidRPr="003A4FD1">
        <w:rPr>
          <w:rFonts w:ascii="Arial" w:hAnsi="Arial" w:cs="Arial"/>
          <w:sz w:val="21"/>
          <w:szCs w:val="21"/>
        </w:rPr>
        <w:t xml:space="preserve"> i, en segon lloc, </w:t>
      </w:r>
      <w:r w:rsidRPr="003A4FD1">
        <w:rPr>
          <w:rFonts w:ascii="Arial" w:hAnsi="Arial" w:cs="Arial"/>
          <w:i/>
          <w:iCs/>
          <w:sz w:val="21"/>
          <w:szCs w:val="21"/>
        </w:rPr>
        <w:t>la Guia AVAF per al Pla d'Integritat Pública: Full de ruta i annexos facilitadors i catàlegs d'identificació de riscos de corrupció</w:t>
      </w:r>
      <w:r w:rsidRPr="003A4FD1">
        <w:rPr>
          <w:rFonts w:ascii="Arial" w:hAnsi="Arial" w:cs="Arial"/>
          <w:sz w:val="21"/>
          <w:szCs w:val="21"/>
        </w:rPr>
        <w:t xml:space="preserve">, document imprescindible perquè les administracions i el seu sector públic puguen escometre amb èxit els Plans de Mesures Antifrau exigits per l'Ordre del Ministeri d'Hisenda i Funció Pública 10/2021 de 29 de setembre, amb l'objecte de previndre possibles desviacions en la gestió dels fons anomenats Next Generation. </w:t>
      </w:r>
    </w:p>
    <w:p w14:paraId="5A28E1AA"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Aquestes elaboracions, conjuntament amb altres materials audiovisuals produïts per l'Agència en col·laboració amb Universitats com la de València, han anat constituint un complet inventari de recursos didàctics que el servei de formació de l'AVAF ha utilitzat per a realitzar 43 activitats formatives de les quals s'han beneficiat 1.835 persones funcionàries i càrrecs públics, i també estudiants de totes les universitats valencianes amb les quals l'Agència ha establit acords de col·laboració. L'abast de l'activitat formativa des de l'inici de l'Agència en 2017 suposa un total de 91 activitats, 3.713 alumnes i 242 hores lectives.</w:t>
      </w:r>
    </w:p>
    <w:p w14:paraId="7F0215FA"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Tots els recursos pedagògics, materials didàctics i conferències impartides es reuneixen en un repositori documental gestionat pel servei de documentació i biblioteca de l'AVAF que al seu torn ha anat constituint un fons bibliogràfic especialitzat el qual, a finals de 2021, estava format per 380 volums. El Centre de Documentació i Biblioteca de l'AVAF, ha estat reconegut  el 2021 pel Ministeri de Cultura quedant integrat a la xarxa espanyola de biblioteques especialitzades.</w:t>
      </w:r>
    </w:p>
    <w:p w14:paraId="64C38BDC" w14:textId="47302871"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 xml:space="preserve">També cal destacar que el 2021 s'han publicat quatre obres on es recull l'experiència de l'AVAF. "Les cares de l'evasió fiscal: Pobresa, frau i corrupció a la Comunitat Valenciana", dels autors Mar Vivó i Carlos Remohí; "Informe sobre transparència local a la Comunitat Valenciana" d'Hugo Aznar, Teresa Bruno, María Puchalt i Katia Esteve; "Anuari 2020 del Bon Govern i de la Qualitat de la Regulació", coordinat per Juli Ponce i Manuel Villoria; i per últim "La Ciudad de la Euforia, Una hipótesis de la mafia", de Rodrigo Terrasa. Així mateix, s'ha participat en dues obres col·lectives: </w:t>
      </w:r>
      <w:r w:rsidRPr="0097484D">
        <w:rPr>
          <w:rFonts w:ascii="Arial" w:hAnsi="Arial" w:cs="Arial"/>
          <w:sz w:val="21"/>
          <w:szCs w:val="21"/>
        </w:rPr>
        <w:t>"Fonaments de la transparència, aspectes polítics i perspectiva internacional"</w:t>
      </w:r>
      <w:r w:rsidRPr="003A4FD1">
        <w:rPr>
          <w:rFonts w:ascii="Arial" w:hAnsi="Arial" w:cs="Arial"/>
          <w:sz w:val="21"/>
          <w:szCs w:val="21"/>
        </w:rPr>
        <w:t xml:space="preserve">, publicada pel </w:t>
      </w:r>
      <w:r w:rsidRPr="0097484D">
        <w:rPr>
          <w:rFonts w:ascii="Arial" w:hAnsi="Arial" w:cs="Arial"/>
          <w:sz w:val="21"/>
          <w:szCs w:val="21"/>
        </w:rPr>
        <w:t>Centre d'Estudis Polítics i Constitucionals</w:t>
      </w:r>
      <w:r w:rsidRPr="003A4FD1">
        <w:rPr>
          <w:rFonts w:ascii="Arial" w:hAnsi="Arial" w:cs="Arial"/>
          <w:sz w:val="21"/>
          <w:szCs w:val="21"/>
        </w:rPr>
        <w:t>, i "La integritat en l'Administració: contractació pública i lluita contra la corrupció", publicada per Thomson Reuters Aranzadi.</w:t>
      </w:r>
    </w:p>
    <w:p w14:paraId="7A2121CF"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 xml:space="preserve">Quant a la gestió interna de l'AVAF, cal celebrar que s'haja resolt el procediment per al reintegrament dels sobrants del finançament que l'Agència rep via pressupostos de les Corts, doncs fins a la promulgació de la Llei 8/2021, de Pressupostos de la Generalitat per a l'exercici 2022, que assimila l'Agència en aquesta matèria als òrgans estatutaris adscrits a les Corts, s'havien acumulat els sobrants dels exercicis anteriors sense que existira el </w:t>
      </w:r>
      <w:r w:rsidRPr="003A4FD1">
        <w:rPr>
          <w:rFonts w:ascii="Arial" w:hAnsi="Arial" w:cs="Arial"/>
          <w:sz w:val="21"/>
          <w:szCs w:val="21"/>
        </w:rPr>
        <w:lastRenderedPageBreak/>
        <w:t>procediment perquè la Conselleria d'Hisenda procedira a la liquidació i posterior transferència dels romanents de tresoreria.</w:t>
      </w:r>
    </w:p>
    <w:p w14:paraId="782CFE22"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Pel que respecta a la comunicació amb la ciutadania, des del servei de comunicació i relacions institucionals s'han posat en marxa recursos que reforcen la divulgació dels materials propis i de tercers que transmeten coneixements relacionats amb la construcció d'una cultura de prevenció i lluita contra el frau. Per a això comptem amb diferents canals d'informació i comunicació com YouTube, Twitter, Instagram, Facebook, LinkedIn, Ivoox, Twitch i Telegram, També destaquem la posada en marxa del "Blog de l'AVAF" amb textos de reconegudes firmes i l'espai d'entrevistes "Diàlegs".</w:t>
      </w:r>
    </w:p>
    <w:p w14:paraId="35B0D8D0"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A data de tancament d'aquesta Memòria el total de convenis marc, convenis de col·laboració i protocols subscrits per l'AVAF ascendeix a 19, dels quals 10 d'ells s'han signat durant 2021 i en els primers mesos de 2022, la qual cosa dona una idea del nombre de col·laboracions empreses amb institucions públiques, universitats i organitzacions de la societat civil per al compliment d'objectius d'interés comú.</w:t>
      </w:r>
    </w:p>
    <w:p w14:paraId="6171B25D" w14:textId="77777777"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L'AVAF també ha treballat al llarg de l'any 2021 en el pla nacional a través de la Xarxa Estatal d'Oficines i Agències Antifrau i en el pla internacional per impulsar i coordinar la implementació de la Directiva Europea amb la Xarxa Europea d'Autoritats d'Integritat i Protecció d'Alertadors (NEIWA). Així mateix, s'ha participat en l'assemblea general de l’European Partners Against Corruption EPAC celebrada el passat desembre.</w:t>
      </w:r>
    </w:p>
    <w:p w14:paraId="7D1D38D3" w14:textId="335B19A3" w:rsidR="003A4FD1" w:rsidRPr="003A4FD1" w:rsidRDefault="003A4FD1" w:rsidP="003A4FD1">
      <w:pPr>
        <w:suppressAutoHyphens/>
        <w:autoSpaceDN w:val="0"/>
        <w:spacing w:after="240" w:line="276" w:lineRule="auto"/>
        <w:jc w:val="both"/>
        <w:textAlignment w:val="baseline"/>
        <w:rPr>
          <w:rFonts w:ascii="Arial" w:hAnsi="Arial" w:cs="Arial"/>
          <w:sz w:val="21"/>
          <w:szCs w:val="21"/>
        </w:rPr>
      </w:pPr>
      <w:r w:rsidRPr="003A4FD1">
        <w:rPr>
          <w:rFonts w:ascii="Arial" w:hAnsi="Arial" w:cs="Arial"/>
          <w:sz w:val="21"/>
          <w:szCs w:val="21"/>
        </w:rPr>
        <w:t>A les pàgines que segueixen es pot conéixer detalladament el treball desenvolupat per les persones funcionàries que integren l'Agència i que ho fan des del sentit més compromés amb el servei públic, la nostra Constitució i la resta d'ordenament jurídic.</w:t>
      </w:r>
    </w:p>
    <w:p w14:paraId="2DD2BBE5" w14:textId="77777777" w:rsidR="003A4FD1" w:rsidRPr="002D3252" w:rsidRDefault="003A4FD1" w:rsidP="006E75FA">
      <w:pPr>
        <w:suppressAutoHyphens/>
        <w:autoSpaceDN w:val="0"/>
        <w:spacing w:after="240" w:line="276" w:lineRule="auto"/>
        <w:jc w:val="both"/>
        <w:textAlignment w:val="baseline"/>
        <w:rPr>
          <w:rFonts w:ascii="Arial" w:hAnsi="Arial" w:cs="Arial"/>
          <w:sz w:val="21"/>
          <w:szCs w:val="21"/>
        </w:rPr>
      </w:pPr>
    </w:p>
    <w:p w14:paraId="7FFB98FE" w14:textId="77777777" w:rsidR="008D53F0" w:rsidRPr="002D3252" w:rsidRDefault="008D53F0" w:rsidP="006E75FA">
      <w:pPr>
        <w:suppressAutoHyphens/>
        <w:autoSpaceDN w:val="0"/>
        <w:spacing w:after="240" w:line="276" w:lineRule="auto"/>
        <w:jc w:val="both"/>
        <w:textAlignment w:val="baseline"/>
        <w:rPr>
          <w:rFonts w:ascii="Arial" w:hAnsi="Arial" w:cs="Arial"/>
          <w:sz w:val="21"/>
          <w:szCs w:val="21"/>
        </w:rPr>
      </w:pPr>
    </w:p>
    <w:p w14:paraId="2C4A38F9" w14:textId="77777777" w:rsidR="006E75FA" w:rsidRPr="002D3252" w:rsidRDefault="006E75FA" w:rsidP="00431587">
      <w:pPr>
        <w:suppressAutoHyphens/>
        <w:autoSpaceDN w:val="0"/>
        <w:spacing w:after="240" w:line="276" w:lineRule="auto"/>
        <w:jc w:val="both"/>
        <w:textAlignment w:val="baseline"/>
        <w:rPr>
          <w:rFonts w:ascii="Arial" w:eastAsia="NSimSun" w:hAnsi="Arial" w:cs="Arial"/>
          <w:color w:val="000000"/>
          <w:kern w:val="3"/>
          <w:sz w:val="21"/>
          <w:szCs w:val="21"/>
          <w:lang w:eastAsia="zh-CN" w:bidi="hi-IN"/>
        </w:rPr>
      </w:pPr>
    </w:p>
    <w:p w14:paraId="15BA38C7" w14:textId="7EB5684D" w:rsidR="00A44298" w:rsidRPr="002D3252" w:rsidRDefault="006B23D2" w:rsidP="00431587">
      <w:pPr>
        <w:suppressAutoHyphens/>
        <w:autoSpaceDN w:val="0"/>
        <w:spacing w:after="240" w:line="276" w:lineRule="auto"/>
        <w:jc w:val="both"/>
        <w:textAlignment w:val="baseline"/>
        <w:rPr>
          <w:rFonts w:ascii="Arial" w:eastAsia="NSimSun" w:hAnsi="Arial" w:cs="Arial"/>
          <w:kern w:val="3"/>
          <w:sz w:val="21"/>
          <w:szCs w:val="21"/>
          <w:lang w:eastAsia="zh-CN" w:bidi="hi-IN"/>
        </w:rPr>
      </w:pPr>
      <w:r w:rsidRPr="003A4FD1">
        <w:rPr>
          <w:rFonts w:ascii="Arial" w:eastAsia="NSimSun" w:hAnsi="Arial" w:cs="Arial"/>
          <w:color w:val="000000"/>
          <w:kern w:val="3"/>
          <w:sz w:val="21"/>
          <w:szCs w:val="21"/>
          <w:lang w:eastAsia="zh-CN" w:bidi="hi-IN"/>
        </w:rPr>
        <w:t>Valènci</w:t>
      </w:r>
      <w:r w:rsidRPr="003A4FD1">
        <w:rPr>
          <w:rFonts w:ascii="Arial" w:eastAsia="NSimSun" w:hAnsi="Arial" w:cs="Arial"/>
          <w:color w:val="000000"/>
          <w:kern w:val="3"/>
          <w:sz w:val="21"/>
          <w:szCs w:val="21"/>
          <w:shd w:val="clear" w:color="auto" w:fill="FFFFFF"/>
          <w:lang w:eastAsia="zh-CN" w:bidi="hi-IN"/>
        </w:rPr>
        <w:t xml:space="preserve">a, </w:t>
      </w:r>
      <w:r w:rsidR="003A4FD1" w:rsidRPr="007F55B4">
        <w:rPr>
          <w:rFonts w:ascii="Arial" w:eastAsia="NSimSun" w:hAnsi="Arial" w:cs="Arial"/>
          <w:color w:val="000000"/>
          <w:kern w:val="3"/>
          <w:sz w:val="21"/>
          <w:szCs w:val="21"/>
          <w:shd w:val="clear" w:color="auto" w:fill="FFFFFF"/>
          <w:lang w:eastAsia="zh-CN" w:bidi="hi-IN"/>
        </w:rPr>
        <w:t>29</w:t>
      </w:r>
      <w:r w:rsidRPr="003A4FD1">
        <w:rPr>
          <w:rFonts w:ascii="Arial" w:eastAsia="NSimSun" w:hAnsi="Arial" w:cs="Arial"/>
          <w:color w:val="000000"/>
          <w:kern w:val="3"/>
          <w:sz w:val="21"/>
          <w:szCs w:val="21"/>
          <w:shd w:val="clear" w:color="auto" w:fill="FFFFFF"/>
          <w:lang w:eastAsia="zh-CN" w:bidi="hi-IN"/>
        </w:rPr>
        <w:t xml:space="preserve"> de m</w:t>
      </w:r>
      <w:r w:rsidRPr="003A4FD1">
        <w:rPr>
          <w:rFonts w:ascii="Arial" w:eastAsia="NSimSun" w:hAnsi="Arial" w:cs="Arial"/>
          <w:color w:val="000000"/>
          <w:kern w:val="3"/>
          <w:sz w:val="21"/>
          <w:szCs w:val="21"/>
          <w:lang w:eastAsia="zh-CN" w:bidi="hi-IN"/>
        </w:rPr>
        <w:t>ar</w:t>
      </w:r>
      <w:r w:rsidR="00003F91" w:rsidRPr="003A4FD1">
        <w:rPr>
          <w:rFonts w:ascii="Arial" w:eastAsia="NSimSun" w:hAnsi="Arial" w:cs="Arial"/>
          <w:color w:val="000000"/>
          <w:kern w:val="3"/>
          <w:sz w:val="21"/>
          <w:szCs w:val="21"/>
          <w:lang w:eastAsia="zh-CN" w:bidi="hi-IN"/>
        </w:rPr>
        <w:t>ç</w:t>
      </w:r>
      <w:r w:rsidRPr="003A4FD1">
        <w:rPr>
          <w:rFonts w:ascii="Arial" w:eastAsia="NSimSun" w:hAnsi="Arial" w:cs="Arial"/>
          <w:color w:val="000000"/>
          <w:kern w:val="3"/>
          <w:sz w:val="21"/>
          <w:szCs w:val="21"/>
          <w:lang w:eastAsia="zh-CN" w:bidi="hi-IN"/>
        </w:rPr>
        <w:t xml:space="preserve"> de 202</w:t>
      </w:r>
      <w:r w:rsidR="007B7DF3" w:rsidRPr="003A4FD1">
        <w:rPr>
          <w:rFonts w:ascii="Arial" w:eastAsia="NSimSun" w:hAnsi="Arial" w:cs="Arial"/>
          <w:color w:val="000000"/>
          <w:kern w:val="3"/>
          <w:sz w:val="21"/>
          <w:szCs w:val="21"/>
          <w:lang w:eastAsia="zh-CN" w:bidi="hi-IN"/>
        </w:rPr>
        <w:t>2</w:t>
      </w:r>
    </w:p>
    <w:p w14:paraId="623B21C9" w14:textId="1D9CBCAF" w:rsidR="006B23D2" w:rsidRPr="002D3252" w:rsidRDefault="006B23D2" w:rsidP="00431587">
      <w:pPr>
        <w:suppressAutoHyphens/>
        <w:autoSpaceDN w:val="0"/>
        <w:spacing w:after="240" w:line="276" w:lineRule="auto"/>
        <w:contextualSpacing/>
        <w:jc w:val="both"/>
        <w:textAlignment w:val="baseline"/>
        <w:rPr>
          <w:rFonts w:ascii="Arial" w:eastAsia="NSimSun" w:hAnsi="Arial" w:cs="Arial"/>
          <w:b/>
          <w:bCs/>
          <w:color w:val="000000"/>
          <w:kern w:val="3"/>
          <w:sz w:val="21"/>
          <w:szCs w:val="21"/>
          <w:lang w:eastAsia="zh-CN" w:bidi="hi-IN"/>
        </w:rPr>
      </w:pPr>
      <w:r w:rsidRPr="002D3252">
        <w:rPr>
          <w:rFonts w:ascii="Arial" w:eastAsia="NSimSun" w:hAnsi="Arial" w:cs="Arial"/>
          <w:b/>
          <w:bCs/>
          <w:color w:val="000000"/>
          <w:kern w:val="3"/>
          <w:sz w:val="21"/>
          <w:szCs w:val="21"/>
          <w:lang w:eastAsia="zh-CN" w:bidi="hi-IN"/>
        </w:rPr>
        <w:t>Joan A. Llinares Gómez</w:t>
      </w:r>
    </w:p>
    <w:p w14:paraId="118C13E8" w14:textId="37D99BBC" w:rsidR="006B23D2" w:rsidRPr="002D3252" w:rsidRDefault="00003F91" w:rsidP="00431587">
      <w:pPr>
        <w:suppressAutoHyphens/>
        <w:autoSpaceDN w:val="0"/>
        <w:spacing w:after="240" w:line="276" w:lineRule="auto"/>
        <w:contextualSpacing/>
        <w:jc w:val="both"/>
        <w:textAlignment w:val="baseline"/>
        <w:rPr>
          <w:rFonts w:ascii="Arial" w:eastAsia="NSimSun" w:hAnsi="Arial" w:cs="Arial"/>
          <w:color w:val="000000"/>
          <w:kern w:val="3"/>
          <w:sz w:val="21"/>
          <w:szCs w:val="21"/>
          <w:lang w:eastAsia="zh-CN" w:bidi="hi-IN"/>
        </w:rPr>
      </w:pPr>
      <w:r w:rsidRPr="002D3252">
        <w:rPr>
          <w:rFonts w:ascii="Arial" w:eastAsia="NSimSun" w:hAnsi="Arial" w:cs="Arial"/>
          <w:color w:val="000000"/>
          <w:kern w:val="3"/>
          <w:sz w:val="21"/>
          <w:szCs w:val="21"/>
          <w:lang w:eastAsia="zh-CN" w:bidi="hi-IN"/>
        </w:rPr>
        <w:t>d</w:t>
      </w:r>
      <w:r w:rsidR="006B23D2" w:rsidRPr="002D3252">
        <w:rPr>
          <w:rFonts w:ascii="Arial" w:eastAsia="NSimSun" w:hAnsi="Arial" w:cs="Arial"/>
          <w:color w:val="000000"/>
          <w:kern w:val="3"/>
          <w:sz w:val="21"/>
          <w:szCs w:val="21"/>
          <w:lang w:eastAsia="zh-CN" w:bidi="hi-IN"/>
        </w:rPr>
        <w:t>irector de l</w:t>
      </w:r>
      <w:r w:rsidRPr="002D3252">
        <w:rPr>
          <w:rFonts w:ascii="Arial" w:eastAsia="NSimSun" w:hAnsi="Arial" w:cs="Arial"/>
          <w:color w:val="000000"/>
          <w:kern w:val="3"/>
          <w:sz w:val="21"/>
          <w:szCs w:val="21"/>
          <w:lang w:eastAsia="zh-CN" w:bidi="hi-IN"/>
        </w:rPr>
        <w:t>’</w:t>
      </w:r>
      <w:r w:rsidR="006B23D2" w:rsidRPr="002D3252">
        <w:rPr>
          <w:rFonts w:ascii="Arial" w:eastAsia="NSimSun" w:hAnsi="Arial" w:cs="Arial"/>
          <w:color w:val="000000"/>
          <w:kern w:val="3"/>
          <w:sz w:val="21"/>
          <w:szCs w:val="21"/>
          <w:lang w:eastAsia="zh-CN" w:bidi="hi-IN"/>
        </w:rPr>
        <w:t>Ag</w:t>
      </w:r>
      <w:r w:rsidRPr="002D3252">
        <w:rPr>
          <w:rFonts w:ascii="Arial" w:eastAsia="NSimSun" w:hAnsi="Arial" w:cs="Arial"/>
          <w:color w:val="000000"/>
          <w:kern w:val="3"/>
          <w:sz w:val="21"/>
          <w:szCs w:val="21"/>
          <w:lang w:eastAsia="zh-CN" w:bidi="hi-IN"/>
        </w:rPr>
        <w:t>è</w:t>
      </w:r>
      <w:r w:rsidR="006B23D2" w:rsidRPr="002D3252">
        <w:rPr>
          <w:rFonts w:ascii="Arial" w:eastAsia="NSimSun" w:hAnsi="Arial" w:cs="Arial"/>
          <w:color w:val="000000"/>
          <w:kern w:val="3"/>
          <w:sz w:val="21"/>
          <w:szCs w:val="21"/>
          <w:lang w:eastAsia="zh-CN" w:bidi="hi-IN"/>
        </w:rPr>
        <w:t>ncia de Prevenció</w:t>
      </w:r>
    </w:p>
    <w:p w14:paraId="45E476BC" w14:textId="3E10F60F" w:rsidR="006B23D2" w:rsidRPr="002D3252" w:rsidRDefault="00003F91" w:rsidP="00431587">
      <w:pPr>
        <w:suppressAutoHyphens/>
        <w:autoSpaceDN w:val="0"/>
        <w:spacing w:after="240" w:line="276" w:lineRule="auto"/>
        <w:contextualSpacing/>
        <w:jc w:val="both"/>
        <w:textAlignment w:val="baseline"/>
        <w:rPr>
          <w:rFonts w:ascii="Arial" w:eastAsia="NSimSun" w:hAnsi="Arial" w:cs="Arial"/>
          <w:color w:val="000000"/>
          <w:kern w:val="3"/>
          <w:sz w:val="21"/>
          <w:szCs w:val="21"/>
          <w:lang w:eastAsia="zh-CN" w:bidi="hi-IN"/>
        </w:rPr>
      </w:pPr>
      <w:r w:rsidRPr="002D3252">
        <w:rPr>
          <w:rFonts w:ascii="Arial" w:eastAsia="NSimSun" w:hAnsi="Arial" w:cs="Arial"/>
          <w:color w:val="000000"/>
          <w:kern w:val="3"/>
          <w:sz w:val="21"/>
          <w:szCs w:val="21"/>
          <w:lang w:eastAsia="zh-CN" w:bidi="hi-IN"/>
        </w:rPr>
        <w:t>i</w:t>
      </w:r>
      <w:r w:rsidR="006B23D2" w:rsidRPr="002D3252">
        <w:rPr>
          <w:rFonts w:ascii="Arial" w:eastAsia="NSimSun" w:hAnsi="Arial" w:cs="Arial"/>
          <w:color w:val="000000"/>
          <w:kern w:val="3"/>
          <w:sz w:val="21"/>
          <w:szCs w:val="21"/>
          <w:lang w:eastAsia="zh-CN" w:bidi="hi-IN"/>
        </w:rPr>
        <w:t xml:space="preserve"> L</w:t>
      </w:r>
      <w:r w:rsidRPr="002D3252">
        <w:rPr>
          <w:rFonts w:ascii="Arial" w:eastAsia="NSimSun" w:hAnsi="Arial" w:cs="Arial"/>
          <w:color w:val="000000"/>
          <w:kern w:val="3"/>
          <w:sz w:val="21"/>
          <w:szCs w:val="21"/>
          <w:lang w:eastAsia="zh-CN" w:bidi="hi-IN"/>
        </w:rPr>
        <w:t>luit</w:t>
      </w:r>
      <w:r w:rsidR="006B23D2" w:rsidRPr="002D3252">
        <w:rPr>
          <w:rFonts w:ascii="Arial" w:eastAsia="NSimSun" w:hAnsi="Arial" w:cs="Arial"/>
          <w:color w:val="000000"/>
          <w:kern w:val="3"/>
          <w:sz w:val="21"/>
          <w:szCs w:val="21"/>
          <w:lang w:eastAsia="zh-CN" w:bidi="hi-IN"/>
        </w:rPr>
        <w:t xml:space="preserve">a contra el Frau </w:t>
      </w:r>
      <w:r w:rsidRPr="002D3252">
        <w:rPr>
          <w:rFonts w:ascii="Arial" w:eastAsia="NSimSun" w:hAnsi="Arial" w:cs="Arial"/>
          <w:color w:val="000000"/>
          <w:kern w:val="3"/>
          <w:sz w:val="21"/>
          <w:szCs w:val="21"/>
          <w:lang w:eastAsia="zh-CN" w:bidi="hi-IN"/>
        </w:rPr>
        <w:t>i</w:t>
      </w:r>
      <w:r w:rsidR="006B23D2" w:rsidRPr="002D3252">
        <w:rPr>
          <w:rFonts w:ascii="Arial" w:eastAsia="NSimSun" w:hAnsi="Arial" w:cs="Arial"/>
          <w:color w:val="000000"/>
          <w:kern w:val="3"/>
          <w:sz w:val="21"/>
          <w:szCs w:val="21"/>
          <w:lang w:eastAsia="zh-CN" w:bidi="hi-IN"/>
        </w:rPr>
        <w:t xml:space="preserve"> la Corrupció</w:t>
      </w:r>
    </w:p>
    <w:p w14:paraId="42EA9482" w14:textId="68ABE0C3" w:rsidR="004E3452" w:rsidRPr="002D3252" w:rsidRDefault="006B23D2" w:rsidP="00431587">
      <w:pPr>
        <w:spacing w:after="240" w:line="276" w:lineRule="auto"/>
        <w:contextualSpacing/>
        <w:rPr>
          <w:rFonts w:ascii="Arial" w:hAnsi="Arial" w:cs="Arial"/>
          <w:color w:val="000000" w:themeColor="text1"/>
          <w:sz w:val="21"/>
          <w:szCs w:val="21"/>
        </w:rPr>
      </w:pPr>
      <w:r w:rsidRPr="002D3252">
        <w:rPr>
          <w:rFonts w:ascii="Arial" w:eastAsia="NSimSun" w:hAnsi="Arial" w:cs="Arial"/>
          <w:color w:val="000000"/>
          <w:kern w:val="3"/>
          <w:sz w:val="21"/>
          <w:szCs w:val="21"/>
          <w:lang w:eastAsia="zh-CN" w:bidi="hi-IN"/>
        </w:rPr>
        <w:t>de la Comunitat Valenciana</w:t>
      </w:r>
    </w:p>
    <w:p w14:paraId="3C500762" w14:textId="77777777" w:rsidR="004E3452" w:rsidRPr="002D3252" w:rsidRDefault="004E3452" w:rsidP="00E5123C">
      <w:pPr>
        <w:spacing w:after="240" w:line="276" w:lineRule="auto"/>
        <w:rPr>
          <w:rFonts w:ascii="Arial" w:hAnsi="Arial" w:cs="Arial"/>
          <w:color w:val="000000" w:themeColor="text1"/>
          <w:sz w:val="21"/>
          <w:szCs w:val="21"/>
        </w:rPr>
      </w:pPr>
    </w:p>
    <w:p w14:paraId="05CE3A72" w14:textId="17E87A71" w:rsidR="004E3452" w:rsidRPr="002D3252" w:rsidRDefault="004E3452" w:rsidP="0085298F">
      <w:pPr>
        <w:spacing w:line="276" w:lineRule="auto"/>
        <w:rPr>
          <w:rFonts w:ascii="Arial" w:hAnsi="Arial" w:cs="Arial"/>
          <w:color w:val="000000" w:themeColor="text1"/>
          <w:sz w:val="20"/>
          <w:szCs w:val="20"/>
        </w:rPr>
      </w:pPr>
      <w:bookmarkStart w:id="5" w:name="_Hlk34910541"/>
    </w:p>
    <w:p w14:paraId="4CAE1160" w14:textId="5754F98E" w:rsidR="0085298F" w:rsidRPr="002D3252" w:rsidRDefault="0085298F" w:rsidP="0085298F">
      <w:pPr>
        <w:spacing w:line="276" w:lineRule="auto"/>
        <w:rPr>
          <w:rFonts w:ascii="Arial" w:hAnsi="Arial" w:cs="Arial"/>
          <w:color w:val="000000" w:themeColor="text1"/>
          <w:sz w:val="20"/>
          <w:szCs w:val="20"/>
        </w:rPr>
      </w:pPr>
    </w:p>
    <w:p w14:paraId="71F69273" w14:textId="1B5D4C20" w:rsidR="004D135D" w:rsidRPr="002D3252" w:rsidRDefault="004D135D" w:rsidP="004D135D">
      <w:pPr>
        <w:spacing w:line="276" w:lineRule="auto"/>
        <w:rPr>
          <w:rFonts w:ascii="Arial" w:hAnsi="Arial" w:cs="Arial"/>
          <w:color w:val="000000" w:themeColor="text1"/>
          <w:sz w:val="20"/>
          <w:szCs w:val="20"/>
        </w:rPr>
      </w:pPr>
    </w:p>
    <w:p w14:paraId="653E3553" w14:textId="387E5202" w:rsidR="004D135D" w:rsidRPr="002D3252" w:rsidRDefault="004D135D" w:rsidP="004D135D">
      <w:pPr>
        <w:spacing w:line="276" w:lineRule="auto"/>
        <w:rPr>
          <w:rFonts w:ascii="Arial" w:hAnsi="Arial" w:cs="Arial"/>
          <w:color w:val="000000" w:themeColor="text1"/>
          <w:sz w:val="20"/>
          <w:szCs w:val="20"/>
        </w:rPr>
      </w:pPr>
    </w:p>
    <w:p w14:paraId="611CF848" w14:textId="2F6DCF07" w:rsidR="00C5316A" w:rsidRPr="002D3252" w:rsidRDefault="00C5316A" w:rsidP="004D135D">
      <w:pPr>
        <w:spacing w:line="276" w:lineRule="auto"/>
        <w:rPr>
          <w:rFonts w:ascii="Arial" w:hAnsi="Arial" w:cs="Arial"/>
          <w:color w:val="000000" w:themeColor="text1"/>
          <w:sz w:val="20"/>
          <w:szCs w:val="20"/>
        </w:rPr>
      </w:pPr>
    </w:p>
    <w:p w14:paraId="3D1A164C" w14:textId="3497FC01" w:rsidR="00C34875" w:rsidRPr="002D3252" w:rsidRDefault="00C34875" w:rsidP="00A140F9">
      <w:pPr>
        <w:keepNext/>
        <w:spacing w:after="0" w:line="276" w:lineRule="auto"/>
        <w:rPr>
          <w:rFonts w:ascii="Arial" w:eastAsia="Times New Roman" w:hAnsi="Arial" w:cs="Arial"/>
          <w:b/>
          <w:bCs/>
          <w:smallCaps/>
          <w:color w:val="9D2235"/>
          <w:spacing w:val="-14"/>
          <w:sz w:val="20"/>
          <w:szCs w:val="20"/>
          <w:lang w:eastAsia="es-ES"/>
        </w:rPr>
      </w:pPr>
    </w:p>
    <w:p w14:paraId="45AB8383" w14:textId="5FE10790" w:rsidR="00C5316A" w:rsidRPr="002D3252" w:rsidRDefault="00C5316A" w:rsidP="00A140F9">
      <w:pPr>
        <w:keepNext/>
        <w:spacing w:after="0" w:line="276" w:lineRule="auto"/>
        <w:rPr>
          <w:rFonts w:ascii="Arial" w:eastAsia="Times New Roman" w:hAnsi="Arial" w:cs="Arial"/>
          <w:b/>
          <w:bCs/>
          <w:smallCaps/>
          <w:color w:val="9D2235"/>
          <w:spacing w:val="-14"/>
          <w:sz w:val="20"/>
          <w:szCs w:val="20"/>
          <w:lang w:eastAsia="es-ES"/>
        </w:rPr>
      </w:pPr>
    </w:p>
    <w:p w14:paraId="56EC0A62" w14:textId="77777777" w:rsidR="00C5316A" w:rsidRPr="002D3252" w:rsidRDefault="00C5316A" w:rsidP="00A140F9">
      <w:pPr>
        <w:keepNext/>
        <w:spacing w:after="0" w:line="276" w:lineRule="auto"/>
        <w:rPr>
          <w:rFonts w:ascii="Arial" w:eastAsia="Times New Roman" w:hAnsi="Arial" w:cs="Arial"/>
          <w:b/>
          <w:bCs/>
          <w:smallCaps/>
          <w:color w:val="9D2235"/>
          <w:spacing w:val="-14"/>
          <w:sz w:val="20"/>
          <w:szCs w:val="20"/>
          <w:lang w:eastAsia="es-ES"/>
        </w:rPr>
      </w:pPr>
    </w:p>
    <w:p w14:paraId="0D4EE568" w14:textId="3CC51C96" w:rsidR="00A915DD" w:rsidRPr="002D3252" w:rsidRDefault="00A915DD" w:rsidP="00EB4ECF">
      <w:pPr>
        <w:pStyle w:val="Prrafodelista"/>
        <w:keepNext/>
        <w:numPr>
          <w:ilvl w:val="0"/>
          <w:numId w:val="15"/>
        </w:numPr>
        <w:spacing w:after="0" w:line="240" w:lineRule="auto"/>
        <w:ind w:left="0" w:firstLine="0"/>
        <w:outlineLvl w:val="0"/>
        <w:rPr>
          <w:rFonts w:ascii="Arial" w:eastAsia="Times New Roman" w:hAnsi="Arial" w:cs="Arial"/>
          <w:color w:val="9D2235"/>
          <w:sz w:val="80"/>
          <w:szCs w:val="80"/>
          <w:lang w:eastAsia="es-ES"/>
        </w:rPr>
      </w:pPr>
      <w:bookmarkStart w:id="6" w:name="_Hlk34644086"/>
      <w:bookmarkEnd w:id="5"/>
      <w:r w:rsidRPr="002D3252">
        <w:rPr>
          <w:rFonts w:ascii="Arial" w:eastAsia="Times New Roman" w:hAnsi="Arial" w:cs="Arial"/>
          <w:b/>
          <w:bCs/>
          <w:color w:val="9D2235"/>
          <w:spacing w:val="-24"/>
          <w:kern w:val="2"/>
          <w:sz w:val="80"/>
          <w:szCs w:val="80"/>
          <w:lang w:eastAsia="es-ES"/>
        </w:rPr>
        <w:br/>
      </w:r>
      <w:bookmarkStart w:id="7" w:name="_Toc97206935"/>
      <w:bookmarkStart w:id="8" w:name="_Toc99110665"/>
      <w:r w:rsidRPr="002D3252">
        <w:rPr>
          <w:rFonts w:ascii="Arial" w:eastAsia="Times New Roman" w:hAnsi="Arial" w:cs="Arial"/>
          <w:b/>
          <w:bCs/>
          <w:color w:val="94070A"/>
          <w:spacing w:val="-14"/>
          <w:sz w:val="80"/>
          <w:szCs w:val="80"/>
          <w:lang w:eastAsia="es-ES"/>
        </w:rPr>
        <w:t>Activitat</w:t>
      </w:r>
      <w:r w:rsidRPr="002D3252">
        <w:rPr>
          <w:rFonts w:ascii="Arial" w:eastAsia="Times New Roman" w:hAnsi="Arial" w:cs="Arial"/>
          <w:spacing w:val="-14"/>
          <w:sz w:val="24"/>
          <w:szCs w:val="24"/>
          <w:lang w:eastAsia="es-ES"/>
        </w:rPr>
        <w:t xml:space="preserve"> </w:t>
      </w:r>
      <w:r w:rsidRPr="002D3252">
        <w:rPr>
          <w:rFonts w:ascii="Arial" w:eastAsia="Times New Roman" w:hAnsi="Arial" w:cs="Arial"/>
          <w:spacing w:val="-14"/>
          <w:sz w:val="24"/>
          <w:szCs w:val="24"/>
          <w:lang w:eastAsia="es-ES"/>
        </w:rPr>
        <w:br/>
      </w:r>
      <w:r w:rsidR="00F54486">
        <w:rPr>
          <w:rFonts w:ascii="Arial" w:eastAsia="Times New Roman" w:hAnsi="Arial" w:cs="Arial"/>
          <w:b/>
          <w:bCs/>
          <w:color w:val="94070A"/>
          <w:spacing w:val="-14"/>
          <w:sz w:val="80"/>
          <w:szCs w:val="80"/>
          <w:lang w:eastAsia="es-ES"/>
        </w:rPr>
        <w:t>i</w:t>
      </w:r>
      <w:r w:rsidRPr="002D3252">
        <w:rPr>
          <w:rFonts w:ascii="Arial" w:eastAsia="Times New Roman" w:hAnsi="Arial" w:cs="Arial"/>
          <w:b/>
          <w:bCs/>
          <w:color w:val="94070A"/>
          <w:spacing w:val="-14"/>
          <w:sz w:val="80"/>
          <w:szCs w:val="80"/>
          <w:lang w:eastAsia="es-ES"/>
        </w:rPr>
        <w:t>nstitucional</w:t>
      </w:r>
      <w:bookmarkEnd w:id="7"/>
      <w:bookmarkEnd w:id="8"/>
      <w:r w:rsidRPr="002D3252">
        <w:rPr>
          <w:rFonts w:ascii="Arial" w:eastAsia="Times New Roman" w:hAnsi="Arial" w:cs="Arial"/>
          <w:b/>
          <w:bCs/>
          <w:color w:val="9D2235"/>
          <w:spacing w:val="-24"/>
          <w:kern w:val="2"/>
          <w:sz w:val="80"/>
          <w:szCs w:val="80"/>
          <w:lang w:eastAsia="es-ES"/>
        </w:rPr>
        <w:br/>
      </w:r>
    </w:p>
    <w:p w14:paraId="2FED2DE3" w14:textId="77777777" w:rsidR="00B32075" w:rsidRPr="002D3252" w:rsidRDefault="00B32075" w:rsidP="00EB4ECF">
      <w:pPr>
        <w:pStyle w:val="Prrafodelista"/>
        <w:keepNext/>
        <w:numPr>
          <w:ilvl w:val="1"/>
          <w:numId w:val="15"/>
        </w:numPr>
        <w:spacing w:before="360" w:after="240" w:line="276" w:lineRule="auto"/>
        <w:ind w:left="851" w:hanging="851"/>
        <w:outlineLvl w:val="1"/>
        <w:rPr>
          <w:rFonts w:ascii="Arial" w:hAnsi="Arial"/>
          <w:b/>
          <w:color w:val="9D2235"/>
          <w:sz w:val="32"/>
          <w:szCs w:val="32"/>
        </w:rPr>
      </w:pPr>
      <w:bookmarkStart w:id="9" w:name="_Toc95311194"/>
      <w:bookmarkStart w:id="10" w:name="_Toc99110666"/>
      <w:bookmarkStart w:id="11" w:name="_Hlk95219763"/>
      <w:r w:rsidRPr="002D3252">
        <w:rPr>
          <w:rFonts w:ascii="Arial" w:hAnsi="Arial"/>
          <w:b/>
          <w:color w:val="9D2235"/>
          <w:sz w:val="32"/>
          <w:szCs w:val="32"/>
        </w:rPr>
        <w:t>Introducció</w:t>
      </w:r>
      <w:bookmarkEnd w:id="9"/>
      <w:bookmarkEnd w:id="10"/>
    </w:p>
    <w:bookmarkEnd w:id="11"/>
    <w:p w14:paraId="39062FD0" w14:textId="77777777" w:rsidR="00B32075" w:rsidRPr="002D3252" w:rsidRDefault="00B32075" w:rsidP="009322F0">
      <w:pPr>
        <w:widowControl w:val="0"/>
        <w:suppressAutoHyphens/>
        <w:autoSpaceDN w:val="0"/>
        <w:spacing w:after="240" w:line="276" w:lineRule="auto"/>
        <w:jc w:val="both"/>
        <w:rPr>
          <w:rFonts w:ascii="Arial" w:hAnsi="Arial"/>
          <w:sz w:val="21"/>
        </w:rPr>
      </w:pPr>
      <w:r w:rsidRPr="002D3252">
        <w:rPr>
          <w:rFonts w:ascii="Arial" w:hAnsi="Arial"/>
          <w:sz w:val="21"/>
        </w:rPr>
        <w:t>Sota la dependència directa de la persona titular de la Direcció General de l'Agència, corresponen a la unitat administrativa denominada Gabinet de Relacions Institucionals, Participació i Comunicació les següents funcions:</w:t>
      </w:r>
    </w:p>
    <w:p w14:paraId="3D6509F1" w14:textId="77777777" w:rsidR="00B32075" w:rsidRPr="002D3252" w:rsidRDefault="00B32075" w:rsidP="00EB4ECF">
      <w:pPr>
        <w:widowControl w:val="0"/>
        <w:numPr>
          <w:ilvl w:val="0"/>
          <w:numId w:val="26"/>
        </w:numPr>
        <w:suppressAutoHyphens/>
        <w:autoSpaceDN w:val="0"/>
        <w:spacing w:after="80" w:line="276" w:lineRule="auto"/>
        <w:ind w:left="714" w:hanging="357"/>
        <w:jc w:val="both"/>
        <w:rPr>
          <w:rFonts w:ascii="Arial" w:hAnsi="Arial"/>
          <w:sz w:val="21"/>
        </w:rPr>
      </w:pPr>
      <w:r w:rsidRPr="002D3252">
        <w:rPr>
          <w:rFonts w:ascii="Arial" w:hAnsi="Arial"/>
          <w:sz w:val="21"/>
        </w:rPr>
        <w:t>Mantindre, impulsar i gestionar les relacions institucionals amb els òrgans i institucions de la Generalitat, de l'Estat i de les altres administracions públiques.</w:t>
      </w:r>
    </w:p>
    <w:p w14:paraId="683B320C" w14:textId="77777777" w:rsidR="00B32075" w:rsidRPr="002D3252" w:rsidRDefault="00B32075" w:rsidP="00EB4ECF">
      <w:pPr>
        <w:widowControl w:val="0"/>
        <w:numPr>
          <w:ilvl w:val="0"/>
          <w:numId w:val="26"/>
        </w:numPr>
        <w:suppressAutoHyphens/>
        <w:autoSpaceDN w:val="0"/>
        <w:spacing w:after="80" w:line="276" w:lineRule="auto"/>
        <w:jc w:val="both"/>
        <w:rPr>
          <w:rFonts w:ascii="Arial" w:hAnsi="Arial"/>
          <w:sz w:val="21"/>
        </w:rPr>
      </w:pPr>
      <w:r w:rsidRPr="002D3252">
        <w:rPr>
          <w:rFonts w:ascii="Arial" w:hAnsi="Arial"/>
          <w:sz w:val="21"/>
        </w:rPr>
        <w:t>Desenvolupar les polítiques de comunicació externa i imatge institucional de l'Agència, i les relacions informatives i amb els mitjans de comunicació.</w:t>
      </w:r>
    </w:p>
    <w:p w14:paraId="41FBEBD9" w14:textId="77777777" w:rsidR="00B32075" w:rsidRPr="002D3252" w:rsidRDefault="00B32075" w:rsidP="00EB4ECF">
      <w:pPr>
        <w:widowControl w:val="0"/>
        <w:numPr>
          <w:ilvl w:val="0"/>
          <w:numId w:val="26"/>
        </w:numPr>
        <w:suppressAutoHyphens/>
        <w:autoSpaceDN w:val="0"/>
        <w:spacing w:after="80" w:line="276" w:lineRule="auto"/>
        <w:jc w:val="both"/>
        <w:rPr>
          <w:rFonts w:ascii="Arial" w:hAnsi="Arial"/>
          <w:sz w:val="21"/>
        </w:rPr>
      </w:pPr>
      <w:r w:rsidRPr="002D3252">
        <w:rPr>
          <w:rFonts w:ascii="Arial" w:hAnsi="Arial"/>
          <w:sz w:val="21"/>
        </w:rPr>
        <w:t>Elaborar, gestionar i analitzar qualsevol tipus d'informació i documentació sobre les matèries pròpies de l'Agència.</w:t>
      </w:r>
    </w:p>
    <w:p w14:paraId="7893B67A" w14:textId="77777777" w:rsidR="00B32075" w:rsidRPr="002D3252" w:rsidRDefault="00B32075" w:rsidP="00EB4ECF">
      <w:pPr>
        <w:widowControl w:val="0"/>
        <w:numPr>
          <w:ilvl w:val="0"/>
          <w:numId w:val="26"/>
        </w:numPr>
        <w:suppressAutoHyphens/>
        <w:autoSpaceDN w:val="0"/>
        <w:spacing w:after="80" w:line="276" w:lineRule="auto"/>
        <w:jc w:val="both"/>
        <w:rPr>
          <w:rFonts w:ascii="Arial" w:hAnsi="Arial"/>
          <w:sz w:val="21"/>
        </w:rPr>
      </w:pPr>
      <w:r w:rsidRPr="002D3252">
        <w:rPr>
          <w:rFonts w:ascii="Arial" w:hAnsi="Arial"/>
          <w:sz w:val="21"/>
        </w:rPr>
        <w:t>Proposar, preparar i elaborar els informes, estadístiques, publicacions, estudis tècnics i memòries necessaris en relació amb les funcions atribuïdes a l'Agència.</w:t>
      </w:r>
    </w:p>
    <w:p w14:paraId="55CC4D92" w14:textId="77777777" w:rsidR="00B32075" w:rsidRPr="002D3252" w:rsidRDefault="00B32075" w:rsidP="00EB4ECF">
      <w:pPr>
        <w:widowControl w:val="0"/>
        <w:numPr>
          <w:ilvl w:val="0"/>
          <w:numId w:val="26"/>
        </w:numPr>
        <w:suppressAutoHyphens/>
        <w:autoSpaceDN w:val="0"/>
        <w:spacing w:after="80" w:line="276" w:lineRule="auto"/>
        <w:jc w:val="both"/>
        <w:rPr>
          <w:rFonts w:ascii="Arial" w:hAnsi="Arial"/>
          <w:sz w:val="21"/>
        </w:rPr>
      </w:pPr>
      <w:r w:rsidRPr="002D3252">
        <w:rPr>
          <w:rFonts w:ascii="Arial" w:hAnsi="Arial"/>
          <w:sz w:val="21"/>
        </w:rPr>
        <w:t>Proposar i tramitar les actuacions de l'Agència relacionades amb l'activitat parlamentària.</w:t>
      </w:r>
    </w:p>
    <w:p w14:paraId="19C8BF92" w14:textId="77777777" w:rsidR="00B32075" w:rsidRPr="002D3252" w:rsidRDefault="00B32075" w:rsidP="00EB4ECF">
      <w:pPr>
        <w:widowControl w:val="0"/>
        <w:numPr>
          <w:ilvl w:val="0"/>
          <w:numId w:val="26"/>
        </w:numPr>
        <w:suppressAutoHyphens/>
        <w:autoSpaceDN w:val="0"/>
        <w:spacing w:after="80" w:line="276" w:lineRule="auto"/>
        <w:jc w:val="both"/>
        <w:rPr>
          <w:rFonts w:ascii="Arial" w:hAnsi="Arial"/>
          <w:sz w:val="21"/>
        </w:rPr>
      </w:pPr>
      <w:r w:rsidRPr="002D3252">
        <w:rPr>
          <w:rFonts w:ascii="Arial" w:hAnsi="Arial"/>
          <w:sz w:val="21"/>
        </w:rPr>
        <w:t>Desenvolupar programes específics de sensibilització a la ciutadania per a fomentar la creació d'una cultura social de rebuig de la corrupció.</w:t>
      </w:r>
    </w:p>
    <w:p w14:paraId="4569FC3C" w14:textId="77777777" w:rsidR="00B32075" w:rsidRPr="002D3252" w:rsidRDefault="00B32075" w:rsidP="00EB4ECF">
      <w:pPr>
        <w:widowControl w:val="0"/>
        <w:numPr>
          <w:ilvl w:val="0"/>
          <w:numId w:val="26"/>
        </w:numPr>
        <w:suppressAutoHyphens/>
        <w:autoSpaceDN w:val="0"/>
        <w:spacing w:after="80" w:line="276" w:lineRule="auto"/>
        <w:jc w:val="both"/>
        <w:rPr>
          <w:rFonts w:ascii="Arial" w:hAnsi="Arial"/>
          <w:sz w:val="21"/>
        </w:rPr>
      </w:pPr>
      <w:r w:rsidRPr="002D3252">
        <w:rPr>
          <w:rFonts w:ascii="Arial" w:hAnsi="Arial"/>
          <w:sz w:val="21"/>
        </w:rPr>
        <w:t>Promoure espais de trobada i intercanvi amb la societat civil i recollir les seues aportacions.</w:t>
      </w:r>
    </w:p>
    <w:p w14:paraId="0DFE6C7B" w14:textId="77777777" w:rsidR="00B32075" w:rsidRPr="002D3252" w:rsidRDefault="00B32075" w:rsidP="00EB4ECF">
      <w:pPr>
        <w:widowControl w:val="0"/>
        <w:numPr>
          <w:ilvl w:val="0"/>
          <w:numId w:val="26"/>
        </w:numPr>
        <w:suppressAutoHyphens/>
        <w:autoSpaceDN w:val="0"/>
        <w:spacing w:after="80" w:line="276" w:lineRule="auto"/>
        <w:jc w:val="both"/>
        <w:rPr>
          <w:rFonts w:ascii="Arial" w:hAnsi="Arial"/>
          <w:sz w:val="21"/>
        </w:rPr>
      </w:pPr>
      <w:r w:rsidRPr="002D3252">
        <w:rPr>
          <w:rFonts w:ascii="Arial" w:hAnsi="Arial"/>
          <w:sz w:val="21"/>
        </w:rPr>
        <w:t>Efectuar el seguiment, avaluació del desenvolupament i grau de compliment de la normativa vigent en matèria d'igualtat entre dones i homes en l'àmbit de les actuacions de l'Agència, inclosa la utilització d'un llenguatge no sexista i no discriminatori i la transmissió de valors positius i igualitaris en la publicitat institucional.</w:t>
      </w:r>
    </w:p>
    <w:p w14:paraId="749466A0" w14:textId="77777777" w:rsidR="00B32075" w:rsidRPr="002D3252" w:rsidRDefault="00B32075" w:rsidP="00EB4ECF">
      <w:pPr>
        <w:widowControl w:val="0"/>
        <w:numPr>
          <w:ilvl w:val="0"/>
          <w:numId w:val="26"/>
        </w:numPr>
        <w:suppressAutoHyphens/>
        <w:autoSpaceDN w:val="0"/>
        <w:spacing w:after="240" w:line="276" w:lineRule="auto"/>
        <w:jc w:val="both"/>
        <w:rPr>
          <w:rFonts w:ascii="Arial" w:hAnsi="Arial"/>
          <w:sz w:val="21"/>
        </w:rPr>
      </w:pPr>
      <w:r w:rsidRPr="002D3252">
        <w:rPr>
          <w:rFonts w:ascii="Arial" w:hAnsi="Arial"/>
          <w:sz w:val="21"/>
        </w:rPr>
        <w:lastRenderedPageBreak/>
        <w:t>Aquelles altres que assignades per la persona titular de la direcció.</w:t>
      </w:r>
    </w:p>
    <w:p w14:paraId="1F3B2E75" w14:textId="7C31EDF3" w:rsidR="00F959CE" w:rsidRPr="002D3252" w:rsidRDefault="00B32075" w:rsidP="00660459">
      <w:pPr>
        <w:widowControl w:val="0"/>
        <w:suppressAutoHyphens/>
        <w:autoSpaceDN w:val="0"/>
        <w:spacing w:after="120" w:line="276" w:lineRule="auto"/>
        <w:jc w:val="both"/>
        <w:rPr>
          <w:rFonts w:ascii="Arial" w:hAnsi="Arial"/>
          <w:sz w:val="21"/>
        </w:rPr>
      </w:pPr>
      <w:r w:rsidRPr="002D3252">
        <w:rPr>
          <w:rFonts w:ascii="Arial" w:hAnsi="Arial"/>
          <w:sz w:val="21"/>
        </w:rPr>
        <w:t>Des del Gabinet de Relacions Institucionals, Comunicació i Participació s'han realitzat al llarg de 2021 diferents activitats institucionals que es detallen en els epígrafs que a continuació es desenvolupen.</w:t>
      </w:r>
    </w:p>
    <w:p w14:paraId="0A4375F4" w14:textId="77777777" w:rsidR="009322F0" w:rsidRPr="002D3252" w:rsidRDefault="009322F0" w:rsidP="00EB4ECF">
      <w:pPr>
        <w:pStyle w:val="Prrafodelista"/>
        <w:keepNext/>
        <w:numPr>
          <w:ilvl w:val="1"/>
          <w:numId w:val="27"/>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12" w:name="_Toc95311195"/>
      <w:bookmarkStart w:id="13" w:name="_Toc99110667"/>
      <w:r w:rsidRPr="002D3252">
        <w:rPr>
          <w:rFonts w:ascii="Arial" w:eastAsia="Times New Roman" w:hAnsi="Arial" w:cs="Arial"/>
          <w:b/>
          <w:color w:val="9D2235"/>
          <w:sz w:val="32"/>
          <w:szCs w:val="32"/>
        </w:rPr>
        <w:t xml:space="preserve">Actes </w:t>
      </w:r>
      <w:bookmarkEnd w:id="12"/>
      <w:r w:rsidRPr="002D3252">
        <w:rPr>
          <w:rFonts w:ascii="Arial" w:eastAsia="Times New Roman" w:hAnsi="Arial" w:cs="Arial"/>
          <w:b/>
          <w:color w:val="9D2235"/>
          <w:sz w:val="32"/>
          <w:szCs w:val="32"/>
        </w:rPr>
        <w:t>organitzats</w:t>
      </w:r>
      <w:bookmarkEnd w:id="13"/>
    </w:p>
    <w:p w14:paraId="5910BF92" w14:textId="77777777" w:rsidR="009322F0" w:rsidRPr="002D3252" w:rsidRDefault="009322F0" w:rsidP="009322F0">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Amb la finalitat de difondre les activitats de l'Agència en l'àmbit de la societat civil, s'han desenvolupat diversos actes, organitzats per la pròpia Agència, per a sensibilitzar a la ciutadania en matèria de lluita contra el frau i la corrupció.</w:t>
      </w:r>
    </w:p>
    <w:p w14:paraId="72922B23" w14:textId="241B2E81" w:rsidR="009322F0" w:rsidRPr="002D3252" w:rsidRDefault="009322F0" w:rsidP="006F5712">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El format triat, en la majoria dels casos, ha sigut virtual, difós en streaming a través de les xarxes socials. Aquests </w:t>
      </w:r>
      <w:r w:rsidRPr="002D3252">
        <w:rPr>
          <w:rFonts w:ascii="Arial" w:eastAsia="Times New Roman" w:hAnsi="Arial" w:cs="Arial"/>
          <w:i/>
          <w:sz w:val="21"/>
          <w:szCs w:val="21"/>
          <w:lang w:eastAsia="es-ES"/>
        </w:rPr>
        <w:t>webinar</w:t>
      </w:r>
      <w:r w:rsidRPr="002D3252">
        <w:rPr>
          <w:rFonts w:ascii="Arial" w:eastAsia="Times New Roman" w:hAnsi="Arial" w:cs="Arial"/>
          <w:sz w:val="21"/>
          <w:szCs w:val="21"/>
          <w:lang w:eastAsia="es-ES"/>
        </w:rPr>
        <w:t xml:space="preserve"> han permés poder realitzar aquests actes amb èxit, donada la situació de risc sanitari viscuda, i arribar a un públic més ampli. Durant el 2022 s'han realitzat els següents</w:t>
      </w:r>
      <w:r w:rsidR="006F5712" w:rsidRPr="002D3252">
        <w:rPr>
          <w:rFonts w:ascii="Arial" w:eastAsia="Times New Roman" w:hAnsi="Arial" w:cs="Arial"/>
          <w:sz w:val="21"/>
          <w:szCs w:val="21"/>
          <w:lang w:eastAsia="es-ES"/>
        </w:rPr>
        <w:t>.</w:t>
      </w:r>
    </w:p>
    <w:p w14:paraId="6F24EE23" w14:textId="77777777" w:rsidR="006F5712" w:rsidRPr="002D3252" w:rsidRDefault="006F5712" w:rsidP="006F5712">
      <w:pPr>
        <w:spacing w:after="0" w:line="276" w:lineRule="auto"/>
        <w:jc w:val="both"/>
        <w:rPr>
          <w:rFonts w:ascii="Arial" w:eastAsia="Times New Roman" w:hAnsi="Arial" w:cs="Arial"/>
          <w:i/>
          <w:color w:val="82695E" w:themeColor="background2" w:themeShade="80"/>
          <w:sz w:val="21"/>
          <w:szCs w:val="21"/>
          <w:lang w:eastAsia="es-ES"/>
        </w:rPr>
      </w:pPr>
      <w:r w:rsidRPr="002D3252">
        <w:rPr>
          <w:rFonts w:ascii="Arial" w:eastAsia="Times New Roman" w:hAnsi="Arial" w:cs="Arial"/>
          <w:i/>
          <w:color w:val="82695E" w:themeColor="background2" w:themeShade="80"/>
          <w:sz w:val="21"/>
          <w:szCs w:val="21"/>
          <w:lang w:eastAsia="es-ES"/>
        </w:rPr>
        <w:t>Poden punxar en la imatge per a accedir al canal YouTube de l'Agència i visualitzar l'enregistrament.</w:t>
      </w:r>
    </w:p>
    <w:p w14:paraId="76D0A0E9" w14:textId="77777777" w:rsidR="006F5712" w:rsidRPr="002D3252" w:rsidRDefault="006F5712" w:rsidP="006F5712">
      <w:pPr>
        <w:spacing w:after="0" w:line="276" w:lineRule="auto"/>
        <w:jc w:val="both"/>
        <w:rPr>
          <w:rFonts w:ascii="Arial" w:eastAsia="Times New Roman" w:hAnsi="Arial" w:cs="Arial"/>
          <w:b/>
          <w:sz w:val="21"/>
          <w:szCs w:val="21"/>
          <w:lang w:eastAsia="es-ES"/>
        </w:rPr>
      </w:pPr>
      <w:r w:rsidRPr="002D3252">
        <w:rPr>
          <w:rFonts w:ascii="Arial" w:eastAsia="Times New Roman" w:hAnsi="Arial" w:cs="Arial"/>
          <w:sz w:val="21"/>
          <w:szCs w:val="21"/>
          <w:lang w:eastAsia="es-ES"/>
        </w:rPr>
        <w:t xml:space="preserve">24 de març </w:t>
      </w:r>
    </w:p>
    <w:p w14:paraId="3CB9EF93" w14:textId="77777777" w:rsidR="006F5712" w:rsidRPr="002D3252" w:rsidRDefault="006F5712" w:rsidP="006F5712">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Webinar “Enriquiment injust, ús o abús?</w:t>
      </w:r>
    </w:p>
    <w:p w14:paraId="0F167E51" w14:textId="67B39C4A" w:rsidR="00E14934" w:rsidRPr="002D3252" w:rsidRDefault="004731A5" w:rsidP="00E14934">
      <w:pPr>
        <w:spacing w:after="240" w:line="276" w:lineRule="auto"/>
        <w:jc w:val="both"/>
        <w:rPr>
          <w:rFonts w:ascii="Arial" w:eastAsia="Times New Roman" w:hAnsi="Arial" w:cs="Arial"/>
          <w:sz w:val="21"/>
          <w:szCs w:val="21"/>
          <w:lang w:eastAsia="es-ES"/>
        </w:rPr>
      </w:pPr>
      <w:r w:rsidRPr="002D3252">
        <w:rPr>
          <w:rFonts w:ascii="Arial" w:eastAsia="Times New Roman" w:hAnsi="Arial" w:cs="Arial"/>
          <w:noProof/>
          <w:sz w:val="21"/>
          <w:szCs w:val="21"/>
          <w:lang w:eastAsia="es-ES"/>
        </w:rPr>
        <w:drawing>
          <wp:anchor distT="0" distB="0" distL="114300" distR="114300" simplePos="0" relativeHeight="251965440" behindDoc="0" locked="0" layoutInCell="1" allowOverlap="1" wp14:anchorId="23C9770A" wp14:editId="5E760386">
            <wp:simplePos x="0" y="0"/>
            <wp:positionH relativeFrom="margin">
              <wp:posOffset>271227</wp:posOffset>
            </wp:positionH>
            <wp:positionV relativeFrom="paragraph">
              <wp:posOffset>833617</wp:posOffset>
            </wp:positionV>
            <wp:extent cx="4950460" cy="2853055"/>
            <wp:effectExtent l="0" t="0" r="2540" b="444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0460" cy="2853055"/>
                    </a:xfrm>
                    <a:prstGeom prst="rect">
                      <a:avLst/>
                    </a:prstGeom>
                    <a:noFill/>
                  </pic:spPr>
                </pic:pic>
              </a:graphicData>
            </a:graphic>
          </wp:anchor>
        </w:drawing>
      </w:r>
      <w:r w:rsidR="00E14934" w:rsidRPr="002D3252">
        <w:rPr>
          <w:rFonts w:ascii="Arial" w:eastAsia="Times New Roman" w:hAnsi="Arial" w:cs="Arial"/>
          <w:sz w:val="21"/>
          <w:szCs w:val="21"/>
          <w:lang w:eastAsia="es-ES"/>
        </w:rPr>
        <w:t xml:space="preserve">En col·laboració amb el Col·legi de Secretaris, Interventors i Tresorers de l'Administració Local (COSITAL), l'Agència va organitzar aquesta jornada de debat “en línia” seguint la recomanació general de l’AVAF: “La via de l'enriquiment injust en el sector públic: ús o abús?”, aprovada per </w:t>
      </w:r>
      <w:r w:rsidR="00951EAD">
        <w:rPr>
          <w:rFonts w:ascii="Arial" w:eastAsia="Times New Roman" w:hAnsi="Arial" w:cs="Arial"/>
          <w:sz w:val="21"/>
          <w:szCs w:val="21"/>
          <w:lang w:eastAsia="es-ES"/>
        </w:rPr>
        <w:t>R</w:t>
      </w:r>
      <w:r w:rsidR="00E14934" w:rsidRPr="002D3252">
        <w:rPr>
          <w:rFonts w:ascii="Arial" w:eastAsia="Times New Roman" w:hAnsi="Arial" w:cs="Arial"/>
          <w:sz w:val="21"/>
          <w:szCs w:val="21"/>
          <w:lang w:eastAsia="es-ES"/>
        </w:rPr>
        <w:t>esolució del Director núm. 122, d'11 de maig de 2020.</w:t>
      </w:r>
    </w:p>
    <w:p w14:paraId="6CF8A930" w14:textId="0EA2B609" w:rsidR="00E14934" w:rsidRPr="002D3252" w:rsidRDefault="00E14934" w:rsidP="00E14934">
      <w:pPr>
        <w:spacing w:after="240" w:line="276" w:lineRule="auto"/>
        <w:jc w:val="both"/>
        <w:rPr>
          <w:rFonts w:ascii="Arial" w:eastAsia="Times New Roman" w:hAnsi="Arial" w:cs="Arial"/>
          <w:sz w:val="21"/>
          <w:szCs w:val="21"/>
          <w:lang w:eastAsia="es-ES"/>
        </w:rPr>
      </w:pPr>
      <w:r w:rsidRPr="002D3252">
        <w:rPr>
          <w:noProof/>
        </w:rPr>
        <mc:AlternateContent>
          <mc:Choice Requires="wps">
            <w:drawing>
              <wp:anchor distT="0" distB="0" distL="114300" distR="114300" simplePos="0" relativeHeight="251959296" behindDoc="1" locked="0" layoutInCell="1" allowOverlap="1" wp14:anchorId="7BA85C97" wp14:editId="1E924E9B">
                <wp:simplePos x="0" y="0"/>
                <wp:positionH relativeFrom="column">
                  <wp:posOffset>221615</wp:posOffset>
                </wp:positionH>
                <wp:positionV relativeFrom="paragraph">
                  <wp:posOffset>2892425</wp:posOffset>
                </wp:positionV>
                <wp:extent cx="4953000" cy="222250"/>
                <wp:effectExtent l="0" t="0" r="0" b="6350"/>
                <wp:wrapNone/>
                <wp:docPr id="1" name="Cuadro de texto 1"/>
                <wp:cNvGraphicFramePr/>
                <a:graphic xmlns:a="http://schemas.openxmlformats.org/drawingml/2006/main">
                  <a:graphicData uri="http://schemas.microsoft.com/office/word/2010/wordprocessingShape">
                    <wps:wsp>
                      <wps:cNvSpPr txBox="1"/>
                      <wps:spPr>
                        <a:xfrm>
                          <a:off x="0" y="0"/>
                          <a:ext cx="4953000" cy="222250"/>
                        </a:xfrm>
                        <a:prstGeom prst="rect">
                          <a:avLst/>
                        </a:prstGeom>
                        <a:solidFill>
                          <a:prstClr val="white"/>
                        </a:solidFill>
                        <a:ln>
                          <a:noFill/>
                        </a:ln>
                      </wps:spPr>
                      <wps:txbx>
                        <w:txbxContent>
                          <w:p w14:paraId="75443A35" w14:textId="780349C4" w:rsidR="006F5712" w:rsidRPr="006F5712" w:rsidRDefault="00E14934" w:rsidP="006F5712">
                            <w:pPr>
                              <w:pStyle w:val="Descripcin"/>
                              <w:jc w:val="center"/>
                              <w:rPr>
                                <w:rFonts w:ascii="Arial" w:hAnsi="Arial" w:cs="Arial"/>
                                <w:smallCaps w:val="0"/>
                                <w:sz w:val="18"/>
                                <w:szCs w:val="18"/>
                              </w:rPr>
                            </w:pPr>
                            <w:bookmarkStart w:id="14" w:name="_Toc99110947"/>
                            <w:r w:rsidRPr="00E14934">
                              <w:rPr>
                                <w:rFonts w:ascii="Arial" w:hAnsi="Arial" w:cs="Arial"/>
                                <w:smallCaps w:val="0"/>
                                <w:color w:val="9D2235" w:themeColor="accent1"/>
                                <w:sz w:val="18"/>
                                <w:szCs w:val="18"/>
                              </w:rPr>
                              <w:t xml:space="preserve">Il·lustració </w:t>
                            </w:r>
                            <w:r w:rsidRPr="00E14934">
                              <w:rPr>
                                <w:rFonts w:ascii="Arial" w:hAnsi="Arial" w:cs="Arial"/>
                                <w:smallCaps w:val="0"/>
                                <w:color w:val="9D2235" w:themeColor="accent1"/>
                                <w:sz w:val="18"/>
                                <w:szCs w:val="18"/>
                              </w:rPr>
                              <w:fldChar w:fldCharType="begin"/>
                            </w:r>
                            <w:r w:rsidRPr="00E14934">
                              <w:rPr>
                                <w:rFonts w:ascii="Arial" w:hAnsi="Arial" w:cs="Arial"/>
                                <w:smallCaps w:val="0"/>
                                <w:color w:val="9D2235" w:themeColor="accent1"/>
                                <w:sz w:val="18"/>
                                <w:szCs w:val="18"/>
                              </w:rPr>
                              <w:instrText xml:space="preserve"> SEQ Il·lustració \* ARABIC </w:instrText>
                            </w:r>
                            <w:r w:rsidRPr="00E14934">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w:t>
                            </w:r>
                            <w:r w:rsidRPr="00E14934">
                              <w:rPr>
                                <w:rFonts w:ascii="Arial" w:hAnsi="Arial" w:cs="Arial"/>
                                <w:smallCaps w:val="0"/>
                                <w:color w:val="9D2235" w:themeColor="accent1"/>
                                <w:sz w:val="18"/>
                                <w:szCs w:val="18"/>
                              </w:rPr>
                              <w:fldChar w:fldCharType="end"/>
                            </w:r>
                            <w:r w:rsidRPr="00E14934">
                              <w:rPr>
                                <w:rFonts w:ascii="Arial" w:hAnsi="Arial" w:cs="Arial"/>
                                <w:smallCaps w:val="0"/>
                                <w:color w:val="9D2235" w:themeColor="accent1"/>
                                <w:sz w:val="18"/>
                                <w:szCs w:val="18"/>
                              </w:rPr>
                              <w:t xml:space="preserve">. </w:t>
                            </w:r>
                            <w:r w:rsidRPr="00E14934">
                              <w:rPr>
                                <w:rFonts w:ascii="Arial" w:hAnsi="Arial" w:cs="Arial"/>
                                <w:smallCaps w:val="0"/>
                                <w:sz w:val="18"/>
                                <w:szCs w:val="18"/>
                              </w:rPr>
                              <w:t xml:space="preserve">Infografia del webinar: Enriquiment injust. </w:t>
                            </w:r>
                            <w:r w:rsidR="00507A61">
                              <w:rPr>
                                <w:rFonts w:ascii="Arial" w:hAnsi="Arial" w:cs="Arial"/>
                                <w:smallCaps w:val="0"/>
                                <w:sz w:val="18"/>
                                <w:szCs w:val="18"/>
                              </w:rPr>
                              <w:t>¿</w:t>
                            </w:r>
                            <w:r w:rsidRPr="00E14934">
                              <w:rPr>
                                <w:rFonts w:ascii="Arial" w:hAnsi="Arial" w:cs="Arial"/>
                                <w:smallCaps w:val="0"/>
                                <w:sz w:val="18"/>
                                <w:szCs w:val="18"/>
                              </w:rPr>
                              <w:t>Ús o abús?</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BA85C97" id="_x0000_t202" coordsize="21600,21600" o:spt="202" path="m,l,21600r21600,l21600,xe">
                <v:stroke joinstyle="miter"/>
                <v:path gradientshapeok="t" o:connecttype="rect"/>
              </v:shapetype>
              <v:shape id="Cuadro de texto 1" o:spid="_x0000_s1026" type="#_x0000_t202" style="position:absolute;left:0;text-align:left;margin-left:17.45pt;margin-top:227.75pt;width:390pt;height:17.5pt;z-index:-25135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" stroked="f">
                <v:textbox inset="0,0,0,0">
                  <w:txbxContent>
                    <w:p w14:paraId="75443A35" w14:textId="780349C4" w:rsidR="006F5712" w:rsidRPr="006F5712" w:rsidRDefault="00E14934" w:rsidP="006F5712">
                      <w:pPr>
                        <w:pStyle w:val="Descripcin"/>
                        <w:jc w:val="center"/>
                        <w:rPr>
                          <w:rFonts w:ascii="Arial" w:hAnsi="Arial" w:cs="Arial"/>
                          <w:smallCaps w:val="0"/>
                          <w:sz w:val="18"/>
                          <w:szCs w:val="18"/>
                        </w:rPr>
                      </w:pPr>
                      <w:bookmarkStart w:id="15" w:name="_Toc99110947"/>
                      <w:r w:rsidRPr="00E14934">
                        <w:rPr>
                          <w:rFonts w:ascii="Arial" w:hAnsi="Arial" w:cs="Arial"/>
                          <w:smallCaps w:val="0"/>
                          <w:color w:val="9D2235" w:themeColor="accent1"/>
                          <w:sz w:val="18"/>
                          <w:szCs w:val="18"/>
                        </w:rPr>
                        <w:t xml:space="preserve">Il·lustració </w:t>
                      </w:r>
                      <w:r w:rsidRPr="00E14934">
                        <w:rPr>
                          <w:rFonts w:ascii="Arial" w:hAnsi="Arial" w:cs="Arial"/>
                          <w:smallCaps w:val="0"/>
                          <w:color w:val="9D2235" w:themeColor="accent1"/>
                          <w:sz w:val="18"/>
                          <w:szCs w:val="18"/>
                        </w:rPr>
                        <w:fldChar w:fldCharType="begin"/>
                      </w:r>
                      <w:r w:rsidRPr="00E14934">
                        <w:rPr>
                          <w:rFonts w:ascii="Arial" w:hAnsi="Arial" w:cs="Arial"/>
                          <w:smallCaps w:val="0"/>
                          <w:color w:val="9D2235" w:themeColor="accent1"/>
                          <w:sz w:val="18"/>
                          <w:szCs w:val="18"/>
                        </w:rPr>
                        <w:instrText xml:space="preserve"> SEQ Il·lustració \* ARABIC </w:instrText>
                      </w:r>
                      <w:r w:rsidRPr="00E14934">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w:t>
                      </w:r>
                      <w:r w:rsidRPr="00E14934">
                        <w:rPr>
                          <w:rFonts w:ascii="Arial" w:hAnsi="Arial" w:cs="Arial"/>
                          <w:smallCaps w:val="0"/>
                          <w:color w:val="9D2235" w:themeColor="accent1"/>
                          <w:sz w:val="18"/>
                          <w:szCs w:val="18"/>
                        </w:rPr>
                        <w:fldChar w:fldCharType="end"/>
                      </w:r>
                      <w:r w:rsidRPr="00E14934">
                        <w:rPr>
                          <w:rFonts w:ascii="Arial" w:hAnsi="Arial" w:cs="Arial"/>
                          <w:smallCaps w:val="0"/>
                          <w:color w:val="9D2235" w:themeColor="accent1"/>
                          <w:sz w:val="18"/>
                          <w:szCs w:val="18"/>
                        </w:rPr>
                        <w:t xml:space="preserve">. </w:t>
                      </w:r>
                      <w:r w:rsidRPr="00E14934">
                        <w:rPr>
                          <w:rFonts w:ascii="Arial" w:hAnsi="Arial" w:cs="Arial"/>
                          <w:smallCaps w:val="0"/>
                          <w:sz w:val="18"/>
                          <w:szCs w:val="18"/>
                        </w:rPr>
                        <w:t xml:space="preserve">Infografia del webinar: Enriquiment injust. </w:t>
                      </w:r>
                      <w:r w:rsidR="00507A61">
                        <w:rPr>
                          <w:rFonts w:ascii="Arial" w:hAnsi="Arial" w:cs="Arial"/>
                          <w:smallCaps w:val="0"/>
                          <w:sz w:val="18"/>
                          <w:szCs w:val="18"/>
                        </w:rPr>
                        <w:t>¿</w:t>
                      </w:r>
                      <w:r w:rsidRPr="00E14934">
                        <w:rPr>
                          <w:rFonts w:ascii="Arial" w:hAnsi="Arial" w:cs="Arial"/>
                          <w:smallCaps w:val="0"/>
                          <w:sz w:val="18"/>
                          <w:szCs w:val="18"/>
                        </w:rPr>
                        <w:t>Ús o abús?</w:t>
                      </w:r>
                      <w:bookmarkEnd w:id="15"/>
                    </w:p>
                  </w:txbxContent>
                </v:textbox>
              </v:shape>
            </w:pict>
          </mc:Fallback>
        </mc:AlternateContent>
      </w:r>
    </w:p>
    <w:p w14:paraId="53DCB838" w14:textId="2CD6E85A" w:rsidR="006F5712" w:rsidRPr="002D3252" w:rsidRDefault="006F5712" w:rsidP="009322F0">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Poden veure el webinar en el canal de YouTube de l'Agència Valenciana Antifrau en aquest enllaç: </w:t>
      </w:r>
      <w:hyperlink r:id="rId62" w:history="1">
        <w:r w:rsidRPr="002D3252">
          <w:rPr>
            <w:rStyle w:val="Hipervnculo"/>
            <w:rFonts w:ascii="Arial" w:eastAsia="Times New Roman" w:hAnsi="Arial" w:cs="Arial"/>
            <w:sz w:val="21"/>
            <w:szCs w:val="21"/>
            <w:lang w:eastAsia="es-ES"/>
          </w:rPr>
          <w:t>https://www.youtube.com/watch?v=-LL-x9CZRXo</w:t>
        </w:r>
      </w:hyperlink>
      <w:r w:rsidRPr="002D3252">
        <w:rPr>
          <w:rFonts w:ascii="Arial" w:eastAsia="Times New Roman" w:hAnsi="Arial" w:cs="Arial"/>
          <w:sz w:val="21"/>
          <w:szCs w:val="21"/>
          <w:lang w:eastAsia="es-ES"/>
        </w:rPr>
        <w:t>.</w:t>
      </w:r>
    </w:p>
    <w:p w14:paraId="023037AE" w14:textId="77777777" w:rsidR="007C357A" w:rsidRPr="002D3252" w:rsidRDefault="007C357A" w:rsidP="00660459">
      <w:pPr>
        <w:spacing w:after="12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lastRenderedPageBreak/>
        <w:t>11 de maig</w:t>
      </w:r>
    </w:p>
    <w:p w14:paraId="0ED4D09A" w14:textId="77777777" w:rsidR="007C357A" w:rsidRPr="002D3252" w:rsidRDefault="007C357A" w:rsidP="00A359D3">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Webinar “La bústia de denúncies”</w:t>
      </w:r>
    </w:p>
    <w:p w14:paraId="2F65A0C1" w14:textId="0FBE28F9" w:rsidR="006F5712" w:rsidRPr="002D3252" w:rsidRDefault="00A359D3" w:rsidP="00A359D3">
      <w:pPr>
        <w:spacing w:after="240" w:line="276" w:lineRule="auto"/>
        <w:jc w:val="both"/>
        <w:rPr>
          <w:rFonts w:ascii="Arial" w:eastAsia="Times New Roman" w:hAnsi="Arial" w:cs="Arial"/>
          <w:sz w:val="21"/>
          <w:szCs w:val="21"/>
          <w:lang w:eastAsia="es-ES"/>
        </w:rPr>
      </w:pPr>
      <w:r w:rsidRPr="002D3252">
        <w:rPr>
          <w:noProof/>
        </w:rPr>
        <w:drawing>
          <wp:anchor distT="0" distB="0" distL="114300" distR="114300" simplePos="0" relativeHeight="251963392" behindDoc="0" locked="0" layoutInCell="1" allowOverlap="1" wp14:anchorId="32B36E4C" wp14:editId="0536DDC0">
            <wp:simplePos x="0" y="0"/>
            <wp:positionH relativeFrom="margin">
              <wp:align>right</wp:align>
            </wp:positionH>
            <wp:positionV relativeFrom="paragraph">
              <wp:posOffset>333375</wp:posOffset>
            </wp:positionV>
            <wp:extent cx="5388610" cy="3030855"/>
            <wp:effectExtent l="0" t="0" r="2540" b="0"/>
            <wp:wrapTopAndBottom/>
            <wp:docPr id="4" name="Imagen 4" descr="Imagen que contiene Texto&#10;&#10;Descripción generada automáticament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Texto&#10;&#10;Descripción generada automáticamente">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88610" cy="3030855"/>
                    </a:xfrm>
                    <a:prstGeom prst="rect">
                      <a:avLst/>
                    </a:prstGeom>
                    <a:noFill/>
                    <a:ln>
                      <a:noFill/>
                    </a:ln>
                  </pic:spPr>
                </pic:pic>
              </a:graphicData>
            </a:graphic>
          </wp:anchor>
        </w:drawing>
      </w:r>
      <w:r w:rsidR="007C357A" w:rsidRPr="002D3252">
        <w:rPr>
          <w:rFonts w:ascii="Arial" w:hAnsi="Arial" w:cs="Arial"/>
          <w:noProof/>
          <w:sz w:val="21"/>
          <w:szCs w:val="21"/>
        </w:rPr>
        <w:t>Formació sobre la bústia de denúncies de l'Agència amb la participació del director i exposició del director d'Anàlisi i Investigació</w:t>
      </w:r>
      <w:r w:rsidR="007C357A" w:rsidRPr="002D3252">
        <w:rPr>
          <w:rFonts w:ascii="Arial" w:eastAsia="Times New Roman" w:hAnsi="Arial" w:cs="Arial"/>
          <w:sz w:val="21"/>
          <w:szCs w:val="21"/>
          <w:lang w:eastAsia="es-ES"/>
        </w:rPr>
        <w:t>.</w:t>
      </w:r>
    </w:p>
    <w:p w14:paraId="470E5B46" w14:textId="3FC0E355" w:rsidR="006F5712" w:rsidRPr="002D3252" w:rsidRDefault="007C357A" w:rsidP="007C357A">
      <w:pPr>
        <w:pStyle w:val="Descripcin"/>
        <w:jc w:val="center"/>
        <w:rPr>
          <w:rFonts w:ascii="Arial" w:eastAsia="Times New Roman" w:hAnsi="Arial" w:cs="Arial"/>
          <w:smallCaps w:val="0"/>
          <w:sz w:val="18"/>
          <w:szCs w:val="18"/>
          <w:lang w:eastAsia="es-ES"/>
        </w:rPr>
      </w:pPr>
      <w:bookmarkStart w:id="15" w:name="_Toc99110948"/>
      <w:r w:rsidRPr="002D3252">
        <w:rPr>
          <w:rFonts w:ascii="Arial" w:hAnsi="Arial" w:cs="Arial"/>
          <w:smallCaps w:val="0"/>
          <w:color w:val="9D2235" w:themeColor="accent1"/>
          <w:sz w:val="18"/>
          <w:szCs w:val="18"/>
        </w:rPr>
        <w:t xml:space="preserve">Il·lustració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Il·lustració \* ARABIC </w:instrText>
      </w:r>
      <w:r w:rsidRPr="002D3252">
        <w:rPr>
          <w:rFonts w:ascii="Arial" w:hAnsi="Arial" w:cs="Arial"/>
          <w:smallCaps w:val="0"/>
          <w:color w:val="9D2235" w:themeColor="accent1"/>
          <w:sz w:val="18"/>
          <w:szCs w:val="18"/>
        </w:rPr>
        <w:fldChar w:fldCharType="separate"/>
      </w:r>
      <w:r w:rsidR="008350F3">
        <w:rPr>
          <w:rFonts w:ascii="Arial" w:hAnsi="Arial" w:cs="Arial"/>
          <w:smallCaps w:val="0"/>
          <w:noProof/>
          <w:color w:val="9D2235" w:themeColor="accent1"/>
          <w:sz w:val="18"/>
          <w:szCs w:val="18"/>
        </w:rPr>
        <w:t>2</w:t>
      </w:r>
      <w:r w:rsidRPr="002D3252">
        <w:rPr>
          <w:rFonts w:ascii="Arial" w:hAnsi="Arial" w:cs="Arial"/>
          <w:smallCaps w:val="0"/>
          <w:color w:val="9D2235" w:themeColor="accent1"/>
          <w:sz w:val="18"/>
          <w:szCs w:val="18"/>
        </w:rPr>
        <w:fldChar w:fldCharType="end"/>
      </w:r>
      <w:r w:rsidRPr="002D3252">
        <w:rPr>
          <w:rFonts w:ascii="Arial" w:hAnsi="Arial" w:cs="Arial"/>
          <w:smallCaps w:val="0"/>
          <w:color w:val="9D2235" w:themeColor="accent1"/>
          <w:sz w:val="18"/>
          <w:szCs w:val="18"/>
        </w:rPr>
        <w:t xml:space="preserve">. </w:t>
      </w:r>
      <w:r w:rsidRPr="002D3252">
        <w:rPr>
          <w:rFonts w:ascii="Arial" w:hAnsi="Arial" w:cs="Arial"/>
          <w:smallCaps w:val="0"/>
          <w:sz w:val="18"/>
          <w:szCs w:val="18"/>
        </w:rPr>
        <w:t>Infografia del webinar: La bústia de denúncies de l'A</w:t>
      </w:r>
      <w:r w:rsidR="000271FD">
        <w:rPr>
          <w:rFonts w:ascii="Arial" w:hAnsi="Arial" w:cs="Arial"/>
          <w:smallCaps w:val="0"/>
          <w:sz w:val="18"/>
          <w:szCs w:val="18"/>
        </w:rPr>
        <w:t>VAF</w:t>
      </w:r>
      <w:bookmarkEnd w:id="15"/>
    </w:p>
    <w:p w14:paraId="2CF1ECD6" w14:textId="4DF2E553" w:rsidR="00A359D3" w:rsidRPr="002D3252" w:rsidRDefault="00A359D3" w:rsidP="004731A5">
      <w:pPr>
        <w:spacing w:after="240" w:line="240" w:lineRule="auto"/>
        <w:jc w:val="both"/>
        <w:rPr>
          <w:rFonts w:ascii="Arial" w:hAnsi="Arial" w:cs="Arial"/>
          <w:color w:val="000080"/>
          <w:sz w:val="21"/>
          <w:szCs w:val="21"/>
          <w:u w:val="single"/>
        </w:rPr>
      </w:pPr>
      <w:r w:rsidRPr="002D3252">
        <w:rPr>
          <w:rFonts w:ascii="Arial" w:hAnsi="Arial" w:cs="Arial"/>
          <w:sz w:val="21"/>
          <w:szCs w:val="21"/>
        </w:rPr>
        <w:t>Poden veure el webinar en el canal de YouTube de l'Agència Valenciana Antifrau en aquest enllaç:</w:t>
      </w:r>
      <w:r w:rsidRPr="002D3252">
        <w:rPr>
          <w:rFonts w:ascii="Arial" w:hAnsi="Arial" w:cs="Arial"/>
          <w:color w:val="9D2235" w:themeColor="accent1"/>
          <w:sz w:val="21"/>
          <w:szCs w:val="21"/>
        </w:rPr>
        <w:t xml:space="preserve"> </w:t>
      </w:r>
      <w:hyperlink r:id="rId65" w:history="1">
        <w:r w:rsidRPr="002D3252">
          <w:rPr>
            <w:rFonts w:ascii="Arial" w:hAnsi="Arial" w:cs="Arial"/>
            <w:color w:val="000080"/>
            <w:sz w:val="21"/>
            <w:szCs w:val="21"/>
            <w:u w:val="single"/>
          </w:rPr>
          <w:t>https://www.youtube.com/watch?v=E5S_jPCbkjM</w:t>
        </w:r>
      </w:hyperlink>
    </w:p>
    <w:p w14:paraId="5817A87B" w14:textId="77777777" w:rsidR="00A359D3" w:rsidRPr="002D3252" w:rsidRDefault="00A359D3" w:rsidP="00660459">
      <w:pPr>
        <w:spacing w:after="12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10 de juny de 2021</w:t>
      </w:r>
    </w:p>
    <w:p w14:paraId="1EA74F40" w14:textId="77777777" w:rsidR="00A359D3" w:rsidRPr="002D3252" w:rsidRDefault="00A359D3" w:rsidP="00660459">
      <w:pPr>
        <w:spacing w:after="120" w:line="276" w:lineRule="auto"/>
        <w:jc w:val="both"/>
        <w:rPr>
          <w:rFonts w:ascii="Arial" w:hAnsi="Arial" w:cs="Arial"/>
          <w:noProof/>
          <w:sz w:val="21"/>
          <w:szCs w:val="21"/>
        </w:rPr>
      </w:pPr>
      <w:r w:rsidRPr="002D3252">
        <w:rPr>
          <w:rFonts w:ascii="Arial" w:eastAsia="Times New Roman" w:hAnsi="Arial" w:cs="Arial"/>
          <w:b/>
          <w:sz w:val="21"/>
          <w:szCs w:val="21"/>
          <w:lang w:eastAsia="es-ES"/>
        </w:rPr>
        <w:t>Webinar Què passarà el 17 de desembre?</w:t>
      </w:r>
      <w:r w:rsidRPr="002D3252">
        <w:rPr>
          <w:rFonts w:ascii="Arial" w:hAnsi="Arial" w:cs="Arial"/>
          <w:noProof/>
          <w:sz w:val="21"/>
          <w:szCs w:val="21"/>
        </w:rPr>
        <w:t xml:space="preserve"> </w:t>
      </w:r>
    </w:p>
    <w:p w14:paraId="1398188E" w14:textId="23EA3698" w:rsidR="00A359D3" w:rsidRPr="002D3252" w:rsidRDefault="007C0516" w:rsidP="00A359D3">
      <w:pPr>
        <w:spacing w:after="240" w:line="276" w:lineRule="auto"/>
        <w:jc w:val="both"/>
        <w:rPr>
          <w:rFonts w:ascii="Arial" w:hAnsi="Arial" w:cs="Arial"/>
          <w:noProof/>
          <w:sz w:val="21"/>
          <w:szCs w:val="21"/>
        </w:rPr>
      </w:pPr>
      <w:r w:rsidRPr="002D3252">
        <w:rPr>
          <w:noProof/>
        </w:rPr>
        <mc:AlternateContent>
          <mc:Choice Requires="wps">
            <w:drawing>
              <wp:anchor distT="0" distB="0" distL="114300" distR="114300" simplePos="0" relativeHeight="251970560" behindDoc="0" locked="0" layoutInCell="1" allowOverlap="1" wp14:anchorId="6644DB41" wp14:editId="10AAB0B0">
                <wp:simplePos x="0" y="0"/>
                <wp:positionH relativeFrom="column">
                  <wp:posOffset>191770</wp:posOffset>
                </wp:positionH>
                <wp:positionV relativeFrom="paragraph">
                  <wp:posOffset>3361055</wp:posOffset>
                </wp:positionV>
                <wp:extent cx="5011420" cy="134620"/>
                <wp:effectExtent l="0" t="0" r="0" b="0"/>
                <wp:wrapTopAndBottom/>
                <wp:docPr id="12" name="Cuadro de texto 12"/>
                <wp:cNvGraphicFramePr/>
                <a:graphic xmlns:a="http://schemas.openxmlformats.org/drawingml/2006/main">
                  <a:graphicData uri="http://schemas.microsoft.com/office/word/2010/wordprocessingShape">
                    <wps:wsp>
                      <wps:cNvSpPr txBox="1"/>
                      <wps:spPr>
                        <a:xfrm>
                          <a:off x="0" y="0"/>
                          <a:ext cx="5011420" cy="134620"/>
                        </a:xfrm>
                        <a:prstGeom prst="rect">
                          <a:avLst/>
                        </a:prstGeom>
                        <a:solidFill>
                          <a:prstClr val="white"/>
                        </a:solidFill>
                        <a:ln>
                          <a:noFill/>
                        </a:ln>
                      </wps:spPr>
                      <wps:txbx>
                        <w:txbxContent>
                          <w:p w14:paraId="022144CE" w14:textId="0F731F8B" w:rsidR="007C0516" w:rsidRPr="007C0516" w:rsidRDefault="007C0516" w:rsidP="007C0516">
                            <w:pPr>
                              <w:pStyle w:val="Descripcin"/>
                              <w:jc w:val="center"/>
                              <w:rPr>
                                <w:rFonts w:ascii="Arial" w:eastAsia="Times New Roman" w:hAnsi="Arial" w:cs="Arial"/>
                                <w:smallCaps w:val="0"/>
                                <w:noProof/>
                                <w:sz w:val="18"/>
                                <w:szCs w:val="18"/>
                                <w:lang w:val="ca-ES"/>
                              </w:rPr>
                            </w:pPr>
                            <w:bookmarkStart w:id="16" w:name="_Toc99110949"/>
                            <w:r w:rsidRPr="007C0516">
                              <w:rPr>
                                <w:rFonts w:ascii="Arial" w:hAnsi="Arial" w:cs="Arial"/>
                                <w:smallCaps w:val="0"/>
                                <w:color w:val="9D2235" w:themeColor="accent1"/>
                                <w:sz w:val="18"/>
                                <w:szCs w:val="18"/>
                              </w:rPr>
                              <w:t xml:space="preserve">Il·lustració </w:t>
                            </w:r>
                            <w:r w:rsidRPr="007C0516">
                              <w:rPr>
                                <w:rFonts w:ascii="Arial" w:hAnsi="Arial" w:cs="Arial"/>
                                <w:smallCaps w:val="0"/>
                                <w:color w:val="9D2235" w:themeColor="accent1"/>
                                <w:sz w:val="18"/>
                                <w:szCs w:val="18"/>
                              </w:rPr>
                              <w:fldChar w:fldCharType="begin"/>
                            </w:r>
                            <w:r w:rsidRPr="007C0516">
                              <w:rPr>
                                <w:rFonts w:ascii="Arial" w:hAnsi="Arial" w:cs="Arial"/>
                                <w:smallCaps w:val="0"/>
                                <w:color w:val="9D2235" w:themeColor="accent1"/>
                                <w:sz w:val="18"/>
                                <w:szCs w:val="18"/>
                              </w:rPr>
                              <w:instrText xml:space="preserve"> SEQ Il·lustració \* ARABIC </w:instrText>
                            </w:r>
                            <w:r w:rsidRPr="007C0516">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3</w:t>
                            </w:r>
                            <w:r w:rsidRPr="007C0516">
                              <w:rPr>
                                <w:rFonts w:ascii="Arial" w:hAnsi="Arial" w:cs="Arial"/>
                                <w:smallCaps w:val="0"/>
                                <w:color w:val="9D2235" w:themeColor="accent1"/>
                                <w:sz w:val="18"/>
                                <w:szCs w:val="18"/>
                              </w:rPr>
                              <w:fldChar w:fldCharType="end"/>
                            </w:r>
                            <w:r w:rsidRPr="007C0516">
                              <w:rPr>
                                <w:rFonts w:ascii="Arial" w:hAnsi="Arial" w:cs="Arial"/>
                                <w:smallCaps w:val="0"/>
                                <w:sz w:val="18"/>
                                <w:szCs w:val="18"/>
                              </w:rPr>
                              <w:t>. Infografia del webinar: Què passarà el 17 de desembre?</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44DB41" id="Cuadro de texto 12" o:spid="_x0000_s1027" type="#_x0000_t202" style="position:absolute;left:0;text-align:left;margin-left:15.1pt;margin-top:264.65pt;width:394.6pt;height:10.6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" stroked="f">
                <v:textbox inset="0,0,0,0">
                  <w:txbxContent>
                    <w:p w14:paraId="022144CE" w14:textId="0F731F8B" w:rsidR="007C0516" w:rsidRPr="007C0516" w:rsidRDefault="007C0516" w:rsidP="007C0516">
                      <w:pPr>
                        <w:pStyle w:val="Descripcin"/>
                        <w:jc w:val="center"/>
                        <w:rPr>
                          <w:rFonts w:ascii="Arial" w:eastAsia="Times New Roman" w:hAnsi="Arial" w:cs="Arial"/>
                          <w:smallCaps w:val="0"/>
                          <w:noProof/>
                          <w:sz w:val="18"/>
                          <w:szCs w:val="18"/>
                          <w:lang w:val="ca-ES"/>
                        </w:rPr>
                      </w:pPr>
                      <w:bookmarkStart w:id="18" w:name="_Toc99110949"/>
                      <w:r w:rsidRPr="007C0516">
                        <w:rPr>
                          <w:rFonts w:ascii="Arial" w:hAnsi="Arial" w:cs="Arial"/>
                          <w:smallCaps w:val="0"/>
                          <w:color w:val="9D2235" w:themeColor="accent1"/>
                          <w:sz w:val="18"/>
                          <w:szCs w:val="18"/>
                        </w:rPr>
                        <w:t xml:space="preserve">Il·lustració </w:t>
                      </w:r>
                      <w:r w:rsidRPr="007C0516">
                        <w:rPr>
                          <w:rFonts w:ascii="Arial" w:hAnsi="Arial" w:cs="Arial"/>
                          <w:smallCaps w:val="0"/>
                          <w:color w:val="9D2235" w:themeColor="accent1"/>
                          <w:sz w:val="18"/>
                          <w:szCs w:val="18"/>
                        </w:rPr>
                        <w:fldChar w:fldCharType="begin"/>
                      </w:r>
                      <w:r w:rsidRPr="007C0516">
                        <w:rPr>
                          <w:rFonts w:ascii="Arial" w:hAnsi="Arial" w:cs="Arial"/>
                          <w:smallCaps w:val="0"/>
                          <w:color w:val="9D2235" w:themeColor="accent1"/>
                          <w:sz w:val="18"/>
                          <w:szCs w:val="18"/>
                        </w:rPr>
                        <w:instrText xml:space="preserve"> SEQ Il·lustració \* ARABIC </w:instrText>
                      </w:r>
                      <w:r w:rsidRPr="007C0516">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3</w:t>
                      </w:r>
                      <w:r w:rsidRPr="007C0516">
                        <w:rPr>
                          <w:rFonts w:ascii="Arial" w:hAnsi="Arial" w:cs="Arial"/>
                          <w:smallCaps w:val="0"/>
                          <w:color w:val="9D2235" w:themeColor="accent1"/>
                          <w:sz w:val="18"/>
                          <w:szCs w:val="18"/>
                        </w:rPr>
                        <w:fldChar w:fldCharType="end"/>
                      </w:r>
                      <w:r w:rsidRPr="007C0516">
                        <w:rPr>
                          <w:rFonts w:ascii="Arial" w:hAnsi="Arial" w:cs="Arial"/>
                          <w:smallCaps w:val="0"/>
                          <w:sz w:val="18"/>
                          <w:szCs w:val="18"/>
                        </w:rPr>
                        <w:t>. Infografia del webinar: Què passarà el 17 de desembre?</w:t>
                      </w:r>
                      <w:bookmarkEnd w:id="18"/>
                    </w:p>
                  </w:txbxContent>
                </v:textbox>
                <w10:wrap type="topAndBottom"/>
              </v:shape>
            </w:pict>
          </mc:Fallback>
        </mc:AlternateContent>
      </w:r>
      <w:r w:rsidRPr="002D3252">
        <w:rPr>
          <w:rFonts w:ascii="Arial" w:eastAsia="Times New Roman" w:hAnsi="Arial" w:cs="Arial"/>
          <w:noProof/>
          <w:sz w:val="21"/>
          <w:szCs w:val="21"/>
          <w:lang w:eastAsia="es-ES"/>
        </w:rPr>
        <w:drawing>
          <wp:anchor distT="0" distB="0" distL="114300" distR="114300" simplePos="0" relativeHeight="251968512" behindDoc="0" locked="0" layoutInCell="1" allowOverlap="1" wp14:anchorId="0E8683D6" wp14:editId="5DE70EAA">
            <wp:simplePos x="0" y="0"/>
            <wp:positionH relativeFrom="margin">
              <wp:align>center</wp:align>
            </wp:positionH>
            <wp:positionV relativeFrom="paragraph">
              <wp:posOffset>524704</wp:posOffset>
            </wp:positionV>
            <wp:extent cx="5011420" cy="2816860"/>
            <wp:effectExtent l="0" t="0" r="0" b="254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11420" cy="2816860"/>
                    </a:xfrm>
                    <a:prstGeom prst="rect">
                      <a:avLst/>
                    </a:prstGeom>
                    <a:noFill/>
                  </pic:spPr>
                </pic:pic>
              </a:graphicData>
            </a:graphic>
          </wp:anchor>
        </w:drawing>
      </w:r>
      <w:r w:rsidR="00A359D3" w:rsidRPr="002D3252">
        <w:rPr>
          <w:rFonts w:ascii="Arial" w:hAnsi="Arial" w:cs="Arial"/>
          <w:noProof/>
          <w:sz w:val="21"/>
          <w:szCs w:val="21"/>
        </w:rPr>
        <w:t>Els directors de les Oficines i Agències Antifrau es van juntar per a impartir aquest webinar, presentat pel Prof. Manuel Villoria, que va versar sobre la trasposició de la Directiva 2019/1937, Whistleblowing.</w:t>
      </w:r>
    </w:p>
    <w:p w14:paraId="36262D4A" w14:textId="77777777" w:rsidR="00507A61" w:rsidRPr="002D3252" w:rsidRDefault="00507A61" w:rsidP="00507A61">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lastRenderedPageBreak/>
        <w:t xml:space="preserve">Poden veure el webinar en el canal de YouTube de l'Agència Valenciana Antifrau en aquest enllaç: </w:t>
      </w:r>
      <w:hyperlink r:id="rId67" w:history="1">
        <w:r w:rsidRPr="002D3252">
          <w:rPr>
            <w:rStyle w:val="Hipervnculo"/>
            <w:rFonts w:ascii="Arial" w:eastAsia="Times New Roman" w:hAnsi="Arial" w:cs="Arial"/>
            <w:sz w:val="21"/>
            <w:szCs w:val="21"/>
            <w:lang w:eastAsia="es-ES"/>
          </w:rPr>
          <w:t>https://www.youtube.com/watch?v=wt8GwdQZskc</w:t>
        </w:r>
      </w:hyperlink>
    </w:p>
    <w:p w14:paraId="71A44885" w14:textId="77777777" w:rsidR="00507A61" w:rsidRPr="002D3252" w:rsidRDefault="00507A61" w:rsidP="00507A61">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sz w:val="21"/>
          <w:szCs w:val="21"/>
          <w:lang w:eastAsia="es-ES"/>
        </w:rPr>
        <w:t>23 de juny</w:t>
      </w:r>
    </w:p>
    <w:p w14:paraId="467F11F3" w14:textId="77777777" w:rsidR="00507A61" w:rsidRPr="002D3252" w:rsidRDefault="00507A61" w:rsidP="00507A61">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Webinar “Dia Mundial de la persona alertadora”</w:t>
      </w:r>
    </w:p>
    <w:p w14:paraId="08230360" w14:textId="0D63401E" w:rsidR="004731A5" w:rsidRPr="002D3252" w:rsidRDefault="00F17E87" w:rsidP="00507A61">
      <w:pPr>
        <w:spacing w:after="120" w:line="276" w:lineRule="auto"/>
        <w:jc w:val="both"/>
        <w:rPr>
          <w:rFonts w:ascii="Arial" w:eastAsia="Times New Roman" w:hAnsi="Arial" w:cs="Arial"/>
          <w:sz w:val="21"/>
          <w:szCs w:val="21"/>
          <w:lang w:eastAsia="es-ES"/>
        </w:rPr>
      </w:pPr>
      <w:r w:rsidRPr="002D3252">
        <w:rPr>
          <w:noProof/>
        </w:rPr>
        <mc:AlternateContent>
          <mc:Choice Requires="wps">
            <w:drawing>
              <wp:anchor distT="0" distB="0" distL="114300" distR="114300" simplePos="0" relativeHeight="251973632" behindDoc="0" locked="0" layoutInCell="1" allowOverlap="1" wp14:anchorId="25D6BA9A" wp14:editId="3BE1366D">
                <wp:simplePos x="0" y="0"/>
                <wp:positionH relativeFrom="margin">
                  <wp:posOffset>-635</wp:posOffset>
                </wp:positionH>
                <wp:positionV relativeFrom="paragraph">
                  <wp:posOffset>4060190</wp:posOffset>
                </wp:positionV>
                <wp:extent cx="5399405" cy="222250"/>
                <wp:effectExtent l="0" t="0" r="0" b="6350"/>
                <wp:wrapTopAndBottom/>
                <wp:docPr id="13" name="Cuadro de texto 13"/>
                <wp:cNvGraphicFramePr/>
                <a:graphic xmlns:a="http://schemas.openxmlformats.org/drawingml/2006/main">
                  <a:graphicData uri="http://schemas.microsoft.com/office/word/2010/wordprocessingShape">
                    <wps:wsp>
                      <wps:cNvSpPr txBox="1"/>
                      <wps:spPr>
                        <a:xfrm>
                          <a:off x="0" y="0"/>
                          <a:ext cx="5399405" cy="222250"/>
                        </a:xfrm>
                        <a:prstGeom prst="rect">
                          <a:avLst/>
                        </a:prstGeom>
                        <a:solidFill>
                          <a:prstClr val="white"/>
                        </a:solidFill>
                        <a:ln>
                          <a:noFill/>
                        </a:ln>
                      </wps:spPr>
                      <wps:txbx>
                        <w:txbxContent>
                          <w:p w14:paraId="3BE829B0" w14:textId="29258AB4" w:rsidR="00F17E87" w:rsidRPr="00F17E87" w:rsidRDefault="00F17E87" w:rsidP="00F17E87">
                            <w:pPr>
                              <w:pStyle w:val="Descripcin"/>
                              <w:jc w:val="center"/>
                              <w:rPr>
                                <w:rFonts w:ascii="Arial" w:hAnsi="Arial" w:cs="Arial"/>
                                <w:smallCaps w:val="0"/>
                                <w:noProof/>
                                <w:sz w:val="18"/>
                                <w:szCs w:val="18"/>
                                <w:lang w:val="ca-ES"/>
                              </w:rPr>
                            </w:pPr>
                            <w:bookmarkStart w:id="17" w:name="_Toc99110950"/>
                            <w:r w:rsidRPr="00F17E87">
                              <w:rPr>
                                <w:rFonts w:ascii="Arial" w:hAnsi="Arial" w:cs="Arial"/>
                                <w:smallCaps w:val="0"/>
                                <w:color w:val="9D2235" w:themeColor="accent1"/>
                                <w:sz w:val="18"/>
                                <w:szCs w:val="18"/>
                              </w:rPr>
                              <w:t xml:space="preserve">Il·lustració </w:t>
                            </w:r>
                            <w:r w:rsidRPr="00F17E87">
                              <w:rPr>
                                <w:rFonts w:ascii="Arial" w:hAnsi="Arial" w:cs="Arial"/>
                                <w:smallCaps w:val="0"/>
                                <w:color w:val="9D2235" w:themeColor="accent1"/>
                                <w:sz w:val="18"/>
                                <w:szCs w:val="18"/>
                              </w:rPr>
                              <w:fldChar w:fldCharType="begin"/>
                            </w:r>
                            <w:r w:rsidRPr="00F17E87">
                              <w:rPr>
                                <w:rFonts w:ascii="Arial" w:hAnsi="Arial" w:cs="Arial"/>
                                <w:smallCaps w:val="0"/>
                                <w:color w:val="9D2235" w:themeColor="accent1"/>
                                <w:sz w:val="18"/>
                                <w:szCs w:val="18"/>
                              </w:rPr>
                              <w:instrText xml:space="preserve"> SEQ Il·lustració \* ARABIC </w:instrText>
                            </w:r>
                            <w:r w:rsidRPr="00F17E87">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4</w:t>
                            </w:r>
                            <w:r w:rsidRPr="00F17E87">
                              <w:rPr>
                                <w:rFonts w:ascii="Arial" w:hAnsi="Arial" w:cs="Arial"/>
                                <w:smallCaps w:val="0"/>
                                <w:color w:val="9D2235" w:themeColor="accent1"/>
                                <w:sz w:val="18"/>
                                <w:szCs w:val="18"/>
                              </w:rPr>
                              <w:fldChar w:fldCharType="end"/>
                            </w:r>
                            <w:r w:rsidRPr="00F17E87">
                              <w:rPr>
                                <w:rFonts w:ascii="Arial" w:hAnsi="Arial" w:cs="Arial"/>
                                <w:smallCaps w:val="0"/>
                                <w:color w:val="9D2235" w:themeColor="accent1"/>
                                <w:sz w:val="18"/>
                                <w:szCs w:val="18"/>
                              </w:rPr>
                              <w:t xml:space="preserve">. </w:t>
                            </w:r>
                            <w:r w:rsidRPr="00F17E87">
                              <w:rPr>
                                <w:rFonts w:ascii="Arial" w:hAnsi="Arial" w:cs="Arial"/>
                                <w:smallCaps w:val="0"/>
                                <w:sz w:val="18"/>
                                <w:szCs w:val="18"/>
                              </w:rPr>
                              <w:t>Infografia del webina: Dia Mundial de la persona alertadora</w:t>
                            </w:r>
                            <w:bookmarkEnd w:id="17"/>
                          </w:p>
                          <w:p w14:paraId="10410DB4" w14:textId="77777777" w:rsidR="00F17E87" w:rsidRDefault="00F17E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6BA9A" id="Cuadro de texto 13" o:spid="_x0000_s1028" type="#_x0000_t202" style="position:absolute;left:0;text-align:left;margin-left:-.05pt;margin-top:319.7pt;width:425.15pt;height:17.5pt;z-index:251973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" stroked="f">
                <v:textbox inset="0,0,0,0">
                  <w:txbxContent>
                    <w:p w14:paraId="3BE829B0" w14:textId="29258AB4" w:rsidR="00F17E87" w:rsidRPr="00F17E87" w:rsidRDefault="00F17E87" w:rsidP="00F17E87">
                      <w:pPr>
                        <w:pStyle w:val="Descripcin"/>
                        <w:jc w:val="center"/>
                        <w:rPr>
                          <w:rFonts w:ascii="Arial" w:hAnsi="Arial" w:cs="Arial"/>
                          <w:smallCaps w:val="0"/>
                          <w:noProof/>
                          <w:sz w:val="18"/>
                          <w:szCs w:val="18"/>
                          <w:lang w:val="ca-ES"/>
                        </w:rPr>
                      </w:pPr>
                      <w:bookmarkStart w:id="20" w:name="_Toc99110950"/>
                      <w:r w:rsidRPr="00F17E87">
                        <w:rPr>
                          <w:rFonts w:ascii="Arial" w:hAnsi="Arial" w:cs="Arial"/>
                          <w:smallCaps w:val="0"/>
                          <w:color w:val="9D2235" w:themeColor="accent1"/>
                          <w:sz w:val="18"/>
                          <w:szCs w:val="18"/>
                        </w:rPr>
                        <w:t xml:space="preserve">Il·lustració </w:t>
                      </w:r>
                      <w:r w:rsidRPr="00F17E87">
                        <w:rPr>
                          <w:rFonts w:ascii="Arial" w:hAnsi="Arial" w:cs="Arial"/>
                          <w:smallCaps w:val="0"/>
                          <w:color w:val="9D2235" w:themeColor="accent1"/>
                          <w:sz w:val="18"/>
                          <w:szCs w:val="18"/>
                        </w:rPr>
                        <w:fldChar w:fldCharType="begin"/>
                      </w:r>
                      <w:r w:rsidRPr="00F17E87">
                        <w:rPr>
                          <w:rFonts w:ascii="Arial" w:hAnsi="Arial" w:cs="Arial"/>
                          <w:smallCaps w:val="0"/>
                          <w:color w:val="9D2235" w:themeColor="accent1"/>
                          <w:sz w:val="18"/>
                          <w:szCs w:val="18"/>
                        </w:rPr>
                        <w:instrText xml:space="preserve"> SEQ Il·lustració \* ARABIC </w:instrText>
                      </w:r>
                      <w:r w:rsidRPr="00F17E87">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4</w:t>
                      </w:r>
                      <w:r w:rsidRPr="00F17E87">
                        <w:rPr>
                          <w:rFonts w:ascii="Arial" w:hAnsi="Arial" w:cs="Arial"/>
                          <w:smallCaps w:val="0"/>
                          <w:color w:val="9D2235" w:themeColor="accent1"/>
                          <w:sz w:val="18"/>
                          <w:szCs w:val="18"/>
                        </w:rPr>
                        <w:fldChar w:fldCharType="end"/>
                      </w:r>
                      <w:r w:rsidRPr="00F17E87">
                        <w:rPr>
                          <w:rFonts w:ascii="Arial" w:hAnsi="Arial" w:cs="Arial"/>
                          <w:smallCaps w:val="0"/>
                          <w:color w:val="9D2235" w:themeColor="accent1"/>
                          <w:sz w:val="18"/>
                          <w:szCs w:val="18"/>
                        </w:rPr>
                        <w:t xml:space="preserve">. </w:t>
                      </w:r>
                      <w:r w:rsidRPr="00F17E87">
                        <w:rPr>
                          <w:rFonts w:ascii="Arial" w:hAnsi="Arial" w:cs="Arial"/>
                          <w:smallCaps w:val="0"/>
                          <w:sz w:val="18"/>
                          <w:szCs w:val="18"/>
                        </w:rPr>
                        <w:t>Infografia del webina: Dia Mundial de la persona alertadora</w:t>
                      </w:r>
                      <w:bookmarkEnd w:id="20"/>
                    </w:p>
                    <w:p w14:paraId="10410DB4" w14:textId="77777777" w:rsidR="00F17E87" w:rsidRDefault="00F17E87"/>
                  </w:txbxContent>
                </v:textbox>
                <w10:wrap type="topAndBottom" anchorx="margin"/>
              </v:shape>
            </w:pict>
          </mc:Fallback>
        </mc:AlternateContent>
      </w:r>
      <w:r w:rsidRPr="002D3252">
        <w:rPr>
          <w:noProof/>
        </w:rPr>
        <w:drawing>
          <wp:anchor distT="0" distB="0" distL="114300" distR="114300" simplePos="0" relativeHeight="251971584" behindDoc="0" locked="0" layoutInCell="1" allowOverlap="1" wp14:anchorId="5BA9F6FC" wp14:editId="313DFC4E">
            <wp:simplePos x="0" y="0"/>
            <wp:positionH relativeFrom="margin">
              <wp:posOffset>-635</wp:posOffset>
            </wp:positionH>
            <wp:positionV relativeFrom="paragraph">
              <wp:posOffset>967740</wp:posOffset>
            </wp:positionV>
            <wp:extent cx="5399405" cy="3037840"/>
            <wp:effectExtent l="0" t="0" r="0" b="0"/>
            <wp:wrapTopAndBottom/>
            <wp:docPr id="11" name="Imagen 11" descr="Diagrama&#10;&#10;Descripción generada automáticamente">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Diagrama&#10;&#10;Descripción generada automáticamente">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99405" cy="3037840"/>
                    </a:xfrm>
                    <a:prstGeom prst="rect">
                      <a:avLst/>
                    </a:prstGeom>
                    <a:noFill/>
                    <a:ln>
                      <a:noFill/>
                    </a:ln>
                  </pic:spPr>
                </pic:pic>
              </a:graphicData>
            </a:graphic>
          </wp:anchor>
        </w:drawing>
      </w:r>
      <w:r w:rsidR="00507A61" w:rsidRPr="002D3252">
        <w:rPr>
          <w:rFonts w:ascii="Arial" w:eastAsia="Times New Roman" w:hAnsi="Arial" w:cs="Arial"/>
          <w:sz w:val="21"/>
          <w:szCs w:val="21"/>
          <w:lang w:eastAsia="es-ES"/>
        </w:rPr>
        <w:t xml:space="preserve">En ocasió de la celebració del Dia Mundial de la persona alertadora, es va celebrar aquest webinar en el qual es va llegir la declaració institucional de l’AVAF </w:t>
      </w:r>
      <w:hyperlink r:id="rId70" w:history="1">
        <w:r w:rsidR="00507A61" w:rsidRPr="002D3252">
          <w:rPr>
            <w:rStyle w:val="Hipervnculo"/>
            <w:rFonts w:ascii="Arial" w:eastAsia="Times New Roman" w:hAnsi="Arial" w:cs="Arial"/>
            <w:sz w:val="21"/>
            <w:szCs w:val="21"/>
            <w:lang w:eastAsia="es-ES"/>
          </w:rPr>
          <w:t>https://www.antifraucv.es/wp-content/uploads/2021/06/210623-Declaracion_-Institucional-_AVAF.pdf</w:t>
        </w:r>
      </w:hyperlink>
      <w:r w:rsidR="00507A61" w:rsidRPr="002D3252">
        <w:rPr>
          <w:rFonts w:ascii="Arial" w:eastAsia="Times New Roman" w:hAnsi="Arial" w:cs="Arial"/>
          <w:sz w:val="21"/>
          <w:szCs w:val="21"/>
          <w:lang w:eastAsia="es-ES"/>
        </w:rPr>
        <w:t xml:space="preserve">, seguida de la conferència de la Sra. Irma Ferrer, advocada de </w:t>
      </w:r>
      <w:r w:rsidR="002D3252" w:rsidRPr="002D3252">
        <w:rPr>
          <w:rFonts w:ascii="Arial" w:eastAsia="Times New Roman" w:hAnsi="Arial" w:cs="Arial"/>
          <w:i/>
          <w:sz w:val="21"/>
          <w:szCs w:val="21"/>
          <w:lang w:eastAsia="es-ES"/>
        </w:rPr>
        <w:t>Transparència</w:t>
      </w:r>
      <w:r w:rsidR="00507A61" w:rsidRPr="002D3252">
        <w:rPr>
          <w:rFonts w:ascii="Arial" w:eastAsia="Times New Roman" w:hAnsi="Arial" w:cs="Arial"/>
          <w:i/>
          <w:sz w:val="21"/>
          <w:szCs w:val="21"/>
          <w:lang w:eastAsia="es-ES"/>
        </w:rPr>
        <w:t xml:space="preserve"> Urbanística</w:t>
      </w:r>
      <w:r w:rsidR="00507A61" w:rsidRPr="002D3252">
        <w:rPr>
          <w:rFonts w:ascii="Arial" w:eastAsia="Times New Roman" w:hAnsi="Arial" w:cs="Arial"/>
          <w:sz w:val="21"/>
          <w:szCs w:val="21"/>
          <w:lang w:eastAsia="es-ES"/>
        </w:rPr>
        <w:t xml:space="preserve"> i d'</w:t>
      </w:r>
      <w:r w:rsidR="00507A61" w:rsidRPr="002D3252">
        <w:rPr>
          <w:rFonts w:ascii="Arial" w:eastAsia="Times New Roman" w:hAnsi="Arial" w:cs="Arial"/>
          <w:i/>
          <w:sz w:val="21"/>
          <w:szCs w:val="21"/>
          <w:lang w:eastAsia="es-ES"/>
        </w:rPr>
        <w:t>Acción Cívica contra la Corrupción</w:t>
      </w:r>
      <w:r w:rsidR="00507A61" w:rsidRPr="002D3252">
        <w:rPr>
          <w:rFonts w:ascii="Arial" w:eastAsia="Times New Roman" w:hAnsi="Arial" w:cs="Arial"/>
          <w:sz w:val="21"/>
          <w:szCs w:val="21"/>
          <w:lang w:eastAsia="es-ES"/>
        </w:rPr>
        <w:t>.</w:t>
      </w:r>
    </w:p>
    <w:p w14:paraId="33E0E742" w14:textId="11DF1644" w:rsidR="00A97B27" w:rsidRPr="002D3252" w:rsidRDefault="00A97B27" w:rsidP="00A97B27">
      <w:pPr>
        <w:spacing w:after="240" w:line="276" w:lineRule="auto"/>
        <w:jc w:val="both"/>
        <w:rPr>
          <w:rFonts w:ascii="Arial" w:eastAsia="Times New Roman" w:hAnsi="Arial" w:cs="Arial"/>
          <w:color w:val="9D2235" w:themeColor="accent1"/>
          <w:sz w:val="21"/>
          <w:szCs w:val="21"/>
          <w:u w:val="single"/>
          <w:lang w:eastAsia="es-ES"/>
        </w:rPr>
      </w:pPr>
      <w:r w:rsidRPr="002D3252">
        <w:rPr>
          <w:rFonts w:ascii="Arial" w:eastAsia="Times New Roman" w:hAnsi="Arial" w:cs="Arial"/>
          <w:sz w:val="21"/>
          <w:szCs w:val="21"/>
          <w:lang w:eastAsia="es-ES"/>
        </w:rPr>
        <w:t xml:space="preserve">Poden veure el webinar en el canal de YouTube de l'Agència Valenciana Antifrau en aquest enllaç: </w:t>
      </w:r>
      <w:hyperlink r:id="rId71" w:history="1">
        <w:r w:rsidRPr="002D3252">
          <w:rPr>
            <w:rFonts w:ascii="Arial" w:eastAsia="Times New Roman" w:hAnsi="Arial" w:cs="Arial"/>
            <w:color w:val="000080"/>
            <w:sz w:val="21"/>
            <w:szCs w:val="21"/>
            <w:u w:val="single"/>
            <w:lang w:eastAsia="es-ES"/>
          </w:rPr>
          <w:t>https://www.youtube.com/watch?v=Tm8NoOd2q5c</w:t>
        </w:r>
      </w:hyperlink>
    </w:p>
    <w:p w14:paraId="56FAC937" w14:textId="77777777" w:rsidR="00B15188" w:rsidRPr="002D3252" w:rsidRDefault="00B15188" w:rsidP="00B15188">
      <w:pPr>
        <w:keepNext/>
        <w:numPr>
          <w:ilvl w:val="2"/>
          <w:numId w:val="27"/>
        </w:numPr>
        <w:spacing w:before="360" w:after="240" w:line="276" w:lineRule="auto"/>
        <w:ind w:left="1134" w:hanging="1134"/>
        <w:jc w:val="both"/>
        <w:outlineLvl w:val="2"/>
        <w:rPr>
          <w:rFonts w:ascii="Arial" w:eastAsia="Times New Roman" w:hAnsi="Arial" w:cs="Arial"/>
          <w:b/>
          <w:color w:val="9D2235"/>
          <w:sz w:val="28"/>
          <w:szCs w:val="28"/>
        </w:rPr>
      </w:pPr>
      <w:bookmarkStart w:id="18" w:name="_Toc99110668"/>
      <w:r w:rsidRPr="002D3252">
        <w:rPr>
          <w:rFonts w:ascii="Arial" w:eastAsia="Times New Roman" w:hAnsi="Arial" w:cs="Arial"/>
          <w:b/>
          <w:color w:val="9D2235"/>
          <w:sz w:val="28"/>
          <w:szCs w:val="28"/>
        </w:rPr>
        <w:t>Activitats en el marc del conveni de col·laboració amb la Universitat de València</w:t>
      </w:r>
      <w:bookmarkEnd w:id="18"/>
    </w:p>
    <w:p w14:paraId="6E063A44" w14:textId="77777777" w:rsidR="00B15188" w:rsidRPr="002D3252" w:rsidRDefault="00B15188" w:rsidP="00B15188">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En el marc del conveni signat amb la Universitat de València, per al desenvolupament del projecte “Activitats formatives per al bon govern i la ciutadania en el territori valencià”, s'han continuat desenvolupant les conferències dins del programa UNISOCIETAT. </w:t>
      </w:r>
    </w:p>
    <w:p w14:paraId="7FF62322" w14:textId="77777777" w:rsidR="00B15188" w:rsidRPr="002D3252" w:rsidRDefault="00B15188" w:rsidP="00B15188">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Durant el 2021, aquestes accions formatives s'han centrat més en qüestions específiques de l’AVAF com el bon govern, la ciutadania, la integritat pública, el conflicte d'interés, la transparència, accés a la informació, ètica, inversió pública i gestió de situacions de crisis.</w:t>
      </w:r>
    </w:p>
    <w:p w14:paraId="6C0FDB55" w14:textId="77777777" w:rsidR="00B15188" w:rsidRPr="002D3252" w:rsidRDefault="00B15188" w:rsidP="00B15188">
      <w:pPr>
        <w:spacing w:after="28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El director va participar, duent a terme la representació institucional de l'Agència, en les següents activitats formatives vinculades a la UV:</w:t>
      </w:r>
    </w:p>
    <w:p w14:paraId="375E3DEC" w14:textId="77777777" w:rsidR="00B15188" w:rsidRPr="002D3252" w:rsidRDefault="00B15188" w:rsidP="00B15188">
      <w:pPr>
        <w:spacing w:after="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lastRenderedPageBreak/>
        <w:t>Llíria, 6 de maig</w:t>
      </w:r>
    </w:p>
    <w:p w14:paraId="357A4BE5" w14:textId="77777777" w:rsidR="00B15188" w:rsidRPr="002D3252" w:rsidRDefault="00B15188" w:rsidP="00B15188">
      <w:pPr>
        <w:spacing w:after="120" w:line="276" w:lineRule="auto"/>
        <w:jc w:val="both"/>
        <w:rPr>
          <w:rFonts w:ascii="Arial" w:eastAsia="Times New Roman" w:hAnsi="Arial" w:cs="Arial"/>
          <w:sz w:val="21"/>
          <w:szCs w:val="21"/>
          <w:lang w:eastAsia="es-ES"/>
        </w:rPr>
      </w:pPr>
      <w:r w:rsidRPr="002D3252">
        <w:rPr>
          <w:rFonts w:ascii="Arial" w:eastAsia="Times New Roman" w:hAnsi="Arial" w:cs="Arial"/>
          <w:b/>
          <w:sz w:val="21"/>
          <w:szCs w:val="21"/>
          <w:lang w:eastAsia="es-ES"/>
        </w:rPr>
        <w:t>Jornada “Covid-19, drets i responsabilitats”</w:t>
      </w:r>
    </w:p>
    <w:p w14:paraId="2FBE5CC5" w14:textId="77777777" w:rsidR="00B15188" w:rsidRPr="002D3252" w:rsidRDefault="00B15188" w:rsidP="00B15188">
      <w:pPr>
        <w:spacing w:after="12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El director va realitzar la inauguració institucional de la jornada, juntament amb l'alcalde de la ciutat de Llíria i el vicerector de Projecció Territorial i Societat de la Universitat de València.</w:t>
      </w:r>
    </w:p>
    <w:p w14:paraId="34F9BD78" w14:textId="77777777" w:rsidR="00B15188" w:rsidRPr="002D3252" w:rsidRDefault="00254AEC" w:rsidP="00B15188">
      <w:pPr>
        <w:spacing w:after="240" w:line="276" w:lineRule="auto"/>
        <w:jc w:val="both"/>
        <w:rPr>
          <w:rFonts w:ascii="Arial" w:eastAsia="Times New Roman" w:hAnsi="Arial" w:cs="Arial"/>
          <w:color w:val="9D2235" w:themeColor="accent1"/>
          <w:sz w:val="21"/>
          <w:szCs w:val="21"/>
          <w:lang w:eastAsia="es-ES"/>
        </w:rPr>
      </w:pPr>
      <w:hyperlink r:id="rId72" w:history="1">
        <w:r w:rsidR="00B15188" w:rsidRPr="002D3252">
          <w:rPr>
            <w:rFonts w:ascii="Arial" w:eastAsia="Times New Roman" w:hAnsi="Arial" w:cs="Arial"/>
            <w:color w:val="000080"/>
            <w:sz w:val="21"/>
            <w:szCs w:val="21"/>
            <w:u w:val="single"/>
            <w:lang w:eastAsia="es-ES"/>
          </w:rPr>
          <w:t>https://www.antifraucv.es/va/covid-19-drets-i-responsabilitats-a-debat-limpacte-de-la-pandemia-en-el-sistema-de-drets-civils-socials-i-politics-en-la-primera-de-les-jornades-uv-avaf/</w:t>
        </w:r>
      </w:hyperlink>
      <w:r w:rsidR="00B15188" w:rsidRPr="002D3252">
        <w:rPr>
          <w:rFonts w:ascii="Arial" w:eastAsia="Times New Roman" w:hAnsi="Arial" w:cs="Arial"/>
          <w:color w:val="9D2235" w:themeColor="accent1"/>
          <w:sz w:val="21"/>
          <w:szCs w:val="21"/>
          <w:lang w:eastAsia="es-ES"/>
        </w:rPr>
        <w:t xml:space="preserve"> </w:t>
      </w:r>
    </w:p>
    <w:p w14:paraId="6BE67E81" w14:textId="77777777" w:rsidR="00B15188" w:rsidRPr="002D3252" w:rsidRDefault="00B15188" w:rsidP="00B15188">
      <w:pPr>
        <w:spacing w:after="0" w:line="276" w:lineRule="auto"/>
        <w:jc w:val="both"/>
        <w:rPr>
          <w:rFonts w:ascii="Arial" w:eastAsia="Times New Roman" w:hAnsi="Arial" w:cs="Arial"/>
          <w:color w:val="000000"/>
          <w:sz w:val="21"/>
          <w:szCs w:val="21"/>
          <w:lang w:eastAsia="es-ES"/>
        </w:rPr>
      </w:pPr>
      <w:r w:rsidRPr="002D3252">
        <w:rPr>
          <w:rFonts w:ascii="Arial" w:eastAsia="Times New Roman" w:hAnsi="Arial" w:cs="Arial"/>
          <w:color w:val="000000"/>
          <w:sz w:val="21"/>
          <w:szCs w:val="21"/>
          <w:lang w:eastAsia="es-ES"/>
        </w:rPr>
        <w:t>Alzira, 25 de maig</w:t>
      </w:r>
    </w:p>
    <w:p w14:paraId="049019DF" w14:textId="77777777" w:rsidR="00B15188" w:rsidRPr="002D3252" w:rsidRDefault="00B15188" w:rsidP="00B15188">
      <w:pPr>
        <w:spacing w:after="120" w:line="276" w:lineRule="auto"/>
        <w:jc w:val="both"/>
        <w:rPr>
          <w:rFonts w:ascii="Arial" w:eastAsia="Times New Roman" w:hAnsi="Arial" w:cs="Arial"/>
          <w:b/>
          <w:bCs/>
          <w:color w:val="000000"/>
          <w:sz w:val="21"/>
          <w:szCs w:val="21"/>
          <w:lang w:eastAsia="es-ES"/>
        </w:rPr>
      </w:pPr>
      <w:r w:rsidRPr="002D3252">
        <w:rPr>
          <w:rFonts w:ascii="Arial" w:eastAsia="Times New Roman" w:hAnsi="Arial" w:cs="Arial"/>
          <w:b/>
          <w:bCs/>
          <w:color w:val="000000"/>
          <w:sz w:val="21"/>
          <w:szCs w:val="21"/>
          <w:lang w:eastAsia="es-ES"/>
        </w:rPr>
        <w:t>Unisocietat "Covid-19 i els drets fonamentals"</w:t>
      </w:r>
    </w:p>
    <w:p w14:paraId="273D2EFE" w14:textId="77777777" w:rsidR="00B15188" w:rsidRPr="002D3252" w:rsidRDefault="00B15188" w:rsidP="00B15188">
      <w:pPr>
        <w:spacing w:after="240" w:line="276" w:lineRule="auto"/>
        <w:jc w:val="both"/>
        <w:rPr>
          <w:rFonts w:ascii="Arial" w:eastAsia="Times New Roman" w:hAnsi="Arial" w:cs="Arial"/>
          <w:sz w:val="21"/>
          <w:szCs w:val="21"/>
          <w:lang w:eastAsia="es-ES"/>
        </w:rPr>
      </w:pPr>
      <w:r w:rsidRPr="002D3252">
        <w:rPr>
          <w:rFonts w:ascii="Arial" w:eastAsia="Times New Roman" w:hAnsi="Arial" w:cs="Arial"/>
          <w:color w:val="000000"/>
          <w:sz w:val="21"/>
          <w:szCs w:val="21"/>
          <w:lang w:eastAsia="es-ES"/>
        </w:rPr>
        <w:t>Representació institucional del director en l'activitat formativa Unisocietat de la UV, en el marc de la conferència Unisocietat impartida per la catedràtica Sefa Ridaura Martínez.</w:t>
      </w:r>
      <w:r w:rsidRPr="002D3252">
        <w:rPr>
          <w:rFonts w:ascii="Arial" w:eastAsia="Times New Roman" w:hAnsi="Arial" w:cs="Arial"/>
          <w:sz w:val="21"/>
          <w:szCs w:val="21"/>
          <w:lang w:eastAsia="es-ES"/>
        </w:rPr>
        <w:t xml:space="preserve"> </w:t>
      </w:r>
    </w:p>
    <w:p w14:paraId="71409BD7" w14:textId="77777777" w:rsidR="00B15188" w:rsidRPr="002D3252" w:rsidRDefault="00B15188" w:rsidP="00B15188">
      <w:pPr>
        <w:spacing w:after="0" w:line="276" w:lineRule="auto"/>
        <w:jc w:val="both"/>
        <w:rPr>
          <w:rFonts w:ascii="Arial" w:eastAsia="Times New Roman" w:hAnsi="Arial" w:cs="Arial"/>
          <w:color w:val="000000"/>
          <w:sz w:val="21"/>
          <w:szCs w:val="21"/>
          <w:lang w:eastAsia="es-ES"/>
        </w:rPr>
      </w:pPr>
      <w:r w:rsidRPr="002D3252">
        <w:rPr>
          <w:rFonts w:ascii="Arial" w:eastAsia="Times New Roman" w:hAnsi="Arial" w:cs="Arial"/>
          <w:color w:val="000000"/>
          <w:sz w:val="21"/>
          <w:szCs w:val="21"/>
          <w:lang w:eastAsia="es-ES"/>
        </w:rPr>
        <w:t>Torrent, 16 de novembre</w:t>
      </w:r>
    </w:p>
    <w:p w14:paraId="56A77194" w14:textId="77777777" w:rsidR="00B15188" w:rsidRPr="002D3252" w:rsidRDefault="00B15188" w:rsidP="00B15188">
      <w:pPr>
        <w:spacing w:after="120" w:line="276" w:lineRule="auto"/>
        <w:jc w:val="both"/>
        <w:rPr>
          <w:rFonts w:ascii="Arial" w:eastAsia="Times New Roman" w:hAnsi="Arial" w:cs="Arial"/>
          <w:b/>
          <w:bCs/>
          <w:color w:val="000000"/>
          <w:sz w:val="21"/>
          <w:szCs w:val="21"/>
          <w:lang w:eastAsia="es-ES"/>
        </w:rPr>
      </w:pPr>
      <w:r w:rsidRPr="002D3252">
        <w:rPr>
          <w:rFonts w:ascii="Arial" w:eastAsia="Times New Roman" w:hAnsi="Arial" w:cs="Arial"/>
          <w:b/>
          <w:bCs/>
          <w:color w:val="000000"/>
          <w:sz w:val="21"/>
          <w:szCs w:val="21"/>
          <w:lang w:eastAsia="es-ES"/>
        </w:rPr>
        <w:t>Seminari “Protecció dels alertadors”</w:t>
      </w:r>
    </w:p>
    <w:p w14:paraId="70BD18F3" w14:textId="77777777" w:rsidR="00B15188" w:rsidRPr="002D3252" w:rsidRDefault="00B15188" w:rsidP="00B15188">
      <w:pPr>
        <w:spacing w:after="120" w:line="276" w:lineRule="auto"/>
        <w:jc w:val="both"/>
        <w:rPr>
          <w:rFonts w:ascii="Arial" w:eastAsia="Times New Roman" w:hAnsi="Arial" w:cs="Arial"/>
          <w:color w:val="000000"/>
          <w:sz w:val="21"/>
          <w:szCs w:val="21"/>
          <w:lang w:eastAsia="es-ES"/>
        </w:rPr>
      </w:pPr>
      <w:r w:rsidRPr="002D3252">
        <w:rPr>
          <w:rFonts w:ascii="Arial" w:eastAsia="Times New Roman" w:hAnsi="Arial" w:cs="Arial"/>
          <w:color w:val="000000"/>
          <w:sz w:val="21"/>
          <w:szCs w:val="21"/>
          <w:lang w:eastAsia="es-ES"/>
        </w:rPr>
        <w:t>El director va inaugurar la jornada, juntament amb l'alcalde de la ciutat de Torrent i el vicerector de Projecció Territorial i Societat de la Universitat de València.</w:t>
      </w:r>
    </w:p>
    <w:p w14:paraId="3665DE5C" w14:textId="2173087B" w:rsidR="00A97B27" w:rsidRPr="002D3252" w:rsidRDefault="00B15188" w:rsidP="00B15188">
      <w:pPr>
        <w:spacing w:after="240" w:line="276" w:lineRule="auto"/>
        <w:jc w:val="both"/>
        <w:rPr>
          <w:rFonts w:ascii="Arial" w:eastAsia="Times New Roman" w:hAnsi="Arial" w:cs="Arial"/>
          <w:sz w:val="21"/>
          <w:szCs w:val="21"/>
          <w:lang w:eastAsia="es-ES"/>
        </w:rPr>
      </w:pPr>
      <w:r w:rsidRPr="002D3252">
        <w:rPr>
          <w:rFonts w:ascii="Arial" w:eastAsia="Times New Roman" w:hAnsi="Arial" w:cs="Arial"/>
          <w:color w:val="000000"/>
          <w:sz w:val="21"/>
          <w:szCs w:val="21"/>
          <w:lang w:eastAsia="es-ES"/>
        </w:rPr>
        <w:t>Així mateix, el 22 de setembre, el director i el vicerector de Projecció Territorial i Societat, van presidir institucionalment la presentació del documental “Els conflictes d'interés i la integritat pública”, realitzat per la UV en col·laboració amb l’AVAF, dins del programa DOCUFORUM de la Universitat de València i del programa d'activitats formatives de l’AVAF</w:t>
      </w:r>
    </w:p>
    <w:p w14:paraId="53BF236C" w14:textId="57EAD1DD" w:rsidR="00B15188" w:rsidRPr="002D3252" w:rsidRDefault="00B15188" w:rsidP="00B15188">
      <w:pPr>
        <w:keepNext/>
        <w:numPr>
          <w:ilvl w:val="2"/>
          <w:numId w:val="27"/>
        </w:numPr>
        <w:spacing w:before="360" w:after="120" w:line="276" w:lineRule="auto"/>
        <w:ind w:left="1134" w:hanging="1134"/>
        <w:jc w:val="both"/>
        <w:outlineLvl w:val="2"/>
        <w:rPr>
          <w:rFonts w:ascii="Arial" w:eastAsia="Times New Roman" w:hAnsi="Arial" w:cs="Arial"/>
          <w:b/>
          <w:color w:val="9D2235"/>
          <w:sz w:val="28"/>
          <w:szCs w:val="28"/>
        </w:rPr>
      </w:pPr>
      <w:bookmarkStart w:id="19" w:name="_Toc99110669"/>
      <w:r w:rsidRPr="002D3252">
        <w:rPr>
          <w:rFonts w:ascii="Arial" w:eastAsia="Times New Roman" w:hAnsi="Arial" w:cs="Arial"/>
          <w:b/>
          <w:color w:val="9D2235"/>
          <w:sz w:val="28"/>
          <w:szCs w:val="28"/>
        </w:rPr>
        <w:t xml:space="preserve">Commemoració del V aniversari de la Llei </w:t>
      </w:r>
      <w:r w:rsidR="00D82A73">
        <w:rPr>
          <w:rFonts w:ascii="Arial" w:eastAsia="Times New Roman" w:hAnsi="Arial" w:cs="Arial"/>
          <w:b/>
          <w:color w:val="9D2235"/>
          <w:sz w:val="28"/>
          <w:szCs w:val="28"/>
        </w:rPr>
        <w:t>11</w:t>
      </w:r>
      <w:r w:rsidRPr="002D3252">
        <w:rPr>
          <w:rFonts w:ascii="Arial" w:eastAsia="Times New Roman" w:hAnsi="Arial" w:cs="Arial"/>
          <w:b/>
          <w:color w:val="9D2235"/>
          <w:sz w:val="28"/>
          <w:szCs w:val="28"/>
        </w:rPr>
        <w:t>/201</w:t>
      </w:r>
      <w:r w:rsidR="00D82A73">
        <w:rPr>
          <w:rFonts w:ascii="Arial" w:eastAsia="Times New Roman" w:hAnsi="Arial" w:cs="Arial"/>
          <w:b/>
          <w:color w:val="9D2235"/>
          <w:sz w:val="28"/>
          <w:szCs w:val="28"/>
        </w:rPr>
        <w:t>6</w:t>
      </w:r>
      <w:r w:rsidRPr="002D3252">
        <w:rPr>
          <w:rFonts w:ascii="Arial" w:eastAsia="Times New Roman" w:hAnsi="Arial" w:cs="Arial"/>
          <w:b/>
          <w:color w:val="9D2235"/>
          <w:sz w:val="28"/>
          <w:szCs w:val="28"/>
        </w:rPr>
        <w:t xml:space="preserve"> de creació de l'Agència Valenciana Antifrau</w:t>
      </w:r>
      <w:bookmarkEnd w:id="19"/>
    </w:p>
    <w:p w14:paraId="66BED74D" w14:textId="632BC90B" w:rsidR="00B15188" w:rsidRPr="002D3252" w:rsidRDefault="00AC6B3A" w:rsidP="00B15188">
      <w:pPr>
        <w:spacing w:after="240" w:line="276" w:lineRule="auto"/>
        <w:jc w:val="both"/>
        <w:rPr>
          <w:rFonts w:ascii="Arial" w:eastAsia="Times New Roman" w:hAnsi="Arial" w:cs="Arial"/>
          <w:sz w:val="21"/>
          <w:szCs w:val="21"/>
          <w:lang w:eastAsia="es-ES"/>
        </w:rPr>
      </w:pPr>
      <w:r w:rsidRPr="002D3252">
        <w:rPr>
          <w:noProof/>
        </w:rPr>
        <mc:AlternateContent>
          <mc:Choice Requires="wps">
            <w:drawing>
              <wp:anchor distT="0" distB="0" distL="114300" distR="114300" simplePos="0" relativeHeight="251979776" behindDoc="0" locked="0" layoutInCell="1" allowOverlap="1" wp14:anchorId="7184C413" wp14:editId="39385BB3">
                <wp:simplePos x="0" y="0"/>
                <wp:positionH relativeFrom="column">
                  <wp:posOffset>570865</wp:posOffset>
                </wp:positionH>
                <wp:positionV relativeFrom="paragraph">
                  <wp:posOffset>2755265</wp:posOffset>
                </wp:positionV>
                <wp:extent cx="4286250" cy="635"/>
                <wp:effectExtent l="0" t="0" r="0" b="0"/>
                <wp:wrapTopAndBottom/>
                <wp:docPr id="17" name="Cuadro de texto 17"/>
                <wp:cNvGraphicFramePr/>
                <a:graphic xmlns:a="http://schemas.openxmlformats.org/drawingml/2006/main">
                  <a:graphicData uri="http://schemas.microsoft.com/office/word/2010/wordprocessingShape">
                    <wps:wsp>
                      <wps:cNvSpPr txBox="1"/>
                      <wps:spPr>
                        <a:xfrm>
                          <a:off x="0" y="0"/>
                          <a:ext cx="4286250" cy="635"/>
                        </a:xfrm>
                        <a:prstGeom prst="rect">
                          <a:avLst/>
                        </a:prstGeom>
                        <a:solidFill>
                          <a:prstClr val="white"/>
                        </a:solidFill>
                        <a:ln>
                          <a:noFill/>
                        </a:ln>
                      </wps:spPr>
                      <wps:txbx>
                        <w:txbxContent>
                          <w:p w14:paraId="5DE24CF2" w14:textId="0CBD61D0" w:rsidR="00AC6B3A" w:rsidRPr="00AC6B3A" w:rsidRDefault="00AC6B3A" w:rsidP="000271FD">
                            <w:pPr>
                              <w:pStyle w:val="Descripcin"/>
                              <w:jc w:val="center"/>
                              <w:rPr>
                                <w:rFonts w:ascii="Arial" w:eastAsia="Times New Roman" w:hAnsi="Arial" w:cs="Arial"/>
                                <w:smallCaps w:val="0"/>
                                <w:noProof/>
                                <w:sz w:val="18"/>
                                <w:szCs w:val="18"/>
                                <w:lang w:val="ca-ES"/>
                              </w:rPr>
                            </w:pPr>
                            <w:bookmarkStart w:id="20" w:name="_Toc99110951"/>
                            <w:r w:rsidRPr="00AC6B3A">
                              <w:rPr>
                                <w:rFonts w:ascii="Arial" w:hAnsi="Arial" w:cs="Arial"/>
                                <w:smallCaps w:val="0"/>
                                <w:color w:val="9D2235" w:themeColor="accent1"/>
                                <w:sz w:val="18"/>
                                <w:szCs w:val="18"/>
                              </w:rPr>
                              <w:t xml:space="preserve">Il·lustració </w:t>
                            </w:r>
                            <w:r w:rsidRPr="00AC6B3A">
                              <w:rPr>
                                <w:rFonts w:ascii="Arial" w:hAnsi="Arial" w:cs="Arial"/>
                                <w:smallCaps w:val="0"/>
                                <w:color w:val="9D2235" w:themeColor="accent1"/>
                                <w:sz w:val="18"/>
                                <w:szCs w:val="18"/>
                              </w:rPr>
                              <w:fldChar w:fldCharType="begin"/>
                            </w:r>
                            <w:r w:rsidRPr="00AC6B3A">
                              <w:rPr>
                                <w:rFonts w:ascii="Arial" w:hAnsi="Arial" w:cs="Arial"/>
                                <w:smallCaps w:val="0"/>
                                <w:color w:val="9D2235" w:themeColor="accent1"/>
                                <w:sz w:val="18"/>
                                <w:szCs w:val="18"/>
                              </w:rPr>
                              <w:instrText xml:space="preserve"> SEQ Il·lustració \* ARABIC </w:instrText>
                            </w:r>
                            <w:r w:rsidRPr="00AC6B3A">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5</w:t>
                            </w:r>
                            <w:r w:rsidRPr="00AC6B3A">
                              <w:rPr>
                                <w:rFonts w:ascii="Arial" w:hAnsi="Arial" w:cs="Arial"/>
                                <w:smallCaps w:val="0"/>
                                <w:color w:val="9D2235" w:themeColor="accent1"/>
                                <w:sz w:val="18"/>
                                <w:szCs w:val="18"/>
                              </w:rPr>
                              <w:fldChar w:fldCharType="end"/>
                            </w:r>
                            <w:r w:rsidRPr="00AC6B3A">
                              <w:rPr>
                                <w:rFonts w:ascii="Arial" w:hAnsi="Arial" w:cs="Arial"/>
                                <w:smallCaps w:val="0"/>
                                <w:color w:val="9D2235" w:themeColor="accent1"/>
                                <w:sz w:val="18"/>
                                <w:szCs w:val="18"/>
                              </w:rPr>
                              <w:t xml:space="preserve">. </w:t>
                            </w:r>
                            <w:r w:rsidRPr="00AC6B3A">
                              <w:rPr>
                                <w:rFonts w:ascii="Arial" w:hAnsi="Arial" w:cs="Arial"/>
                                <w:smallCaps w:val="0"/>
                                <w:sz w:val="18"/>
                                <w:szCs w:val="18"/>
                              </w:rPr>
                              <w:t>Infografia del webinar: 5</w:t>
                            </w:r>
                            <w:r w:rsidRPr="00FB1FC5">
                              <w:rPr>
                                <w:rFonts w:ascii="Arial" w:hAnsi="Arial" w:cs="Arial"/>
                                <w:smallCaps w:val="0"/>
                                <w:sz w:val="18"/>
                                <w:szCs w:val="18"/>
                                <w:vertAlign w:val="superscript"/>
                              </w:rPr>
                              <w:t>è</w:t>
                            </w:r>
                            <w:r w:rsidRPr="00AC6B3A">
                              <w:rPr>
                                <w:rFonts w:ascii="Arial" w:hAnsi="Arial" w:cs="Arial"/>
                                <w:smallCaps w:val="0"/>
                                <w:sz w:val="18"/>
                                <w:szCs w:val="18"/>
                              </w:rPr>
                              <w:t xml:space="preserve"> Aniversario de la Llei 11/2016, de creació de l'</w:t>
                            </w:r>
                            <w:r w:rsidR="000271FD">
                              <w:rPr>
                                <w:rFonts w:ascii="Arial" w:hAnsi="Arial" w:cs="Arial"/>
                                <w:smallCaps w:val="0"/>
                                <w:sz w:val="18"/>
                                <w:szCs w:val="18"/>
                              </w:rPr>
                              <w:t>AVAF</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84C413" id="Cuadro de texto 17" o:spid="_x0000_s1029" type="#_x0000_t202" style="position:absolute;left:0;text-align:left;margin-left:44.95pt;margin-top:216.95pt;width:337.5pt;height:.05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rJUGgIAAD8EAAAOAAAAZHJzL2Uyb0RvYy54bWysU8Fu2zAMvQ/YPwi6L07SNSi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" stroked="f">
                <v:textbox style="mso-fit-shape-to-text:t" inset="0,0,0,0">
                  <w:txbxContent>
                    <w:p w14:paraId="5DE24CF2" w14:textId="0CBD61D0" w:rsidR="00AC6B3A" w:rsidRPr="00AC6B3A" w:rsidRDefault="00AC6B3A" w:rsidP="000271FD">
                      <w:pPr>
                        <w:pStyle w:val="Descripcin"/>
                        <w:jc w:val="center"/>
                        <w:rPr>
                          <w:rFonts w:ascii="Arial" w:eastAsia="Times New Roman" w:hAnsi="Arial" w:cs="Arial"/>
                          <w:smallCaps w:val="0"/>
                          <w:noProof/>
                          <w:sz w:val="18"/>
                          <w:szCs w:val="18"/>
                          <w:lang w:val="ca-ES"/>
                        </w:rPr>
                      </w:pPr>
                      <w:bookmarkStart w:id="24" w:name="_Toc99110951"/>
                      <w:r w:rsidRPr="00AC6B3A">
                        <w:rPr>
                          <w:rFonts w:ascii="Arial" w:hAnsi="Arial" w:cs="Arial"/>
                          <w:smallCaps w:val="0"/>
                          <w:color w:val="9D2235" w:themeColor="accent1"/>
                          <w:sz w:val="18"/>
                          <w:szCs w:val="18"/>
                        </w:rPr>
                        <w:t xml:space="preserve">Il·lustració </w:t>
                      </w:r>
                      <w:r w:rsidRPr="00AC6B3A">
                        <w:rPr>
                          <w:rFonts w:ascii="Arial" w:hAnsi="Arial" w:cs="Arial"/>
                          <w:smallCaps w:val="0"/>
                          <w:color w:val="9D2235" w:themeColor="accent1"/>
                          <w:sz w:val="18"/>
                          <w:szCs w:val="18"/>
                        </w:rPr>
                        <w:fldChar w:fldCharType="begin"/>
                      </w:r>
                      <w:r w:rsidRPr="00AC6B3A">
                        <w:rPr>
                          <w:rFonts w:ascii="Arial" w:hAnsi="Arial" w:cs="Arial"/>
                          <w:smallCaps w:val="0"/>
                          <w:color w:val="9D2235" w:themeColor="accent1"/>
                          <w:sz w:val="18"/>
                          <w:szCs w:val="18"/>
                        </w:rPr>
                        <w:instrText xml:space="preserve"> SEQ Il·lustració \* ARABIC </w:instrText>
                      </w:r>
                      <w:r w:rsidRPr="00AC6B3A">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5</w:t>
                      </w:r>
                      <w:r w:rsidRPr="00AC6B3A">
                        <w:rPr>
                          <w:rFonts w:ascii="Arial" w:hAnsi="Arial" w:cs="Arial"/>
                          <w:smallCaps w:val="0"/>
                          <w:color w:val="9D2235" w:themeColor="accent1"/>
                          <w:sz w:val="18"/>
                          <w:szCs w:val="18"/>
                        </w:rPr>
                        <w:fldChar w:fldCharType="end"/>
                      </w:r>
                      <w:r w:rsidRPr="00AC6B3A">
                        <w:rPr>
                          <w:rFonts w:ascii="Arial" w:hAnsi="Arial" w:cs="Arial"/>
                          <w:smallCaps w:val="0"/>
                          <w:color w:val="9D2235" w:themeColor="accent1"/>
                          <w:sz w:val="18"/>
                          <w:szCs w:val="18"/>
                        </w:rPr>
                        <w:t xml:space="preserve">. </w:t>
                      </w:r>
                      <w:r w:rsidRPr="00AC6B3A">
                        <w:rPr>
                          <w:rFonts w:ascii="Arial" w:hAnsi="Arial" w:cs="Arial"/>
                          <w:smallCaps w:val="0"/>
                          <w:sz w:val="18"/>
                          <w:szCs w:val="18"/>
                        </w:rPr>
                        <w:t>Infografia del webinar: 5</w:t>
                      </w:r>
                      <w:r w:rsidRPr="00FB1FC5">
                        <w:rPr>
                          <w:rFonts w:ascii="Arial" w:hAnsi="Arial" w:cs="Arial"/>
                          <w:smallCaps w:val="0"/>
                          <w:sz w:val="18"/>
                          <w:szCs w:val="18"/>
                          <w:vertAlign w:val="superscript"/>
                        </w:rPr>
                        <w:t>è</w:t>
                      </w:r>
                      <w:r w:rsidRPr="00AC6B3A">
                        <w:rPr>
                          <w:rFonts w:ascii="Arial" w:hAnsi="Arial" w:cs="Arial"/>
                          <w:smallCaps w:val="0"/>
                          <w:sz w:val="18"/>
                          <w:szCs w:val="18"/>
                        </w:rPr>
                        <w:t xml:space="preserve"> Aniversario de la Llei 11/2016, de creació de l'</w:t>
                      </w:r>
                      <w:r w:rsidR="000271FD">
                        <w:rPr>
                          <w:rFonts w:ascii="Arial" w:hAnsi="Arial" w:cs="Arial"/>
                          <w:smallCaps w:val="0"/>
                          <w:sz w:val="18"/>
                          <w:szCs w:val="18"/>
                        </w:rPr>
                        <w:t>AVAF</w:t>
                      </w:r>
                      <w:bookmarkEnd w:id="24"/>
                    </w:p>
                  </w:txbxContent>
                </v:textbox>
                <w10:wrap type="topAndBottom"/>
              </v:shape>
            </w:pict>
          </mc:Fallback>
        </mc:AlternateContent>
      </w:r>
      <w:r w:rsidR="002B00E5" w:rsidRPr="002D3252">
        <w:rPr>
          <w:rFonts w:ascii="Arial" w:eastAsia="Times New Roman" w:hAnsi="Arial" w:cs="Arial"/>
          <w:noProof/>
          <w:sz w:val="21"/>
          <w:szCs w:val="21"/>
          <w:lang w:eastAsia="es-ES"/>
        </w:rPr>
        <w:drawing>
          <wp:anchor distT="0" distB="0" distL="114300" distR="114300" simplePos="0" relativeHeight="251977728" behindDoc="0" locked="0" layoutInCell="1" allowOverlap="1" wp14:anchorId="3F461365" wp14:editId="74BD8CDA">
            <wp:simplePos x="0" y="0"/>
            <wp:positionH relativeFrom="margin">
              <wp:align>center</wp:align>
            </wp:positionH>
            <wp:positionV relativeFrom="paragraph">
              <wp:posOffset>659765</wp:posOffset>
            </wp:positionV>
            <wp:extent cx="3584575" cy="2036445"/>
            <wp:effectExtent l="0" t="0" r="0" b="190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84575" cy="2036445"/>
                    </a:xfrm>
                    <a:prstGeom prst="rect">
                      <a:avLst/>
                    </a:prstGeom>
                    <a:noFill/>
                  </pic:spPr>
                </pic:pic>
              </a:graphicData>
            </a:graphic>
          </wp:anchor>
        </w:drawing>
      </w:r>
      <w:r w:rsidR="00B15188" w:rsidRPr="002D3252">
        <w:rPr>
          <w:rFonts w:ascii="Arial" w:eastAsia="Times New Roman" w:hAnsi="Arial" w:cs="Arial"/>
          <w:noProof/>
          <w:sz w:val="21"/>
          <w:szCs w:val="21"/>
          <w:lang w:eastAsia="es-ES"/>
        </w:rPr>
        <w:t>L'Agència Valenciana Antifrau ha organitzat en 2021 un seminari amb motiu de la celebració del 5é aniversari de l'aprovació de la Llei 11/2016, de creació de l'Agència, que ha sigut seguit per més de 150 persones de manera presencial i en línia</w:t>
      </w:r>
      <w:r w:rsidR="00B15188" w:rsidRPr="002D3252">
        <w:rPr>
          <w:rFonts w:ascii="Arial" w:eastAsia="Times New Roman" w:hAnsi="Arial" w:cs="Arial"/>
          <w:sz w:val="21"/>
          <w:szCs w:val="21"/>
          <w:lang w:eastAsia="es-ES"/>
        </w:rPr>
        <w:t>.</w:t>
      </w:r>
    </w:p>
    <w:p w14:paraId="67177742" w14:textId="5D77F48F" w:rsidR="00A359D3" w:rsidRPr="002D3252" w:rsidRDefault="00A359D3" w:rsidP="00B15188">
      <w:pPr>
        <w:spacing w:after="240" w:line="276" w:lineRule="auto"/>
        <w:jc w:val="center"/>
        <w:rPr>
          <w:rFonts w:ascii="Arial" w:eastAsia="Times New Roman" w:hAnsi="Arial" w:cs="Arial"/>
          <w:sz w:val="21"/>
          <w:szCs w:val="21"/>
          <w:lang w:eastAsia="es-ES"/>
        </w:rPr>
      </w:pPr>
    </w:p>
    <w:p w14:paraId="17427CD9" w14:textId="77777777" w:rsidR="002B00E5"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lastRenderedPageBreak/>
        <w:t>El President de les Corts Valencianes, Enric Morera i el director de l'Agència Valenciana Antifrau, Joan Llinares, van ser els encarregats de la inauguració del Seminari.</w:t>
      </w:r>
    </w:p>
    <w:p w14:paraId="6CBC4761" w14:textId="77777777" w:rsidR="002B00E5"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La primera taula va portar per títol la “Ciutadania contra la corrupció”, en la qual van participar entitats de la societat civil que formen part del Consell de Participació de l'Agència, i que en el seu moment van proposar l'elecció de Joan Llinares com a director de l'Agència davant el Parlament valencià.</w:t>
      </w:r>
    </w:p>
    <w:p w14:paraId="0E0B3712" w14:textId="4D418079" w:rsidR="002B00E5"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En aquesta taula participaren Antonio Penadés </w:t>
      </w:r>
      <w:r w:rsidR="00453F10" w:rsidRPr="002D3252">
        <w:rPr>
          <w:rFonts w:ascii="Arial" w:eastAsia="Times New Roman" w:hAnsi="Arial" w:cs="Arial"/>
          <w:sz w:val="21"/>
          <w:szCs w:val="21"/>
          <w:lang w:eastAsia="es-ES"/>
        </w:rPr>
        <w:t>d’</w:t>
      </w:r>
      <w:r w:rsidR="00453F10" w:rsidRPr="002D3252">
        <w:rPr>
          <w:rFonts w:ascii="Arial" w:eastAsia="Times New Roman" w:hAnsi="Arial" w:cs="Arial"/>
          <w:i/>
          <w:sz w:val="21"/>
          <w:szCs w:val="21"/>
          <w:lang w:eastAsia="es-ES"/>
        </w:rPr>
        <w:t>Acció</w:t>
      </w:r>
      <w:r w:rsidRPr="002D3252">
        <w:rPr>
          <w:rFonts w:ascii="Arial" w:eastAsia="Times New Roman" w:hAnsi="Arial" w:cs="Arial"/>
          <w:i/>
          <w:sz w:val="21"/>
          <w:szCs w:val="21"/>
          <w:lang w:eastAsia="es-ES"/>
        </w:rPr>
        <w:t xml:space="preserve"> Cívica contra la </w:t>
      </w:r>
      <w:r w:rsidR="00453F10" w:rsidRPr="002D3252">
        <w:rPr>
          <w:rFonts w:ascii="Arial" w:eastAsia="Times New Roman" w:hAnsi="Arial" w:cs="Arial"/>
          <w:i/>
          <w:sz w:val="21"/>
          <w:szCs w:val="21"/>
          <w:lang w:eastAsia="es-ES"/>
        </w:rPr>
        <w:t>Corrupció</w:t>
      </w:r>
      <w:r w:rsidRPr="002D3252">
        <w:rPr>
          <w:rFonts w:ascii="Arial" w:eastAsia="Times New Roman" w:hAnsi="Arial" w:cs="Arial"/>
          <w:sz w:val="21"/>
          <w:szCs w:val="21"/>
          <w:lang w:eastAsia="es-ES"/>
        </w:rPr>
        <w:t xml:space="preserve">, Consuelo Vidal de l’Observatori contra la Corrupció, i José María Tomás y Tío de </w:t>
      </w:r>
      <w:r w:rsidR="001B45FD" w:rsidRPr="002D3252">
        <w:rPr>
          <w:rFonts w:ascii="Arial" w:eastAsia="Times New Roman" w:hAnsi="Arial" w:cs="Arial"/>
          <w:i/>
          <w:sz w:val="21"/>
          <w:szCs w:val="21"/>
          <w:lang w:eastAsia="es-ES"/>
        </w:rPr>
        <w:t>Fundació</w:t>
      </w:r>
      <w:r w:rsidRPr="002D3252">
        <w:rPr>
          <w:rFonts w:ascii="Arial" w:eastAsia="Times New Roman" w:hAnsi="Arial" w:cs="Arial"/>
          <w:i/>
          <w:sz w:val="21"/>
          <w:szCs w:val="21"/>
          <w:lang w:eastAsia="es-ES"/>
        </w:rPr>
        <w:t xml:space="preserve"> p</w:t>
      </w:r>
      <w:r w:rsidR="001B45FD">
        <w:rPr>
          <w:rFonts w:ascii="Arial" w:eastAsia="Times New Roman" w:hAnsi="Arial" w:cs="Arial"/>
          <w:i/>
          <w:sz w:val="21"/>
          <w:szCs w:val="21"/>
          <w:lang w:eastAsia="es-ES"/>
        </w:rPr>
        <w:t>e</w:t>
      </w:r>
      <w:r w:rsidRPr="002D3252">
        <w:rPr>
          <w:rFonts w:ascii="Arial" w:eastAsia="Times New Roman" w:hAnsi="Arial" w:cs="Arial"/>
          <w:i/>
          <w:sz w:val="21"/>
          <w:szCs w:val="21"/>
          <w:lang w:eastAsia="es-ES"/>
        </w:rPr>
        <w:t xml:space="preserve">r la </w:t>
      </w:r>
      <w:r w:rsidR="001B45FD" w:rsidRPr="002D3252">
        <w:rPr>
          <w:rFonts w:ascii="Arial" w:eastAsia="Times New Roman" w:hAnsi="Arial" w:cs="Arial"/>
          <w:i/>
          <w:sz w:val="21"/>
          <w:szCs w:val="21"/>
          <w:lang w:eastAsia="es-ES"/>
        </w:rPr>
        <w:t>Justícia</w:t>
      </w:r>
      <w:r w:rsidRPr="002D3252">
        <w:rPr>
          <w:rFonts w:ascii="Arial" w:eastAsia="Times New Roman" w:hAnsi="Arial" w:cs="Arial"/>
          <w:sz w:val="21"/>
          <w:szCs w:val="21"/>
          <w:lang w:eastAsia="es-ES"/>
        </w:rPr>
        <w:t>, i va ser moderada per Juan Carlos Galindo.</w:t>
      </w:r>
    </w:p>
    <w:p w14:paraId="5F4C777E" w14:textId="77777777" w:rsidR="002B00E5"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La segona taula tractà sobre “Els costes de la corrupció” i participaren experts en aquesta àrea com Francisco Alcalá, professor-investigador de l’Institut Valencià d’Investigacions Econòmiques (IVIE), Francisco Cardona, consultor de l’OCDE i Fabiola Meco, professora ajudant Doctora en Dret Civil en la Universitat de València. La taula fou moderada per Teresa Clemente, directora d’Assumptes Jurídics de l’Agència.</w:t>
      </w:r>
    </w:p>
    <w:p w14:paraId="13910155" w14:textId="77777777" w:rsidR="002B00E5"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En la segona sessió, es va reprendre la jornada amb dues taules més. La primera d'elles va tractar sobre les “Estratègies de prevenció i lluita contra la corrupció en les Comunitats Autònomes”, en la qual van participar els directors de les oficines i agències antifrau d'Espanya.</w:t>
      </w:r>
    </w:p>
    <w:p w14:paraId="3CECC437" w14:textId="77777777" w:rsidR="002B00E5"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Participaren el director de l’Oficina Antifrau de Catalunya, Miguel Ángel Gimeno, el director de l’Oficina de les Illes Balears, Jaime Far, el director de l’Agència Valenciana Antifrau, Joan Llinares, i el recentment nomenat director de l’Oficina d’Andalusia, Ricardo Vicente Puyol. La taula fou moderada per la periodista d’À Punt Ràdio, Clara Castelló.</w:t>
      </w:r>
    </w:p>
    <w:p w14:paraId="62303D82" w14:textId="152E552B" w:rsidR="002B00E5"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Per a finalitzar el seminari, es va comptar amb la participació de la classe política en una taula en la qual van participar: Manolo Mata del grup parlamentari socialista, Fernando Pastor, pel grup parlamentari popular, Mònica Àlvaro del grupo parlamentari Compromís, Ruth Merino del grup parlamentari </w:t>
      </w:r>
      <w:r w:rsidR="001B45FD" w:rsidRPr="002D3252">
        <w:rPr>
          <w:rFonts w:ascii="Arial" w:eastAsia="Times New Roman" w:hAnsi="Arial" w:cs="Arial"/>
          <w:sz w:val="21"/>
          <w:szCs w:val="21"/>
          <w:lang w:eastAsia="es-ES"/>
        </w:rPr>
        <w:t>Ciutadans</w:t>
      </w:r>
      <w:r w:rsidRPr="002D3252">
        <w:rPr>
          <w:rFonts w:ascii="Arial" w:eastAsia="Times New Roman" w:hAnsi="Arial" w:cs="Arial"/>
          <w:sz w:val="21"/>
          <w:szCs w:val="21"/>
          <w:lang w:eastAsia="es-ES"/>
        </w:rPr>
        <w:t xml:space="preserve"> i María Pilar Lima pel grup parlamentari Unides Podem. La periodista i directora d’informatius d’À Punt, Raquel Ejerique, fou la encarregada de moderar la taula.</w:t>
      </w:r>
    </w:p>
    <w:p w14:paraId="7B9AA090" w14:textId="6FB481A9" w:rsidR="00A359D3"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hAnsi="Arial" w:cs="Arial"/>
          <w:sz w:val="21"/>
          <w:szCs w:val="21"/>
        </w:rPr>
        <w:t>Poden veure el webinar en el canal de YouTube de l'Agència Valenciana Antifrau en aquest enllaç</w:t>
      </w:r>
      <w:r w:rsidRPr="002D3252">
        <w:rPr>
          <w:rFonts w:ascii="Arial" w:hAnsi="Arial" w:cs="Arial"/>
          <w:color w:val="9D2235" w:themeColor="accent1"/>
          <w:sz w:val="21"/>
          <w:szCs w:val="21"/>
        </w:rPr>
        <w:t xml:space="preserve">: </w:t>
      </w:r>
      <w:hyperlink r:id="rId74" w:history="1">
        <w:r w:rsidRPr="002D3252">
          <w:rPr>
            <w:rFonts w:ascii="Arial" w:hAnsi="Arial" w:cs="Arial"/>
            <w:color w:val="000080"/>
            <w:sz w:val="21"/>
            <w:szCs w:val="21"/>
            <w:u w:val="single"/>
          </w:rPr>
          <w:t>https://www.youtube.com/watch?v=8OBq5KBVKJc</w:t>
        </w:r>
      </w:hyperlink>
    </w:p>
    <w:p w14:paraId="41E33FC4" w14:textId="3E563901" w:rsidR="002B00E5" w:rsidRPr="002D3252" w:rsidRDefault="002B00E5" w:rsidP="002B00E5">
      <w:pPr>
        <w:keepNext/>
        <w:numPr>
          <w:ilvl w:val="2"/>
          <w:numId w:val="27"/>
        </w:numPr>
        <w:spacing w:before="360" w:after="240" w:line="276" w:lineRule="auto"/>
        <w:ind w:left="1134" w:hanging="1134"/>
        <w:jc w:val="both"/>
        <w:outlineLvl w:val="2"/>
        <w:rPr>
          <w:rFonts w:ascii="Arial" w:eastAsia="Times New Roman" w:hAnsi="Arial" w:cs="Arial"/>
          <w:b/>
          <w:color w:val="9D2235"/>
          <w:sz w:val="28"/>
          <w:szCs w:val="28"/>
        </w:rPr>
      </w:pPr>
      <w:bookmarkStart w:id="21" w:name="_Toc99110670"/>
      <w:bookmarkStart w:id="22" w:name="OBJ_PREFIX_DWT50_com_zimbra_date"/>
      <w:r w:rsidRPr="002D3252">
        <w:rPr>
          <w:rFonts w:ascii="Arial" w:eastAsia="Times New Roman" w:hAnsi="Arial" w:cs="Arial"/>
          <w:b/>
          <w:color w:val="9D2235"/>
          <w:sz w:val="28"/>
          <w:szCs w:val="28"/>
        </w:rPr>
        <w:t xml:space="preserve">Dia Internacional de Nacions Unides de </w:t>
      </w:r>
      <w:r w:rsidR="00D82A73">
        <w:rPr>
          <w:rFonts w:ascii="Arial" w:eastAsia="Times New Roman" w:hAnsi="Arial" w:cs="Arial"/>
          <w:b/>
          <w:color w:val="9D2235"/>
          <w:sz w:val="28"/>
          <w:szCs w:val="28"/>
        </w:rPr>
        <w:t>L</w:t>
      </w:r>
      <w:r w:rsidRPr="002D3252">
        <w:rPr>
          <w:rFonts w:ascii="Arial" w:eastAsia="Times New Roman" w:hAnsi="Arial" w:cs="Arial"/>
          <w:b/>
          <w:color w:val="9D2235"/>
          <w:sz w:val="28"/>
          <w:szCs w:val="28"/>
        </w:rPr>
        <w:t>luita contra la Corrupció</w:t>
      </w:r>
      <w:bookmarkEnd w:id="21"/>
    </w:p>
    <w:bookmarkEnd w:id="22"/>
    <w:p w14:paraId="2EAB6CA1" w14:textId="461225B5" w:rsidR="00A359D3" w:rsidRPr="002D3252" w:rsidRDefault="002B00E5" w:rsidP="002B00E5">
      <w:pPr>
        <w:spacing w:after="240" w:line="276" w:lineRule="auto"/>
        <w:jc w:val="both"/>
        <w:rPr>
          <w:rFonts w:ascii="Arial" w:eastAsia="Times New Roman" w:hAnsi="Arial" w:cs="Arial"/>
          <w:sz w:val="21"/>
          <w:szCs w:val="21"/>
          <w:lang w:eastAsia="es-ES"/>
        </w:rPr>
      </w:pPr>
      <w:r w:rsidRPr="002D3252">
        <w:rPr>
          <w:rFonts w:ascii="Arial" w:hAnsi="Arial" w:cs="Arial"/>
          <w:sz w:val="21"/>
          <w:szCs w:val="21"/>
        </w:rPr>
        <w:t>Amb motiu de la celebració del Dia Internacional contra la Corrupció, l'Agència Valenciana Antifrau va organitzar un webinar amb una ponència de Concepción Sabadell, fiscal europea, i un diàleg entre Rodrigo Terrasa, autor del llibre 'La ciutat de l'eufòria' i Joan Llinares, director de l'Agència Valenciana Antifrau.</w:t>
      </w:r>
    </w:p>
    <w:p w14:paraId="25874FF6" w14:textId="53134EA2" w:rsidR="00A97B27" w:rsidRPr="002D3252" w:rsidRDefault="00A97B27" w:rsidP="00B15188">
      <w:pPr>
        <w:spacing w:after="240" w:line="276" w:lineRule="auto"/>
        <w:jc w:val="both"/>
        <w:rPr>
          <w:rFonts w:ascii="Arial" w:eastAsia="Times New Roman" w:hAnsi="Arial" w:cs="Arial"/>
          <w:sz w:val="21"/>
          <w:szCs w:val="21"/>
          <w:lang w:eastAsia="es-ES"/>
        </w:rPr>
      </w:pPr>
    </w:p>
    <w:p w14:paraId="0FEA5267" w14:textId="77777777" w:rsidR="00FB1FC5" w:rsidRPr="002D3252" w:rsidRDefault="002B00E5" w:rsidP="00FB1FC5">
      <w:pPr>
        <w:keepNext/>
        <w:spacing w:after="240" w:line="276" w:lineRule="auto"/>
        <w:jc w:val="center"/>
      </w:pPr>
      <w:r w:rsidRPr="002D3252">
        <w:rPr>
          <w:rFonts w:ascii="Arial" w:eastAsia="Times New Roman" w:hAnsi="Arial" w:cs="Arial"/>
          <w:noProof/>
          <w:sz w:val="21"/>
          <w:szCs w:val="21"/>
          <w:lang w:eastAsia="es-ES"/>
        </w:rPr>
        <w:lastRenderedPageBreak/>
        <w:drawing>
          <wp:inline distT="0" distB="0" distL="0" distR="0" wp14:anchorId="15C81EC5" wp14:editId="18E77659">
            <wp:extent cx="5389245" cy="3023870"/>
            <wp:effectExtent l="0" t="0" r="1905"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89245" cy="3023870"/>
                    </a:xfrm>
                    <a:prstGeom prst="rect">
                      <a:avLst/>
                    </a:prstGeom>
                    <a:noFill/>
                  </pic:spPr>
                </pic:pic>
              </a:graphicData>
            </a:graphic>
          </wp:inline>
        </w:drawing>
      </w:r>
    </w:p>
    <w:p w14:paraId="26BC7485" w14:textId="2E266046" w:rsidR="00A97B27" w:rsidRPr="002D3252" w:rsidRDefault="00FB1FC5" w:rsidP="00FB1FC5">
      <w:pPr>
        <w:pStyle w:val="Descripcin"/>
        <w:jc w:val="center"/>
        <w:rPr>
          <w:rFonts w:ascii="Arial" w:eastAsia="Times New Roman" w:hAnsi="Arial" w:cs="Arial"/>
          <w:smallCaps w:val="0"/>
          <w:sz w:val="18"/>
          <w:szCs w:val="18"/>
          <w:lang w:eastAsia="es-ES"/>
        </w:rPr>
      </w:pPr>
      <w:bookmarkStart w:id="23" w:name="_Toc99110952"/>
      <w:r w:rsidRPr="002D3252">
        <w:rPr>
          <w:rFonts w:ascii="Arial" w:hAnsi="Arial" w:cs="Arial"/>
          <w:smallCaps w:val="0"/>
          <w:color w:val="9D2235" w:themeColor="accent1"/>
          <w:sz w:val="18"/>
          <w:szCs w:val="18"/>
        </w:rPr>
        <w:t xml:space="preserve">Il·lustració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Il·lustració \* ARABIC </w:instrText>
      </w:r>
      <w:r w:rsidRPr="002D3252">
        <w:rPr>
          <w:rFonts w:ascii="Arial" w:hAnsi="Arial" w:cs="Arial"/>
          <w:smallCaps w:val="0"/>
          <w:color w:val="9D2235" w:themeColor="accent1"/>
          <w:sz w:val="18"/>
          <w:szCs w:val="18"/>
        </w:rPr>
        <w:fldChar w:fldCharType="separate"/>
      </w:r>
      <w:r w:rsidR="008350F3">
        <w:rPr>
          <w:rFonts w:ascii="Arial" w:hAnsi="Arial" w:cs="Arial"/>
          <w:smallCaps w:val="0"/>
          <w:noProof/>
          <w:color w:val="9D2235" w:themeColor="accent1"/>
          <w:sz w:val="18"/>
          <w:szCs w:val="18"/>
        </w:rPr>
        <w:t>6</w:t>
      </w:r>
      <w:r w:rsidRPr="002D3252">
        <w:rPr>
          <w:rFonts w:ascii="Arial" w:hAnsi="Arial" w:cs="Arial"/>
          <w:smallCaps w:val="0"/>
          <w:color w:val="9D2235" w:themeColor="accent1"/>
          <w:sz w:val="18"/>
          <w:szCs w:val="18"/>
        </w:rPr>
        <w:fldChar w:fldCharType="end"/>
      </w:r>
      <w:r w:rsidRPr="002D3252">
        <w:rPr>
          <w:rFonts w:ascii="Arial" w:hAnsi="Arial" w:cs="Arial"/>
          <w:smallCaps w:val="0"/>
          <w:sz w:val="18"/>
          <w:szCs w:val="18"/>
        </w:rPr>
        <w:t>. Infografia del webinar: Dia Internacional contra la Corrupció</w:t>
      </w:r>
      <w:bookmarkEnd w:id="23"/>
    </w:p>
    <w:p w14:paraId="68836C04" w14:textId="75B9F1AC" w:rsidR="00A97B27" w:rsidRPr="002D3252" w:rsidRDefault="00FB1FC5" w:rsidP="00B15188">
      <w:pPr>
        <w:spacing w:after="240" w:line="276" w:lineRule="auto"/>
        <w:jc w:val="both"/>
        <w:rPr>
          <w:rFonts w:ascii="Arial" w:eastAsia="Times New Roman" w:hAnsi="Arial" w:cs="Arial"/>
          <w:sz w:val="21"/>
          <w:szCs w:val="21"/>
          <w:lang w:eastAsia="es-ES"/>
        </w:rPr>
      </w:pPr>
      <w:r w:rsidRPr="002D3252">
        <w:rPr>
          <w:rFonts w:ascii="Arial" w:hAnsi="Arial" w:cs="Arial"/>
          <w:sz w:val="21"/>
          <w:szCs w:val="21"/>
        </w:rPr>
        <w:t xml:space="preserve">Poden veure el webinar en el canal de YouTube de l'Agència Valenciana Antifrau en aquest enllaç: </w:t>
      </w:r>
      <w:hyperlink r:id="rId76" w:history="1">
        <w:r w:rsidRPr="002D3252">
          <w:rPr>
            <w:rStyle w:val="Hipervnculo"/>
            <w:rFonts w:ascii="Arial" w:hAnsi="Arial" w:cs="Arial"/>
            <w:sz w:val="21"/>
            <w:szCs w:val="21"/>
          </w:rPr>
          <w:t>https://www.youtube.com/watch?v=EYoCbZYTE4o</w:t>
        </w:r>
      </w:hyperlink>
    </w:p>
    <w:p w14:paraId="3B4BA90C" w14:textId="42DD197D" w:rsidR="00C83ADD" w:rsidRPr="002D3252" w:rsidRDefault="001B45FD" w:rsidP="00C83ADD">
      <w:pPr>
        <w:keepNext/>
        <w:numPr>
          <w:ilvl w:val="2"/>
          <w:numId w:val="27"/>
        </w:numPr>
        <w:spacing w:before="360" w:after="240" w:line="276" w:lineRule="auto"/>
        <w:ind w:left="1134" w:hanging="1134"/>
        <w:jc w:val="both"/>
        <w:outlineLvl w:val="2"/>
        <w:rPr>
          <w:rFonts w:ascii="Arial" w:eastAsia="Times New Roman" w:hAnsi="Arial" w:cs="Arial"/>
          <w:b/>
          <w:color w:val="9D2235"/>
          <w:sz w:val="28"/>
          <w:szCs w:val="28"/>
        </w:rPr>
      </w:pPr>
      <w:bookmarkStart w:id="24" w:name="_Toc95311199"/>
      <w:bookmarkStart w:id="25" w:name="_Toc99110671"/>
      <w:r w:rsidRPr="002D3252">
        <w:rPr>
          <w:rFonts w:ascii="Arial" w:eastAsia="Times New Roman" w:hAnsi="Arial" w:cs="Arial"/>
          <w:b/>
          <w:color w:val="9D2235"/>
          <w:sz w:val="28"/>
          <w:szCs w:val="28"/>
        </w:rPr>
        <w:t>Consell</w:t>
      </w:r>
      <w:r w:rsidR="00C83ADD" w:rsidRPr="002D3252">
        <w:rPr>
          <w:rFonts w:ascii="Arial" w:eastAsia="Times New Roman" w:hAnsi="Arial" w:cs="Arial"/>
          <w:b/>
          <w:color w:val="9D2235"/>
          <w:sz w:val="28"/>
          <w:szCs w:val="28"/>
        </w:rPr>
        <w:t xml:space="preserve"> de Participació de l</w:t>
      </w:r>
      <w:r>
        <w:rPr>
          <w:rFonts w:ascii="Arial" w:eastAsia="Times New Roman" w:hAnsi="Arial" w:cs="Arial"/>
          <w:b/>
          <w:color w:val="9D2235"/>
          <w:sz w:val="28"/>
          <w:szCs w:val="28"/>
        </w:rPr>
        <w:t>’</w:t>
      </w:r>
      <w:r w:rsidR="00C83ADD" w:rsidRPr="002D3252">
        <w:rPr>
          <w:rFonts w:ascii="Arial" w:eastAsia="Times New Roman" w:hAnsi="Arial" w:cs="Arial"/>
          <w:b/>
          <w:color w:val="9D2235"/>
          <w:sz w:val="28"/>
          <w:szCs w:val="28"/>
        </w:rPr>
        <w:t>Agencia Valenciana Antifrau</w:t>
      </w:r>
      <w:bookmarkEnd w:id="24"/>
      <w:bookmarkEnd w:id="25"/>
    </w:p>
    <w:p w14:paraId="60A0FADD" w14:textId="11DA10D2" w:rsidR="00C83ADD" w:rsidRPr="002D3252" w:rsidRDefault="00C83ADD" w:rsidP="00C83AD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Per </w:t>
      </w:r>
      <w:hyperlink r:id="rId77">
        <w:r w:rsidRPr="002D3252">
          <w:rPr>
            <w:rStyle w:val="Hipervnculo"/>
            <w:rFonts w:ascii="Arial" w:eastAsia="Times New Roman" w:hAnsi="Arial" w:cs="Arial"/>
            <w:sz w:val="21"/>
            <w:szCs w:val="21"/>
            <w:lang w:eastAsia="es-ES"/>
          </w:rPr>
          <w:t>Resolució de 12 de febrer de 2019, del director de l’Agència</w:t>
        </w:r>
      </w:hyperlink>
      <w:r w:rsidRPr="002D3252">
        <w:rPr>
          <w:rFonts w:ascii="Arial" w:eastAsia="Times New Roman" w:hAnsi="Arial" w:cs="Arial"/>
          <w:sz w:val="21"/>
          <w:szCs w:val="21"/>
          <w:lang w:eastAsia="es-ES"/>
        </w:rPr>
        <w:t>, publicada en el DOGV núm</w:t>
      </w:r>
      <w:r w:rsidR="000827CD">
        <w:rPr>
          <w:rFonts w:ascii="Arial" w:eastAsia="Times New Roman" w:hAnsi="Arial" w:cs="Arial"/>
          <w:sz w:val="21"/>
          <w:szCs w:val="21"/>
          <w:lang w:eastAsia="es-ES"/>
        </w:rPr>
        <w:t>.</w:t>
      </w:r>
      <w:r w:rsidRPr="002D3252">
        <w:rPr>
          <w:rFonts w:ascii="Arial" w:eastAsia="Times New Roman" w:hAnsi="Arial" w:cs="Arial"/>
          <w:sz w:val="21"/>
          <w:szCs w:val="21"/>
          <w:lang w:eastAsia="es-ES"/>
        </w:rPr>
        <w:t xml:space="preserve"> 346 de 22 de febrer de 2019, es crea el </w:t>
      </w:r>
      <w:hyperlink r:id="rId78">
        <w:r w:rsidRPr="002D3252">
          <w:rPr>
            <w:rStyle w:val="Hipervnculo"/>
            <w:rFonts w:ascii="Arial" w:eastAsia="Times New Roman" w:hAnsi="Arial" w:cs="Arial"/>
            <w:sz w:val="21"/>
            <w:szCs w:val="21"/>
            <w:lang w:eastAsia="es-ES"/>
          </w:rPr>
          <w:t>Consell de Participació de l’Agència de Prevenció i Lluita contra el Frau i la Corrupció de la Comunitat Valenciana</w:t>
        </w:r>
      </w:hyperlink>
      <w:r w:rsidRPr="002D3252">
        <w:rPr>
          <w:rFonts w:ascii="Arial" w:eastAsia="Times New Roman" w:hAnsi="Arial" w:cs="Arial"/>
          <w:sz w:val="21"/>
          <w:szCs w:val="21"/>
          <w:lang w:eastAsia="es-ES"/>
        </w:rPr>
        <w:t>, que es va reunir en sessió constitutiva el 4 d’octubre de 2019 en València.</w:t>
      </w:r>
    </w:p>
    <w:p w14:paraId="1AC4D165" w14:textId="77777777" w:rsidR="00C83ADD" w:rsidRPr="002D3252" w:rsidRDefault="00C83ADD" w:rsidP="00C83AD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Aquest Consell, es configura com a òrgan assessor i de consulta per a la participació de la societat civil i de persones expertes dins de l'àmbit de la prevenció i lluita contra el frau i la corrupció, la transparència en l'activitat pública i la qualitat democràtica, per al millor compliment de les funcions i finalitats d'aquesta Agència. El seu objectiu és impulsar la vinculació de l'Agència amb la societat civil i la ciutadania facilitant la seua comunicació i relació.</w:t>
      </w:r>
    </w:p>
    <w:p w14:paraId="0BA1D2C1" w14:textId="21CC9519" w:rsidR="00C83ADD" w:rsidRPr="002D3252" w:rsidRDefault="00C83ADD" w:rsidP="00C83AD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El Consell de Participació es troba regulat al títol IV (articles 24 a 26), del </w:t>
      </w:r>
      <w:hyperlink r:id="rId79">
        <w:r w:rsidRPr="002D3252">
          <w:rPr>
            <w:rStyle w:val="Hipervnculo"/>
            <w:rFonts w:ascii="Arial" w:eastAsia="Times New Roman" w:hAnsi="Arial" w:cs="Arial"/>
            <w:sz w:val="21"/>
            <w:szCs w:val="21"/>
            <w:lang w:eastAsia="es-ES"/>
          </w:rPr>
          <w:t>Reglament de funcionament i règim interior</w:t>
        </w:r>
      </w:hyperlink>
      <w:r w:rsidRPr="002D3252">
        <w:rPr>
          <w:rFonts w:ascii="Arial" w:eastAsia="Times New Roman" w:hAnsi="Arial" w:cs="Arial"/>
          <w:sz w:val="21"/>
          <w:szCs w:val="21"/>
          <w:lang w:eastAsia="es-ES"/>
        </w:rPr>
        <w:t xml:space="preserve"> de l’Agència, de 27 de juny de 2019.</w:t>
      </w:r>
    </w:p>
    <w:p w14:paraId="5A1EFF64" w14:textId="77777777" w:rsidR="00C83ADD" w:rsidRPr="002D3252" w:rsidRDefault="00C83ADD" w:rsidP="00C83AD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En compliment de l'art. 26.2 del Reglament, el Consell s'ha reunit dues vegades l'any 2021 encara que, donada la situació de crisi sanitària, les reunions es van celebrar de manera virtual. </w:t>
      </w:r>
    </w:p>
    <w:p w14:paraId="723891E4" w14:textId="77777777" w:rsidR="00C83ADD" w:rsidRPr="002D3252" w:rsidRDefault="00C83ADD" w:rsidP="00C83AD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La</w:t>
      </w:r>
      <w:r w:rsidRPr="002D3252">
        <w:rPr>
          <w:rFonts w:ascii="Arial" w:eastAsia="Times New Roman" w:hAnsi="Arial" w:cs="Arial"/>
          <w:b/>
          <w:sz w:val="21"/>
          <w:szCs w:val="21"/>
          <w:lang w:eastAsia="es-ES"/>
        </w:rPr>
        <w:t xml:space="preserve"> IV REUNIÓ DEL CONSELL DE PARTICIPACIÓ</w:t>
      </w:r>
      <w:r w:rsidRPr="002D3252">
        <w:rPr>
          <w:rFonts w:ascii="Arial" w:eastAsia="Times New Roman" w:hAnsi="Arial" w:cs="Arial"/>
          <w:sz w:val="21"/>
          <w:szCs w:val="21"/>
          <w:lang w:eastAsia="es-ES"/>
        </w:rPr>
        <w:t xml:space="preserve"> va tindre lloc en dues sessions, el 28 d'abril i el 5 de maig, comptant amb el següent ordre del dia:</w:t>
      </w:r>
    </w:p>
    <w:p w14:paraId="7F41CD9D" w14:textId="77777777" w:rsidR="00C83ADD" w:rsidRPr="002D3252" w:rsidRDefault="00C83ADD" w:rsidP="00C83ADD">
      <w:pPr>
        <w:numPr>
          <w:ilvl w:val="0"/>
          <w:numId w:val="28"/>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lastRenderedPageBreak/>
        <w:t>Dació de comptes de l'activitat de l’AVAF: Memòria de l'exercici 2020.</w:t>
      </w:r>
    </w:p>
    <w:p w14:paraId="1A79EE8F" w14:textId="77777777" w:rsidR="00C83ADD" w:rsidRPr="002D3252" w:rsidRDefault="00C83ADD" w:rsidP="00C83ADD">
      <w:pPr>
        <w:numPr>
          <w:ilvl w:val="0"/>
          <w:numId w:val="28"/>
        </w:num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Informació i debat sobre la situació de conflicte per la reclamació d'expedients d'investigació en curs per part dels grups parlamentaris del PP i del PSPV-PSOE. Presentació de l'informe jurídic emès per l’AVAF.</w:t>
      </w:r>
    </w:p>
    <w:p w14:paraId="52C1946D" w14:textId="77777777" w:rsidR="00C83ADD" w:rsidRPr="002D3252" w:rsidRDefault="00C83ADD" w:rsidP="00C83AD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Arran d'aquesta reunió, i en relació amb el punt 2 de l'ordre del dia, el Consell de Participació va realitzar un Pronunciament que va difondre als mitjans de comunicació i va fer arribar a les Corts Valencianes:</w:t>
      </w:r>
    </w:p>
    <w:p w14:paraId="67680771" w14:textId="1A7ABF3B" w:rsidR="00C83ADD" w:rsidRPr="002D3252" w:rsidRDefault="00254AEC" w:rsidP="00C83ADD">
      <w:pPr>
        <w:spacing w:after="240" w:line="276" w:lineRule="auto"/>
        <w:jc w:val="both"/>
        <w:rPr>
          <w:rFonts w:ascii="Arial" w:eastAsia="Times New Roman" w:hAnsi="Arial" w:cs="Arial"/>
          <w:sz w:val="21"/>
          <w:szCs w:val="21"/>
          <w:lang w:eastAsia="es-ES"/>
        </w:rPr>
      </w:pPr>
      <w:hyperlink r:id="rId80" w:history="1">
        <w:r w:rsidR="00C83ADD" w:rsidRPr="002D3252">
          <w:rPr>
            <w:rStyle w:val="Hipervnculo"/>
            <w:rFonts w:ascii="Arial" w:eastAsia="Times New Roman" w:hAnsi="Arial" w:cs="Arial"/>
            <w:sz w:val="21"/>
            <w:szCs w:val="21"/>
            <w:lang w:eastAsia="es-ES"/>
          </w:rPr>
          <w:t>http://www.antifraucv.es/wp-content/uploads/2021/04/Pronunciamiento_CdP.pdf</w:t>
        </w:r>
      </w:hyperlink>
    </w:p>
    <w:p w14:paraId="1A5A0681" w14:textId="1CF25ED5" w:rsidR="00A97B27" w:rsidRPr="002D3252" w:rsidRDefault="00C83ADD" w:rsidP="00C83AD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També es va constituir un GRUP DE TREBALL amb l'objectiu d'explorar una estratègia conjunta de suport al treball realitzat per l’AVAF, així com de trobar la manera de traslladar a la societat la important labor que realitza l'Agència. Aquest grup, encapçalat per la vicepresidenta del Consell de Participació, ha mantingut diverses reunions i realitzat gestions al llarg del 2021.</w:t>
      </w:r>
    </w:p>
    <w:p w14:paraId="32F9C010" w14:textId="77777777" w:rsidR="00C83ADD" w:rsidRPr="002D3252" w:rsidRDefault="00C83ADD" w:rsidP="00C83ADD">
      <w:pPr>
        <w:keepNext/>
        <w:spacing w:after="240" w:line="276" w:lineRule="auto"/>
        <w:jc w:val="center"/>
      </w:pPr>
      <w:r w:rsidRPr="002D3252">
        <w:rPr>
          <w:rFonts w:ascii="Arial" w:eastAsia="Times New Roman" w:hAnsi="Arial" w:cs="Arial"/>
          <w:noProof/>
          <w:sz w:val="21"/>
          <w:szCs w:val="21"/>
          <w:lang w:eastAsia="es-ES"/>
        </w:rPr>
        <w:drawing>
          <wp:inline distT="0" distB="0" distL="0" distR="0" wp14:anchorId="1B75B35D" wp14:editId="5993D640">
            <wp:extent cx="5401310" cy="2700655"/>
            <wp:effectExtent l="0" t="0" r="889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1310" cy="2700655"/>
                    </a:xfrm>
                    <a:prstGeom prst="rect">
                      <a:avLst/>
                    </a:prstGeom>
                    <a:noFill/>
                  </pic:spPr>
                </pic:pic>
              </a:graphicData>
            </a:graphic>
          </wp:inline>
        </w:drawing>
      </w:r>
    </w:p>
    <w:p w14:paraId="2DE0D44F" w14:textId="214C6D88" w:rsidR="00B15188" w:rsidRPr="002D3252" w:rsidRDefault="00C83ADD" w:rsidP="00C83ADD">
      <w:pPr>
        <w:pStyle w:val="Descripcin"/>
        <w:jc w:val="center"/>
        <w:rPr>
          <w:rFonts w:ascii="Arial" w:eastAsia="Times New Roman" w:hAnsi="Arial" w:cs="Arial"/>
          <w:smallCaps w:val="0"/>
          <w:sz w:val="18"/>
          <w:szCs w:val="18"/>
          <w:lang w:eastAsia="es-ES"/>
        </w:rPr>
      </w:pPr>
      <w:bookmarkStart w:id="26" w:name="_Toc99110890"/>
      <w:r w:rsidRPr="002D3252">
        <w:rPr>
          <w:rFonts w:ascii="Arial" w:hAnsi="Arial" w:cs="Arial"/>
          <w:smallCaps w:val="0"/>
          <w:color w:val="9D2235" w:themeColor="accent1"/>
          <w:sz w:val="18"/>
          <w:szCs w:val="18"/>
        </w:rPr>
        <w:t xml:space="preserve">Imatge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Imatge \* ARABIC </w:instrText>
      </w:r>
      <w:r w:rsidRPr="002D3252">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1</w:t>
      </w:r>
      <w:r w:rsidRPr="002D3252">
        <w:rPr>
          <w:rFonts w:ascii="Arial" w:hAnsi="Arial" w:cs="Arial"/>
          <w:smallCaps w:val="0"/>
          <w:color w:val="9D2235" w:themeColor="accent1"/>
          <w:sz w:val="18"/>
          <w:szCs w:val="18"/>
        </w:rPr>
        <w:fldChar w:fldCharType="end"/>
      </w:r>
      <w:r w:rsidRPr="002D3252">
        <w:rPr>
          <w:rFonts w:ascii="Arial" w:hAnsi="Arial" w:cs="Arial"/>
          <w:smallCaps w:val="0"/>
          <w:color w:val="9D2235" w:themeColor="accent1"/>
          <w:sz w:val="18"/>
          <w:szCs w:val="18"/>
        </w:rPr>
        <w:t xml:space="preserve">. </w:t>
      </w:r>
      <w:r w:rsidRPr="002D3252">
        <w:rPr>
          <w:rFonts w:ascii="Arial" w:hAnsi="Arial" w:cs="Arial"/>
          <w:smallCaps w:val="0"/>
          <w:sz w:val="18"/>
          <w:szCs w:val="18"/>
        </w:rPr>
        <w:t>IV Reunió del Consell de Participació</w:t>
      </w:r>
      <w:bookmarkEnd w:id="26"/>
    </w:p>
    <w:p w14:paraId="2EA74078" w14:textId="77777777" w:rsidR="00C603BD" w:rsidRPr="002D3252" w:rsidRDefault="00C603BD" w:rsidP="00C603BD">
      <w:pPr>
        <w:spacing w:after="20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Nota de premsa: </w:t>
      </w:r>
      <w:hyperlink r:id="rId82" w:history="1">
        <w:r w:rsidRPr="002D3252">
          <w:rPr>
            <w:rFonts w:ascii="Arial" w:hAnsi="Arial" w:cs="Arial"/>
            <w:color w:val="000080"/>
            <w:sz w:val="21"/>
            <w:szCs w:val="21"/>
            <w:u w:val="single"/>
          </w:rPr>
          <w:t>https://www.antifraucv.es/va/quarta-reunio-del-consell-de-participacio-de-lagencia-valenciana-antifrau/</w:t>
        </w:r>
      </w:hyperlink>
    </w:p>
    <w:p w14:paraId="616108FE" w14:textId="77777777" w:rsidR="00C603BD" w:rsidRPr="002D3252" w:rsidRDefault="00C603BD" w:rsidP="00C603BD">
      <w:pPr>
        <w:spacing w:after="20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La</w:t>
      </w:r>
      <w:r w:rsidRPr="002D3252">
        <w:rPr>
          <w:rFonts w:ascii="Arial" w:eastAsia="Times New Roman" w:hAnsi="Arial" w:cs="Arial"/>
          <w:b/>
          <w:sz w:val="21"/>
          <w:szCs w:val="21"/>
          <w:lang w:eastAsia="es-ES"/>
        </w:rPr>
        <w:t xml:space="preserve"> V REUNIÓ DEL CONSELL DE PARTICIPACIÓ </w:t>
      </w:r>
      <w:r w:rsidRPr="002D3252">
        <w:rPr>
          <w:rFonts w:ascii="Arial" w:eastAsia="Times New Roman" w:hAnsi="Arial" w:cs="Arial"/>
          <w:sz w:val="21"/>
          <w:szCs w:val="21"/>
          <w:lang w:eastAsia="es-ES"/>
        </w:rPr>
        <w:t>se celebrà el dimecres 17 de novembre, també de manera virtual.</w:t>
      </w:r>
    </w:p>
    <w:p w14:paraId="62A2EA76" w14:textId="77777777" w:rsidR="00C603BD" w:rsidRPr="002D3252" w:rsidRDefault="00C603BD" w:rsidP="00C603BD">
      <w:pPr>
        <w:spacing w:after="12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L’ordre del dia fou el següent:</w:t>
      </w:r>
    </w:p>
    <w:p w14:paraId="1F09AA2E" w14:textId="3926F01F" w:rsidR="00C603BD" w:rsidRPr="002D3252" w:rsidRDefault="00C603BD" w:rsidP="00C603BD">
      <w:pPr>
        <w:numPr>
          <w:ilvl w:val="0"/>
          <w:numId w:val="29"/>
        </w:numPr>
        <w:spacing w:after="80" w:line="276" w:lineRule="auto"/>
        <w:ind w:left="714" w:hanging="357"/>
        <w:jc w:val="both"/>
        <w:rPr>
          <w:rFonts w:ascii="Arial" w:hAnsi="Arial" w:cs="Arial"/>
          <w:sz w:val="21"/>
          <w:szCs w:val="21"/>
        </w:rPr>
      </w:pPr>
      <w:r w:rsidRPr="002D3252">
        <w:rPr>
          <w:rFonts w:ascii="Arial" w:hAnsi="Arial" w:cs="Arial"/>
          <w:sz w:val="21"/>
          <w:szCs w:val="21"/>
        </w:rPr>
        <w:t>Dació de comptes de l’àrea d’Anàlisi i Investigació.</w:t>
      </w:r>
    </w:p>
    <w:p w14:paraId="50D25D1C" w14:textId="77777777" w:rsidR="00C603BD" w:rsidRPr="002D3252" w:rsidRDefault="00C603BD" w:rsidP="00C603BD">
      <w:pPr>
        <w:numPr>
          <w:ilvl w:val="0"/>
          <w:numId w:val="29"/>
        </w:numPr>
        <w:spacing w:after="80" w:line="276" w:lineRule="auto"/>
        <w:ind w:left="714" w:hanging="357"/>
        <w:jc w:val="both"/>
        <w:rPr>
          <w:rFonts w:ascii="Arial" w:hAnsi="Arial" w:cs="Arial"/>
          <w:sz w:val="21"/>
          <w:szCs w:val="21"/>
        </w:rPr>
      </w:pPr>
      <w:r w:rsidRPr="002D3252">
        <w:rPr>
          <w:rFonts w:ascii="Arial" w:hAnsi="Arial" w:cs="Arial"/>
          <w:sz w:val="21"/>
          <w:szCs w:val="21"/>
        </w:rPr>
        <w:t>Obligatorietat de les administracions de realitzar Plans de Prevenció de Frau i Corrupció segons l'Ordre HFP 1030/2021.</w:t>
      </w:r>
    </w:p>
    <w:p w14:paraId="314AD011" w14:textId="77777777" w:rsidR="00C603BD" w:rsidRPr="002D3252" w:rsidRDefault="00C603BD" w:rsidP="00C603BD">
      <w:pPr>
        <w:numPr>
          <w:ilvl w:val="0"/>
          <w:numId w:val="29"/>
        </w:numPr>
        <w:spacing w:after="80" w:line="276" w:lineRule="auto"/>
        <w:ind w:left="714" w:hanging="357"/>
        <w:jc w:val="both"/>
        <w:rPr>
          <w:rFonts w:ascii="Arial" w:hAnsi="Arial" w:cs="Arial"/>
          <w:sz w:val="21"/>
          <w:szCs w:val="21"/>
        </w:rPr>
      </w:pPr>
      <w:r w:rsidRPr="002D3252">
        <w:rPr>
          <w:rFonts w:ascii="Arial" w:hAnsi="Arial" w:cs="Arial"/>
          <w:sz w:val="21"/>
          <w:szCs w:val="21"/>
        </w:rPr>
        <w:t>Estat de la transposició de la Directiva 2019/1937, Whistleblowers.</w:t>
      </w:r>
    </w:p>
    <w:p w14:paraId="1E1CEE4D" w14:textId="77777777" w:rsidR="00C603BD" w:rsidRPr="002D3252" w:rsidRDefault="00C603BD" w:rsidP="00C603BD">
      <w:pPr>
        <w:numPr>
          <w:ilvl w:val="0"/>
          <w:numId w:val="29"/>
        </w:numPr>
        <w:spacing w:after="80" w:line="276" w:lineRule="auto"/>
        <w:ind w:left="714" w:hanging="357"/>
        <w:jc w:val="both"/>
        <w:rPr>
          <w:rFonts w:ascii="Arial" w:hAnsi="Arial" w:cs="Arial"/>
          <w:sz w:val="21"/>
          <w:szCs w:val="21"/>
        </w:rPr>
      </w:pPr>
      <w:r w:rsidRPr="002D3252">
        <w:rPr>
          <w:rFonts w:ascii="Arial" w:hAnsi="Arial" w:cs="Arial"/>
          <w:sz w:val="21"/>
          <w:szCs w:val="21"/>
        </w:rPr>
        <w:lastRenderedPageBreak/>
        <w:t>Presentació de les línies generals del Pla de Formació de l’AVAF i de la proposta de docufòrums i altres activitats formatives per a associacions, entitats o membres del Consell de Participació.</w:t>
      </w:r>
    </w:p>
    <w:p w14:paraId="56EEB672" w14:textId="77777777" w:rsidR="00C603BD" w:rsidRPr="002D3252" w:rsidRDefault="00C603BD" w:rsidP="00C603BD">
      <w:pPr>
        <w:numPr>
          <w:ilvl w:val="0"/>
          <w:numId w:val="29"/>
        </w:numPr>
        <w:spacing w:after="0" w:line="276" w:lineRule="auto"/>
        <w:ind w:left="714" w:hanging="357"/>
        <w:rPr>
          <w:rFonts w:ascii="Arial" w:hAnsi="Arial" w:cs="Arial"/>
          <w:sz w:val="21"/>
          <w:szCs w:val="21"/>
        </w:rPr>
      </w:pPr>
      <w:r w:rsidRPr="002D3252">
        <w:rPr>
          <w:rFonts w:ascii="Arial" w:hAnsi="Arial" w:cs="Arial"/>
          <w:sz w:val="21"/>
          <w:szCs w:val="21"/>
        </w:rPr>
        <w:t>Activitats entorn del 5é aniversari de la Llei 11/2016, de creació de l’AVAF.</w:t>
      </w:r>
    </w:p>
    <w:p w14:paraId="48194846" w14:textId="54AB6FE2" w:rsidR="00B15188" w:rsidRPr="002D3252" w:rsidRDefault="00C603BD" w:rsidP="00C603BD">
      <w:pPr>
        <w:spacing w:after="240" w:line="276" w:lineRule="auto"/>
        <w:ind w:left="709"/>
        <w:rPr>
          <w:rFonts w:ascii="Arial" w:eastAsia="Times New Roman" w:hAnsi="Arial" w:cs="Arial"/>
          <w:sz w:val="21"/>
          <w:szCs w:val="21"/>
          <w:lang w:eastAsia="es-ES"/>
        </w:rPr>
      </w:pPr>
      <w:r w:rsidRPr="002D3252">
        <w:rPr>
          <w:rFonts w:ascii="Arial" w:hAnsi="Arial" w:cs="Arial"/>
          <w:sz w:val="21"/>
          <w:szCs w:val="21"/>
        </w:rPr>
        <w:t>Dació del Grup de Treball 3 - Suport AVAF.</w:t>
      </w:r>
    </w:p>
    <w:p w14:paraId="03EBF531" w14:textId="65214251" w:rsidR="00C603BD" w:rsidRPr="002D3252" w:rsidRDefault="00C603BD" w:rsidP="006419AC">
      <w:pPr>
        <w:pStyle w:val="Prrafodelista"/>
        <w:keepNext/>
        <w:numPr>
          <w:ilvl w:val="1"/>
          <w:numId w:val="27"/>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27" w:name="_Toc95311200"/>
      <w:bookmarkStart w:id="28" w:name="_Toc99110672"/>
      <w:r w:rsidRPr="002D3252">
        <w:rPr>
          <w:rFonts w:ascii="Arial" w:eastAsia="Times New Roman" w:hAnsi="Arial" w:cs="Arial"/>
          <w:b/>
          <w:color w:val="9D2235"/>
          <w:sz w:val="32"/>
          <w:szCs w:val="32"/>
        </w:rPr>
        <w:t>Xarxa Estatal d’Oficines i Agències Antifrau</w:t>
      </w:r>
      <w:bookmarkEnd w:id="27"/>
      <w:bookmarkEnd w:id="28"/>
    </w:p>
    <w:p w14:paraId="0E2A18B8" w14:textId="0989F61B"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En 2018 es creà un sistema de coordinació entre les oficines i agències de l’Estat, denominat Xarxa Estatal d’Oficines i Agències Antifrau. Els membres adherits són: Oficina Antifrau de Catalunya, </w:t>
      </w:r>
      <w:r w:rsidRPr="002D3252">
        <w:rPr>
          <w:rFonts w:ascii="Arial" w:eastAsia="Times New Roman" w:hAnsi="Arial" w:cs="Arial"/>
          <w:i/>
          <w:sz w:val="21"/>
          <w:szCs w:val="21"/>
          <w:lang w:eastAsia="es-ES"/>
        </w:rPr>
        <w:t>Consello de Contas</w:t>
      </w:r>
      <w:r w:rsidRPr="002D3252">
        <w:rPr>
          <w:rFonts w:ascii="Arial" w:eastAsia="Times New Roman" w:hAnsi="Arial" w:cs="Arial"/>
          <w:sz w:val="21"/>
          <w:szCs w:val="21"/>
          <w:lang w:eastAsia="es-ES"/>
        </w:rPr>
        <w:t xml:space="preserve"> de Galícia; Servei Nacional de Coordinació Antifrau (SNCA), Agència de Transparència de l’Àrea Metropolitana de Barcelona (AMB), Direcció de Serveis d’Anàlisi, Òrgan gestor de la Bústia Ètica i del Bon Govern de l’Ajuntament de Barcelona, Agència de Prevenció i Lluita contra el Frau i la Corrupció de la Comunitat Valenciana, Oficina de Prevenció i Lluita contra la Corrupció de les Illes Balears, Oficina Municipal contra el Frau i la Corrupció de l’Ajuntament de Madrid, Audiència de Comptes de Canàries, Oficina </w:t>
      </w:r>
      <w:r w:rsidR="001B45FD" w:rsidRPr="002D3252">
        <w:rPr>
          <w:rFonts w:ascii="Arial" w:eastAsia="Times New Roman" w:hAnsi="Arial" w:cs="Arial"/>
          <w:sz w:val="21"/>
          <w:szCs w:val="21"/>
          <w:lang w:eastAsia="es-ES"/>
        </w:rPr>
        <w:t>Independent</w:t>
      </w:r>
      <w:r w:rsidRPr="002D3252">
        <w:rPr>
          <w:rFonts w:ascii="Arial" w:eastAsia="Times New Roman" w:hAnsi="Arial" w:cs="Arial"/>
          <w:sz w:val="21"/>
          <w:szCs w:val="21"/>
          <w:lang w:eastAsia="es-ES"/>
        </w:rPr>
        <w:t xml:space="preserve"> de Regulació i Supervisió de la Contractació (OIReScon), i la recent creada Oficina Andalusa contra el Frau i la Corrupció.</w:t>
      </w:r>
    </w:p>
    <w:p w14:paraId="0002FC00" w14:textId="77777777"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Els objectius de la Xarxa giren al voltant de les qüestions relatives a la formació del personal i la capacitació d'aquest, la col·laboració en activitats formatives en matèria d'integritat i ètica pública, la posada en comú de coneixements i experiències pràctiques en matèria de prevenció i lluita contra el frau i la corrupció, el foment de la integritat institucional i la transparència, i també les que tenen com a finalitat que la ciutadania puga comunicar, de manera confidencial i segura, conductes de les administracions públiques contràries als principis o a les regles ètiques i de bon govern i administració, determinats en l'ordenament jurídic vigent.</w:t>
      </w:r>
    </w:p>
    <w:p w14:paraId="0D8A4579" w14:textId="77777777"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També cal destacar la col·laboració per a dur a terme estudis en matèria de prevenció de la corrupció, el foment de la integritat institucional, la transparència i l'anàlisi de riscos.</w:t>
      </w:r>
    </w:p>
    <w:p w14:paraId="0C97F2A7" w14:textId="1238EBCE"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Enguany el treball s'ha centrat, majoritàriament, en el seguiment dels treballs per a la transposició de la Directiva (EU) 2019/1937, del Parlament Europeu i del Consell de 23 d'octubre de 2019, de protecció de les persones que informen sobre infraccions del Dret de la Unió, més coneguda com a Directiva Whistleblower, el termini de la qual va acabar el 17 de desembre de 2021.</w:t>
      </w:r>
    </w:p>
    <w:p w14:paraId="3C449ABE" w14:textId="6753BAFA"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Nota de premsa: </w:t>
      </w:r>
      <w:hyperlink r:id="rId83" w:history="1">
        <w:r w:rsidRPr="002D3252">
          <w:rPr>
            <w:rStyle w:val="Hipervnculo"/>
            <w:rFonts w:ascii="Arial" w:eastAsia="Times New Roman" w:hAnsi="Arial" w:cs="Arial"/>
            <w:sz w:val="21"/>
            <w:szCs w:val="21"/>
            <w:lang w:eastAsia="es-ES"/>
          </w:rPr>
          <w:t>https://www.antifraucv.es/va/finalitza-el-termini-de-transposicio-de-la-directiva-europea-whistleblower-sense-que-el-govern-despanya-haja-fet-els-treballs-de-transposicio/</w:t>
        </w:r>
      </w:hyperlink>
    </w:p>
    <w:p w14:paraId="2EF13158" w14:textId="77777777" w:rsidR="00C603BD" w:rsidRPr="002D3252" w:rsidRDefault="00C603BD" w:rsidP="00C603BD">
      <w:pPr>
        <w:spacing w:after="12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Les reunions de la Xarxa durant 2021 han sigut:</w:t>
      </w:r>
    </w:p>
    <w:p w14:paraId="75FED5AE" w14:textId="77777777" w:rsidR="00C603BD" w:rsidRPr="002D3252" w:rsidRDefault="00C603BD" w:rsidP="00C603BD">
      <w:pPr>
        <w:numPr>
          <w:ilvl w:val="0"/>
          <w:numId w:val="30"/>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VII Trobada de la Xarxa Estatal d'Oficines i Agències Antifrau</w:t>
      </w:r>
    </w:p>
    <w:p w14:paraId="4C5876CF" w14:textId="77777777" w:rsidR="00C603BD" w:rsidRPr="002D3252" w:rsidRDefault="00C603BD" w:rsidP="00C603BD">
      <w:pPr>
        <w:numPr>
          <w:ilvl w:val="0"/>
          <w:numId w:val="30"/>
        </w:num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Reunió virtual, dilluns, 28 de juny de 2021 </w:t>
      </w:r>
    </w:p>
    <w:p w14:paraId="78D2D41D" w14:textId="77777777"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Organitzada a través de videoconferència pel Servei Nacional de Coordinació Antifrau, aquesta 7</w:t>
      </w:r>
      <w:r w:rsidRPr="002D3252">
        <w:rPr>
          <w:rFonts w:ascii="Arial" w:eastAsia="Times New Roman" w:hAnsi="Arial" w:cs="Arial"/>
          <w:sz w:val="21"/>
          <w:szCs w:val="21"/>
          <w:vertAlign w:val="superscript"/>
          <w:lang w:eastAsia="es-ES"/>
        </w:rPr>
        <w:t>a</w:t>
      </w:r>
      <w:r w:rsidRPr="002D3252">
        <w:rPr>
          <w:rFonts w:ascii="Arial" w:eastAsia="Times New Roman" w:hAnsi="Arial" w:cs="Arial"/>
          <w:sz w:val="21"/>
          <w:szCs w:val="21"/>
          <w:lang w:eastAsia="es-ES"/>
        </w:rPr>
        <w:t xml:space="preserve"> trobada va comptar amb la ponència de la Sra. Concepción Sabadell Carnisser, </w:t>
      </w:r>
      <w:r w:rsidRPr="002D3252">
        <w:rPr>
          <w:rFonts w:ascii="Arial" w:eastAsia="Times New Roman" w:hAnsi="Arial" w:cs="Arial"/>
          <w:sz w:val="21"/>
          <w:szCs w:val="21"/>
          <w:lang w:eastAsia="es-ES"/>
        </w:rPr>
        <w:lastRenderedPageBreak/>
        <w:t>fiscal europea espanyola, que va parlar sobre la regulació, àmbit de competències, organització, entrada en funcionament i altres aspectes rellevants de la Fiscalia Europea.</w:t>
      </w:r>
    </w:p>
    <w:p w14:paraId="4B205279" w14:textId="77777777"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La trobada va continuar amb una altra ponència, impartida per la Sra. Amada de Juan Quirós, vocal de la Divisió de Supervisió de la Contractació i Relacions Institucionals de l'Oficina Independent de Regulació i Supervisió de la Contractació (OIReScon), qui va presentar la Guia Bàsica Pla de Recuperació, Transformació i Resiliència d'1 de juny de 2021.</w:t>
      </w:r>
    </w:p>
    <w:p w14:paraId="3208C233" w14:textId="77777777"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La reunió va seguir amb un debat sobre l'estat de tramitació de la Directiva 2019/1937 i una ponència de la Sra. Mercedes Rodríguez Tarrida, subdirectora general del Servei Nacional de Coordinació Antifrau (SNCA), que va presentar les actuacions de l'entitat que representa en el context del Mecanisme per a la Recuperació i Resiliència (MRR) i del Pla Nacional.</w:t>
      </w:r>
    </w:p>
    <w:p w14:paraId="150EFAFE" w14:textId="77777777" w:rsidR="00C603BD" w:rsidRPr="002D3252" w:rsidRDefault="00C603BD" w:rsidP="00FD3D3A">
      <w:pPr>
        <w:spacing w:after="80" w:line="276" w:lineRule="auto"/>
        <w:contextualSpacing/>
        <w:jc w:val="both"/>
        <w:rPr>
          <w:rFonts w:ascii="Arial" w:eastAsia="Times New Roman" w:hAnsi="Arial" w:cs="Arial"/>
          <w:i/>
          <w:iCs/>
          <w:color w:val="9D2235" w:themeColor="accent1"/>
          <w:sz w:val="21"/>
          <w:szCs w:val="21"/>
          <w:lang w:eastAsia="es-ES"/>
        </w:rPr>
      </w:pPr>
      <w:r w:rsidRPr="002D3252">
        <w:rPr>
          <w:rFonts w:ascii="Arial" w:eastAsia="Times New Roman" w:hAnsi="Arial" w:cs="Arial"/>
          <w:i/>
          <w:iCs/>
          <w:color w:val="9D2235" w:themeColor="accent1"/>
          <w:sz w:val="21"/>
          <w:szCs w:val="21"/>
          <w:lang w:eastAsia="es-ES"/>
        </w:rPr>
        <w:t>VIII Trobada de la Xarxa Estatal d'Oficines i Agències Antifrau:</w:t>
      </w:r>
    </w:p>
    <w:p w14:paraId="7ABF9B4A" w14:textId="77777777" w:rsidR="00C603BD" w:rsidRPr="002D3252" w:rsidRDefault="00C603BD"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color w:val="9D2235" w:themeColor="accent1"/>
          <w:sz w:val="21"/>
          <w:szCs w:val="21"/>
          <w:lang w:eastAsia="es-ES"/>
        </w:rPr>
        <w:t>Alacant, dimarts 28 i dimecres 29 de setembre de 2021</w:t>
      </w:r>
    </w:p>
    <w:p w14:paraId="23B56EDB" w14:textId="77777777" w:rsidR="00C603BD"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Organitzada per l’AVAF, aquesta segona reunió de 2021 va poder organitzar-se de manera presencial, aprofitant la celebració del Consell Internacional de Transparència </w:t>
      </w:r>
      <w:hyperlink r:id="rId84" w:history="1">
        <w:r w:rsidRPr="002D3252">
          <w:rPr>
            <w:rStyle w:val="Hipervnculo"/>
            <w:rFonts w:ascii="Arial" w:eastAsia="Times New Roman" w:hAnsi="Arial" w:cs="Arial"/>
            <w:sz w:val="21"/>
            <w:szCs w:val="21"/>
            <w:lang w:eastAsia="es-ES"/>
          </w:rPr>
          <w:t>https://congresotransparencia.com/programa-alicante/</w:t>
        </w:r>
      </w:hyperlink>
      <w:r w:rsidRPr="002D3252">
        <w:rPr>
          <w:rFonts w:ascii="Arial" w:eastAsia="Times New Roman" w:hAnsi="Arial" w:cs="Arial"/>
          <w:sz w:val="21"/>
          <w:szCs w:val="21"/>
          <w:lang w:eastAsia="es-ES"/>
        </w:rPr>
        <w:t>, en la ciutat d’Alacant, les dies 28 i 29 de setembre.</w:t>
      </w:r>
    </w:p>
    <w:p w14:paraId="691B391D" w14:textId="026A7C89" w:rsidR="00B15188" w:rsidRPr="002D3252" w:rsidRDefault="00C603BD" w:rsidP="00C603BD">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 aquesta reunió, va assistir per primera vegada el director de la recentment creada Agència Andalusa contra el Frau i la Corrupció, Sr. Ricardo Puyol Sánchez.</w:t>
      </w:r>
    </w:p>
    <w:p w14:paraId="202B38DB" w14:textId="77777777" w:rsidR="00174F4C" w:rsidRPr="002D3252" w:rsidRDefault="00174F4C" w:rsidP="00174F4C">
      <w:pPr>
        <w:keepNext/>
        <w:spacing w:after="240" w:line="276" w:lineRule="auto"/>
        <w:jc w:val="center"/>
      </w:pPr>
      <w:r w:rsidRPr="002D3252">
        <w:rPr>
          <w:rFonts w:ascii="Arial" w:eastAsia="Times New Roman" w:hAnsi="Arial" w:cs="Arial"/>
          <w:noProof/>
          <w:sz w:val="21"/>
          <w:szCs w:val="21"/>
          <w:lang w:eastAsia="es-ES"/>
        </w:rPr>
        <w:drawing>
          <wp:inline distT="0" distB="0" distL="0" distR="0" wp14:anchorId="2E6A6F0C" wp14:editId="2942F1A6">
            <wp:extent cx="4133215" cy="3103245"/>
            <wp:effectExtent l="0" t="0" r="635"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33215" cy="3103245"/>
                    </a:xfrm>
                    <a:prstGeom prst="rect">
                      <a:avLst/>
                    </a:prstGeom>
                    <a:noFill/>
                  </pic:spPr>
                </pic:pic>
              </a:graphicData>
            </a:graphic>
          </wp:inline>
        </w:drawing>
      </w:r>
    </w:p>
    <w:p w14:paraId="2737BD26" w14:textId="096DCF15" w:rsidR="00B15188" w:rsidRPr="002D3252" w:rsidRDefault="00174F4C" w:rsidP="00174F4C">
      <w:pPr>
        <w:pStyle w:val="Descripcin"/>
        <w:jc w:val="center"/>
        <w:rPr>
          <w:rFonts w:ascii="Arial" w:eastAsia="Times New Roman" w:hAnsi="Arial" w:cs="Arial"/>
          <w:smallCaps w:val="0"/>
          <w:sz w:val="18"/>
          <w:szCs w:val="18"/>
          <w:lang w:eastAsia="es-ES"/>
        </w:rPr>
      </w:pPr>
      <w:bookmarkStart w:id="29" w:name="_Toc99110891"/>
      <w:r w:rsidRPr="002D3252">
        <w:rPr>
          <w:rFonts w:ascii="Arial" w:hAnsi="Arial" w:cs="Arial"/>
          <w:smallCaps w:val="0"/>
          <w:color w:val="9D2235" w:themeColor="accent1"/>
          <w:sz w:val="18"/>
          <w:szCs w:val="18"/>
        </w:rPr>
        <w:t xml:space="preserve">Imatge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Imatge \* ARABIC </w:instrText>
      </w:r>
      <w:r w:rsidRPr="002D3252">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2</w:t>
      </w:r>
      <w:r w:rsidRPr="002D3252">
        <w:rPr>
          <w:rFonts w:ascii="Arial" w:hAnsi="Arial" w:cs="Arial"/>
          <w:smallCaps w:val="0"/>
          <w:color w:val="9D2235" w:themeColor="accent1"/>
          <w:sz w:val="18"/>
          <w:szCs w:val="18"/>
        </w:rPr>
        <w:fldChar w:fldCharType="end"/>
      </w:r>
      <w:r w:rsidRPr="002D3252">
        <w:rPr>
          <w:rFonts w:ascii="Arial" w:hAnsi="Arial" w:cs="Arial"/>
          <w:smallCaps w:val="0"/>
          <w:sz w:val="18"/>
          <w:szCs w:val="18"/>
        </w:rPr>
        <w:t>. VII Trobada de la Xarxa Estatal d'Oficines i Agències Antifrau</w:t>
      </w:r>
      <w:bookmarkEnd w:id="29"/>
    </w:p>
    <w:p w14:paraId="1819073D" w14:textId="77777777" w:rsidR="00FD3D3A" w:rsidRPr="002D3252" w:rsidRDefault="00FD3D3A" w:rsidP="00FD3D3A">
      <w:pPr>
        <w:spacing w:after="240" w:line="276" w:lineRule="auto"/>
        <w:jc w:val="both"/>
        <w:rPr>
          <w:rFonts w:ascii="Arial" w:eastAsia="Times New Roman" w:hAnsi="Arial" w:cs="Arial"/>
          <w:sz w:val="21"/>
          <w:szCs w:val="21"/>
          <w:lang w:eastAsia="es-ES"/>
        </w:rPr>
      </w:pPr>
    </w:p>
    <w:p w14:paraId="4F73B184" w14:textId="77777777" w:rsidR="00FD3D3A" w:rsidRPr="002D3252" w:rsidRDefault="00FD3D3A" w:rsidP="00FD3D3A">
      <w:pPr>
        <w:spacing w:after="240" w:line="276" w:lineRule="auto"/>
        <w:jc w:val="both"/>
        <w:rPr>
          <w:rFonts w:ascii="Arial" w:eastAsia="Times New Roman" w:hAnsi="Arial" w:cs="Arial"/>
          <w:sz w:val="21"/>
          <w:szCs w:val="21"/>
          <w:lang w:eastAsia="es-ES"/>
        </w:rPr>
      </w:pPr>
    </w:p>
    <w:p w14:paraId="35A52A22" w14:textId="133766E9" w:rsidR="00FD3D3A" w:rsidRPr="002D3252" w:rsidRDefault="00FD3D3A" w:rsidP="00FD3D3A">
      <w:pPr>
        <w:spacing w:after="12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lastRenderedPageBreak/>
        <w:t>Els punts tractats durant aquesta trobada van ser els següents:</w:t>
      </w:r>
    </w:p>
    <w:p w14:paraId="1C4E2283" w14:textId="77777777" w:rsidR="00FD3D3A" w:rsidRPr="002D3252" w:rsidRDefault="00FD3D3A" w:rsidP="00FD3D3A">
      <w:pPr>
        <w:numPr>
          <w:ilvl w:val="0"/>
          <w:numId w:val="32"/>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Acord d'institucionalització de la Xarxa d'Oficines i Agències Antifrau de l'Estat espanyol.</w:t>
      </w:r>
    </w:p>
    <w:p w14:paraId="7C8EABFD" w14:textId="77777777" w:rsidR="00FD3D3A" w:rsidRPr="002D3252" w:rsidRDefault="00FD3D3A" w:rsidP="00FD3D3A">
      <w:pPr>
        <w:numPr>
          <w:ilvl w:val="0"/>
          <w:numId w:val="32"/>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Informe sobre el GRECO, Grup d’Estats Contra la Corrupció (exposició a càrrec de Rafael Vaillo, delegat d’Espanya en el GRECO).</w:t>
      </w:r>
    </w:p>
    <w:p w14:paraId="08691627" w14:textId="77777777" w:rsidR="00FD3D3A" w:rsidRPr="002D3252" w:rsidRDefault="00FD3D3A" w:rsidP="00FD3D3A">
      <w:pPr>
        <w:numPr>
          <w:ilvl w:val="0"/>
          <w:numId w:val="32"/>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Creació d’un grup de treball orientat a determinar aspectes de la Directiva que siguen d’aplicació directa segons els criteris del Tribunal de Justícia de la UE.</w:t>
      </w:r>
    </w:p>
    <w:p w14:paraId="428398C8" w14:textId="77777777" w:rsidR="00FD3D3A" w:rsidRPr="002D3252" w:rsidRDefault="00FD3D3A" w:rsidP="00FD3D3A">
      <w:pPr>
        <w:numPr>
          <w:ilvl w:val="0"/>
          <w:numId w:val="32"/>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Exposició del projecte per a la confecció d'una estratègia estatal contra la corrupció, (punt a càrrec de Mercedes Rodríguez, directora del SNCA)</w:t>
      </w:r>
    </w:p>
    <w:p w14:paraId="4D88F67D" w14:textId="77777777" w:rsidR="00FD3D3A" w:rsidRPr="002D3252" w:rsidRDefault="00FD3D3A" w:rsidP="00FD3D3A">
      <w:pPr>
        <w:numPr>
          <w:ilvl w:val="0"/>
          <w:numId w:val="32"/>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Estat de transposició de la Directiva i l'abast de la seua aplicabilitat directa.</w:t>
      </w:r>
    </w:p>
    <w:p w14:paraId="1A64FE57" w14:textId="77777777" w:rsidR="00FD3D3A" w:rsidRPr="002D3252" w:rsidRDefault="00FD3D3A" w:rsidP="00FD3D3A">
      <w:pPr>
        <w:numPr>
          <w:ilvl w:val="0"/>
          <w:numId w:val="32"/>
        </w:numPr>
        <w:spacing w:after="24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Preparació de la Declaració Institucional de la Xarxa, a presentar al VI Congrés Internacional de Transparència.</w:t>
      </w:r>
    </w:p>
    <w:p w14:paraId="2F7E1CC8" w14:textId="77777777" w:rsidR="00FD3D3A"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Aquesta Declaració Institucional de la Xarxa es va fer pública dins del Congrés Internacional de Transparència el dimecres 29 a les 12 hores.</w:t>
      </w:r>
    </w:p>
    <w:p w14:paraId="142301F2" w14:textId="1216ADC6" w:rsidR="00FD3D3A"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Nota de premsa: </w:t>
      </w:r>
      <w:hyperlink r:id="rId86" w:history="1">
        <w:r w:rsidRPr="002D3252">
          <w:rPr>
            <w:rFonts w:ascii="Arial" w:hAnsi="Arial" w:cs="Arial"/>
            <w:color w:val="000080"/>
            <w:sz w:val="21"/>
            <w:szCs w:val="21"/>
            <w:u w:val="single"/>
          </w:rPr>
          <w:t>https://www.antifraucv.es/va/les-oficines-i-agencies-antifrau-despanya-urgeixen-a-la-transposicio-de-la-directiva-europea-de-proteccio-de-les-persones-denunciants/</w:t>
        </w:r>
      </w:hyperlink>
    </w:p>
    <w:p w14:paraId="1E0E59DD" w14:textId="0B155209" w:rsidR="00FD3D3A"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 xml:space="preserve">Declaració institucional: </w:t>
      </w:r>
      <w:hyperlink r:id="rId87" w:history="1">
        <w:r w:rsidRPr="002D3252">
          <w:rPr>
            <w:rFonts w:ascii="Arial" w:eastAsia="Times New Roman" w:hAnsi="Arial" w:cs="Arial"/>
            <w:color w:val="000080"/>
            <w:sz w:val="21"/>
            <w:szCs w:val="21"/>
            <w:u w:val="single"/>
            <w:lang w:eastAsia="es-ES"/>
          </w:rPr>
          <w:t>https://www.antifraucv.es/wp-content/uploads/2021/09/210929-Declaracion-institucional-Agencias-antifraude.pdf</w:t>
        </w:r>
      </w:hyperlink>
    </w:p>
    <w:p w14:paraId="279A2890" w14:textId="77777777" w:rsidR="00FD3D3A"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Amb posterioritat, i també formant part del programa del Congrés, es va celebrar un taller seminari que va tractar de la Directiva Whistleblower i la seua transposició a l'ordenament jurídic espanyol, així com del paper de les agències i oficines antifrau.</w:t>
      </w:r>
    </w:p>
    <w:p w14:paraId="6012D568" w14:textId="77777777" w:rsidR="00FD3D3A" w:rsidRPr="002D3252" w:rsidRDefault="00FD3D3A" w:rsidP="00FD3D3A">
      <w:pPr>
        <w:spacing w:after="120" w:line="276" w:lineRule="auto"/>
        <w:contextualSpacing/>
        <w:rPr>
          <w:rFonts w:ascii="Arial" w:hAnsi="Arial" w:cs="Arial"/>
          <w:i/>
          <w:iCs/>
          <w:color w:val="9D2235" w:themeColor="accent1"/>
          <w:sz w:val="21"/>
          <w:szCs w:val="21"/>
        </w:rPr>
      </w:pPr>
      <w:r w:rsidRPr="002D3252">
        <w:rPr>
          <w:rFonts w:ascii="Arial" w:hAnsi="Arial" w:cs="Arial"/>
          <w:i/>
          <w:iCs/>
          <w:color w:val="9D2235" w:themeColor="accent1"/>
          <w:sz w:val="21"/>
          <w:szCs w:val="21"/>
        </w:rPr>
        <w:t>IX Trobada de la Xarxa Estatal d'Oficines i Agències Antifrau</w:t>
      </w:r>
    </w:p>
    <w:p w14:paraId="4D91E05B" w14:textId="77777777" w:rsidR="00FD3D3A" w:rsidRPr="002D3252" w:rsidRDefault="00FD3D3A" w:rsidP="00FD3D3A">
      <w:pPr>
        <w:spacing w:after="240" w:line="276" w:lineRule="auto"/>
        <w:rPr>
          <w:rFonts w:ascii="Arial" w:hAnsi="Arial" w:cs="Arial"/>
          <w:color w:val="9D2235" w:themeColor="accent1"/>
          <w:sz w:val="21"/>
          <w:szCs w:val="21"/>
        </w:rPr>
      </w:pPr>
      <w:r w:rsidRPr="002D3252">
        <w:rPr>
          <w:rFonts w:ascii="Arial" w:hAnsi="Arial" w:cs="Arial"/>
          <w:color w:val="9D2235" w:themeColor="accent1"/>
          <w:sz w:val="21"/>
          <w:szCs w:val="21"/>
        </w:rPr>
        <w:t>Barcelona, dimarts 28 i dimecres 29 de setembre de 2021</w:t>
      </w:r>
    </w:p>
    <w:p w14:paraId="7058DA46" w14:textId="499AEFEE" w:rsidR="00FD3D3A" w:rsidRPr="002D3252" w:rsidRDefault="00FD3D3A" w:rsidP="00FD3D3A">
      <w:pPr>
        <w:spacing w:after="120" w:line="276" w:lineRule="auto"/>
        <w:jc w:val="both"/>
        <w:rPr>
          <w:rFonts w:ascii="Arial" w:eastAsia="Times New Roman" w:hAnsi="Arial" w:cs="Arial"/>
          <w:color w:val="000000"/>
          <w:sz w:val="21"/>
          <w:szCs w:val="21"/>
          <w:lang w:eastAsia="es-ES"/>
        </w:rPr>
      </w:pPr>
      <w:r w:rsidRPr="002D3252">
        <w:rPr>
          <w:rFonts w:ascii="Arial" w:eastAsia="Times New Roman" w:hAnsi="Arial" w:cs="Arial"/>
          <w:sz w:val="21"/>
          <w:szCs w:val="21"/>
          <w:lang w:eastAsia="es-ES"/>
        </w:rPr>
        <w:t>Aquesta trobada, organitzat per l'Agència de Transparència de l'Àrea Metropolitana de Barcelona, va comptar amb els següents punts en l'ordre del dia:</w:t>
      </w:r>
    </w:p>
    <w:p w14:paraId="1BBA99C1" w14:textId="77777777" w:rsidR="00FD3D3A" w:rsidRPr="002D3252" w:rsidRDefault="00FD3D3A" w:rsidP="00FD3D3A">
      <w:pPr>
        <w:numPr>
          <w:ilvl w:val="0"/>
          <w:numId w:val="31"/>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Document de bases comunes. Presentació del document de treball i de les aportacions en els diferents àmbits temàtics.</w:t>
      </w:r>
    </w:p>
    <w:p w14:paraId="60A9515C" w14:textId="77777777" w:rsidR="00FD3D3A" w:rsidRPr="002D3252" w:rsidRDefault="00FD3D3A" w:rsidP="00FD3D3A">
      <w:pPr>
        <w:numPr>
          <w:ilvl w:val="0"/>
          <w:numId w:val="31"/>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Monogràfic sobre el catàleg de drets de la persona alertadora.</w:t>
      </w:r>
    </w:p>
    <w:p w14:paraId="5AA324DD" w14:textId="77777777" w:rsidR="00FD3D3A" w:rsidRPr="002D3252" w:rsidRDefault="00FD3D3A" w:rsidP="00FD3D3A">
      <w:pPr>
        <w:numPr>
          <w:ilvl w:val="0"/>
          <w:numId w:val="31"/>
        </w:numPr>
        <w:spacing w:after="8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Aplicació directa de la Directiva (UE) 2019/1937.</w:t>
      </w:r>
    </w:p>
    <w:p w14:paraId="3FCA2873" w14:textId="77777777" w:rsidR="00FD3D3A" w:rsidRPr="002D3252" w:rsidRDefault="00FD3D3A" w:rsidP="00FD3D3A">
      <w:pPr>
        <w:numPr>
          <w:ilvl w:val="0"/>
          <w:numId w:val="31"/>
        </w:numPr>
        <w:spacing w:after="240" w:line="276" w:lineRule="auto"/>
        <w:ind w:left="714" w:hanging="357"/>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Estratègia i metodologia comuna prèvia a l'entrada en vigor de la Directiva (UE) 2019/1937.</w:t>
      </w:r>
    </w:p>
    <w:p w14:paraId="497E8869" w14:textId="77777777" w:rsidR="00FD3D3A" w:rsidRPr="002D3252" w:rsidRDefault="00FD3D3A" w:rsidP="00FD3D3A">
      <w:pPr>
        <w:rPr>
          <w:rFonts w:ascii="Arial" w:hAnsi="Arial" w:cs="Arial"/>
          <w:b/>
          <w:i/>
          <w:iCs/>
          <w:color w:val="9D2235" w:themeColor="accent1"/>
          <w:sz w:val="21"/>
          <w:szCs w:val="21"/>
        </w:rPr>
      </w:pPr>
      <w:r w:rsidRPr="002D3252">
        <w:rPr>
          <w:rFonts w:ascii="Arial" w:hAnsi="Arial" w:cs="Arial"/>
          <w:i/>
          <w:iCs/>
          <w:color w:val="9D2235" w:themeColor="accent1"/>
          <w:sz w:val="21"/>
          <w:szCs w:val="21"/>
        </w:rPr>
        <w:t>Altres reunions</w:t>
      </w:r>
      <w:r w:rsidRPr="002D3252">
        <w:rPr>
          <w:rFonts w:ascii="Arial" w:hAnsi="Arial" w:cs="Arial"/>
          <w:b/>
          <w:i/>
          <w:iCs/>
          <w:color w:val="9D2235" w:themeColor="accent1"/>
          <w:sz w:val="21"/>
          <w:szCs w:val="21"/>
        </w:rPr>
        <w:t xml:space="preserve"> </w:t>
      </w:r>
    </w:p>
    <w:p w14:paraId="16440CAC" w14:textId="77777777" w:rsidR="00FD3D3A" w:rsidRPr="002D3252" w:rsidRDefault="00FD3D3A" w:rsidP="00FD3D3A">
      <w:pPr>
        <w:spacing w:after="120" w:line="276" w:lineRule="auto"/>
        <w:jc w:val="both"/>
        <w:rPr>
          <w:rFonts w:ascii="Arial" w:hAnsi="Arial" w:cs="Arial"/>
          <w:b/>
          <w:sz w:val="21"/>
          <w:szCs w:val="21"/>
        </w:rPr>
      </w:pPr>
      <w:r w:rsidRPr="002D3252">
        <w:rPr>
          <w:rFonts w:ascii="Arial" w:hAnsi="Arial" w:cs="Arial"/>
          <w:b/>
          <w:sz w:val="21"/>
          <w:szCs w:val="21"/>
        </w:rPr>
        <w:t>Dilluns, 24 de maig de 2021</w:t>
      </w:r>
    </w:p>
    <w:p w14:paraId="4BA6E4DF" w14:textId="77777777" w:rsidR="00FD3D3A" w:rsidRPr="002D3252" w:rsidRDefault="00FD3D3A" w:rsidP="00FD3D3A">
      <w:pPr>
        <w:spacing w:after="240" w:line="276" w:lineRule="auto"/>
        <w:jc w:val="both"/>
        <w:rPr>
          <w:rFonts w:ascii="Arial" w:eastAsia="Times New Roman" w:hAnsi="Arial" w:cs="Arial"/>
          <w:color w:val="000000"/>
          <w:sz w:val="21"/>
          <w:szCs w:val="21"/>
          <w:lang w:eastAsia="es-ES"/>
        </w:rPr>
      </w:pPr>
      <w:r w:rsidRPr="002D3252">
        <w:rPr>
          <w:rFonts w:ascii="Arial" w:eastAsia="Times New Roman" w:hAnsi="Arial" w:cs="Arial"/>
          <w:color w:val="000000"/>
          <w:sz w:val="21"/>
          <w:szCs w:val="21"/>
          <w:lang w:eastAsia="es-ES"/>
        </w:rPr>
        <w:t xml:space="preserve">Organitzada a través de videoconferència per l'Agència de Transparència de l'Àrea Metropolitana de Barcelona, es va realitzar una reunió per a discutir les noves iniciatives </w:t>
      </w:r>
      <w:r w:rsidRPr="002D3252">
        <w:rPr>
          <w:rFonts w:ascii="Arial" w:eastAsia="Times New Roman" w:hAnsi="Arial" w:cs="Arial"/>
          <w:color w:val="000000"/>
          <w:sz w:val="21"/>
          <w:szCs w:val="21"/>
          <w:lang w:eastAsia="es-ES"/>
        </w:rPr>
        <w:lastRenderedPageBreak/>
        <w:t>legislatives empreses entorn de la regulació dels conflictes d'interés i de la relació amb els grups d'interés.</w:t>
      </w:r>
    </w:p>
    <w:p w14:paraId="5CA7164D" w14:textId="77777777" w:rsidR="00FD3D3A" w:rsidRPr="002D3252" w:rsidRDefault="00FD3D3A" w:rsidP="00FD3D3A">
      <w:pPr>
        <w:spacing w:after="120" w:line="276" w:lineRule="auto"/>
        <w:jc w:val="both"/>
        <w:rPr>
          <w:rFonts w:ascii="Arial" w:hAnsi="Arial" w:cs="Arial"/>
          <w:b/>
          <w:sz w:val="21"/>
          <w:szCs w:val="21"/>
        </w:rPr>
      </w:pPr>
      <w:r w:rsidRPr="002D3252">
        <w:rPr>
          <w:rFonts w:ascii="Arial" w:hAnsi="Arial" w:cs="Arial"/>
          <w:b/>
          <w:sz w:val="21"/>
          <w:szCs w:val="21"/>
        </w:rPr>
        <w:t>Dijous, 28 d’octubre de 2021</w:t>
      </w:r>
    </w:p>
    <w:p w14:paraId="2272166A" w14:textId="110F7944" w:rsidR="00B15188"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hAnsi="Arial" w:cs="Arial"/>
          <w:sz w:val="21"/>
          <w:szCs w:val="21"/>
        </w:rPr>
        <w:t>Reunió del grup de treball de la Xarxa de la Directiva 2019/1937 per a establir la metodologia i la distribució del treball.</w:t>
      </w:r>
    </w:p>
    <w:p w14:paraId="7C4E151D" w14:textId="77777777" w:rsidR="00FD3D3A" w:rsidRPr="002D3252" w:rsidRDefault="00FD3D3A" w:rsidP="007757B6">
      <w:pPr>
        <w:pStyle w:val="Prrafodelista"/>
        <w:keepNext/>
        <w:numPr>
          <w:ilvl w:val="1"/>
          <w:numId w:val="27"/>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30" w:name="_Toc95311201"/>
      <w:bookmarkStart w:id="31" w:name="_Toc99110673"/>
      <w:r w:rsidRPr="002D3252">
        <w:rPr>
          <w:rFonts w:ascii="Arial" w:eastAsia="Times New Roman" w:hAnsi="Arial" w:cs="Arial"/>
          <w:b/>
          <w:color w:val="9D2235"/>
          <w:sz w:val="32"/>
          <w:szCs w:val="32"/>
        </w:rPr>
        <w:t>Activitat nacional i internacional</w:t>
      </w:r>
      <w:bookmarkEnd w:id="30"/>
      <w:bookmarkEnd w:id="31"/>
    </w:p>
    <w:p w14:paraId="5A8CFC95" w14:textId="77777777" w:rsidR="00FD3D3A" w:rsidRPr="002D3252" w:rsidRDefault="00FD3D3A" w:rsidP="007757B6">
      <w:pPr>
        <w:keepNext/>
        <w:numPr>
          <w:ilvl w:val="2"/>
          <w:numId w:val="27"/>
        </w:numPr>
        <w:spacing w:before="360" w:after="240" w:line="276" w:lineRule="auto"/>
        <w:ind w:left="1134" w:hanging="1134"/>
        <w:jc w:val="both"/>
        <w:outlineLvl w:val="2"/>
        <w:rPr>
          <w:rFonts w:ascii="Arial" w:eastAsia="Times New Roman" w:hAnsi="Arial" w:cs="Arial"/>
          <w:b/>
          <w:color w:val="9D2235"/>
          <w:sz w:val="28"/>
          <w:szCs w:val="28"/>
        </w:rPr>
      </w:pPr>
      <w:bookmarkStart w:id="32" w:name="_Toc95311202"/>
      <w:bookmarkStart w:id="33" w:name="_Toc99110674"/>
      <w:r w:rsidRPr="002D3252">
        <w:rPr>
          <w:rFonts w:ascii="Arial" w:eastAsia="Times New Roman" w:hAnsi="Arial" w:cs="Arial"/>
          <w:b/>
          <w:color w:val="9D2235"/>
          <w:sz w:val="28"/>
          <w:szCs w:val="28"/>
        </w:rPr>
        <w:t>Firma de convenis i protocols de col·laboració</w:t>
      </w:r>
      <w:bookmarkEnd w:id="32"/>
      <w:bookmarkEnd w:id="33"/>
    </w:p>
    <w:p w14:paraId="6DC2D47D" w14:textId="77777777" w:rsidR="00FD3D3A" w:rsidRPr="002D3252" w:rsidRDefault="00FD3D3A" w:rsidP="007D694E">
      <w:pPr>
        <w:spacing w:after="12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Els convenis i protocols de col·laboració signats per l'Agència al llarg de l'any 2021 han sigut els següents:</w:t>
      </w:r>
    </w:p>
    <w:p w14:paraId="665EC2FB" w14:textId="77777777" w:rsidR="00FD3D3A" w:rsidRPr="002D3252" w:rsidRDefault="00FD3D3A" w:rsidP="00FD3D3A">
      <w:pPr>
        <w:spacing w:after="24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11 de gener</w:t>
      </w:r>
    </w:p>
    <w:p w14:paraId="5C6B15E3" w14:textId="77777777" w:rsidR="00FD3D3A" w:rsidRPr="002D3252" w:rsidRDefault="00FD3D3A" w:rsidP="00F74414">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Conveni marc de col·laboració</w:t>
      </w:r>
    </w:p>
    <w:p w14:paraId="1333853A" w14:textId="77777777" w:rsidR="00FD3D3A" w:rsidRPr="002D3252" w:rsidRDefault="00FD3D3A" w:rsidP="007D694E">
      <w:pPr>
        <w:numPr>
          <w:ilvl w:val="0"/>
          <w:numId w:val="33"/>
        </w:numPr>
        <w:spacing w:after="240" w:line="276" w:lineRule="auto"/>
        <w:ind w:left="714" w:hanging="357"/>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Amb la WORLD COMPLIANCE ASSOCIATION, per a establir un canal permanent de comunió i col·laboració per a millorar l'eficàcia en el compliment d'objectius i interés comú</w:t>
      </w:r>
      <w:r w:rsidRPr="002D3252">
        <w:rPr>
          <w:rFonts w:ascii="Arial" w:eastAsia="Times New Roman" w:hAnsi="Arial" w:cs="Arial"/>
          <w:b/>
          <w:sz w:val="21"/>
          <w:szCs w:val="21"/>
          <w:lang w:eastAsia="es-ES"/>
        </w:rPr>
        <w:t>.</w:t>
      </w:r>
    </w:p>
    <w:p w14:paraId="3A8ABACB" w14:textId="496DBDC9" w:rsidR="00FD3D3A" w:rsidRPr="002D3252" w:rsidRDefault="00254AEC" w:rsidP="00FD3D3A">
      <w:pPr>
        <w:spacing w:after="240" w:line="276" w:lineRule="auto"/>
        <w:jc w:val="both"/>
        <w:rPr>
          <w:rFonts w:ascii="Arial" w:eastAsia="Times New Roman" w:hAnsi="Arial" w:cs="Arial"/>
          <w:sz w:val="21"/>
          <w:szCs w:val="21"/>
          <w:u w:val="single"/>
          <w:lang w:eastAsia="es-ES"/>
        </w:rPr>
      </w:pPr>
      <w:hyperlink r:id="rId88" w:anchor="boc/iniciativa/clau/190313322139832" w:history="1">
        <w:r w:rsidR="00FD3D3A" w:rsidRPr="002D3252">
          <w:rPr>
            <w:rStyle w:val="Hipervnculo"/>
            <w:rFonts w:ascii="Arial" w:eastAsia="Times New Roman" w:hAnsi="Arial" w:cs="Arial"/>
            <w:sz w:val="21"/>
            <w:szCs w:val="21"/>
            <w:lang w:eastAsia="es-ES"/>
          </w:rPr>
          <w:t>https://www.cortsvalencianes.es/ca-va/consulta_boc#boc/iniciativa/clau/190313322139832</w:t>
        </w:r>
      </w:hyperlink>
    </w:p>
    <w:p w14:paraId="772CC47A" w14:textId="251C4AC9" w:rsidR="00FD3D3A" w:rsidRPr="002D3252" w:rsidRDefault="00FD3D3A" w:rsidP="00FD3D3A">
      <w:pPr>
        <w:spacing w:after="240" w:line="276" w:lineRule="auto"/>
        <w:jc w:val="both"/>
        <w:rPr>
          <w:rFonts w:ascii="Arial" w:eastAsia="Times New Roman" w:hAnsi="Arial" w:cs="Arial"/>
          <w:sz w:val="21"/>
          <w:szCs w:val="21"/>
          <w:u w:val="single"/>
          <w:lang w:eastAsia="es-ES"/>
        </w:rPr>
      </w:pPr>
      <w:r w:rsidRPr="002D3252">
        <w:rPr>
          <w:rFonts w:ascii="Arial" w:eastAsia="Times New Roman" w:hAnsi="Arial" w:cs="Arial"/>
          <w:sz w:val="21"/>
          <w:szCs w:val="21"/>
          <w:u w:val="single"/>
          <w:lang w:eastAsia="es-ES"/>
        </w:rPr>
        <w:t xml:space="preserve">Nota de premsa: </w:t>
      </w:r>
      <w:hyperlink r:id="rId89" w:history="1">
        <w:r w:rsidRPr="002D3252">
          <w:rPr>
            <w:rStyle w:val="Hipervnculo"/>
            <w:rFonts w:ascii="Arial" w:eastAsia="Times New Roman" w:hAnsi="Arial" w:cs="Arial"/>
            <w:sz w:val="21"/>
            <w:szCs w:val="21"/>
            <w:lang w:eastAsia="es-ES"/>
          </w:rPr>
          <w:t>https://www.antifraucv.es/va/la-world-compliance-association-i-lagencia-valenciana-antifrau-signen-un-conveni-per-a-col%c2%b7laborar-en-la-lluita-contra-el-frau-i-la-corrupcio/</w:t>
        </w:r>
      </w:hyperlink>
    </w:p>
    <w:p w14:paraId="0B7A6825" w14:textId="77777777" w:rsidR="00FD3D3A" w:rsidRPr="002D3252" w:rsidRDefault="00FD3D3A" w:rsidP="00FD3D3A">
      <w:pPr>
        <w:spacing w:after="24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24 de febrer</w:t>
      </w:r>
    </w:p>
    <w:p w14:paraId="71FA159A" w14:textId="77777777" w:rsidR="00FD3D3A" w:rsidRPr="002D3252" w:rsidRDefault="00FD3D3A" w:rsidP="00F74414">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Conveni de cooperació educativa</w:t>
      </w:r>
    </w:p>
    <w:p w14:paraId="221B9DB2" w14:textId="6FC16574" w:rsidR="00FD3D3A" w:rsidRPr="002D3252" w:rsidRDefault="00FD3D3A" w:rsidP="007D694E">
      <w:pPr>
        <w:numPr>
          <w:ilvl w:val="0"/>
          <w:numId w:val="34"/>
        </w:numPr>
        <w:spacing w:after="240" w:line="276" w:lineRule="auto"/>
        <w:ind w:left="714" w:hanging="357"/>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Amb la UNIVERSITAT CEU CARDENAL HERRERA, per a la realització de pràctiques formatives per estudiants universitaris</w:t>
      </w:r>
      <w:r w:rsidRPr="002D3252">
        <w:rPr>
          <w:rFonts w:ascii="Arial" w:eastAsia="Times New Roman" w:hAnsi="Arial" w:cs="Arial"/>
          <w:b/>
          <w:sz w:val="21"/>
          <w:szCs w:val="21"/>
          <w:lang w:eastAsia="es-ES"/>
        </w:rPr>
        <w:t>.</w:t>
      </w:r>
    </w:p>
    <w:p w14:paraId="695E0BEC" w14:textId="0F7EE4CE" w:rsidR="00F74414" w:rsidRPr="002D3252" w:rsidRDefault="00254AEC" w:rsidP="00F74414">
      <w:pPr>
        <w:spacing w:after="240" w:line="276" w:lineRule="auto"/>
        <w:jc w:val="both"/>
        <w:rPr>
          <w:rFonts w:ascii="Arial" w:eastAsia="Times New Roman" w:hAnsi="Arial" w:cs="Arial"/>
          <w:sz w:val="21"/>
          <w:szCs w:val="21"/>
          <w:lang w:eastAsia="es-ES"/>
        </w:rPr>
      </w:pPr>
      <w:hyperlink r:id="rId90" w:anchor="boc/iniciativa/clau/190347352463162" w:history="1">
        <w:r w:rsidR="00F74414" w:rsidRPr="002D3252">
          <w:rPr>
            <w:rStyle w:val="Hipervnculo"/>
            <w:rFonts w:ascii="Arial" w:eastAsia="Times New Roman" w:hAnsi="Arial" w:cs="Arial"/>
            <w:sz w:val="21"/>
            <w:szCs w:val="21"/>
            <w:lang w:eastAsia="es-ES"/>
          </w:rPr>
          <w:t>https://www.cortsvalencianes.es/ca-va/consulta_boc#boc/iniciativa/clau/190347352463162</w:t>
        </w:r>
      </w:hyperlink>
    </w:p>
    <w:p w14:paraId="239B1DAD" w14:textId="77777777" w:rsidR="00FD3D3A" w:rsidRPr="002D3252" w:rsidRDefault="00FD3D3A" w:rsidP="00F74414">
      <w:pPr>
        <w:spacing w:after="24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9 d’abril</w:t>
      </w:r>
    </w:p>
    <w:p w14:paraId="10CE39A9" w14:textId="77777777" w:rsidR="00FD3D3A" w:rsidRPr="002D3252" w:rsidRDefault="00FD3D3A" w:rsidP="00F74414">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Conveni de col·laboració</w:t>
      </w:r>
    </w:p>
    <w:p w14:paraId="5286CAA1" w14:textId="77777777" w:rsidR="00FD3D3A" w:rsidRPr="002D3252" w:rsidRDefault="00FD3D3A" w:rsidP="007D694E">
      <w:pPr>
        <w:numPr>
          <w:ilvl w:val="0"/>
          <w:numId w:val="35"/>
        </w:numPr>
        <w:spacing w:after="240" w:line="276" w:lineRule="auto"/>
        <w:ind w:left="714" w:hanging="357"/>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Amb la FUNDACIÓ CIUTADANA CIVIO, per al desenvolupament del projecte “SceMaps”.</w:t>
      </w:r>
    </w:p>
    <w:p w14:paraId="2A35CDAB" w14:textId="400294CC" w:rsidR="00F74414" w:rsidRPr="002D3252" w:rsidRDefault="00254AEC" w:rsidP="00FD3D3A">
      <w:pPr>
        <w:spacing w:after="240" w:line="276" w:lineRule="auto"/>
        <w:jc w:val="both"/>
        <w:rPr>
          <w:rFonts w:ascii="Arial" w:eastAsia="Times New Roman" w:hAnsi="Arial" w:cs="Arial"/>
          <w:sz w:val="21"/>
          <w:szCs w:val="21"/>
          <w:u w:val="single"/>
          <w:lang w:eastAsia="es-ES"/>
        </w:rPr>
      </w:pPr>
      <w:hyperlink r:id="rId91" w:anchor="boc/iniciativa/clau/190403339258152" w:history="1">
        <w:r w:rsidR="00F74414" w:rsidRPr="002D3252">
          <w:rPr>
            <w:rStyle w:val="Hipervnculo"/>
            <w:rFonts w:ascii="Arial" w:eastAsia="Times New Roman" w:hAnsi="Arial" w:cs="Arial"/>
            <w:sz w:val="21"/>
            <w:szCs w:val="21"/>
            <w:lang w:eastAsia="es-ES"/>
          </w:rPr>
          <w:t>https://www.cortsvalencianes.es/ca-va/consulta_boc#boc/iniciativa/clau/190403339258152</w:t>
        </w:r>
      </w:hyperlink>
    </w:p>
    <w:p w14:paraId="7CE22E6C" w14:textId="5D446D27" w:rsidR="00FD3D3A"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u w:val="single"/>
          <w:lang w:eastAsia="es-ES"/>
        </w:rPr>
        <w:t xml:space="preserve">Nota de premsa: </w:t>
      </w:r>
      <w:hyperlink r:id="rId92" w:history="1">
        <w:r w:rsidRPr="002D3252">
          <w:rPr>
            <w:rStyle w:val="Hipervnculo"/>
            <w:rFonts w:ascii="Arial" w:eastAsia="Times New Roman" w:hAnsi="Arial" w:cs="Arial"/>
            <w:sz w:val="21"/>
            <w:szCs w:val="21"/>
            <w:lang w:eastAsia="es-ES"/>
          </w:rPr>
          <w:t>https://www.antifraucv.es/va/lagencia-valenciana-antifrau-signa-un-conveni-amb-la-fundacio-civio-per-al-desenvolupament-del-projecte-scemaps/</w:t>
        </w:r>
      </w:hyperlink>
    </w:p>
    <w:p w14:paraId="0C1BD6E7" w14:textId="77777777" w:rsidR="00FD3D3A" w:rsidRPr="002D3252" w:rsidRDefault="00FD3D3A" w:rsidP="007D694E">
      <w:pPr>
        <w:spacing w:after="12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13 de juliol</w:t>
      </w:r>
    </w:p>
    <w:p w14:paraId="23102487" w14:textId="77777777" w:rsidR="00FD3D3A" w:rsidRPr="002D3252" w:rsidRDefault="00FD3D3A" w:rsidP="007D694E">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Conveni marc de col·laboració</w:t>
      </w:r>
    </w:p>
    <w:p w14:paraId="3D5602E5" w14:textId="77777777" w:rsidR="00FD3D3A" w:rsidRPr="002D3252" w:rsidRDefault="00FD3D3A" w:rsidP="007757B6">
      <w:pPr>
        <w:numPr>
          <w:ilvl w:val="0"/>
          <w:numId w:val="35"/>
        </w:numPr>
        <w:spacing w:after="240" w:line="276" w:lineRule="auto"/>
        <w:ind w:left="714" w:hanging="357"/>
        <w:contextualSpacing/>
        <w:jc w:val="both"/>
        <w:rPr>
          <w:rFonts w:ascii="Arial" w:eastAsia="Times New Roman" w:hAnsi="Arial" w:cs="Arial"/>
          <w:b/>
          <w:sz w:val="21"/>
          <w:szCs w:val="21"/>
          <w:lang w:eastAsia="es-ES"/>
        </w:rPr>
      </w:pPr>
      <w:r w:rsidRPr="002D3252">
        <w:rPr>
          <w:rFonts w:ascii="Arial" w:eastAsia="Times New Roman" w:hAnsi="Arial" w:cs="Arial"/>
          <w:sz w:val="21"/>
          <w:szCs w:val="21"/>
          <w:lang w:eastAsia="es-ES"/>
        </w:rPr>
        <w:t>Amb la UNIVERSITAT POLITÈCNICA DE VALENCIA, per a la col·laboració cultural, educativa i científica</w:t>
      </w:r>
      <w:r w:rsidRPr="002D3252">
        <w:rPr>
          <w:rFonts w:ascii="Arial" w:eastAsia="Times New Roman" w:hAnsi="Arial" w:cs="Arial"/>
          <w:b/>
          <w:sz w:val="21"/>
          <w:szCs w:val="21"/>
          <w:lang w:eastAsia="es-ES"/>
        </w:rPr>
        <w:t>.</w:t>
      </w:r>
    </w:p>
    <w:p w14:paraId="27B9D958" w14:textId="77777777" w:rsidR="00FD3D3A" w:rsidRPr="002D3252" w:rsidRDefault="00254AEC" w:rsidP="00FD3D3A">
      <w:pPr>
        <w:spacing w:after="240" w:line="276" w:lineRule="auto"/>
        <w:jc w:val="both"/>
        <w:rPr>
          <w:rFonts w:ascii="Arial" w:eastAsia="Times New Roman" w:hAnsi="Arial" w:cs="Arial"/>
          <w:sz w:val="21"/>
          <w:szCs w:val="21"/>
          <w:u w:val="single"/>
          <w:lang w:eastAsia="es-ES"/>
        </w:rPr>
      </w:pPr>
      <w:hyperlink r:id="rId93" w:anchor="boc/iniciativa/clau/190496337457262" w:history="1">
        <w:r w:rsidR="00FD3D3A" w:rsidRPr="002D3252">
          <w:rPr>
            <w:rStyle w:val="Hipervnculo"/>
            <w:rFonts w:ascii="Arial" w:eastAsia="Times New Roman" w:hAnsi="Arial" w:cs="Arial"/>
            <w:sz w:val="21"/>
            <w:szCs w:val="21"/>
            <w:lang w:eastAsia="es-ES"/>
          </w:rPr>
          <w:t>https://www.cortsvalencianes.es/ca-va/consulta_boc#boc/iniciativa/clau/190496337457262</w:t>
        </w:r>
      </w:hyperlink>
      <w:r w:rsidR="00FD3D3A" w:rsidRPr="002D3252">
        <w:rPr>
          <w:rFonts w:ascii="Arial" w:eastAsia="Times New Roman" w:hAnsi="Arial" w:cs="Arial"/>
          <w:sz w:val="21"/>
          <w:szCs w:val="21"/>
          <w:lang w:eastAsia="es-ES"/>
        </w:rPr>
        <w:t xml:space="preserve"> </w:t>
      </w:r>
    </w:p>
    <w:p w14:paraId="1FD3C9C1" w14:textId="77777777" w:rsidR="00FD3D3A"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u w:val="single"/>
          <w:lang w:eastAsia="es-ES"/>
        </w:rPr>
        <w:lastRenderedPageBreak/>
        <w:t xml:space="preserve">Nota de premsa: </w:t>
      </w:r>
      <w:hyperlink r:id="rId94" w:history="1">
        <w:r w:rsidRPr="002D3252">
          <w:rPr>
            <w:rStyle w:val="Hipervnculo"/>
            <w:rFonts w:ascii="Arial" w:eastAsia="Times New Roman" w:hAnsi="Arial" w:cs="Arial"/>
            <w:sz w:val="21"/>
            <w:szCs w:val="21"/>
            <w:lang w:eastAsia="es-ES"/>
          </w:rPr>
          <w:t>https://www.antifraucv.es/va/la-upv-i-lagencia-valenciana-antifrau-impulsen-la-formacio-i-la-investigacio-en-lambit-de-la-lluita-contra-el-frau/</w:t>
        </w:r>
      </w:hyperlink>
      <w:r w:rsidRPr="002D3252">
        <w:rPr>
          <w:rFonts w:ascii="Arial" w:eastAsia="Times New Roman" w:hAnsi="Arial" w:cs="Arial"/>
          <w:sz w:val="21"/>
          <w:szCs w:val="21"/>
          <w:lang w:eastAsia="es-ES"/>
        </w:rPr>
        <w:t xml:space="preserve"> </w:t>
      </w:r>
    </w:p>
    <w:p w14:paraId="7AD4151F" w14:textId="77777777" w:rsidR="00FD3D3A" w:rsidRPr="002D3252" w:rsidRDefault="00FD3D3A" w:rsidP="007D694E">
      <w:pPr>
        <w:spacing w:after="24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8 de novembre</w:t>
      </w:r>
    </w:p>
    <w:p w14:paraId="353B44AB" w14:textId="77777777" w:rsidR="00FD3D3A" w:rsidRPr="002D3252" w:rsidRDefault="00FD3D3A" w:rsidP="007D694E">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Conveni de col·laboració acadèmica</w:t>
      </w:r>
    </w:p>
    <w:p w14:paraId="3DC61815" w14:textId="71D6CD96" w:rsidR="00FD3D3A" w:rsidRPr="002D3252" w:rsidRDefault="00FD3D3A" w:rsidP="007D694E">
      <w:pPr>
        <w:numPr>
          <w:ilvl w:val="0"/>
          <w:numId w:val="35"/>
        </w:numPr>
        <w:spacing w:after="240" w:line="276" w:lineRule="auto"/>
        <w:ind w:left="714" w:hanging="357"/>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Amb la UNIVERSITAT DE SALAMANCA, per a la col·laboració acadèmica, científica i cultural, així com assistència mútua entre les parts.</w:t>
      </w:r>
    </w:p>
    <w:p w14:paraId="5899E83B" w14:textId="4859A7F0" w:rsidR="007D694E" w:rsidRPr="002D3252" w:rsidRDefault="00254AEC" w:rsidP="007D694E">
      <w:pPr>
        <w:spacing w:after="240" w:line="276" w:lineRule="auto"/>
        <w:jc w:val="both"/>
        <w:rPr>
          <w:rFonts w:ascii="Arial" w:eastAsia="Times New Roman" w:hAnsi="Arial" w:cs="Arial"/>
          <w:sz w:val="21"/>
          <w:szCs w:val="21"/>
          <w:lang w:eastAsia="es-ES"/>
        </w:rPr>
      </w:pPr>
      <w:hyperlink r:id="rId95" w:anchor="boc/iniciativa/clau/190604322565182" w:history="1">
        <w:r w:rsidR="007D694E" w:rsidRPr="002D3252">
          <w:rPr>
            <w:rStyle w:val="Hipervnculo"/>
            <w:rFonts w:ascii="Arial" w:eastAsia="Times New Roman" w:hAnsi="Arial" w:cs="Arial"/>
            <w:sz w:val="21"/>
            <w:szCs w:val="21"/>
            <w:lang w:eastAsia="es-ES"/>
          </w:rPr>
          <w:t>https://www.cortsvalencianes.es/ca-va/consulta_boc#boc/iniciativa/clau/190604322565182</w:t>
        </w:r>
      </w:hyperlink>
    </w:p>
    <w:p w14:paraId="769678F2" w14:textId="77777777" w:rsidR="00FD3D3A"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u w:val="single"/>
          <w:lang w:eastAsia="es-ES"/>
        </w:rPr>
        <w:t xml:space="preserve">Nota de premsa: </w:t>
      </w:r>
      <w:hyperlink r:id="rId96" w:history="1">
        <w:r w:rsidRPr="002D3252">
          <w:rPr>
            <w:rStyle w:val="Hipervnculo"/>
            <w:rFonts w:ascii="Arial" w:eastAsia="Times New Roman" w:hAnsi="Arial" w:cs="Arial"/>
            <w:sz w:val="21"/>
            <w:szCs w:val="21"/>
            <w:lang w:eastAsia="es-ES"/>
          </w:rPr>
          <w:t>https://www.antifraucv.es/va/la-universitat-de-salamanca-i-lagencia-valenciana-antifrau-signen-un-conveni-de-col%c2%b7laboracio-que-inclou-estades-dinvestigacio-per-a-estudiants-de-doctorat/</w:t>
        </w:r>
      </w:hyperlink>
      <w:r w:rsidRPr="002D3252">
        <w:rPr>
          <w:rFonts w:ascii="Arial" w:eastAsia="Times New Roman" w:hAnsi="Arial" w:cs="Arial"/>
          <w:sz w:val="21"/>
          <w:szCs w:val="21"/>
          <w:lang w:eastAsia="es-ES"/>
        </w:rPr>
        <w:t xml:space="preserve"> </w:t>
      </w:r>
    </w:p>
    <w:p w14:paraId="05AAD647" w14:textId="77777777" w:rsidR="00FD3D3A" w:rsidRPr="002D3252" w:rsidRDefault="00FD3D3A" w:rsidP="007D694E">
      <w:pPr>
        <w:spacing w:after="24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19 de novembre</w:t>
      </w:r>
    </w:p>
    <w:p w14:paraId="05EB06BD" w14:textId="77777777" w:rsidR="00FD3D3A" w:rsidRPr="002D3252" w:rsidRDefault="00FD3D3A" w:rsidP="007D694E">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 xml:space="preserve">Protocol de col·laboració </w:t>
      </w:r>
    </w:p>
    <w:p w14:paraId="246E22D4" w14:textId="77777777" w:rsidR="00FD3D3A" w:rsidRPr="002D3252" w:rsidRDefault="00FD3D3A" w:rsidP="00FD3D3A">
      <w:pPr>
        <w:numPr>
          <w:ilvl w:val="0"/>
          <w:numId w:val="35"/>
        </w:num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Amb l’AJUNTAMENT DE VALÈNCIA, per a millorar la coordinació i col·laboració d’ambdues institucions.</w:t>
      </w:r>
    </w:p>
    <w:p w14:paraId="303AF243" w14:textId="77777777" w:rsidR="00FD3D3A" w:rsidRPr="002D3252" w:rsidRDefault="00254AEC" w:rsidP="00FD3D3A">
      <w:pPr>
        <w:spacing w:after="240" w:line="276" w:lineRule="auto"/>
        <w:jc w:val="both"/>
        <w:rPr>
          <w:rFonts w:ascii="Arial" w:eastAsia="Times New Roman" w:hAnsi="Arial" w:cs="Arial"/>
          <w:sz w:val="21"/>
          <w:szCs w:val="21"/>
          <w:u w:val="single"/>
          <w:lang w:eastAsia="es-ES"/>
        </w:rPr>
      </w:pPr>
      <w:hyperlink r:id="rId97" w:anchor="boc/iniciativa/clau/190628497232482" w:history="1">
        <w:r w:rsidR="00FD3D3A" w:rsidRPr="002D3252">
          <w:rPr>
            <w:rStyle w:val="Hipervnculo"/>
            <w:rFonts w:ascii="Arial" w:eastAsia="Times New Roman" w:hAnsi="Arial" w:cs="Arial"/>
            <w:sz w:val="21"/>
            <w:szCs w:val="21"/>
            <w:lang w:eastAsia="es-ES"/>
          </w:rPr>
          <w:t>https://www.cortsvalencianes.es/ca-va/consulta_boc#boc/iniciativa/clau/190628497232482</w:t>
        </w:r>
      </w:hyperlink>
      <w:r w:rsidR="00FD3D3A" w:rsidRPr="002D3252">
        <w:rPr>
          <w:rFonts w:ascii="Arial" w:eastAsia="Times New Roman" w:hAnsi="Arial" w:cs="Arial"/>
          <w:sz w:val="21"/>
          <w:szCs w:val="21"/>
          <w:lang w:eastAsia="es-ES"/>
        </w:rPr>
        <w:t xml:space="preserve"> </w:t>
      </w:r>
    </w:p>
    <w:p w14:paraId="606CC69C" w14:textId="7BBDB157" w:rsidR="00FD3D3A" w:rsidRPr="002D3252" w:rsidRDefault="00FD3D3A" w:rsidP="00FD3D3A">
      <w:pPr>
        <w:spacing w:after="240" w:line="276" w:lineRule="auto"/>
        <w:jc w:val="both"/>
        <w:rPr>
          <w:rFonts w:ascii="Arial" w:eastAsia="Times New Roman" w:hAnsi="Arial" w:cs="Arial"/>
          <w:sz w:val="21"/>
          <w:szCs w:val="21"/>
          <w:u w:val="single"/>
          <w:lang w:eastAsia="es-ES"/>
        </w:rPr>
      </w:pPr>
      <w:r w:rsidRPr="002D3252">
        <w:rPr>
          <w:rFonts w:ascii="Arial" w:eastAsia="Times New Roman" w:hAnsi="Arial" w:cs="Arial"/>
          <w:sz w:val="21"/>
          <w:szCs w:val="21"/>
          <w:u w:val="single"/>
          <w:lang w:eastAsia="es-ES"/>
        </w:rPr>
        <w:t xml:space="preserve">Nota de premsa: </w:t>
      </w:r>
      <w:hyperlink r:id="rId98" w:history="1">
        <w:r w:rsidRPr="002D3252">
          <w:rPr>
            <w:rStyle w:val="Hipervnculo"/>
            <w:rFonts w:ascii="Arial" w:eastAsia="Times New Roman" w:hAnsi="Arial" w:cs="Arial"/>
            <w:sz w:val="21"/>
            <w:szCs w:val="21"/>
            <w:lang w:eastAsia="es-ES"/>
          </w:rPr>
          <w:t>https://www.antifraucv.es/va/lajuntament-de-valencia-es-la-primera-institucio-publica-valenciana-que-connectara-el-seu-web-a-la-bustia-de-denuncies-de-lagencia-valenciana-antifrau/</w:t>
        </w:r>
      </w:hyperlink>
    </w:p>
    <w:p w14:paraId="480C3972" w14:textId="77777777" w:rsidR="00FD3D3A" w:rsidRPr="002D3252" w:rsidRDefault="00FD3D3A" w:rsidP="00124FFF">
      <w:pPr>
        <w:spacing w:after="240" w:line="276" w:lineRule="auto"/>
        <w:contextualSpacing/>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2 de desembre</w:t>
      </w:r>
    </w:p>
    <w:p w14:paraId="18049E09" w14:textId="77777777" w:rsidR="00FD3D3A" w:rsidRPr="002D3252" w:rsidRDefault="00FD3D3A" w:rsidP="00124FFF">
      <w:pPr>
        <w:spacing w:after="120" w:line="276" w:lineRule="auto"/>
        <w:jc w:val="both"/>
        <w:rPr>
          <w:rFonts w:ascii="Arial" w:eastAsia="Times New Roman" w:hAnsi="Arial" w:cs="Arial"/>
          <w:b/>
          <w:sz w:val="21"/>
          <w:szCs w:val="21"/>
          <w:lang w:eastAsia="es-ES"/>
        </w:rPr>
      </w:pPr>
      <w:r w:rsidRPr="002D3252">
        <w:rPr>
          <w:rFonts w:ascii="Arial" w:eastAsia="Times New Roman" w:hAnsi="Arial" w:cs="Arial"/>
          <w:b/>
          <w:sz w:val="21"/>
          <w:szCs w:val="21"/>
          <w:lang w:eastAsia="es-ES"/>
        </w:rPr>
        <w:t>Protocol de col·laboració</w:t>
      </w:r>
    </w:p>
    <w:p w14:paraId="042F8E06" w14:textId="77777777" w:rsidR="00FD3D3A" w:rsidRPr="002D3252" w:rsidRDefault="00FD3D3A" w:rsidP="00FD3D3A">
      <w:pPr>
        <w:numPr>
          <w:ilvl w:val="0"/>
          <w:numId w:val="35"/>
        </w:num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Amb la DIPUTACIÓ DE CASTELLÓ, per a millorar la coordinació i col·laboració d’ambdues institucions.</w:t>
      </w:r>
    </w:p>
    <w:p w14:paraId="2F682BFC" w14:textId="75ACB184" w:rsidR="00FD3D3A" w:rsidRPr="002D3252" w:rsidRDefault="00254AEC" w:rsidP="00FD3D3A">
      <w:pPr>
        <w:spacing w:after="240" w:line="276" w:lineRule="auto"/>
        <w:jc w:val="both"/>
        <w:rPr>
          <w:rFonts w:ascii="Arial" w:eastAsia="Times New Roman" w:hAnsi="Arial" w:cs="Arial"/>
          <w:sz w:val="21"/>
          <w:szCs w:val="21"/>
          <w:u w:val="single"/>
          <w:lang w:eastAsia="es-ES"/>
        </w:rPr>
      </w:pPr>
      <w:hyperlink r:id="rId99" w:history="1">
        <w:r w:rsidR="00FD3D3A" w:rsidRPr="002D3252">
          <w:rPr>
            <w:rStyle w:val="Hipervnculo"/>
            <w:rFonts w:ascii="Arial" w:eastAsia="Times New Roman" w:hAnsi="Arial" w:cs="Arial"/>
            <w:sz w:val="21"/>
            <w:szCs w:val="21"/>
            <w:lang w:eastAsia="es-ES"/>
          </w:rPr>
          <w:t>https://www.cortsvalencianes.es/ca-va/consulta_boc#boc/iniciativa/clau/190649311801252</w:t>
        </w:r>
      </w:hyperlink>
    </w:p>
    <w:p w14:paraId="5945AB0D" w14:textId="785C67EA" w:rsidR="00A97B27" w:rsidRPr="002D3252" w:rsidRDefault="00FD3D3A" w:rsidP="00FD3D3A">
      <w:pPr>
        <w:spacing w:after="240" w:line="276" w:lineRule="auto"/>
        <w:jc w:val="both"/>
        <w:rPr>
          <w:rFonts w:ascii="Arial" w:eastAsia="Times New Roman" w:hAnsi="Arial" w:cs="Arial"/>
          <w:sz w:val="21"/>
          <w:szCs w:val="21"/>
          <w:lang w:eastAsia="es-ES"/>
        </w:rPr>
      </w:pPr>
      <w:r w:rsidRPr="002D3252">
        <w:rPr>
          <w:rFonts w:ascii="Arial" w:eastAsia="Times New Roman" w:hAnsi="Arial" w:cs="Arial"/>
          <w:sz w:val="21"/>
          <w:szCs w:val="21"/>
          <w:u w:val="single"/>
          <w:lang w:eastAsia="es-ES"/>
        </w:rPr>
        <w:t xml:space="preserve">Nota de </w:t>
      </w:r>
      <w:r w:rsidR="00E85E6B" w:rsidRPr="002D3252">
        <w:rPr>
          <w:rFonts w:ascii="Arial" w:eastAsia="Times New Roman" w:hAnsi="Arial" w:cs="Arial"/>
          <w:sz w:val="21"/>
          <w:szCs w:val="21"/>
          <w:u w:val="single"/>
          <w:lang w:eastAsia="es-ES"/>
        </w:rPr>
        <w:t>premsa</w:t>
      </w:r>
      <w:r w:rsidRPr="002D3252">
        <w:rPr>
          <w:rFonts w:ascii="Arial" w:eastAsia="Times New Roman" w:hAnsi="Arial" w:cs="Arial"/>
          <w:sz w:val="21"/>
          <w:szCs w:val="21"/>
          <w:u w:val="single"/>
          <w:lang w:eastAsia="es-ES"/>
        </w:rPr>
        <w:t xml:space="preserve">: </w:t>
      </w:r>
      <w:hyperlink r:id="rId100" w:history="1">
        <w:r w:rsidRPr="002D3252">
          <w:rPr>
            <w:rStyle w:val="Hipervnculo"/>
            <w:rFonts w:ascii="Arial" w:eastAsia="Times New Roman" w:hAnsi="Arial" w:cs="Arial"/>
            <w:sz w:val="21"/>
            <w:szCs w:val="21"/>
            <w:lang w:eastAsia="es-ES"/>
          </w:rPr>
          <w:t>https://www.antifraucv.es/va/la-diputacio-de-castello-i-lagencia-valenciana-antifrau-signen-un-conveni-de-col%c2%b7laboracio/</w:t>
        </w:r>
      </w:hyperlink>
    </w:p>
    <w:p w14:paraId="1F557605" w14:textId="77777777" w:rsidR="00124FFF" w:rsidRPr="002D3252" w:rsidRDefault="00124FFF" w:rsidP="00124FFF">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4" w:name="_Toc95311203"/>
      <w:bookmarkStart w:id="35" w:name="_Toc99110675"/>
      <w:r w:rsidRPr="002D3252">
        <w:rPr>
          <w:rFonts w:ascii="Arial" w:eastAsia="Times New Roman" w:hAnsi="Arial" w:cs="Arial"/>
          <w:b/>
          <w:color w:val="9D2235"/>
          <w:sz w:val="28"/>
          <w:szCs w:val="28"/>
        </w:rPr>
        <w:t>Socis Europeus contra la Corrupció (EPAC) i la Xarxa Europea de Punts de Contacte contra la Corrupció (EAPCN)</w:t>
      </w:r>
      <w:bookmarkEnd w:id="34"/>
      <w:bookmarkEnd w:id="35"/>
    </w:p>
    <w:p w14:paraId="2C9D5677" w14:textId="20D4992C" w:rsidR="00124FFF" w:rsidRPr="002D3252" w:rsidRDefault="00124FFF" w:rsidP="00124FFF">
      <w:pPr>
        <w:spacing w:after="240" w:line="276" w:lineRule="auto"/>
        <w:jc w:val="both"/>
        <w:rPr>
          <w:rFonts w:ascii="Arial" w:eastAsia="Times New Roman" w:hAnsi="Arial" w:cs="Arial"/>
          <w:color w:val="000000"/>
          <w:sz w:val="21"/>
          <w:szCs w:val="21"/>
          <w:lang w:eastAsia="es-ES"/>
        </w:rPr>
      </w:pPr>
      <w:r w:rsidRPr="002D3252">
        <w:rPr>
          <w:rFonts w:ascii="Arial" w:eastAsia="Times New Roman" w:hAnsi="Arial" w:cs="Arial"/>
          <w:color w:val="000000"/>
          <w:sz w:val="21"/>
          <w:szCs w:val="21"/>
          <w:lang w:eastAsia="es-ES"/>
        </w:rPr>
        <w:t>Des de 2018, l’Agència és membre de l’</w:t>
      </w:r>
      <w:r w:rsidRPr="002D3252">
        <w:rPr>
          <w:rFonts w:ascii="Arial" w:hAnsi="Arial" w:cs="Arial"/>
          <w:sz w:val="21"/>
          <w:szCs w:val="21"/>
        </w:rPr>
        <w:t xml:space="preserve">EPAC / EACN </w:t>
      </w:r>
      <w:hyperlink r:id="rId101" w:history="1">
        <w:r w:rsidRPr="002D3252">
          <w:rPr>
            <w:rStyle w:val="Hipervnculo"/>
            <w:rFonts w:ascii="Arial" w:eastAsia="Times New Roman" w:hAnsi="Arial" w:cs="Arial"/>
            <w:sz w:val="21"/>
            <w:szCs w:val="21"/>
            <w:lang w:eastAsia="es-ES"/>
          </w:rPr>
          <w:t>https://www.epac-eacn.org/</w:t>
        </w:r>
      </w:hyperlink>
      <w:r w:rsidRPr="002D3252">
        <w:rPr>
          <w:rStyle w:val="EnlacedeInternet"/>
          <w:rFonts w:ascii="Arial" w:eastAsia="Times New Roman" w:hAnsi="Arial" w:cs="Arial"/>
          <w:sz w:val="21"/>
          <w:szCs w:val="21"/>
          <w:lang w:eastAsia="es-ES"/>
        </w:rPr>
        <w:t>,</w:t>
      </w:r>
      <w:r w:rsidRPr="002D3252">
        <w:rPr>
          <w:rFonts w:ascii="Arial" w:eastAsia="Times New Roman" w:hAnsi="Arial" w:cs="Arial"/>
          <w:color w:val="000000"/>
          <w:sz w:val="21"/>
          <w:szCs w:val="21"/>
          <w:lang w:eastAsia="es-ES"/>
        </w:rPr>
        <w:t xml:space="preserve"> Xarxa europea d'agències de lluita contra el frau i la corrupció (EPAC </w:t>
      </w:r>
      <w:r w:rsidRPr="002D3252">
        <w:rPr>
          <w:rFonts w:ascii="Arial" w:eastAsia="Times New Roman" w:hAnsi="Arial" w:cs="Arial"/>
          <w:i/>
          <w:color w:val="000000"/>
          <w:sz w:val="21"/>
          <w:szCs w:val="21"/>
          <w:lang w:eastAsia="es-ES"/>
        </w:rPr>
        <w:t>The European Partners against Corruption</w:t>
      </w:r>
      <w:r w:rsidRPr="002D3252">
        <w:rPr>
          <w:rFonts w:ascii="Arial" w:eastAsia="Times New Roman" w:hAnsi="Arial" w:cs="Arial"/>
          <w:color w:val="000000"/>
          <w:sz w:val="21"/>
          <w:szCs w:val="21"/>
          <w:lang w:eastAsia="es-ES"/>
        </w:rPr>
        <w:t xml:space="preserve">, Socis europeus contra la corrupció - EACN </w:t>
      </w:r>
      <w:r w:rsidRPr="002D3252">
        <w:rPr>
          <w:rFonts w:ascii="Arial" w:eastAsia="Times New Roman" w:hAnsi="Arial" w:cs="Arial"/>
          <w:i/>
          <w:color w:val="000000"/>
          <w:sz w:val="21"/>
          <w:szCs w:val="21"/>
          <w:lang w:eastAsia="es-ES"/>
        </w:rPr>
        <w:t>European contact point network against corruption</w:t>
      </w:r>
      <w:r w:rsidRPr="002D3252">
        <w:rPr>
          <w:rFonts w:ascii="Arial" w:eastAsia="Times New Roman" w:hAnsi="Arial" w:cs="Arial"/>
          <w:color w:val="000000"/>
          <w:sz w:val="21"/>
          <w:szCs w:val="21"/>
          <w:lang w:eastAsia="es-ES"/>
        </w:rPr>
        <w:t xml:space="preserve">, Xarxa europea de punts de contacte contra la corrupció). Aquesta organització supranacional, integra més de 60 autoritats anticorrupció i òrgans de supervisió policial del Consell d'Europa, i prop de 50 autoritats anticorrupció dels </w:t>
      </w:r>
      <w:r w:rsidR="00A74CF3">
        <w:rPr>
          <w:rFonts w:ascii="Arial" w:eastAsia="Times New Roman" w:hAnsi="Arial" w:cs="Arial"/>
          <w:color w:val="000000"/>
          <w:sz w:val="21"/>
          <w:szCs w:val="21"/>
          <w:lang w:eastAsia="es-ES"/>
        </w:rPr>
        <w:t>E</w:t>
      </w:r>
      <w:r w:rsidRPr="002D3252">
        <w:rPr>
          <w:rFonts w:ascii="Arial" w:eastAsia="Times New Roman" w:hAnsi="Arial" w:cs="Arial"/>
          <w:color w:val="000000"/>
          <w:sz w:val="21"/>
          <w:szCs w:val="21"/>
          <w:lang w:eastAsia="es-ES"/>
        </w:rPr>
        <w:t>stats membres de la Unió Europea</w:t>
      </w:r>
    </w:p>
    <w:p w14:paraId="2B0AD2FF" w14:textId="1704FFC8" w:rsidR="00124FFF" w:rsidRPr="002D3252" w:rsidRDefault="00124FFF" w:rsidP="00124FFF">
      <w:pPr>
        <w:spacing w:after="240" w:line="276" w:lineRule="auto"/>
        <w:jc w:val="both"/>
        <w:rPr>
          <w:rFonts w:ascii="Arial" w:eastAsia="Times New Roman" w:hAnsi="Arial" w:cs="Arial"/>
          <w:color w:val="000000"/>
          <w:sz w:val="21"/>
          <w:szCs w:val="21"/>
          <w:lang w:eastAsia="es-ES"/>
        </w:rPr>
      </w:pPr>
      <w:r w:rsidRPr="002D3252">
        <w:rPr>
          <w:rFonts w:ascii="Arial" w:eastAsia="Times New Roman" w:hAnsi="Arial" w:cs="Arial"/>
          <w:color w:val="000000"/>
          <w:sz w:val="21"/>
          <w:szCs w:val="21"/>
          <w:lang w:eastAsia="es-ES"/>
        </w:rPr>
        <w:lastRenderedPageBreak/>
        <w:t>En 2019, l'Agència va col·laborar amb el Grup de Treball “EU-Integritat”</w:t>
      </w:r>
      <w:r w:rsidR="00A74CF3">
        <w:rPr>
          <w:rFonts w:ascii="Arial" w:eastAsia="Times New Roman" w:hAnsi="Arial" w:cs="Arial"/>
          <w:color w:val="000000"/>
          <w:sz w:val="21"/>
          <w:szCs w:val="21"/>
          <w:lang w:eastAsia="es-ES"/>
        </w:rPr>
        <w:t>,</w:t>
      </w:r>
      <w:r w:rsidRPr="002D3252">
        <w:rPr>
          <w:rFonts w:ascii="Arial" w:eastAsia="Times New Roman" w:hAnsi="Arial" w:cs="Arial"/>
          <w:color w:val="000000"/>
          <w:sz w:val="21"/>
          <w:szCs w:val="21"/>
          <w:lang w:eastAsia="es-ES"/>
        </w:rPr>
        <w:t xml:space="preserve"> creat en la 18</w:t>
      </w:r>
      <w:r w:rsidRPr="002D3252">
        <w:rPr>
          <w:rFonts w:ascii="Arial" w:eastAsia="Times New Roman" w:hAnsi="Arial" w:cs="Arial"/>
          <w:color w:val="000000"/>
          <w:sz w:val="21"/>
          <w:szCs w:val="21"/>
          <w:vertAlign w:val="superscript"/>
          <w:lang w:eastAsia="es-ES"/>
        </w:rPr>
        <w:t>a</w:t>
      </w:r>
      <w:r w:rsidRPr="002D3252">
        <w:rPr>
          <w:rFonts w:ascii="Arial" w:eastAsia="Times New Roman" w:hAnsi="Arial" w:cs="Arial"/>
          <w:color w:val="000000"/>
          <w:sz w:val="21"/>
          <w:szCs w:val="21"/>
          <w:lang w:eastAsia="es-ES"/>
        </w:rPr>
        <w:t xml:space="preserve"> Assemblea General EPAC / ENAC </w:t>
      </w:r>
      <w:hyperlink r:id="rId102" w:history="1">
        <w:r w:rsidRPr="002D3252">
          <w:rPr>
            <w:rStyle w:val="Hipervnculo"/>
            <w:rFonts w:ascii="Arial" w:eastAsia="Times New Roman" w:hAnsi="Arial" w:cs="Arial"/>
            <w:sz w:val="21"/>
            <w:szCs w:val="21"/>
            <w:lang w:eastAsia="es-ES"/>
          </w:rPr>
          <w:t>https://www.epac-eacn.org/latest-news/259-18th-epac-eacn-conference</w:t>
        </w:r>
      </w:hyperlink>
      <w:r w:rsidRPr="002D3252">
        <w:rPr>
          <w:rFonts w:ascii="Arial" w:eastAsia="Times New Roman" w:hAnsi="Arial" w:cs="Arial"/>
          <w:color w:val="000000"/>
          <w:sz w:val="21"/>
          <w:szCs w:val="21"/>
          <w:lang w:eastAsia="es-ES"/>
        </w:rPr>
        <w:t xml:space="preserve"> (celebrada el 24 d’octubre de 2018 a Rust, Àustria).</w:t>
      </w:r>
    </w:p>
    <w:p w14:paraId="594D4A37" w14:textId="0DFEB147" w:rsidR="00124FFF" w:rsidRPr="002D3252" w:rsidRDefault="00124FFF" w:rsidP="00124FFF">
      <w:pPr>
        <w:spacing w:after="240" w:line="276" w:lineRule="auto"/>
        <w:jc w:val="both"/>
        <w:rPr>
          <w:rFonts w:ascii="Arial" w:hAnsi="Arial" w:cs="Arial"/>
          <w:sz w:val="21"/>
          <w:szCs w:val="21"/>
        </w:rPr>
      </w:pPr>
      <w:r w:rsidRPr="002D3252">
        <w:rPr>
          <w:rFonts w:ascii="Arial" w:eastAsia="Times New Roman" w:hAnsi="Arial" w:cs="Arial"/>
          <w:color w:val="000000"/>
          <w:sz w:val="21"/>
          <w:szCs w:val="21"/>
          <w:lang w:eastAsia="es-ES"/>
        </w:rPr>
        <w:t xml:space="preserve">Desafortunadament, en 2020 totes </w:t>
      </w:r>
      <w:r w:rsidR="00A74CF3">
        <w:rPr>
          <w:rFonts w:ascii="Arial" w:eastAsia="Times New Roman" w:hAnsi="Arial" w:cs="Arial"/>
          <w:color w:val="000000"/>
          <w:sz w:val="21"/>
          <w:szCs w:val="21"/>
          <w:lang w:eastAsia="es-ES"/>
        </w:rPr>
        <w:t xml:space="preserve">les </w:t>
      </w:r>
      <w:r w:rsidRPr="002D3252">
        <w:rPr>
          <w:rFonts w:ascii="Arial" w:eastAsia="Times New Roman" w:hAnsi="Arial" w:cs="Arial"/>
          <w:color w:val="000000"/>
          <w:sz w:val="21"/>
          <w:szCs w:val="21"/>
          <w:lang w:eastAsia="es-ES"/>
        </w:rPr>
        <w:t>reunions es van veure posposades a causa de la situació d'emergència sanitària, incloent la 20</w:t>
      </w:r>
      <w:r w:rsidRPr="002D3252">
        <w:rPr>
          <w:rFonts w:ascii="Arial" w:eastAsia="Times New Roman" w:hAnsi="Arial" w:cs="Arial"/>
          <w:color w:val="000000"/>
          <w:sz w:val="21"/>
          <w:szCs w:val="21"/>
          <w:vertAlign w:val="superscript"/>
          <w:lang w:eastAsia="es-ES"/>
        </w:rPr>
        <w:t>a</w:t>
      </w:r>
      <w:r w:rsidRPr="002D3252">
        <w:rPr>
          <w:rFonts w:ascii="Arial" w:eastAsia="Times New Roman" w:hAnsi="Arial" w:cs="Arial"/>
          <w:color w:val="000000"/>
          <w:sz w:val="21"/>
          <w:szCs w:val="21"/>
          <w:lang w:eastAsia="es-ES"/>
        </w:rPr>
        <w:t xml:space="preserve"> EPAC/EACN Conferència Professional anual i Assemblea General, que havia d'haver-se celebrat en Vílnius, Lituània, de l'1 al 3 de desembre de 2020</w:t>
      </w:r>
      <w:r w:rsidRPr="002D3252">
        <w:rPr>
          <w:rFonts w:ascii="Arial" w:hAnsi="Arial" w:cs="Arial"/>
          <w:sz w:val="21"/>
          <w:szCs w:val="21"/>
        </w:rPr>
        <w:t>.</w:t>
      </w:r>
    </w:p>
    <w:p w14:paraId="0525080F" w14:textId="77777777" w:rsidR="00124FFF" w:rsidRPr="002D3252" w:rsidRDefault="00124FFF" w:rsidP="00124FFF">
      <w:pPr>
        <w:spacing w:after="240" w:line="276" w:lineRule="auto"/>
        <w:jc w:val="both"/>
        <w:rPr>
          <w:rFonts w:ascii="Arial" w:hAnsi="Arial" w:cs="Arial"/>
          <w:sz w:val="21"/>
          <w:szCs w:val="21"/>
        </w:rPr>
      </w:pPr>
      <w:r w:rsidRPr="002D3252">
        <w:rPr>
          <w:rFonts w:ascii="Arial" w:hAnsi="Arial" w:cs="Arial"/>
          <w:sz w:val="21"/>
          <w:szCs w:val="21"/>
        </w:rPr>
        <w:t>Amb la millora de la situació sanitària, va poder celebrar-se aquesta 20</w:t>
      </w:r>
      <w:r w:rsidRPr="002D3252">
        <w:rPr>
          <w:rFonts w:ascii="Arial" w:hAnsi="Arial" w:cs="Arial"/>
          <w:sz w:val="21"/>
          <w:szCs w:val="21"/>
          <w:vertAlign w:val="superscript"/>
        </w:rPr>
        <w:t>a</w:t>
      </w:r>
      <w:r w:rsidRPr="002D3252">
        <w:rPr>
          <w:rFonts w:ascii="Arial" w:hAnsi="Arial" w:cs="Arial"/>
          <w:sz w:val="21"/>
          <w:szCs w:val="21"/>
        </w:rPr>
        <w:t xml:space="preserve"> edició de la Conferència i Assemblea, els dies 1 i 2 de desembre de 2021, sota el lema “Repensar la lluita contra la corrupció i la supervisió policial”.</w:t>
      </w:r>
    </w:p>
    <w:p w14:paraId="78B2E663" w14:textId="77777777" w:rsidR="00124FFF" w:rsidRPr="002D3252" w:rsidRDefault="00124FFF" w:rsidP="00124FFF">
      <w:pPr>
        <w:spacing w:after="240" w:line="276" w:lineRule="auto"/>
        <w:jc w:val="both"/>
        <w:rPr>
          <w:rFonts w:ascii="Arial" w:hAnsi="Arial" w:cs="Arial"/>
          <w:sz w:val="21"/>
          <w:szCs w:val="21"/>
        </w:rPr>
      </w:pPr>
      <w:r w:rsidRPr="002D3252">
        <w:rPr>
          <w:rFonts w:ascii="Arial" w:hAnsi="Arial" w:cs="Arial"/>
          <w:sz w:val="21"/>
          <w:szCs w:val="21"/>
        </w:rPr>
        <w:t>Aquesta edició, tal com estava previst per a l'any 2020, va ser organitzada pel Servei d'Investigació Especial de la República de Lituània i es va celebrar físicament a Vílnius, però també es va organitzar de manera virtual perquè pogueren assistir el major nombre de representants. L'Agència va estar representada per dues persones.</w:t>
      </w:r>
    </w:p>
    <w:p w14:paraId="023D53FD" w14:textId="7EDC9454" w:rsidR="00124FFF" w:rsidRPr="002D3252" w:rsidRDefault="00124FFF" w:rsidP="00124FFF">
      <w:pPr>
        <w:spacing w:after="240" w:line="276" w:lineRule="auto"/>
        <w:jc w:val="both"/>
        <w:rPr>
          <w:rFonts w:ascii="Arial" w:hAnsi="Arial" w:cs="Arial"/>
          <w:sz w:val="21"/>
          <w:szCs w:val="21"/>
        </w:rPr>
      </w:pPr>
      <w:r w:rsidRPr="002D3252">
        <w:rPr>
          <w:rFonts w:ascii="Arial" w:hAnsi="Arial" w:cs="Arial"/>
          <w:sz w:val="21"/>
          <w:szCs w:val="21"/>
        </w:rPr>
        <w:t>Aquesta trobada, que marca el 20</w:t>
      </w:r>
      <w:r w:rsidRPr="002D3252">
        <w:rPr>
          <w:rFonts w:ascii="Arial" w:hAnsi="Arial" w:cs="Arial"/>
          <w:sz w:val="21"/>
          <w:szCs w:val="21"/>
          <w:vertAlign w:val="superscript"/>
        </w:rPr>
        <w:t>é</w:t>
      </w:r>
      <w:r w:rsidRPr="002D3252">
        <w:rPr>
          <w:rFonts w:ascii="Arial" w:hAnsi="Arial" w:cs="Arial"/>
          <w:sz w:val="21"/>
          <w:szCs w:val="21"/>
        </w:rPr>
        <w:t xml:space="preserve"> aniversari de l’EPAC, va servir com a escenari per a discutir el que s'ha fet en aquests 20 anys de vida de l'organització i per a buscar nous camins en els camps d'anticorrupció i control policial. Es van tractar temes relacionats amb l'</w:t>
      </w:r>
      <w:r w:rsidR="00A74CF3">
        <w:rPr>
          <w:rFonts w:ascii="Arial" w:hAnsi="Arial" w:cs="Arial"/>
          <w:sz w:val="21"/>
          <w:szCs w:val="21"/>
        </w:rPr>
        <w:t>E</w:t>
      </w:r>
      <w:r w:rsidRPr="002D3252">
        <w:rPr>
          <w:rFonts w:ascii="Arial" w:hAnsi="Arial" w:cs="Arial"/>
          <w:sz w:val="21"/>
          <w:szCs w:val="21"/>
        </w:rPr>
        <w:t>stat de dret, anticorrupció, independència de les agències autònomes, accés a la informació i similars.</w:t>
      </w:r>
    </w:p>
    <w:p w14:paraId="05CBB34E" w14:textId="77777777" w:rsidR="00124FFF" w:rsidRPr="002D3252" w:rsidRDefault="00124FFF" w:rsidP="00124FFF">
      <w:pPr>
        <w:spacing w:after="0" w:line="276" w:lineRule="auto"/>
        <w:jc w:val="both"/>
        <w:rPr>
          <w:rFonts w:ascii="Arial" w:eastAsia="Times New Roman" w:hAnsi="Arial" w:cs="Arial"/>
          <w:color w:val="000000"/>
          <w:sz w:val="21"/>
          <w:szCs w:val="21"/>
          <w:lang w:eastAsia="es-ES"/>
        </w:rPr>
      </w:pPr>
      <w:r w:rsidRPr="002D3252">
        <w:rPr>
          <w:rFonts w:ascii="Arial" w:hAnsi="Arial" w:cs="Arial"/>
          <w:sz w:val="21"/>
          <w:szCs w:val="21"/>
        </w:rPr>
        <w:t>Aprofitant el marc de la conferència, es va presentar el manual realitzat pel grup de treball constituït en la 18</w:t>
      </w:r>
      <w:r w:rsidRPr="002D3252">
        <w:rPr>
          <w:rFonts w:ascii="Arial" w:hAnsi="Arial" w:cs="Arial"/>
          <w:sz w:val="21"/>
          <w:szCs w:val="21"/>
          <w:vertAlign w:val="superscript"/>
        </w:rPr>
        <w:t>é</w:t>
      </w:r>
      <w:r w:rsidRPr="002D3252">
        <w:rPr>
          <w:rFonts w:ascii="Arial" w:hAnsi="Arial" w:cs="Arial"/>
          <w:sz w:val="21"/>
          <w:szCs w:val="21"/>
        </w:rPr>
        <w:t xml:space="preserve"> Assemblea, “EU-Integritat”, que poden consultar en aquest enllaç</w:t>
      </w:r>
      <w:r w:rsidRPr="002D3252">
        <w:rPr>
          <w:rFonts w:ascii="Arial" w:eastAsia="Times New Roman" w:hAnsi="Arial" w:cs="Arial"/>
          <w:color w:val="000000"/>
          <w:sz w:val="21"/>
          <w:szCs w:val="21"/>
          <w:lang w:eastAsia="es-ES"/>
        </w:rPr>
        <w:t>:</w:t>
      </w:r>
    </w:p>
    <w:p w14:paraId="72AA791F" w14:textId="77777777" w:rsidR="00124FFF" w:rsidRPr="002D3252" w:rsidRDefault="00124FFF" w:rsidP="00124FFF">
      <w:pPr>
        <w:spacing w:after="240" w:line="276" w:lineRule="auto"/>
        <w:jc w:val="both"/>
        <w:rPr>
          <w:rFonts w:ascii="Arial" w:hAnsi="Arial" w:cs="Arial"/>
          <w:sz w:val="21"/>
          <w:szCs w:val="21"/>
        </w:rPr>
      </w:pPr>
      <w:r w:rsidRPr="002D3252">
        <w:rPr>
          <w:rFonts w:ascii="Arial" w:eastAsia="Times New Roman" w:hAnsi="Arial" w:cs="Arial"/>
          <w:color w:val="000000"/>
          <w:sz w:val="21"/>
          <w:szCs w:val="21"/>
          <w:lang w:eastAsia="es-ES"/>
        </w:rPr>
        <w:t xml:space="preserve"> </w:t>
      </w:r>
      <w:hyperlink r:id="rId103" w:history="1">
        <w:r w:rsidRPr="002D3252">
          <w:rPr>
            <w:rStyle w:val="Hipervnculo"/>
            <w:rFonts w:ascii="Arial" w:eastAsia="Times New Roman" w:hAnsi="Arial" w:cs="Arial"/>
            <w:sz w:val="21"/>
            <w:szCs w:val="21"/>
            <w:lang w:eastAsia="es-ES"/>
          </w:rPr>
          <w:t>https://www.epac-eacn.org/fileadmin/Documents/EPAC_EACN_EU_Integrity_Manual.pdf</w:t>
        </w:r>
      </w:hyperlink>
      <w:r w:rsidRPr="002D3252">
        <w:rPr>
          <w:rFonts w:ascii="Arial" w:eastAsia="Times New Roman" w:hAnsi="Arial" w:cs="Arial"/>
          <w:color w:val="000000"/>
          <w:sz w:val="21"/>
          <w:szCs w:val="21"/>
          <w:lang w:eastAsia="es-ES"/>
        </w:rPr>
        <w:t xml:space="preserve">. </w:t>
      </w:r>
    </w:p>
    <w:p w14:paraId="10F59D88" w14:textId="77777777" w:rsidR="00124FFF" w:rsidRPr="002D3252" w:rsidRDefault="00124FFF" w:rsidP="00124FFF">
      <w:pPr>
        <w:widowControl w:val="0"/>
        <w:suppressAutoHyphens/>
        <w:autoSpaceDN w:val="0"/>
        <w:spacing w:after="0" w:line="276" w:lineRule="auto"/>
        <w:jc w:val="both"/>
        <w:rPr>
          <w:rFonts w:ascii="Arial" w:hAnsi="Arial" w:cs="Arial"/>
          <w:sz w:val="21"/>
          <w:szCs w:val="21"/>
        </w:rPr>
      </w:pPr>
      <w:r w:rsidRPr="002D3252">
        <w:rPr>
          <w:rFonts w:ascii="Arial" w:hAnsi="Arial" w:cs="Arial"/>
          <w:sz w:val="21"/>
          <w:szCs w:val="21"/>
        </w:rPr>
        <w:t>També es va aprovar una declaració institucional, anomenada “Declaració de Vílnius 2021”, a la qual l'Agència va donar difusió en el seu àmbit i que poden consultar ací:</w:t>
      </w:r>
    </w:p>
    <w:p w14:paraId="3EB9B99B" w14:textId="39A917BD" w:rsidR="00A97B27" w:rsidRPr="002D3252" w:rsidRDefault="00254AEC" w:rsidP="00124FFF">
      <w:pPr>
        <w:spacing w:after="240" w:line="276" w:lineRule="auto"/>
        <w:jc w:val="both"/>
        <w:rPr>
          <w:rFonts w:ascii="Arial" w:eastAsia="Times New Roman" w:hAnsi="Arial" w:cs="Arial"/>
          <w:sz w:val="21"/>
          <w:szCs w:val="21"/>
          <w:lang w:eastAsia="es-ES"/>
        </w:rPr>
      </w:pPr>
      <w:hyperlink r:id="rId104" w:history="1">
        <w:r w:rsidR="00124FFF" w:rsidRPr="002D3252">
          <w:rPr>
            <w:rStyle w:val="Hipervnculo"/>
            <w:rFonts w:ascii="Arial" w:hAnsi="Arial" w:cs="Arial"/>
            <w:sz w:val="19"/>
            <w:szCs w:val="19"/>
          </w:rPr>
          <w:t>https://www.antifraucv.es/wp-content/uploads/2021/12/2021_EPAC_declaracion_vilnius_EN_CS.pdf</w:t>
        </w:r>
      </w:hyperlink>
    </w:p>
    <w:p w14:paraId="2A519DF5" w14:textId="77777777" w:rsidR="006419AC" w:rsidRPr="002D3252" w:rsidRDefault="006419AC" w:rsidP="006419AC">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6" w:name="_Toc95311204"/>
      <w:bookmarkStart w:id="37" w:name="_Toc99110676"/>
      <w:r w:rsidRPr="002D3252">
        <w:rPr>
          <w:rFonts w:ascii="Arial" w:eastAsia="Times New Roman" w:hAnsi="Arial" w:cs="Arial"/>
          <w:b/>
          <w:color w:val="9D2235"/>
          <w:sz w:val="28"/>
          <w:szCs w:val="28"/>
        </w:rPr>
        <w:t>Xarxa d'Autoritats Europees d'Integritat i Alertadores (NEIWA)</w:t>
      </w:r>
      <w:bookmarkEnd w:id="36"/>
      <w:bookmarkEnd w:id="37"/>
    </w:p>
    <w:p w14:paraId="18257C79" w14:textId="6F335B04" w:rsidR="006419AC" w:rsidRPr="002D3252" w:rsidRDefault="006419AC" w:rsidP="006419AC">
      <w:pPr>
        <w:spacing w:after="240" w:line="276" w:lineRule="auto"/>
        <w:jc w:val="both"/>
        <w:rPr>
          <w:rFonts w:ascii="Arial" w:hAnsi="Arial" w:cs="Arial"/>
          <w:sz w:val="21"/>
          <w:szCs w:val="21"/>
        </w:rPr>
      </w:pPr>
      <w:r w:rsidRPr="002D3252">
        <w:rPr>
          <w:rFonts w:ascii="Arial" w:eastAsia="Times New Roman" w:hAnsi="Arial" w:cs="Arial"/>
          <w:color w:val="000000"/>
          <w:sz w:val="21"/>
          <w:szCs w:val="21"/>
          <w:lang w:eastAsia="es-ES"/>
        </w:rPr>
        <w:t>El 2019, la Unió Europea va adoptar la Directiva sobre protecció de les persones alertadores de les infraccions del dret de la Unió (</w:t>
      </w:r>
      <w:r w:rsidRPr="002D3252">
        <w:rPr>
          <w:rFonts w:ascii="Arial" w:eastAsia="Times New Roman" w:hAnsi="Arial" w:cs="Arial"/>
          <w:i/>
          <w:color w:val="000000"/>
          <w:sz w:val="21"/>
          <w:szCs w:val="21"/>
          <w:lang w:eastAsia="es-ES"/>
        </w:rPr>
        <w:t>DIRECTIVA (UE) 2019/1937 DEL PARLAMENT EUROPEU I DEL CONSELL, de 23 d’octubre de 2019 relativa a la protecció de las persones que informen sobre infraccions del Dret de la Unió</w:t>
      </w:r>
      <w:r w:rsidRPr="002D3252">
        <w:rPr>
          <w:rFonts w:ascii="Arial" w:eastAsia="Times New Roman" w:hAnsi="Arial" w:cs="Arial"/>
          <w:color w:val="000000"/>
          <w:sz w:val="21"/>
          <w:szCs w:val="21"/>
          <w:lang w:eastAsia="es-ES"/>
        </w:rPr>
        <w:t xml:space="preserve">). </w:t>
      </w:r>
    </w:p>
    <w:p w14:paraId="7124F7D5" w14:textId="77777777" w:rsidR="006419AC" w:rsidRPr="002D3252" w:rsidRDefault="006419AC" w:rsidP="006419AC">
      <w:pPr>
        <w:spacing w:after="240" w:line="276" w:lineRule="auto"/>
        <w:jc w:val="both"/>
        <w:rPr>
          <w:rFonts w:ascii="Arial" w:hAnsi="Arial" w:cs="Arial"/>
          <w:sz w:val="21"/>
          <w:szCs w:val="21"/>
        </w:rPr>
      </w:pPr>
      <w:r w:rsidRPr="002D3252">
        <w:rPr>
          <w:rFonts w:ascii="Arial" w:eastAsia="Times New Roman" w:hAnsi="Arial" w:cs="Arial"/>
          <w:color w:val="000000"/>
          <w:sz w:val="21"/>
          <w:szCs w:val="21"/>
          <w:lang w:eastAsia="es-ES"/>
        </w:rPr>
        <w:t>La Xarxa d'Autoritats Europees d'Integritat i Alertadors (NEIWA), que actualment representa a 23 estats membres, es va constituir al maig d'aquell mateix any per a oferir una plataforma de cooperació i intercanvi de coneixements i experiències en el camp de la integritat i la denúncia d'irregularitats.</w:t>
      </w:r>
    </w:p>
    <w:p w14:paraId="73F3118B" w14:textId="370E8EF6" w:rsidR="00E14934" w:rsidRPr="002D3252" w:rsidRDefault="006419AC" w:rsidP="006419AC">
      <w:pPr>
        <w:jc w:val="both"/>
        <w:rPr>
          <w:rFonts w:ascii="Arial" w:eastAsia="Calibri" w:hAnsi="Arial" w:cs="Arial"/>
          <w:sz w:val="21"/>
        </w:rPr>
      </w:pPr>
      <w:r w:rsidRPr="002D3252">
        <w:rPr>
          <w:rFonts w:ascii="Arial" w:eastAsia="Times New Roman" w:hAnsi="Arial" w:cs="Arial"/>
          <w:color w:val="000000"/>
          <w:sz w:val="21"/>
          <w:szCs w:val="21"/>
          <w:lang w:eastAsia="es-ES"/>
        </w:rPr>
        <w:t>L'Agència Valenciana Antifrau és membre des de 2019, i va participar l'any 2021 en les reunions plenàries, les preparatòries, i dos grups de treball. Poden trobar informació en aquest sentit en l'apartat 4.5.2. d'aquesta Memòria</w:t>
      </w:r>
      <w:r w:rsidRPr="002D3252">
        <w:rPr>
          <w:rFonts w:ascii="Arial" w:eastAsia="Calibri" w:hAnsi="Arial" w:cs="Arial"/>
          <w:sz w:val="21"/>
        </w:rPr>
        <w:t>.</w:t>
      </w:r>
    </w:p>
    <w:p w14:paraId="5DBB606E" w14:textId="77777777" w:rsidR="006419AC" w:rsidRPr="002D3252" w:rsidRDefault="006419AC" w:rsidP="006419AC">
      <w:pPr>
        <w:pStyle w:val="Prrafodelista"/>
        <w:keepNext/>
        <w:numPr>
          <w:ilvl w:val="1"/>
          <w:numId w:val="27"/>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38" w:name="_Toc95311205"/>
      <w:bookmarkStart w:id="39" w:name="_Toc99110677"/>
      <w:r w:rsidRPr="002D3252">
        <w:rPr>
          <w:rFonts w:ascii="Arial" w:eastAsia="Times New Roman" w:hAnsi="Arial" w:cs="Arial"/>
          <w:b/>
          <w:color w:val="9D2235"/>
          <w:sz w:val="32"/>
          <w:szCs w:val="32"/>
        </w:rPr>
        <w:lastRenderedPageBreak/>
        <w:t>Assistència a act</w:t>
      </w:r>
      <w:bookmarkEnd w:id="38"/>
      <w:r w:rsidRPr="002D3252">
        <w:rPr>
          <w:rFonts w:ascii="Arial" w:eastAsia="Times New Roman" w:hAnsi="Arial" w:cs="Arial"/>
          <w:b/>
          <w:color w:val="9D2235"/>
          <w:sz w:val="32"/>
          <w:szCs w:val="32"/>
        </w:rPr>
        <w:t>es</w:t>
      </w:r>
      <w:bookmarkEnd w:id="39"/>
    </w:p>
    <w:p w14:paraId="36C2A605" w14:textId="786F4AC7" w:rsidR="009322F0" w:rsidRPr="002D3252" w:rsidRDefault="006419AC" w:rsidP="006419AC">
      <w:pPr>
        <w:widowControl w:val="0"/>
        <w:suppressAutoHyphens/>
        <w:autoSpaceDN w:val="0"/>
        <w:spacing w:after="240" w:line="276" w:lineRule="auto"/>
        <w:jc w:val="both"/>
        <w:rPr>
          <w:rFonts w:ascii="Arial" w:eastAsia="Calibri" w:hAnsi="Arial" w:cs="Arial"/>
          <w:sz w:val="21"/>
        </w:rPr>
      </w:pPr>
      <w:r w:rsidRPr="002D3252">
        <w:rPr>
          <w:rFonts w:ascii="Arial" w:eastAsia="Times New Roman" w:hAnsi="Arial" w:cs="Arial"/>
          <w:sz w:val="21"/>
          <w:szCs w:val="21"/>
          <w:lang w:eastAsia="es-ES"/>
        </w:rPr>
        <w:t>Durant l'any 2021, a causa de la continuació de la situació de pandèmia provocada per la Covid-19, l'organització d'actes s'ha vist limitada i alguns d'ells s'han realitzat de manera virtual. El director, com a representant de l'Agència ha sigut present, al llarg de l'any, en els següents actes:</w:t>
      </w:r>
    </w:p>
    <w:p w14:paraId="6BA83134" w14:textId="6E66669B" w:rsidR="000A38E8" w:rsidRPr="002D3252" w:rsidRDefault="000A38E8" w:rsidP="000A38E8">
      <w:pPr>
        <w:pStyle w:val="Descripcin"/>
        <w:keepNext/>
        <w:rPr>
          <w:rFonts w:ascii="Arial" w:hAnsi="Arial" w:cs="Arial"/>
          <w:smallCaps w:val="0"/>
          <w:sz w:val="18"/>
          <w:szCs w:val="18"/>
        </w:rPr>
      </w:pPr>
      <w:bookmarkStart w:id="40" w:name="_Toc99110846"/>
      <w:r w:rsidRPr="002D3252">
        <w:rPr>
          <w:rFonts w:ascii="Arial" w:hAnsi="Arial" w:cs="Arial"/>
          <w:smallCaps w:val="0"/>
          <w:color w:val="9D2235" w:themeColor="accent1"/>
          <w:sz w:val="18"/>
          <w:szCs w:val="18"/>
        </w:rPr>
        <w:t xml:space="preserve">Taula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Taula \* ARABIC </w:instrText>
      </w:r>
      <w:r w:rsidRPr="002D3252">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w:t>
      </w:r>
      <w:r w:rsidRPr="002D3252">
        <w:rPr>
          <w:rFonts w:ascii="Arial" w:hAnsi="Arial" w:cs="Arial"/>
          <w:smallCaps w:val="0"/>
          <w:color w:val="9D2235" w:themeColor="accent1"/>
          <w:sz w:val="18"/>
          <w:szCs w:val="18"/>
        </w:rPr>
        <w:fldChar w:fldCharType="end"/>
      </w:r>
      <w:r w:rsidRPr="002D3252">
        <w:rPr>
          <w:rFonts w:ascii="Arial" w:hAnsi="Arial" w:cs="Arial"/>
          <w:smallCaps w:val="0"/>
          <w:color w:val="9D2235" w:themeColor="accent1"/>
          <w:sz w:val="18"/>
          <w:szCs w:val="18"/>
        </w:rPr>
        <w:t xml:space="preserve">. </w:t>
      </w:r>
      <w:r w:rsidRPr="002D3252">
        <w:rPr>
          <w:rFonts w:ascii="Arial" w:hAnsi="Arial" w:cs="Arial"/>
          <w:smallCaps w:val="0"/>
          <w:sz w:val="18"/>
          <w:szCs w:val="18"/>
        </w:rPr>
        <w:t>Actes amb participació de l'Agència</w:t>
      </w:r>
      <w:bookmarkEnd w:id="40"/>
    </w:p>
    <w:tbl>
      <w:tblPr>
        <w:tblW w:w="8526" w:type="dxa"/>
        <w:tblLayout w:type="fixed"/>
        <w:tblCellMar>
          <w:top w:w="28" w:type="dxa"/>
          <w:left w:w="0" w:type="dxa"/>
          <w:bottom w:w="28" w:type="dxa"/>
          <w:right w:w="0" w:type="dxa"/>
        </w:tblCellMar>
        <w:tblLook w:val="04A0" w:firstRow="1" w:lastRow="0" w:firstColumn="1" w:lastColumn="0" w:noHBand="0" w:noVBand="1"/>
      </w:tblPr>
      <w:tblGrid>
        <w:gridCol w:w="1560"/>
        <w:gridCol w:w="6945"/>
        <w:gridCol w:w="21"/>
      </w:tblGrid>
      <w:tr w:rsidR="006419AC" w:rsidRPr="002D3252" w14:paraId="4E958DA8" w14:textId="77777777" w:rsidTr="006A100C">
        <w:trPr>
          <w:gridAfter w:val="1"/>
          <w:wAfter w:w="21" w:type="dxa"/>
          <w:trHeight w:val="397"/>
          <w:tblHeader/>
        </w:trPr>
        <w:tc>
          <w:tcPr>
            <w:tcW w:w="1560" w:type="dxa"/>
            <w:tcBorders>
              <w:top w:val="single" w:sz="6" w:space="0" w:color="993333"/>
              <w:bottom w:val="single" w:sz="6" w:space="0" w:color="993333"/>
            </w:tcBorders>
            <w:shd w:val="clear" w:color="auto" w:fill="993333"/>
            <w:vAlign w:val="center"/>
          </w:tcPr>
          <w:p w14:paraId="579F20F9" w14:textId="77777777" w:rsidR="006419AC" w:rsidRPr="002D3252" w:rsidRDefault="006419AC" w:rsidP="006419AC">
            <w:pPr>
              <w:rPr>
                <w:rFonts w:ascii="Arial" w:eastAsia="Times New Roman" w:hAnsi="Arial" w:cs="Arial"/>
                <w:sz w:val="20"/>
                <w:szCs w:val="20"/>
                <w:lang w:eastAsia="es-ES"/>
              </w:rPr>
            </w:pPr>
            <w:r w:rsidRPr="002D3252">
              <w:rPr>
                <w:rFonts w:ascii="Arial" w:eastAsia="Times New Roman" w:hAnsi="Arial" w:cs="Arial"/>
                <w:b/>
                <w:bCs/>
                <w:color w:val="FFFFFF"/>
                <w:sz w:val="20"/>
                <w:szCs w:val="20"/>
                <w:lang w:eastAsia="es-ES"/>
              </w:rPr>
              <w:t>Data</w:t>
            </w:r>
          </w:p>
        </w:tc>
        <w:tc>
          <w:tcPr>
            <w:tcW w:w="6945" w:type="dxa"/>
            <w:tcBorders>
              <w:top w:val="single" w:sz="6" w:space="0" w:color="993333"/>
              <w:left w:val="single" w:sz="8" w:space="0" w:color="993333"/>
              <w:bottom w:val="single" w:sz="6" w:space="0" w:color="993333"/>
            </w:tcBorders>
            <w:shd w:val="clear" w:color="auto" w:fill="993333"/>
            <w:tcMar>
              <w:left w:w="28" w:type="dxa"/>
            </w:tcMar>
          </w:tcPr>
          <w:p w14:paraId="0EC0CF05" w14:textId="77777777" w:rsidR="006419AC" w:rsidRPr="002D3252" w:rsidRDefault="006419AC" w:rsidP="006419AC">
            <w:pPr>
              <w:rPr>
                <w:rFonts w:ascii="Arial" w:eastAsia="Times New Roman" w:hAnsi="Arial" w:cs="Arial"/>
                <w:b/>
                <w:bCs/>
                <w:color w:val="FFFFFF"/>
                <w:sz w:val="20"/>
                <w:szCs w:val="20"/>
                <w:lang w:eastAsia="es-ES"/>
              </w:rPr>
            </w:pPr>
            <w:r w:rsidRPr="002D3252">
              <w:rPr>
                <w:rFonts w:ascii="Arial" w:eastAsia="Times New Roman" w:hAnsi="Arial" w:cs="Arial"/>
                <w:b/>
                <w:bCs/>
                <w:color w:val="FFFFFF"/>
                <w:sz w:val="20"/>
                <w:szCs w:val="20"/>
                <w:lang w:eastAsia="es-ES"/>
              </w:rPr>
              <w:t xml:space="preserve">Entitat </w:t>
            </w:r>
            <w:r w:rsidRPr="002D3252">
              <w:rPr>
                <w:rFonts w:ascii="Arial" w:eastAsia="Times New Roman" w:hAnsi="Arial" w:cs="Arial"/>
                <w:b/>
                <w:bCs/>
                <w:i/>
                <w:color w:val="FFFFFF"/>
                <w:sz w:val="20"/>
                <w:szCs w:val="20"/>
                <w:lang w:eastAsia="es-ES"/>
              </w:rPr>
              <w:t>Lloc</w:t>
            </w:r>
          </w:p>
          <w:p w14:paraId="15D2AF23" w14:textId="77777777" w:rsidR="006419AC" w:rsidRPr="002D3252" w:rsidRDefault="006419AC" w:rsidP="006419AC">
            <w:pPr>
              <w:rPr>
                <w:rFonts w:ascii="Arial" w:eastAsia="Times New Roman" w:hAnsi="Arial" w:cs="Arial"/>
                <w:b/>
                <w:bCs/>
                <w:color w:val="FFFFFF"/>
                <w:sz w:val="20"/>
                <w:szCs w:val="20"/>
                <w:lang w:eastAsia="es-ES"/>
              </w:rPr>
            </w:pPr>
            <w:r w:rsidRPr="002D3252">
              <w:rPr>
                <w:rFonts w:ascii="Arial" w:eastAsia="Times New Roman" w:hAnsi="Arial" w:cs="Arial"/>
                <w:b/>
                <w:bCs/>
                <w:color w:val="FFFFFF"/>
                <w:sz w:val="20"/>
                <w:szCs w:val="20"/>
                <w:lang w:eastAsia="es-ES"/>
              </w:rPr>
              <w:t>ACTIVITAT</w:t>
            </w:r>
          </w:p>
        </w:tc>
      </w:tr>
      <w:tr w:rsidR="006419AC" w:rsidRPr="002D3252" w14:paraId="55891560" w14:textId="77777777" w:rsidTr="006A100C">
        <w:trPr>
          <w:trHeight w:val="397"/>
        </w:trPr>
        <w:tc>
          <w:tcPr>
            <w:tcW w:w="1560" w:type="dxa"/>
            <w:tcBorders>
              <w:bottom w:val="single" w:sz="6" w:space="0" w:color="993333"/>
            </w:tcBorders>
            <w:shd w:val="clear" w:color="auto" w:fill="auto"/>
            <w:vAlign w:val="center"/>
          </w:tcPr>
          <w:p w14:paraId="5A684BDC" w14:textId="77777777" w:rsidR="006419AC" w:rsidRPr="002D3252" w:rsidRDefault="006419AC" w:rsidP="006419AC">
            <w:pPr>
              <w:spacing w:after="0" w:line="276" w:lineRule="auto"/>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15 de febrer</w:t>
            </w:r>
          </w:p>
        </w:tc>
        <w:tc>
          <w:tcPr>
            <w:tcW w:w="6945" w:type="dxa"/>
            <w:tcBorders>
              <w:bottom w:val="single" w:sz="6" w:space="0" w:color="993333"/>
            </w:tcBorders>
            <w:shd w:val="clear" w:color="auto" w:fill="auto"/>
          </w:tcPr>
          <w:p w14:paraId="6E330AFD"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Transparency International España.</w:t>
            </w:r>
            <w:r w:rsidRPr="002D3252">
              <w:rPr>
                <w:rFonts w:ascii="Arial" w:eastAsia="Times New Roman" w:hAnsi="Arial" w:cs="Arial"/>
                <w:i/>
                <w:sz w:val="18"/>
                <w:szCs w:val="18"/>
                <w:lang w:eastAsia="es-ES"/>
              </w:rPr>
              <w:t xml:space="preserve"> Virtual</w:t>
            </w:r>
          </w:p>
          <w:p w14:paraId="37398478" w14:textId="77777777" w:rsidR="006419AC" w:rsidRPr="002D3252" w:rsidRDefault="006419AC" w:rsidP="006419AC">
            <w:pPr>
              <w:spacing w:after="0" w:line="276" w:lineRule="auto"/>
              <w:ind w:right="142"/>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Jornada "</w:t>
            </w:r>
            <w:r w:rsidRPr="002D3252">
              <w:t xml:space="preserve"> </w:t>
            </w:r>
            <w:r w:rsidRPr="002D3252">
              <w:rPr>
                <w:rFonts w:ascii="Arial" w:eastAsia="Times New Roman" w:hAnsi="Arial" w:cs="Arial"/>
                <w:i/>
                <w:color w:val="000000"/>
                <w:sz w:val="18"/>
                <w:szCs w:val="18"/>
                <w:lang w:eastAsia="es-ES"/>
              </w:rPr>
              <w:t>Avanços i reptes en transparència i integritat en el Congrés dels Diputats i el Senat d'Espanya</w:t>
            </w:r>
            <w:r w:rsidRPr="002D3252">
              <w:rPr>
                <w:rFonts w:ascii="Arial" w:eastAsia="Times New Roman" w:hAnsi="Arial" w:cs="Arial"/>
                <w:color w:val="000000"/>
                <w:sz w:val="18"/>
                <w:szCs w:val="18"/>
                <w:lang w:eastAsia="es-ES"/>
              </w:rPr>
              <w:t xml:space="preserve">". </w:t>
            </w:r>
          </w:p>
          <w:p w14:paraId="349BD379" w14:textId="77777777" w:rsidR="006419AC" w:rsidRPr="002D3252" w:rsidRDefault="00254AEC" w:rsidP="006419AC">
            <w:pPr>
              <w:spacing w:after="0" w:line="276" w:lineRule="auto"/>
              <w:jc w:val="both"/>
              <w:rPr>
                <w:rFonts w:ascii="Arial" w:eastAsia="Times New Roman" w:hAnsi="Arial" w:cs="Arial"/>
                <w:color w:val="000000"/>
                <w:sz w:val="18"/>
                <w:szCs w:val="18"/>
                <w:lang w:eastAsia="es-ES"/>
              </w:rPr>
            </w:pPr>
            <w:hyperlink r:id="rId105" w:history="1">
              <w:r w:rsidR="006419AC" w:rsidRPr="002D3252">
                <w:rPr>
                  <w:rFonts w:ascii="Arial" w:eastAsia="Times New Roman" w:hAnsi="Arial" w:cs="Arial"/>
                  <w:color w:val="000080"/>
                  <w:sz w:val="18"/>
                  <w:szCs w:val="18"/>
                  <w:u w:val="single"/>
                  <w:lang w:eastAsia="es-ES"/>
                </w:rPr>
                <w:t>https://transparencia.org.es/wp-content/uploads/2021/02/Programa-Avances-y-retos-en-transparencia-e-integridad-en-el-Congreso-de-los-Diputados-y-el-Senado-de-Espana-1.pdf</w:t>
              </w:r>
            </w:hyperlink>
            <w:r w:rsidR="006419AC" w:rsidRPr="002D3252">
              <w:rPr>
                <w:rFonts w:ascii="Arial" w:eastAsia="Times New Roman" w:hAnsi="Arial" w:cs="Arial"/>
                <w:color w:val="000000"/>
                <w:sz w:val="18"/>
                <w:szCs w:val="18"/>
                <w:lang w:eastAsia="es-ES"/>
              </w:rPr>
              <w:t xml:space="preserve"> </w:t>
            </w:r>
          </w:p>
        </w:tc>
        <w:tc>
          <w:tcPr>
            <w:tcW w:w="21" w:type="dxa"/>
            <w:shd w:val="clear" w:color="auto" w:fill="auto"/>
          </w:tcPr>
          <w:p w14:paraId="590CA7AA" w14:textId="77777777" w:rsidR="006419AC" w:rsidRPr="002D3252" w:rsidRDefault="006419AC" w:rsidP="006419AC">
            <w:pPr>
              <w:rPr>
                <w:rFonts w:cs="Arial"/>
                <w:szCs w:val="21"/>
              </w:rPr>
            </w:pPr>
          </w:p>
        </w:tc>
      </w:tr>
      <w:tr w:rsidR="006419AC" w:rsidRPr="002D3252" w14:paraId="06957849" w14:textId="77777777" w:rsidTr="006A100C">
        <w:trPr>
          <w:trHeight w:val="397"/>
        </w:trPr>
        <w:tc>
          <w:tcPr>
            <w:tcW w:w="1560" w:type="dxa"/>
            <w:tcBorders>
              <w:bottom w:val="single" w:sz="6" w:space="0" w:color="993333"/>
            </w:tcBorders>
            <w:shd w:val="clear" w:color="auto" w:fill="auto"/>
            <w:vAlign w:val="center"/>
          </w:tcPr>
          <w:p w14:paraId="0705DDF1" w14:textId="77777777" w:rsidR="006419AC" w:rsidRPr="002D3252" w:rsidRDefault="006419AC" w:rsidP="006419AC">
            <w:pPr>
              <w:spacing w:after="0" w:line="276" w:lineRule="auto"/>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25 d’abril</w:t>
            </w:r>
          </w:p>
        </w:tc>
        <w:tc>
          <w:tcPr>
            <w:tcW w:w="6945" w:type="dxa"/>
            <w:tcBorders>
              <w:bottom w:val="single" w:sz="6" w:space="0" w:color="993333"/>
            </w:tcBorders>
            <w:shd w:val="clear" w:color="auto" w:fill="auto"/>
          </w:tcPr>
          <w:p w14:paraId="072026C5" w14:textId="77777777" w:rsidR="006419AC" w:rsidRPr="002D3252" w:rsidRDefault="006419AC" w:rsidP="006419AC">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color w:val="000000"/>
                <w:sz w:val="18"/>
                <w:szCs w:val="18"/>
                <w:lang w:eastAsia="es-ES"/>
              </w:rPr>
              <w:t xml:space="preserve">Corts Valencianes. </w:t>
            </w:r>
            <w:r w:rsidRPr="002D3252">
              <w:rPr>
                <w:rFonts w:ascii="Arial" w:eastAsia="Times New Roman" w:hAnsi="Arial" w:cs="Arial"/>
                <w:i/>
                <w:color w:val="000000"/>
                <w:sz w:val="18"/>
                <w:szCs w:val="18"/>
                <w:lang w:eastAsia="es-ES"/>
              </w:rPr>
              <w:t>València</w:t>
            </w:r>
          </w:p>
          <w:p w14:paraId="777BFA3A" w14:textId="157F5F2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 xml:space="preserve">Acte en commemoració del Dia de </w:t>
            </w:r>
            <w:r w:rsidR="00B6627C">
              <w:rPr>
                <w:rFonts w:ascii="Arial" w:eastAsia="Times New Roman" w:hAnsi="Arial" w:cs="Arial"/>
                <w:color w:val="000000"/>
                <w:sz w:val="18"/>
                <w:szCs w:val="18"/>
                <w:lang w:eastAsia="es-ES"/>
              </w:rPr>
              <w:t>l</w:t>
            </w:r>
            <w:r w:rsidRPr="002D3252">
              <w:rPr>
                <w:rFonts w:ascii="Arial" w:eastAsia="Times New Roman" w:hAnsi="Arial" w:cs="Arial"/>
                <w:color w:val="000000"/>
                <w:sz w:val="18"/>
                <w:szCs w:val="18"/>
                <w:lang w:eastAsia="es-ES"/>
              </w:rPr>
              <w:t>es Corts.</w:t>
            </w:r>
          </w:p>
        </w:tc>
        <w:tc>
          <w:tcPr>
            <w:tcW w:w="21" w:type="dxa"/>
            <w:shd w:val="clear" w:color="auto" w:fill="auto"/>
          </w:tcPr>
          <w:p w14:paraId="6A3B78C8" w14:textId="77777777" w:rsidR="006419AC" w:rsidRPr="002D3252" w:rsidRDefault="006419AC" w:rsidP="006419AC">
            <w:pPr>
              <w:rPr>
                <w:rFonts w:cs="Arial"/>
                <w:szCs w:val="21"/>
              </w:rPr>
            </w:pPr>
          </w:p>
        </w:tc>
      </w:tr>
      <w:tr w:rsidR="006419AC" w:rsidRPr="002D3252" w14:paraId="5AB6FE5E" w14:textId="77777777" w:rsidTr="006A100C">
        <w:trPr>
          <w:gridAfter w:val="1"/>
          <w:wAfter w:w="21" w:type="dxa"/>
          <w:trHeight w:val="397"/>
        </w:trPr>
        <w:tc>
          <w:tcPr>
            <w:tcW w:w="1560" w:type="dxa"/>
            <w:tcBorders>
              <w:bottom w:val="single" w:sz="6" w:space="0" w:color="993333"/>
            </w:tcBorders>
            <w:shd w:val="clear" w:color="auto" w:fill="auto"/>
            <w:tcMar>
              <w:top w:w="0" w:type="dxa"/>
            </w:tcMar>
            <w:vAlign w:val="center"/>
          </w:tcPr>
          <w:p w14:paraId="2F344404" w14:textId="77777777" w:rsidR="006419AC" w:rsidRPr="002D3252" w:rsidRDefault="006419AC" w:rsidP="006419AC">
            <w:pPr>
              <w:spacing w:after="0" w:line="276" w:lineRule="auto"/>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 xml:space="preserve">9 de setembre </w:t>
            </w:r>
          </w:p>
        </w:tc>
        <w:tc>
          <w:tcPr>
            <w:tcW w:w="6945" w:type="dxa"/>
            <w:tcBorders>
              <w:bottom w:val="single" w:sz="6" w:space="0" w:color="993333"/>
            </w:tcBorders>
            <w:shd w:val="clear" w:color="auto" w:fill="auto"/>
            <w:tcMar>
              <w:top w:w="0" w:type="dxa"/>
            </w:tcMar>
          </w:tcPr>
          <w:p w14:paraId="0322097A"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 xml:space="preserve">SER Radio València. </w:t>
            </w:r>
            <w:r w:rsidRPr="002D3252">
              <w:rPr>
                <w:rFonts w:ascii="Arial" w:eastAsia="Times New Roman" w:hAnsi="Arial" w:cs="Arial"/>
                <w:i/>
                <w:sz w:val="18"/>
                <w:szCs w:val="18"/>
                <w:lang w:eastAsia="es-ES"/>
              </w:rPr>
              <w:t>València</w:t>
            </w:r>
          </w:p>
          <w:p w14:paraId="4BD22D64"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Diàlegs SER amb Nadia Calviño, vicepresidenta primera i ministra d'Economia i Transformació Digital.</w:t>
            </w:r>
          </w:p>
          <w:p w14:paraId="59242547" w14:textId="77777777" w:rsidR="006419AC" w:rsidRPr="002D3252" w:rsidRDefault="00254AEC" w:rsidP="006419AC">
            <w:pPr>
              <w:spacing w:after="0" w:line="276" w:lineRule="auto"/>
              <w:jc w:val="both"/>
              <w:rPr>
                <w:rFonts w:ascii="Arial" w:eastAsia="Times New Roman" w:hAnsi="Arial" w:cs="Arial"/>
                <w:color w:val="000000"/>
                <w:sz w:val="18"/>
                <w:szCs w:val="18"/>
                <w:lang w:eastAsia="es-ES"/>
              </w:rPr>
            </w:pPr>
            <w:hyperlink r:id="rId106" w:history="1">
              <w:r w:rsidR="006419AC" w:rsidRPr="002D3252">
                <w:rPr>
                  <w:rFonts w:ascii="Arial" w:eastAsia="Times New Roman" w:hAnsi="Arial" w:cs="Arial"/>
                  <w:color w:val="000080"/>
                  <w:sz w:val="18"/>
                  <w:szCs w:val="18"/>
                  <w:u w:val="single"/>
                  <w:lang w:eastAsia="es-ES"/>
                </w:rPr>
                <w:t>https://cadenaser.com/emisora/2021/09/09/radio_valencia/1631174207_764962.html</w:t>
              </w:r>
            </w:hyperlink>
            <w:r w:rsidR="006419AC" w:rsidRPr="002D3252">
              <w:rPr>
                <w:rFonts w:ascii="Arial" w:eastAsia="Times New Roman" w:hAnsi="Arial" w:cs="Arial"/>
                <w:color w:val="000000"/>
                <w:sz w:val="18"/>
                <w:szCs w:val="18"/>
                <w:lang w:eastAsia="es-ES"/>
              </w:rPr>
              <w:t xml:space="preserve"> </w:t>
            </w:r>
          </w:p>
        </w:tc>
      </w:tr>
      <w:tr w:rsidR="006419AC" w:rsidRPr="002D3252" w14:paraId="67F4BB55" w14:textId="77777777" w:rsidTr="006A100C">
        <w:trPr>
          <w:gridAfter w:val="1"/>
          <w:wAfter w:w="21" w:type="dxa"/>
          <w:trHeight w:val="397"/>
        </w:trPr>
        <w:tc>
          <w:tcPr>
            <w:tcW w:w="1560" w:type="dxa"/>
            <w:tcBorders>
              <w:bottom w:val="single" w:sz="6" w:space="0" w:color="993333"/>
            </w:tcBorders>
            <w:shd w:val="clear" w:color="auto" w:fill="auto"/>
            <w:tcMar>
              <w:top w:w="0" w:type="dxa"/>
            </w:tcMar>
            <w:vAlign w:val="center"/>
          </w:tcPr>
          <w:p w14:paraId="3949335E" w14:textId="77777777" w:rsidR="006419AC" w:rsidRPr="002D3252" w:rsidRDefault="006419AC" w:rsidP="006419AC">
            <w:pPr>
              <w:spacing w:after="0" w:line="276" w:lineRule="auto"/>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16 de setembre</w:t>
            </w:r>
          </w:p>
        </w:tc>
        <w:tc>
          <w:tcPr>
            <w:tcW w:w="6945" w:type="dxa"/>
            <w:tcBorders>
              <w:bottom w:val="single" w:sz="6" w:space="0" w:color="993333"/>
            </w:tcBorders>
            <w:shd w:val="clear" w:color="auto" w:fill="auto"/>
            <w:tcMar>
              <w:top w:w="0" w:type="dxa"/>
            </w:tcMar>
          </w:tcPr>
          <w:p w14:paraId="4844611C"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 xml:space="preserve">SER Radio València. </w:t>
            </w:r>
            <w:r w:rsidRPr="002D3252">
              <w:rPr>
                <w:rFonts w:ascii="Arial" w:eastAsia="Times New Roman" w:hAnsi="Arial" w:cs="Arial"/>
                <w:i/>
                <w:sz w:val="18"/>
                <w:szCs w:val="18"/>
                <w:lang w:eastAsia="es-ES"/>
              </w:rPr>
              <w:t>València</w:t>
            </w:r>
          </w:p>
          <w:p w14:paraId="024E3F59"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Acte en commemoració del 90 aniversari de Radio València.</w:t>
            </w:r>
          </w:p>
          <w:p w14:paraId="0EE0FA73" w14:textId="77777777" w:rsidR="006419AC" w:rsidRPr="002D3252" w:rsidRDefault="00254AEC" w:rsidP="006419AC">
            <w:pPr>
              <w:spacing w:after="0" w:line="276" w:lineRule="auto"/>
              <w:jc w:val="both"/>
              <w:rPr>
                <w:rFonts w:ascii="Arial" w:hAnsi="Arial" w:cs="Arial"/>
                <w:sz w:val="18"/>
                <w:szCs w:val="18"/>
              </w:rPr>
            </w:pPr>
            <w:hyperlink r:id="rId107" w:history="1">
              <w:r w:rsidR="006419AC" w:rsidRPr="002D3252">
                <w:rPr>
                  <w:rFonts w:ascii="Arial" w:eastAsia="Times New Roman" w:hAnsi="Arial" w:cs="Arial"/>
                  <w:color w:val="000080"/>
                  <w:sz w:val="18"/>
                  <w:szCs w:val="18"/>
                  <w:u w:val="single"/>
                  <w:lang w:eastAsia="es-ES"/>
                </w:rPr>
                <w:t>https://cadenaser.com/emisora/2021/12/21/radio_valencia/1640079185_445942.html</w:t>
              </w:r>
            </w:hyperlink>
            <w:r w:rsidR="006419AC" w:rsidRPr="002D3252">
              <w:rPr>
                <w:rFonts w:ascii="Arial" w:eastAsia="Times New Roman" w:hAnsi="Arial" w:cs="Arial"/>
                <w:color w:val="000000"/>
                <w:sz w:val="18"/>
                <w:szCs w:val="18"/>
                <w:lang w:eastAsia="es-ES"/>
              </w:rPr>
              <w:t xml:space="preserve"> </w:t>
            </w:r>
          </w:p>
        </w:tc>
      </w:tr>
      <w:tr w:rsidR="006419AC" w:rsidRPr="002D3252" w14:paraId="4F603ADA" w14:textId="77777777" w:rsidTr="006A100C">
        <w:trPr>
          <w:gridAfter w:val="1"/>
          <w:wAfter w:w="21" w:type="dxa"/>
          <w:trHeight w:val="397"/>
        </w:trPr>
        <w:tc>
          <w:tcPr>
            <w:tcW w:w="1560" w:type="dxa"/>
            <w:tcBorders>
              <w:bottom w:val="single" w:sz="6" w:space="0" w:color="993333"/>
            </w:tcBorders>
            <w:shd w:val="clear" w:color="auto" w:fill="auto"/>
            <w:tcMar>
              <w:top w:w="0" w:type="dxa"/>
            </w:tcMar>
            <w:vAlign w:val="center"/>
          </w:tcPr>
          <w:p w14:paraId="32C3AD82" w14:textId="77777777" w:rsidR="006419AC" w:rsidRPr="002D3252" w:rsidRDefault="006419AC" w:rsidP="006419AC">
            <w:pPr>
              <w:spacing w:after="0" w:line="276" w:lineRule="auto"/>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27-29 de setembre</w:t>
            </w:r>
          </w:p>
        </w:tc>
        <w:tc>
          <w:tcPr>
            <w:tcW w:w="6945" w:type="dxa"/>
            <w:tcBorders>
              <w:bottom w:val="single" w:sz="6" w:space="0" w:color="993333"/>
            </w:tcBorders>
            <w:shd w:val="clear" w:color="auto" w:fill="auto"/>
            <w:tcMar>
              <w:top w:w="0" w:type="dxa"/>
            </w:tcMar>
          </w:tcPr>
          <w:p w14:paraId="17E410D9"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 xml:space="preserve">VI Congrés Internacional de Transparència. </w:t>
            </w:r>
            <w:r w:rsidRPr="002D3252">
              <w:rPr>
                <w:rFonts w:ascii="Arial" w:eastAsia="Times New Roman" w:hAnsi="Arial" w:cs="Arial"/>
                <w:i/>
                <w:sz w:val="18"/>
                <w:szCs w:val="18"/>
                <w:lang w:eastAsia="es-ES"/>
              </w:rPr>
              <w:t>Alacant</w:t>
            </w:r>
          </w:p>
          <w:p w14:paraId="23670649"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Assistència presencial al Congrés Internacional de Transparència, celebrat en la Universitat d'Alacant.</w:t>
            </w:r>
          </w:p>
          <w:p w14:paraId="4268F3DD" w14:textId="77777777" w:rsidR="006419AC" w:rsidRPr="002D3252" w:rsidRDefault="00254AEC" w:rsidP="006419AC">
            <w:pPr>
              <w:spacing w:after="0" w:line="276" w:lineRule="auto"/>
              <w:jc w:val="both"/>
              <w:rPr>
                <w:rFonts w:ascii="Arial" w:eastAsia="Times New Roman" w:hAnsi="Arial" w:cs="Arial"/>
                <w:color w:val="000000"/>
                <w:sz w:val="18"/>
                <w:szCs w:val="18"/>
                <w:lang w:eastAsia="es-ES"/>
              </w:rPr>
            </w:pPr>
            <w:hyperlink r:id="rId108" w:history="1">
              <w:r w:rsidR="006419AC" w:rsidRPr="002D3252">
                <w:rPr>
                  <w:rFonts w:ascii="Arial" w:eastAsia="Times New Roman" w:hAnsi="Arial" w:cs="Arial"/>
                  <w:color w:val="000080"/>
                  <w:sz w:val="18"/>
                  <w:szCs w:val="18"/>
                  <w:u w:val="single"/>
                  <w:lang w:eastAsia="es-ES"/>
                </w:rPr>
                <w:t>https://congresotransparencia.com/programa-alicante/</w:t>
              </w:r>
            </w:hyperlink>
            <w:r w:rsidR="006419AC" w:rsidRPr="002D3252">
              <w:rPr>
                <w:rFonts w:ascii="Arial" w:eastAsia="Times New Roman" w:hAnsi="Arial" w:cs="Arial"/>
                <w:color w:val="000000"/>
                <w:sz w:val="18"/>
                <w:szCs w:val="18"/>
                <w:lang w:eastAsia="es-ES"/>
              </w:rPr>
              <w:t xml:space="preserve"> </w:t>
            </w:r>
          </w:p>
        </w:tc>
      </w:tr>
      <w:tr w:rsidR="006419AC" w:rsidRPr="002D3252" w14:paraId="70CCFFF6" w14:textId="77777777" w:rsidTr="006A100C">
        <w:trPr>
          <w:gridAfter w:val="1"/>
          <w:wAfter w:w="21" w:type="dxa"/>
          <w:trHeight w:val="397"/>
        </w:trPr>
        <w:tc>
          <w:tcPr>
            <w:tcW w:w="1560" w:type="dxa"/>
            <w:tcBorders>
              <w:bottom w:val="single" w:sz="6" w:space="0" w:color="993333"/>
            </w:tcBorders>
            <w:shd w:val="clear" w:color="auto" w:fill="auto"/>
            <w:tcMar>
              <w:top w:w="0" w:type="dxa"/>
            </w:tcMar>
            <w:vAlign w:val="center"/>
          </w:tcPr>
          <w:p w14:paraId="39BEA7AB" w14:textId="77777777" w:rsidR="006419AC" w:rsidRPr="002D3252" w:rsidRDefault="006419AC" w:rsidP="006419AC">
            <w:pPr>
              <w:spacing w:after="0" w:line="276" w:lineRule="auto"/>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21 d’octubre</w:t>
            </w:r>
          </w:p>
        </w:tc>
        <w:tc>
          <w:tcPr>
            <w:tcW w:w="6945" w:type="dxa"/>
            <w:tcBorders>
              <w:bottom w:val="single" w:sz="6" w:space="0" w:color="993333"/>
            </w:tcBorders>
            <w:shd w:val="clear" w:color="auto" w:fill="auto"/>
            <w:tcMar>
              <w:top w:w="0" w:type="dxa"/>
            </w:tcMar>
          </w:tcPr>
          <w:p w14:paraId="6233293B"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 xml:space="preserve">Universitat CEU – Cardenal Herrera. </w:t>
            </w:r>
            <w:r w:rsidRPr="002D3252">
              <w:rPr>
                <w:rFonts w:ascii="Arial" w:eastAsia="Times New Roman" w:hAnsi="Arial" w:cs="Arial"/>
                <w:i/>
                <w:color w:val="000000"/>
                <w:sz w:val="18"/>
                <w:szCs w:val="18"/>
                <w:lang w:eastAsia="es-ES"/>
              </w:rPr>
              <w:t>Alfara del Patriarca</w:t>
            </w:r>
          </w:p>
          <w:p w14:paraId="5FC19BAA" w14:textId="77777777" w:rsidR="006419AC" w:rsidRPr="002D3252" w:rsidRDefault="006419AC" w:rsidP="006419AC">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Acte d’entrega dels Segells Infoparticipa 2020.</w:t>
            </w:r>
          </w:p>
          <w:p w14:paraId="217DC3CB" w14:textId="77777777" w:rsidR="006419AC" w:rsidRPr="002D3252" w:rsidRDefault="00254AEC" w:rsidP="006419AC">
            <w:pPr>
              <w:spacing w:after="0" w:line="276" w:lineRule="auto"/>
              <w:jc w:val="both"/>
              <w:rPr>
                <w:rFonts w:ascii="Arial" w:hAnsi="Arial" w:cs="Arial"/>
                <w:sz w:val="18"/>
                <w:szCs w:val="18"/>
              </w:rPr>
            </w:pPr>
            <w:hyperlink r:id="rId109" w:history="1">
              <w:r w:rsidR="006419AC" w:rsidRPr="002D3252">
                <w:rPr>
                  <w:rFonts w:ascii="Arial" w:hAnsi="Arial" w:cs="Arial"/>
                  <w:color w:val="000080"/>
                  <w:sz w:val="18"/>
                  <w:szCs w:val="18"/>
                  <w:u w:val="single"/>
                </w:rPr>
                <w:t>https://www.antifraucv.es/va/els-ajuntaments-i-diputacions-mes-transparents-de-la-comunitat-valenciana-recullen-en-la-ceu-uch-els-segells-infoparticipa-2020/</w:t>
              </w:r>
            </w:hyperlink>
            <w:r w:rsidR="006419AC" w:rsidRPr="002D3252">
              <w:rPr>
                <w:rFonts w:ascii="Arial" w:hAnsi="Arial" w:cs="Arial"/>
                <w:sz w:val="18"/>
                <w:szCs w:val="18"/>
              </w:rPr>
              <w:t xml:space="preserve"> </w:t>
            </w:r>
          </w:p>
        </w:tc>
      </w:tr>
    </w:tbl>
    <w:p w14:paraId="09DD5F0F" w14:textId="71F6C7F9" w:rsidR="009322F0" w:rsidRPr="002D3252" w:rsidRDefault="009322F0" w:rsidP="00B15188">
      <w:pPr>
        <w:widowControl w:val="0"/>
        <w:suppressAutoHyphens/>
        <w:autoSpaceDN w:val="0"/>
        <w:spacing w:after="240" w:line="276" w:lineRule="auto"/>
        <w:jc w:val="both"/>
        <w:rPr>
          <w:rFonts w:ascii="Arial" w:eastAsia="Calibri" w:hAnsi="Arial" w:cs="Arial"/>
          <w:sz w:val="21"/>
        </w:rPr>
      </w:pPr>
    </w:p>
    <w:p w14:paraId="4EA637B0" w14:textId="77777777" w:rsidR="000A38E8" w:rsidRPr="002D3252" w:rsidRDefault="000A38E8" w:rsidP="000A38E8">
      <w:pPr>
        <w:pStyle w:val="Prrafodelista"/>
        <w:keepNext/>
        <w:numPr>
          <w:ilvl w:val="1"/>
          <w:numId w:val="27"/>
        </w:numPr>
        <w:spacing w:before="360" w:after="360" w:line="276" w:lineRule="auto"/>
        <w:ind w:left="851" w:hanging="851"/>
        <w:contextualSpacing w:val="0"/>
        <w:jc w:val="both"/>
        <w:outlineLvl w:val="1"/>
        <w:rPr>
          <w:rFonts w:ascii="Arial" w:eastAsia="Times New Roman" w:hAnsi="Arial" w:cs="Arial"/>
          <w:b/>
          <w:color w:val="9D2235"/>
          <w:sz w:val="32"/>
          <w:szCs w:val="32"/>
        </w:rPr>
      </w:pPr>
      <w:bookmarkStart w:id="41" w:name="_Toc95311206"/>
      <w:bookmarkStart w:id="42" w:name="_Toc99110678"/>
      <w:r w:rsidRPr="002D3252">
        <w:rPr>
          <w:rFonts w:ascii="Arial" w:eastAsia="Times New Roman" w:hAnsi="Arial" w:cs="Arial"/>
          <w:b/>
          <w:color w:val="9D2235"/>
          <w:sz w:val="32"/>
          <w:szCs w:val="32"/>
        </w:rPr>
        <w:t>Conferencies impartides</w:t>
      </w:r>
      <w:bookmarkEnd w:id="41"/>
      <w:bookmarkEnd w:id="42"/>
    </w:p>
    <w:p w14:paraId="59B32A23" w14:textId="77777777" w:rsidR="000A38E8" w:rsidRPr="002D3252" w:rsidRDefault="000A38E8" w:rsidP="000A38E8">
      <w:pPr>
        <w:spacing w:after="360" w:line="276" w:lineRule="auto"/>
        <w:jc w:val="both"/>
        <w:rPr>
          <w:rFonts w:ascii="Arial" w:eastAsia="Times New Roman" w:hAnsi="Arial" w:cs="Arial"/>
          <w:sz w:val="21"/>
          <w:szCs w:val="21"/>
          <w:lang w:eastAsia="es-ES"/>
        </w:rPr>
      </w:pPr>
      <w:r w:rsidRPr="002D3252">
        <w:rPr>
          <w:rFonts w:ascii="Arial" w:eastAsia="Times New Roman" w:hAnsi="Arial" w:cs="Arial"/>
          <w:sz w:val="21"/>
          <w:szCs w:val="21"/>
          <w:lang w:eastAsia="es-ES"/>
        </w:rPr>
        <w:t>Així mateix, el director de l'Agència ha pronunciat les següents conferències al llarg de 2021. Les conferències han tingut lloc tant en la Comunitat Valenciana com en la resta d'Espanya, i totes es versen sobre la prevenció i l'erradicació del frau i la corrupció, l'impuls de la integritat i l'ètica pública, el foment d'una cultura de bones pràctiques en el disseny, l'execució i l'avaluació de polítiques públiques, així com en la gestió de recursos públics, que són els eixos fonamentals de l'actuació d'aquesta Agència.</w:t>
      </w:r>
    </w:p>
    <w:p w14:paraId="23629D03" w14:textId="49645A54" w:rsidR="009322F0" w:rsidRPr="002D3252" w:rsidRDefault="000A38E8" w:rsidP="000A38E8">
      <w:pPr>
        <w:widowControl w:val="0"/>
        <w:suppressAutoHyphens/>
        <w:autoSpaceDN w:val="0"/>
        <w:spacing w:after="240" w:line="276" w:lineRule="auto"/>
        <w:jc w:val="both"/>
        <w:rPr>
          <w:rFonts w:ascii="Arial" w:eastAsia="Calibri" w:hAnsi="Arial" w:cs="Arial"/>
          <w:sz w:val="21"/>
        </w:rPr>
      </w:pPr>
      <w:r w:rsidRPr="002D3252">
        <w:rPr>
          <w:rFonts w:ascii="Arial" w:eastAsia="Times New Roman" w:hAnsi="Arial" w:cs="Arial"/>
          <w:sz w:val="21"/>
          <w:szCs w:val="21"/>
          <w:lang w:eastAsia="es-ES"/>
        </w:rPr>
        <w:t>Totes aquestes activitats les ha dutes a terme el director de l'Agència en raó del seu càrrec i, per tant, sense rebre cap mena de contraprestació econòmica.</w:t>
      </w:r>
    </w:p>
    <w:p w14:paraId="70FE2A86" w14:textId="0C7B680E" w:rsidR="00590DF9" w:rsidRPr="002D3252" w:rsidRDefault="00590DF9" w:rsidP="00590DF9">
      <w:pPr>
        <w:pStyle w:val="Descripcin"/>
        <w:keepNext/>
        <w:rPr>
          <w:rFonts w:ascii="Arial" w:hAnsi="Arial" w:cs="Arial"/>
          <w:smallCaps w:val="0"/>
          <w:sz w:val="18"/>
          <w:szCs w:val="18"/>
        </w:rPr>
      </w:pPr>
      <w:bookmarkStart w:id="43" w:name="_Toc99110847"/>
      <w:r w:rsidRPr="002D3252">
        <w:rPr>
          <w:rFonts w:ascii="Arial" w:hAnsi="Arial" w:cs="Arial"/>
          <w:smallCaps w:val="0"/>
          <w:color w:val="9D2235" w:themeColor="accent1"/>
          <w:sz w:val="18"/>
          <w:szCs w:val="18"/>
        </w:rPr>
        <w:lastRenderedPageBreak/>
        <w:t xml:space="preserve">Taula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Taula \* ARABIC </w:instrText>
      </w:r>
      <w:r w:rsidRPr="002D3252">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w:t>
      </w:r>
      <w:r w:rsidRPr="002D3252">
        <w:rPr>
          <w:rFonts w:ascii="Arial" w:hAnsi="Arial" w:cs="Arial"/>
          <w:smallCaps w:val="0"/>
          <w:color w:val="9D2235" w:themeColor="accent1"/>
          <w:sz w:val="18"/>
          <w:szCs w:val="18"/>
        </w:rPr>
        <w:fldChar w:fldCharType="end"/>
      </w:r>
      <w:r w:rsidRPr="002D3252">
        <w:rPr>
          <w:rFonts w:ascii="Arial" w:hAnsi="Arial" w:cs="Arial"/>
          <w:smallCaps w:val="0"/>
          <w:color w:val="9D2235" w:themeColor="accent1"/>
          <w:sz w:val="18"/>
          <w:szCs w:val="18"/>
        </w:rPr>
        <w:t xml:space="preserve">. </w:t>
      </w:r>
      <w:r w:rsidRPr="002D3252">
        <w:rPr>
          <w:rFonts w:ascii="Arial" w:hAnsi="Arial" w:cs="Arial"/>
          <w:smallCaps w:val="0"/>
          <w:sz w:val="18"/>
          <w:szCs w:val="18"/>
        </w:rPr>
        <w:t>Conferències impartides per l'Agència</w:t>
      </w:r>
      <w:bookmarkEnd w:id="43"/>
    </w:p>
    <w:tbl>
      <w:tblPr>
        <w:tblW w:w="0" w:type="auto"/>
        <w:tblLayout w:type="fixed"/>
        <w:tblCellMar>
          <w:left w:w="0" w:type="dxa"/>
          <w:bottom w:w="28" w:type="dxa"/>
          <w:right w:w="0" w:type="dxa"/>
        </w:tblCellMar>
        <w:tblLook w:val="04A0" w:firstRow="1" w:lastRow="0" w:firstColumn="1" w:lastColumn="0" w:noHBand="0" w:noVBand="1"/>
      </w:tblPr>
      <w:tblGrid>
        <w:gridCol w:w="1418"/>
        <w:gridCol w:w="7086"/>
      </w:tblGrid>
      <w:tr w:rsidR="00590DF9" w:rsidRPr="002D3252" w14:paraId="46DA0D54" w14:textId="77777777" w:rsidTr="006A100C">
        <w:trPr>
          <w:trHeight w:val="454"/>
          <w:tblHeader/>
        </w:trPr>
        <w:tc>
          <w:tcPr>
            <w:tcW w:w="1418" w:type="dxa"/>
            <w:tcBorders>
              <w:bottom w:val="single" w:sz="6" w:space="0" w:color="993333"/>
            </w:tcBorders>
            <w:shd w:val="clear" w:color="auto" w:fill="993333"/>
            <w:vAlign w:val="center"/>
          </w:tcPr>
          <w:p w14:paraId="65A4C481" w14:textId="77777777" w:rsidR="00590DF9" w:rsidRPr="002D3252" w:rsidRDefault="00590DF9" w:rsidP="00590DF9">
            <w:pPr>
              <w:rPr>
                <w:rFonts w:ascii="Arial" w:eastAsia="Times New Roman" w:hAnsi="Arial" w:cs="Arial"/>
                <w:sz w:val="20"/>
                <w:szCs w:val="20"/>
                <w:lang w:eastAsia="es-ES"/>
              </w:rPr>
            </w:pPr>
            <w:r w:rsidRPr="002D3252">
              <w:rPr>
                <w:rFonts w:ascii="Arial" w:eastAsia="Times New Roman" w:hAnsi="Arial" w:cs="Arial"/>
                <w:b/>
                <w:bCs/>
                <w:color w:val="FFFFFF"/>
                <w:sz w:val="20"/>
                <w:szCs w:val="20"/>
                <w:lang w:eastAsia="es-ES"/>
              </w:rPr>
              <w:t>Data</w:t>
            </w:r>
          </w:p>
        </w:tc>
        <w:tc>
          <w:tcPr>
            <w:tcW w:w="7086" w:type="dxa"/>
            <w:tcBorders>
              <w:bottom w:val="single" w:sz="6" w:space="0" w:color="993333"/>
            </w:tcBorders>
            <w:shd w:val="clear" w:color="auto" w:fill="993333"/>
          </w:tcPr>
          <w:p w14:paraId="7D136E50" w14:textId="77777777" w:rsidR="00590DF9" w:rsidRPr="002D3252" w:rsidRDefault="00590DF9" w:rsidP="00590DF9">
            <w:pPr>
              <w:rPr>
                <w:rFonts w:ascii="Arial" w:eastAsia="Times New Roman" w:hAnsi="Arial" w:cs="Arial"/>
                <w:b/>
                <w:bCs/>
                <w:color w:val="FFFFFF"/>
                <w:sz w:val="20"/>
                <w:szCs w:val="20"/>
                <w:lang w:eastAsia="es-ES"/>
              </w:rPr>
            </w:pPr>
            <w:r w:rsidRPr="002D3252">
              <w:rPr>
                <w:rFonts w:ascii="Arial" w:eastAsia="Times New Roman" w:hAnsi="Arial" w:cs="Arial"/>
                <w:b/>
                <w:bCs/>
                <w:color w:val="FFFFFF"/>
                <w:sz w:val="20"/>
                <w:szCs w:val="20"/>
                <w:lang w:eastAsia="es-ES"/>
              </w:rPr>
              <w:t xml:space="preserve">Entitat </w:t>
            </w:r>
            <w:r w:rsidRPr="002D3252">
              <w:rPr>
                <w:rFonts w:ascii="Arial" w:eastAsia="Times New Roman" w:hAnsi="Arial" w:cs="Arial"/>
                <w:b/>
                <w:bCs/>
                <w:i/>
                <w:color w:val="FFFFFF"/>
                <w:sz w:val="20"/>
                <w:szCs w:val="20"/>
                <w:lang w:eastAsia="es-ES"/>
              </w:rPr>
              <w:t>Lloc</w:t>
            </w:r>
          </w:p>
          <w:p w14:paraId="6D7BF104" w14:textId="77777777" w:rsidR="00590DF9" w:rsidRPr="002D3252" w:rsidRDefault="00590DF9" w:rsidP="00590DF9">
            <w:pPr>
              <w:rPr>
                <w:rFonts w:ascii="Arial" w:eastAsia="Times New Roman" w:hAnsi="Arial" w:cs="Arial"/>
                <w:b/>
                <w:bCs/>
                <w:color w:val="FFFFFF"/>
                <w:sz w:val="20"/>
                <w:szCs w:val="20"/>
                <w:lang w:eastAsia="es-ES"/>
              </w:rPr>
            </w:pPr>
            <w:r w:rsidRPr="002D3252">
              <w:rPr>
                <w:rFonts w:ascii="Arial" w:eastAsia="Times New Roman" w:hAnsi="Arial" w:cs="Arial"/>
                <w:b/>
                <w:bCs/>
                <w:color w:val="FFFFFF"/>
                <w:sz w:val="20"/>
                <w:szCs w:val="20"/>
                <w:lang w:eastAsia="es-ES"/>
              </w:rPr>
              <w:t>ACTIVITAT</w:t>
            </w:r>
          </w:p>
        </w:tc>
      </w:tr>
      <w:tr w:rsidR="00590DF9" w:rsidRPr="002D3252" w14:paraId="12D79D19" w14:textId="77777777" w:rsidTr="006A100C">
        <w:trPr>
          <w:trHeight w:val="454"/>
        </w:trPr>
        <w:tc>
          <w:tcPr>
            <w:tcW w:w="1418" w:type="dxa"/>
            <w:tcBorders>
              <w:bottom w:val="single" w:sz="6" w:space="0" w:color="993333"/>
            </w:tcBorders>
            <w:shd w:val="clear" w:color="auto" w:fill="auto"/>
            <w:vAlign w:val="center"/>
          </w:tcPr>
          <w:p w14:paraId="363E387E"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3 de febrer</w:t>
            </w:r>
          </w:p>
        </w:tc>
        <w:tc>
          <w:tcPr>
            <w:tcW w:w="7086" w:type="dxa"/>
            <w:tcBorders>
              <w:bottom w:val="single" w:sz="6" w:space="0" w:color="993333"/>
            </w:tcBorders>
            <w:shd w:val="clear" w:color="auto" w:fill="auto"/>
          </w:tcPr>
          <w:p w14:paraId="0C09FF9C" w14:textId="77777777" w:rsidR="00590DF9" w:rsidRPr="002D3252" w:rsidRDefault="00590DF9" w:rsidP="00590DF9">
            <w:pPr>
              <w:spacing w:after="0" w:line="276" w:lineRule="auto"/>
              <w:jc w:val="both"/>
              <w:rPr>
                <w:rFonts w:ascii="Arial" w:eastAsia="Times New Roman" w:hAnsi="Arial" w:cs="Arial"/>
                <w:color w:val="666666"/>
                <w:sz w:val="18"/>
                <w:szCs w:val="18"/>
                <w:lang w:eastAsia="es-ES"/>
              </w:rPr>
            </w:pPr>
            <w:r w:rsidRPr="002D3252">
              <w:rPr>
                <w:rFonts w:ascii="Arial" w:eastAsia="Times New Roman" w:hAnsi="Arial" w:cs="Arial"/>
                <w:color w:val="666666"/>
                <w:sz w:val="18"/>
                <w:szCs w:val="18"/>
                <w:lang w:eastAsia="es-ES"/>
              </w:rPr>
              <w:t xml:space="preserve">Col·legi de Registradors d'Espanya. </w:t>
            </w:r>
            <w:r w:rsidRPr="002D3252">
              <w:rPr>
                <w:rFonts w:ascii="Arial" w:eastAsia="Times New Roman" w:hAnsi="Arial" w:cs="Arial"/>
                <w:i/>
                <w:sz w:val="18"/>
                <w:szCs w:val="18"/>
                <w:lang w:eastAsia="es-ES"/>
              </w:rPr>
              <w:t>Virtual</w:t>
            </w:r>
          </w:p>
          <w:p w14:paraId="769FC23C" w14:textId="77777777" w:rsidR="00590DF9" w:rsidRPr="002D3252" w:rsidRDefault="00590DF9" w:rsidP="00590DF9">
            <w:pPr>
              <w:spacing w:after="0" w:line="276" w:lineRule="auto"/>
              <w:jc w:val="both"/>
              <w:rPr>
                <w:rFonts w:ascii="Arial" w:eastAsia="Times New Roman" w:hAnsi="Arial" w:cs="Arial"/>
                <w:b/>
                <w:sz w:val="18"/>
                <w:szCs w:val="18"/>
                <w:lang w:eastAsia="es-ES"/>
              </w:rPr>
            </w:pPr>
            <w:r w:rsidRPr="002D3252">
              <w:rPr>
                <w:rFonts w:ascii="Arial" w:eastAsia="Times New Roman" w:hAnsi="Arial" w:cs="Arial"/>
                <w:b/>
                <w:sz w:val="18"/>
                <w:szCs w:val="18"/>
                <w:lang w:eastAsia="es-ES"/>
              </w:rPr>
              <w:t>La protecció dels denunciants: d'assignatura pendent a realitat</w:t>
            </w:r>
          </w:p>
          <w:p w14:paraId="69EB6B56" w14:textId="4BEB94F7" w:rsidR="00590DF9" w:rsidRPr="002D3252" w:rsidRDefault="00590DF9" w:rsidP="00590DF9">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Ponència en el marc de</w:t>
            </w:r>
            <w:r w:rsidR="00E85E6B">
              <w:rPr>
                <w:rFonts w:ascii="Arial" w:eastAsia="Times New Roman" w:hAnsi="Arial" w:cs="Arial"/>
                <w:color w:val="000000"/>
                <w:sz w:val="18"/>
                <w:szCs w:val="18"/>
                <w:lang w:eastAsia="es-ES"/>
              </w:rPr>
              <w:t xml:space="preserve">l </w:t>
            </w:r>
            <w:r w:rsidRPr="002D3252">
              <w:rPr>
                <w:rFonts w:ascii="Arial" w:eastAsia="Times New Roman" w:hAnsi="Arial" w:cs="Arial"/>
                <w:color w:val="000000"/>
                <w:sz w:val="18"/>
                <w:szCs w:val="18"/>
                <w:lang w:eastAsia="es-ES"/>
              </w:rPr>
              <w:t>Fòrum de debat “R”, organitzat pel Col·legi de Registradors d'Espanya entorn de la transposició de la Directiva 2019/1937, Whistleblowing.</w:t>
            </w:r>
          </w:p>
          <w:p w14:paraId="07819FAE" w14:textId="77777777" w:rsidR="00590DF9" w:rsidRPr="002D3252" w:rsidRDefault="00254AEC" w:rsidP="00590DF9">
            <w:pPr>
              <w:spacing w:after="0" w:line="276" w:lineRule="auto"/>
              <w:jc w:val="both"/>
              <w:rPr>
                <w:rFonts w:ascii="Arial" w:hAnsi="Arial" w:cs="Arial"/>
                <w:sz w:val="18"/>
                <w:szCs w:val="18"/>
              </w:rPr>
            </w:pPr>
            <w:hyperlink r:id="rId110" w:history="1">
              <w:r w:rsidR="00590DF9" w:rsidRPr="002D3252">
                <w:rPr>
                  <w:rFonts w:ascii="Arial" w:hAnsi="Arial" w:cs="Arial"/>
                  <w:color w:val="000080"/>
                  <w:sz w:val="18"/>
                  <w:szCs w:val="18"/>
                  <w:u w:val="single"/>
                </w:rPr>
                <w:t>https://vimeo.com/507994078</w:t>
              </w:r>
            </w:hyperlink>
            <w:r w:rsidR="00590DF9" w:rsidRPr="002D3252">
              <w:rPr>
                <w:rFonts w:ascii="Arial" w:hAnsi="Arial" w:cs="Arial"/>
                <w:sz w:val="18"/>
                <w:szCs w:val="18"/>
              </w:rPr>
              <w:t xml:space="preserve"> </w:t>
            </w:r>
          </w:p>
        </w:tc>
      </w:tr>
      <w:tr w:rsidR="00590DF9" w:rsidRPr="002D3252" w14:paraId="5F734C7A" w14:textId="77777777" w:rsidTr="006A100C">
        <w:trPr>
          <w:trHeight w:val="454"/>
        </w:trPr>
        <w:tc>
          <w:tcPr>
            <w:tcW w:w="1418" w:type="dxa"/>
            <w:tcBorders>
              <w:bottom w:val="single" w:sz="8" w:space="0" w:color="993333"/>
            </w:tcBorders>
            <w:shd w:val="clear" w:color="auto" w:fill="auto"/>
            <w:vAlign w:val="center"/>
          </w:tcPr>
          <w:p w14:paraId="74B2751C" w14:textId="77777777" w:rsidR="00590DF9" w:rsidRPr="002D3252" w:rsidRDefault="00590DF9" w:rsidP="00590DF9">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10 de febrer</w:t>
            </w:r>
          </w:p>
        </w:tc>
        <w:tc>
          <w:tcPr>
            <w:tcW w:w="7086" w:type="dxa"/>
            <w:tcBorders>
              <w:bottom w:val="single" w:sz="8" w:space="0" w:color="993333"/>
            </w:tcBorders>
            <w:shd w:val="clear" w:color="auto" w:fill="auto"/>
          </w:tcPr>
          <w:p w14:paraId="7D43B9BD"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Festival Humans Fest. </w:t>
            </w:r>
            <w:r w:rsidRPr="002D3252">
              <w:rPr>
                <w:rFonts w:ascii="Arial" w:eastAsia="Times New Roman" w:hAnsi="Arial" w:cs="Arial"/>
                <w:i/>
                <w:sz w:val="18"/>
                <w:szCs w:val="18"/>
                <w:lang w:eastAsia="es-ES"/>
              </w:rPr>
              <w:t>Virtual</w:t>
            </w:r>
          </w:p>
          <w:p w14:paraId="2A39908E"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Corrupció, un mal local d’efectes globals</w:t>
            </w:r>
          </w:p>
          <w:p w14:paraId="7D6B6C07" w14:textId="77777777" w:rsidR="00590DF9" w:rsidRPr="002D3252" w:rsidRDefault="00590DF9" w:rsidP="00590DF9">
            <w:pPr>
              <w:spacing w:after="0" w:line="276" w:lineRule="auto"/>
              <w:jc w:val="both"/>
              <w:rPr>
                <w:rFonts w:ascii="Arial" w:eastAsia="Times New Roman" w:hAnsi="Arial" w:cs="Arial"/>
                <w:bCs/>
                <w:sz w:val="18"/>
                <w:szCs w:val="18"/>
                <w:lang w:eastAsia="es-ES"/>
              </w:rPr>
            </w:pPr>
            <w:r w:rsidRPr="002D3252">
              <w:rPr>
                <w:rFonts w:ascii="Arial" w:eastAsia="Times New Roman" w:hAnsi="Arial" w:cs="Arial"/>
                <w:bCs/>
                <w:sz w:val="18"/>
                <w:szCs w:val="18"/>
                <w:lang w:eastAsia="es-ES"/>
              </w:rPr>
              <w:t>Debat dins del Festival Human Fest, en el qual es va parlar de la corrupció en un món globalitzat. Moderat per Luis Manglano, coordinador de l'associació Jutges i Jutgesses per a la Democràcia, va comptar amb la participació de Nacho Gay, d'Amnistia Internacional, Hervé Falciani i el director de l’AVAF.</w:t>
            </w:r>
          </w:p>
          <w:p w14:paraId="1D1C3D95" w14:textId="77777777" w:rsidR="00590DF9" w:rsidRPr="002D3252" w:rsidRDefault="00254AEC" w:rsidP="00590DF9">
            <w:pPr>
              <w:spacing w:after="0" w:line="276" w:lineRule="auto"/>
              <w:jc w:val="both"/>
              <w:rPr>
                <w:rFonts w:ascii="Arial" w:eastAsia="Times New Roman" w:hAnsi="Arial" w:cs="Arial"/>
                <w:sz w:val="18"/>
                <w:szCs w:val="18"/>
                <w:lang w:eastAsia="es-ES"/>
              </w:rPr>
            </w:pPr>
            <w:hyperlink r:id="rId111" w:history="1">
              <w:r w:rsidR="00590DF9" w:rsidRPr="002D3252">
                <w:rPr>
                  <w:rFonts w:ascii="Arial" w:eastAsia="Times New Roman" w:hAnsi="Arial" w:cs="Arial"/>
                  <w:bCs/>
                  <w:color w:val="000080"/>
                  <w:sz w:val="18"/>
                  <w:szCs w:val="18"/>
                  <w:u w:val="single"/>
                  <w:lang w:eastAsia="es-ES"/>
                </w:rPr>
                <w:t>https://es-es.facebook.com/FICValencia/videos/debates-humans-fest-2021-corrupci%C3%B3n-un-mal-local-de-efectos-globales/425850832033633/</w:t>
              </w:r>
            </w:hyperlink>
          </w:p>
        </w:tc>
      </w:tr>
      <w:tr w:rsidR="00590DF9" w:rsidRPr="002D3252" w14:paraId="343EF0FE" w14:textId="77777777" w:rsidTr="006A100C">
        <w:trPr>
          <w:trHeight w:val="454"/>
        </w:trPr>
        <w:tc>
          <w:tcPr>
            <w:tcW w:w="1418" w:type="dxa"/>
            <w:tcBorders>
              <w:bottom w:val="single" w:sz="8" w:space="0" w:color="993333"/>
            </w:tcBorders>
            <w:shd w:val="clear" w:color="auto" w:fill="auto"/>
            <w:vAlign w:val="center"/>
          </w:tcPr>
          <w:p w14:paraId="6549CBDF"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18 de febrer</w:t>
            </w:r>
          </w:p>
        </w:tc>
        <w:tc>
          <w:tcPr>
            <w:tcW w:w="7086" w:type="dxa"/>
            <w:tcBorders>
              <w:bottom w:val="single" w:sz="8" w:space="0" w:color="993333"/>
            </w:tcBorders>
            <w:shd w:val="clear" w:color="auto" w:fill="auto"/>
          </w:tcPr>
          <w:p w14:paraId="5B1F04E6" w14:textId="77777777" w:rsidR="00590DF9" w:rsidRPr="002D3252" w:rsidRDefault="00590DF9" w:rsidP="00590DF9">
            <w:pPr>
              <w:spacing w:after="0" w:line="276" w:lineRule="auto"/>
              <w:jc w:val="both"/>
              <w:rPr>
                <w:rFonts w:ascii="Arial" w:eastAsia="Times New Roman" w:hAnsi="Arial" w:cs="Arial"/>
                <w:color w:val="666666"/>
                <w:sz w:val="18"/>
                <w:szCs w:val="18"/>
                <w:lang w:eastAsia="es-ES"/>
              </w:rPr>
            </w:pPr>
            <w:r w:rsidRPr="002D3252">
              <w:rPr>
                <w:rFonts w:ascii="Arial" w:eastAsia="Times New Roman" w:hAnsi="Arial" w:cs="Arial"/>
                <w:color w:val="666666"/>
                <w:sz w:val="18"/>
                <w:szCs w:val="18"/>
                <w:lang w:eastAsia="es-ES"/>
              </w:rPr>
              <w:t xml:space="preserve">COSITAL Network. </w:t>
            </w:r>
            <w:r w:rsidRPr="002D3252">
              <w:rPr>
                <w:rFonts w:ascii="Arial" w:eastAsia="Times New Roman" w:hAnsi="Arial" w:cs="Arial"/>
                <w:i/>
                <w:sz w:val="18"/>
                <w:szCs w:val="18"/>
                <w:lang w:eastAsia="es-ES"/>
              </w:rPr>
              <w:t>Virtual</w:t>
            </w:r>
          </w:p>
          <w:p w14:paraId="500BD20E"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Control Intern i Lluita contra el Frau</w:t>
            </w:r>
          </w:p>
          <w:p w14:paraId="70864F81" w14:textId="4AB4A860"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sz w:val="18"/>
                <w:szCs w:val="18"/>
                <w:lang w:eastAsia="es-ES"/>
              </w:rPr>
              <w:t>Dins de</w:t>
            </w:r>
            <w:r w:rsidR="00E85E6B">
              <w:rPr>
                <w:rFonts w:ascii="Arial" w:eastAsia="Times New Roman" w:hAnsi="Arial" w:cs="Arial"/>
                <w:sz w:val="18"/>
                <w:szCs w:val="18"/>
                <w:lang w:eastAsia="es-ES"/>
              </w:rPr>
              <w:t xml:space="preserve">l </w:t>
            </w:r>
            <w:r w:rsidRPr="002D3252">
              <w:rPr>
                <w:rFonts w:ascii="Arial" w:eastAsia="Times New Roman" w:hAnsi="Arial" w:cs="Arial"/>
                <w:sz w:val="18"/>
                <w:szCs w:val="18"/>
                <w:lang w:eastAsia="es-ES"/>
              </w:rPr>
              <w:t>Congrés virtual del Portal de Control Intern, organitzat per COSITAL Network (Col·legi de Secretaris, Interventors-Tresorers i Secretaris-Interventors d'administració local), el director participa en una taula redona moderada per Santiago Gómez, interventor de l'Ajuntament d'Elda, al costat de Mercedes Rodríguez, subdirectora general del Servei Nacional de Coordinació Antifrau, i Concepción Campos Acuña, secretària de l'Ajuntament de Vigo.</w:t>
            </w:r>
          </w:p>
          <w:p w14:paraId="6BA501B2" w14:textId="77777777" w:rsidR="00590DF9" w:rsidRPr="002D3252" w:rsidRDefault="00254AEC" w:rsidP="00590DF9">
            <w:pPr>
              <w:spacing w:after="0" w:line="276" w:lineRule="auto"/>
              <w:jc w:val="both"/>
              <w:rPr>
                <w:rFonts w:ascii="Arial" w:hAnsi="Arial" w:cs="Arial"/>
                <w:sz w:val="18"/>
                <w:szCs w:val="18"/>
              </w:rPr>
            </w:pPr>
            <w:hyperlink r:id="rId112" w:history="1">
              <w:r w:rsidR="00590DF9" w:rsidRPr="002D3252">
                <w:rPr>
                  <w:rFonts w:ascii="Arial" w:eastAsia="Times New Roman" w:hAnsi="Arial" w:cs="Arial"/>
                  <w:bCs/>
                  <w:color w:val="000080"/>
                  <w:sz w:val="18"/>
                  <w:szCs w:val="18"/>
                  <w:u w:val="single"/>
                  <w:lang w:eastAsia="es-ES"/>
                </w:rPr>
                <w:t>https://cositalmadrid.es/wp-content/uploads/2021/02/I-Congreso-Virtual-del-Portal-de-Control-Interno-15-16-feb.pdf</w:t>
              </w:r>
            </w:hyperlink>
            <w:r w:rsidR="00590DF9" w:rsidRPr="002D3252">
              <w:rPr>
                <w:rFonts w:ascii="Arial" w:eastAsia="Times New Roman" w:hAnsi="Arial" w:cs="Arial"/>
                <w:bCs/>
                <w:color w:val="000080"/>
                <w:sz w:val="18"/>
                <w:szCs w:val="18"/>
                <w:u w:val="single"/>
                <w:lang w:eastAsia="es-ES"/>
              </w:rPr>
              <w:t xml:space="preserve"> </w:t>
            </w:r>
          </w:p>
        </w:tc>
      </w:tr>
      <w:tr w:rsidR="00590DF9" w:rsidRPr="002D3252" w14:paraId="186A05BE" w14:textId="77777777" w:rsidTr="006A100C">
        <w:trPr>
          <w:trHeight w:val="454"/>
        </w:trPr>
        <w:tc>
          <w:tcPr>
            <w:tcW w:w="1418" w:type="dxa"/>
            <w:tcBorders>
              <w:bottom w:val="single" w:sz="8" w:space="0" w:color="993333"/>
            </w:tcBorders>
            <w:shd w:val="clear" w:color="auto" w:fill="auto"/>
            <w:vAlign w:val="center"/>
          </w:tcPr>
          <w:p w14:paraId="6DB00654"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2 de març</w:t>
            </w:r>
          </w:p>
        </w:tc>
        <w:tc>
          <w:tcPr>
            <w:tcW w:w="7086" w:type="dxa"/>
            <w:tcBorders>
              <w:bottom w:val="single" w:sz="8" w:space="0" w:color="993333"/>
            </w:tcBorders>
            <w:shd w:val="clear" w:color="auto" w:fill="auto"/>
          </w:tcPr>
          <w:p w14:paraId="14EFBE5A" w14:textId="77777777" w:rsidR="00590DF9" w:rsidRPr="002D3252" w:rsidRDefault="00590DF9" w:rsidP="00590DF9">
            <w:pPr>
              <w:spacing w:after="0" w:line="276" w:lineRule="auto"/>
              <w:ind w:right="140"/>
              <w:jc w:val="both"/>
              <w:rPr>
                <w:rFonts w:ascii="Arial" w:eastAsia="Times New Roman" w:hAnsi="Arial" w:cs="Arial"/>
                <w:color w:val="666666"/>
                <w:sz w:val="18"/>
                <w:szCs w:val="18"/>
                <w:lang w:eastAsia="es-ES"/>
              </w:rPr>
            </w:pPr>
            <w:r w:rsidRPr="002D3252">
              <w:rPr>
                <w:rFonts w:ascii="Arial" w:eastAsia="Times New Roman" w:hAnsi="Arial" w:cs="Arial"/>
                <w:color w:val="666666"/>
                <w:sz w:val="18"/>
                <w:szCs w:val="18"/>
                <w:lang w:eastAsia="es-ES"/>
              </w:rPr>
              <w:t xml:space="preserve">Más Madrid, Sectorial de transparència, participació i bon govern. </w:t>
            </w:r>
            <w:r w:rsidRPr="002D3252">
              <w:rPr>
                <w:rFonts w:ascii="Arial" w:eastAsia="Times New Roman" w:hAnsi="Arial" w:cs="Arial"/>
                <w:i/>
                <w:sz w:val="18"/>
                <w:szCs w:val="18"/>
                <w:lang w:eastAsia="es-ES"/>
              </w:rPr>
              <w:t>Virtual</w:t>
            </w:r>
          </w:p>
          <w:p w14:paraId="4C6643A8"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L'Agència Valenciana Antifrau, una experiència de lluita contra la corrupció</w:t>
            </w:r>
          </w:p>
          <w:p w14:paraId="0A3E7062" w14:textId="77777777" w:rsidR="00590DF9" w:rsidRPr="002D3252" w:rsidRDefault="00590DF9" w:rsidP="00590DF9">
            <w:pPr>
              <w:spacing w:after="0" w:line="276" w:lineRule="auto"/>
              <w:jc w:val="both"/>
              <w:rPr>
                <w:rFonts w:ascii="Arial" w:hAnsi="Arial" w:cs="Arial"/>
                <w:sz w:val="18"/>
                <w:szCs w:val="18"/>
              </w:rPr>
            </w:pPr>
            <w:r w:rsidRPr="002D3252">
              <w:rPr>
                <w:rFonts w:ascii="Arial" w:eastAsia="Times New Roman" w:hAnsi="Arial" w:cs="Arial"/>
                <w:sz w:val="18"/>
                <w:szCs w:val="18"/>
                <w:lang w:eastAsia="es-ES"/>
              </w:rPr>
              <w:t>Jornada titulada “Frau i corrupció institucional: Protecció a denunciants”, que va comptar amb la participació del director i d'Ana Garrido, activista contra la corrupció, i Lara Carrasco, advocada experta en anticorrupció i presidenta de Corruptil.</w:t>
            </w:r>
            <w:r w:rsidRPr="002D3252">
              <w:rPr>
                <w:rFonts w:ascii="Arial" w:hAnsi="Arial" w:cs="Arial"/>
                <w:sz w:val="18"/>
                <w:szCs w:val="18"/>
              </w:rPr>
              <w:t xml:space="preserve"> </w:t>
            </w:r>
          </w:p>
        </w:tc>
      </w:tr>
      <w:tr w:rsidR="00590DF9" w:rsidRPr="002D3252" w14:paraId="02A589B6" w14:textId="77777777" w:rsidTr="006A100C">
        <w:trPr>
          <w:trHeight w:val="454"/>
        </w:trPr>
        <w:tc>
          <w:tcPr>
            <w:tcW w:w="1418" w:type="dxa"/>
            <w:tcBorders>
              <w:bottom w:val="single" w:sz="8" w:space="0" w:color="993333"/>
            </w:tcBorders>
            <w:shd w:val="clear" w:color="auto" w:fill="auto"/>
            <w:vAlign w:val="center"/>
          </w:tcPr>
          <w:p w14:paraId="366B0EF5"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4 de març</w:t>
            </w:r>
          </w:p>
        </w:tc>
        <w:tc>
          <w:tcPr>
            <w:tcW w:w="7086" w:type="dxa"/>
            <w:tcBorders>
              <w:bottom w:val="single" w:sz="8" w:space="0" w:color="993333"/>
            </w:tcBorders>
            <w:shd w:val="clear" w:color="auto" w:fill="auto"/>
          </w:tcPr>
          <w:p w14:paraId="4429AB0A" w14:textId="77777777" w:rsidR="00590DF9" w:rsidRPr="002D3252" w:rsidRDefault="00590DF9" w:rsidP="00590DF9">
            <w:pPr>
              <w:spacing w:after="0" w:line="276" w:lineRule="auto"/>
              <w:jc w:val="both"/>
              <w:rPr>
                <w:rFonts w:ascii="Arial" w:eastAsia="Times New Roman" w:hAnsi="Arial" w:cs="Arial"/>
                <w:color w:val="666666"/>
                <w:sz w:val="18"/>
                <w:szCs w:val="18"/>
                <w:lang w:eastAsia="es-ES"/>
              </w:rPr>
            </w:pPr>
            <w:r w:rsidRPr="002D3252">
              <w:rPr>
                <w:rFonts w:ascii="Arial" w:eastAsia="Times New Roman" w:hAnsi="Arial" w:cs="Arial"/>
                <w:color w:val="666666"/>
                <w:sz w:val="18"/>
                <w:szCs w:val="18"/>
                <w:lang w:eastAsia="es-ES"/>
              </w:rPr>
              <w:t xml:space="preserve">Universitat CEU Cardenal Herrera. </w:t>
            </w:r>
            <w:r w:rsidRPr="002D3252">
              <w:rPr>
                <w:rFonts w:ascii="Arial" w:eastAsia="Times New Roman" w:hAnsi="Arial" w:cs="Arial"/>
                <w:i/>
                <w:sz w:val="18"/>
                <w:szCs w:val="18"/>
                <w:lang w:eastAsia="es-ES"/>
              </w:rPr>
              <w:t>Virtual</w:t>
            </w:r>
          </w:p>
          <w:p w14:paraId="0D9376E7"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Polítiques pels ODS: Objectiu 16.6</w:t>
            </w:r>
          </w:p>
          <w:p w14:paraId="6D452E58"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sz w:val="18"/>
                <w:szCs w:val="18"/>
                <w:lang w:eastAsia="es-ES"/>
              </w:rPr>
              <w:t>Participació institucional del director en l'activitat formativa “Polítiques pels ODS” del Grau en Ciències Polítiques, on es va abordar l'Objectiu 16.6 “Crear institucions eficaces, responsables i transparents en tots els nivells”.</w:t>
            </w:r>
          </w:p>
          <w:p w14:paraId="120FC92D" w14:textId="77777777" w:rsidR="00590DF9" w:rsidRPr="002D3252" w:rsidRDefault="00254AEC" w:rsidP="00590DF9">
            <w:pPr>
              <w:spacing w:after="0" w:line="276" w:lineRule="auto"/>
              <w:jc w:val="both"/>
              <w:rPr>
                <w:rFonts w:ascii="Arial" w:hAnsi="Arial" w:cs="Arial"/>
                <w:sz w:val="18"/>
                <w:szCs w:val="18"/>
              </w:rPr>
            </w:pPr>
            <w:hyperlink r:id="rId113" w:history="1">
              <w:r w:rsidR="00590DF9" w:rsidRPr="002D3252">
                <w:rPr>
                  <w:rFonts w:ascii="Arial" w:hAnsi="Arial" w:cs="Arial"/>
                  <w:color w:val="000080"/>
                  <w:sz w:val="18"/>
                  <w:szCs w:val="18"/>
                  <w:u w:val="single"/>
                </w:rPr>
                <w:t>https://www.antifraucv.es/va/el-director-de-lavaf-participa-en-una-taula-redona-amb-organismes-de-control-dins-de-lactivitat-politiques-pels-ods-objectiu-16-6-a-la-universitat-cardenal-herrer/</w:t>
              </w:r>
            </w:hyperlink>
          </w:p>
        </w:tc>
      </w:tr>
      <w:tr w:rsidR="00590DF9" w:rsidRPr="002D3252" w14:paraId="5B176819" w14:textId="77777777" w:rsidTr="006A100C">
        <w:trPr>
          <w:trHeight w:val="454"/>
        </w:trPr>
        <w:tc>
          <w:tcPr>
            <w:tcW w:w="1418" w:type="dxa"/>
            <w:tcBorders>
              <w:bottom w:val="single" w:sz="8" w:space="0" w:color="993333"/>
            </w:tcBorders>
            <w:shd w:val="clear" w:color="auto" w:fill="auto"/>
            <w:vAlign w:val="center"/>
          </w:tcPr>
          <w:p w14:paraId="23A0ADBC"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25 de març</w:t>
            </w:r>
          </w:p>
        </w:tc>
        <w:tc>
          <w:tcPr>
            <w:tcW w:w="7086" w:type="dxa"/>
            <w:tcBorders>
              <w:bottom w:val="single" w:sz="8" w:space="0" w:color="993333"/>
            </w:tcBorders>
            <w:shd w:val="clear" w:color="auto" w:fill="auto"/>
          </w:tcPr>
          <w:p w14:paraId="6635DBFD"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Universitat de València. </w:t>
            </w:r>
            <w:r w:rsidRPr="002D3252">
              <w:rPr>
                <w:rFonts w:ascii="Arial" w:eastAsia="Times New Roman" w:hAnsi="Arial" w:cs="Arial"/>
                <w:i/>
                <w:sz w:val="18"/>
                <w:szCs w:val="18"/>
                <w:lang w:eastAsia="es-ES"/>
              </w:rPr>
              <w:t>Virtual</w:t>
            </w:r>
          </w:p>
          <w:p w14:paraId="3B456FD2"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La funció desenvolupada per les Agències Antifrau</w:t>
            </w:r>
          </w:p>
          <w:p w14:paraId="71DFAF3E"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sz w:val="18"/>
                <w:szCs w:val="18"/>
                <w:lang w:eastAsia="es-ES"/>
              </w:rPr>
              <w:t>Presència institucional del director en la 3</w:t>
            </w:r>
            <w:r w:rsidRPr="002D3252">
              <w:rPr>
                <w:rFonts w:ascii="Arial" w:eastAsia="Times New Roman" w:hAnsi="Arial" w:cs="Arial"/>
                <w:sz w:val="18"/>
                <w:szCs w:val="18"/>
                <w:vertAlign w:val="superscript"/>
                <w:lang w:eastAsia="es-ES"/>
              </w:rPr>
              <w:t>a</w:t>
            </w:r>
            <w:r w:rsidRPr="002D3252">
              <w:rPr>
                <w:rFonts w:ascii="Arial" w:eastAsia="Times New Roman" w:hAnsi="Arial" w:cs="Arial"/>
                <w:sz w:val="18"/>
                <w:szCs w:val="18"/>
                <w:lang w:eastAsia="es-ES"/>
              </w:rPr>
              <w:t xml:space="preserve"> edició del màster propi de la Universitat de València titulat “Contractació Pública i Compliance”, el director de l'Agència imparteix una classe sobre la funció desenvolupada per les Agències Antifrau.</w:t>
            </w:r>
          </w:p>
          <w:p w14:paraId="2D52C334" w14:textId="77777777" w:rsidR="00590DF9" w:rsidRPr="002D3252" w:rsidRDefault="00254AEC" w:rsidP="00590DF9">
            <w:pPr>
              <w:spacing w:after="0" w:line="276" w:lineRule="auto"/>
              <w:jc w:val="both"/>
              <w:rPr>
                <w:rFonts w:ascii="Arial" w:hAnsi="Arial" w:cs="Arial"/>
                <w:sz w:val="18"/>
                <w:szCs w:val="18"/>
              </w:rPr>
            </w:pPr>
            <w:hyperlink r:id="rId114" w:history="1">
              <w:r w:rsidR="00590DF9" w:rsidRPr="002D3252">
                <w:rPr>
                  <w:rFonts w:ascii="Arial" w:hAnsi="Arial" w:cs="Arial"/>
                  <w:color w:val="000080"/>
                  <w:sz w:val="18"/>
                  <w:szCs w:val="18"/>
                  <w:u w:val="single"/>
                </w:rPr>
                <w:t>https://postgrado.adeituv.es/ca-valencia/cursos/area_juridica_y_social-2/contratacion-publica-compliance/home.htm</w:t>
              </w:r>
            </w:hyperlink>
            <w:r w:rsidR="00590DF9" w:rsidRPr="002D3252">
              <w:rPr>
                <w:rFonts w:ascii="Arial" w:hAnsi="Arial" w:cs="Arial"/>
                <w:sz w:val="18"/>
                <w:szCs w:val="18"/>
              </w:rPr>
              <w:t xml:space="preserve"> </w:t>
            </w:r>
          </w:p>
        </w:tc>
      </w:tr>
      <w:tr w:rsidR="00590DF9" w:rsidRPr="002D3252" w14:paraId="7A906509" w14:textId="77777777" w:rsidTr="006A100C">
        <w:trPr>
          <w:trHeight w:val="454"/>
        </w:trPr>
        <w:tc>
          <w:tcPr>
            <w:tcW w:w="1418" w:type="dxa"/>
            <w:tcBorders>
              <w:bottom w:val="single" w:sz="8" w:space="0" w:color="993333"/>
            </w:tcBorders>
            <w:shd w:val="clear" w:color="auto" w:fill="auto"/>
            <w:vAlign w:val="center"/>
          </w:tcPr>
          <w:p w14:paraId="2C01687E"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sz w:val="18"/>
                <w:szCs w:val="18"/>
                <w:lang w:eastAsia="es-ES"/>
              </w:rPr>
              <w:t>10 de maig</w:t>
            </w:r>
          </w:p>
        </w:tc>
        <w:tc>
          <w:tcPr>
            <w:tcW w:w="7086" w:type="dxa"/>
            <w:tcBorders>
              <w:bottom w:val="single" w:sz="8" w:space="0" w:color="993333"/>
            </w:tcBorders>
            <w:shd w:val="clear" w:color="auto" w:fill="auto"/>
          </w:tcPr>
          <w:p w14:paraId="4D126258"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Fundació </w:t>
            </w:r>
            <w:r w:rsidRPr="002D3252">
              <w:rPr>
                <w:rFonts w:ascii="Arial" w:eastAsia="Times New Roman" w:hAnsi="Arial" w:cs="Arial"/>
                <w:i/>
                <w:color w:val="666666"/>
                <w:sz w:val="18"/>
                <w:szCs w:val="18"/>
                <w:lang w:eastAsia="es-ES"/>
              </w:rPr>
              <w:t>Hay Derecho</w:t>
            </w:r>
            <w:r w:rsidRPr="002D3252">
              <w:rPr>
                <w:rFonts w:ascii="Arial" w:eastAsia="Times New Roman" w:hAnsi="Arial" w:cs="Arial"/>
                <w:color w:val="666666"/>
                <w:sz w:val="18"/>
                <w:szCs w:val="18"/>
                <w:lang w:eastAsia="es-ES"/>
              </w:rPr>
              <w:t xml:space="preserve">. </w:t>
            </w:r>
            <w:r w:rsidRPr="002D3252">
              <w:rPr>
                <w:rFonts w:ascii="Arial" w:eastAsia="Times New Roman" w:hAnsi="Arial" w:cs="Arial"/>
                <w:i/>
                <w:sz w:val="18"/>
                <w:szCs w:val="18"/>
                <w:lang w:eastAsia="es-ES"/>
              </w:rPr>
              <w:t>Virtual</w:t>
            </w:r>
          </w:p>
          <w:p w14:paraId="5553A920"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Claus per a la transposició de la Directiva europea sobre protecció de denunciants de corrupció</w:t>
            </w:r>
          </w:p>
          <w:p w14:paraId="058C24B1"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sz w:val="18"/>
                <w:szCs w:val="18"/>
                <w:lang w:eastAsia="es-ES"/>
              </w:rPr>
              <w:t xml:space="preserve">Presentació de l'informe amb les conclusions de l'estudi elaborat amb el suport de l'Agència de Transparència de l'Àrea Metropolitana de Barcelona, sobre els riscos i recomanacions per a la transposició de la Directiva EU 2019/1937 per a la protecció dels </w:t>
            </w:r>
            <w:r w:rsidRPr="002D3252">
              <w:rPr>
                <w:rFonts w:ascii="Arial" w:eastAsia="Times New Roman" w:hAnsi="Arial" w:cs="Arial"/>
                <w:sz w:val="18"/>
                <w:szCs w:val="18"/>
                <w:lang w:eastAsia="es-ES"/>
              </w:rPr>
              <w:lastRenderedPageBreak/>
              <w:t>denunciants de corrupció, elaborat a partir d'entrevistes a diversos denunciants de corrupció a Catalunya i en el qual participa el director de l'Agència.</w:t>
            </w:r>
          </w:p>
          <w:p w14:paraId="6C685BA3" w14:textId="77777777" w:rsidR="00590DF9" w:rsidRPr="002D3252" w:rsidRDefault="00254AEC" w:rsidP="00590DF9">
            <w:pPr>
              <w:spacing w:after="0" w:line="276" w:lineRule="auto"/>
              <w:jc w:val="both"/>
              <w:rPr>
                <w:rFonts w:ascii="Arial" w:hAnsi="Arial" w:cs="Arial"/>
                <w:sz w:val="18"/>
                <w:szCs w:val="18"/>
              </w:rPr>
            </w:pPr>
            <w:hyperlink r:id="rId115" w:history="1">
              <w:r w:rsidR="00590DF9" w:rsidRPr="002D3252">
                <w:rPr>
                  <w:rFonts w:ascii="Arial" w:eastAsia="Times New Roman" w:hAnsi="Arial" w:cs="Arial"/>
                  <w:color w:val="000080"/>
                  <w:sz w:val="18"/>
                  <w:szCs w:val="18"/>
                  <w:u w:val="single"/>
                  <w:lang w:eastAsia="es-ES"/>
                </w:rPr>
                <w:t>https://www.youtube.com/watch?v=Ya417xLo4X0</w:t>
              </w:r>
            </w:hyperlink>
            <w:r w:rsidR="00590DF9" w:rsidRPr="002D3252">
              <w:rPr>
                <w:rFonts w:ascii="Arial" w:eastAsia="Times New Roman" w:hAnsi="Arial" w:cs="Arial"/>
                <w:sz w:val="18"/>
                <w:szCs w:val="18"/>
                <w:lang w:eastAsia="es-ES"/>
              </w:rPr>
              <w:t xml:space="preserve"> </w:t>
            </w:r>
          </w:p>
        </w:tc>
      </w:tr>
      <w:tr w:rsidR="00590DF9" w:rsidRPr="002D3252" w14:paraId="3E5A08C8" w14:textId="77777777" w:rsidTr="006A100C">
        <w:trPr>
          <w:trHeight w:val="454"/>
        </w:trPr>
        <w:tc>
          <w:tcPr>
            <w:tcW w:w="1418" w:type="dxa"/>
            <w:tcBorders>
              <w:bottom w:val="single" w:sz="8" w:space="0" w:color="993333"/>
            </w:tcBorders>
            <w:shd w:val="clear" w:color="auto" w:fill="FFFFFF"/>
            <w:vAlign w:val="center"/>
          </w:tcPr>
          <w:p w14:paraId="10810EF9"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sz w:val="18"/>
                <w:szCs w:val="18"/>
                <w:lang w:eastAsia="es-ES"/>
              </w:rPr>
              <w:lastRenderedPageBreak/>
              <w:t>12 de maig</w:t>
            </w:r>
          </w:p>
        </w:tc>
        <w:tc>
          <w:tcPr>
            <w:tcW w:w="7086" w:type="dxa"/>
            <w:tcBorders>
              <w:bottom w:val="single" w:sz="8" w:space="0" w:color="993333"/>
            </w:tcBorders>
            <w:shd w:val="clear" w:color="auto" w:fill="FFFFFF"/>
          </w:tcPr>
          <w:p w14:paraId="42280DF2"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ACICOM. </w:t>
            </w:r>
            <w:r w:rsidRPr="002D3252">
              <w:rPr>
                <w:rFonts w:ascii="Arial" w:eastAsia="Times New Roman" w:hAnsi="Arial" w:cs="Arial"/>
                <w:i/>
                <w:sz w:val="18"/>
                <w:szCs w:val="18"/>
                <w:lang w:eastAsia="es-ES"/>
              </w:rPr>
              <w:t xml:space="preserve">València </w:t>
            </w:r>
          </w:p>
          <w:p w14:paraId="15ABCC31"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Documental "Com robar un país"</w:t>
            </w:r>
          </w:p>
          <w:p w14:paraId="7AC52E04"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sz w:val="18"/>
                <w:szCs w:val="18"/>
                <w:lang w:eastAsia="es-ES"/>
              </w:rPr>
              <w:t>Dins del marc del Cinema Club Acció Documental +, el director de l'Agència va participar en la taula redona juntament amb Alejandro Mañés, patró de Fundació per la Justícia, i Laura Ballester, periodista de Levante EMT.</w:t>
            </w:r>
          </w:p>
          <w:p w14:paraId="798354D3" w14:textId="77777777" w:rsidR="00590DF9" w:rsidRPr="002D3252" w:rsidRDefault="00254AEC" w:rsidP="00590DF9">
            <w:pPr>
              <w:spacing w:after="0" w:line="276" w:lineRule="auto"/>
              <w:jc w:val="both"/>
              <w:rPr>
                <w:rFonts w:ascii="Arial" w:eastAsia="Times New Roman" w:hAnsi="Arial" w:cs="Arial"/>
                <w:sz w:val="18"/>
                <w:szCs w:val="18"/>
                <w:lang w:eastAsia="es-ES"/>
              </w:rPr>
            </w:pPr>
            <w:hyperlink r:id="rId116" w:history="1">
              <w:r w:rsidR="00590DF9" w:rsidRPr="002D3252">
                <w:rPr>
                  <w:rFonts w:ascii="Arial" w:eastAsia="Times New Roman" w:hAnsi="Arial" w:cs="Arial"/>
                  <w:color w:val="000080"/>
                  <w:sz w:val="18"/>
                  <w:szCs w:val="18"/>
                  <w:u w:val="single"/>
                  <w:lang w:eastAsia="es-ES"/>
                </w:rPr>
                <w:t>https://acicom.org/com-robar-un-pais-cine-club-accio-documental-dimecres-12-5-2021-a-les-1800h-octubre-ccc/</w:t>
              </w:r>
            </w:hyperlink>
            <w:r w:rsidR="00590DF9" w:rsidRPr="002D3252">
              <w:rPr>
                <w:rFonts w:ascii="Arial" w:eastAsia="Times New Roman" w:hAnsi="Arial" w:cs="Arial"/>
                <w:sz w:val="18"/>
                <w:szCs w:val="18"/>
                <w:lang w:eastAsia="es-ES"/>
              </w:rPr>
              <w:t xml:space="preserve"> </w:t>
            </w:r>
          </w:p>
        </w:tc>
      </w:tr>
      <w:tr w:rsidR="00590DF9" w:rsidRPr="002D3252" w14:paraId="2FDEF1AE" w14:textId="77777777" w:rsidTr="006A100C">
        <w:trPr>
          <w:trHeight w:val="454"/>
        </w:trPr>
        <w:tc>
          <w:tcPr>
            <w:tcW w:w="1418" w:type="dxa"/>
            <w:tcBorders>
              <w:bottom w:val="single" w:sz="8" w:space="0" w:color="993333"/>
            </w:tcBorders>
            <w:shd w:val="clear" w:color="auto" w:fill="auto"/>
            <w:vAlign w:val="center"/>
          </w:tcPr>
          <w:p w14:paraId="1F0FAA50"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21 de juny</w:t>
            </w:r>
          </w:p>
        </w:tc>
        <w:tc>
          <w:tcPr>
            <w:tcW w:w="7086" w:type="dxa"/>
            <w:tcBorders>
              <w:bottom w:val="single" w:sz="8" w:space="0" w:color="993333"/>
            </w:tcBorders>
            <w:shd w:val="clear" w:color="auto" w:fill="auto"/>
          </w:tcPr>
          <w:p w14:paraId="370587BE"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Diputació d’Alacant. </w:t>
            </w:r>
            <w:r w:rsidRPr="002D3252">
              <w:rPr>
                <w:rFonts w:ascii="Arial" w:eastAsia="Times New Roman" w:hAnsi="Arial" w:cs="Arial"/>
                <w:i/>
                <w:sz w:val="18"/>
                <w:szCs w:val="18"/>
                <w:lang w:eastAsia="es-ES"/>
              </w:rPr>
              <w:t>Virtual</w:t>
            </w:r>
          </w:p>
          <w:p w14:paraId="6A356534"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 xml:space="preserve">L'Agència Valenciana Antifrau i el paper del personal al servei de les Administracions Públiques en la lluita contra la Corrupció </w:t>
            </w:r>
          </w:p>
          <w:p w14:paraId="1D786C49" w14:textId="77777777" w:rsidR="00590DF9" w:rsidRPr="002D3252" w:rsidRDefault="00590DF9" w:rsidP="00590DF9">
            <w:pPr>
              <w:spacing w:after="0" w:line="276" w:lineRule="auto"/>
              <w:jc w:val="both"/>
              <w:rPr>
                <w:rFonts w:ascii="Arial" w:eastAsia="Times New Roman" w:hAnsi="Arial" w:cs="Arial"/>
                <w:bCs/>
                <w:sz w:val="18"/>
                <w:szCs w:val="18"/>
                <w:lang w:eastAsia="es-ES"/>
              </w:rPr>
            </w:pPr>
            <w:r w:rsidRPr="002D3252">
              <w:rPr>
                <w:rFonts w:ascii="Arial" w:eastAsia="Times New Roman" w:hAnsi="Arial" w:cs="Arial"/>
                <w:bCs/>
                <w:sz w:val="18"/>
                <w:szCs w:val="18"/>
                <w:lang w:eastAsia="es-ES"/>
              </w:rPr>
              <w:t xml:space="preserve">Intervenció institucional del director explicant les funcions de l'Agència en l'activitat formativa dedicada a la Llei 19/2013, de Transparència, accessos a la informació pública i bon govern, per a debatre sobre la seua implantació en l'administració local. </w:t>
            </w:r>
          </w:p>
        </w:tc>
      </w:tr>
      <w:tr w:rsidR="00590DF9" w:rsidRPr="002D3252" w14:paraId="79325399" w14:textId="77777777" w:rsidTr="006A100C">
        <w:trPr>
          <w:trHeight w:val="454"/>
        </w:trPr>
        <w:tc>
          <w:tcPr>
            <w:tcW w:w="1418" w:type="dxa"/>
            <w:tcBorders>
              <w:bottom w:val="single" w:sz="8" w:space="0" w:color="993333"/>
            </w:tcBorders>
            <w:shd w:val="clear" w:color="auto" w:fill="auto"/>
            <w:vAlign w:val="center"/>
          </w:tcPr>
          <w:p w14:paraId="16EA6CCA"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sz w:val="18"/>
                <w:szCs w:val="18"/>
                <w:lang w:eastAsia="es-ES"/>
              </w:rPr>
              <w:t>7 de juliol</w:t>
            </w:r>
          </w:p>
        </w:tc>
        <w:tc>
          <w:tcPr>
            <w:tcW w:w="7086" w:type="dxa"/>
            <w:tcBorders>
              <w:bottom w:val="single" w:sz="8" w:space="0" w:color="993333"/>
            </w:tcBorders>
            <w:shd w:val="clear" w:color="auto" w:fill="auto"/>
          </w:tcPr>
          <w:p w14:paraId="3A5C4D49" w14:textId="77777777" w:rsidR="00590DF9" w:rsidRPr="002D3252" w:rsidRDefault="00590DF9" w:rsidP="00590DF9">
            <w:pPr>
              <w:spacing w:after="0" w:line="276" w:lineRule="auto"/>
              <w:ind w:left="708" w:hanging="708"/>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Fearless Cities. </w:t>
            </w:r>
            <w:r w:rsidRPr="002D3252">
              <w:rPr>
                <w:rFonts w:ascii="Arial" w:eastAsia="Times New Roman" w:hAnsi="Arial" w:cs="Arial"/>
                <w:i/>
                <w:sz w:val="18"/>
                <w:szCs w:val="18"/>
                <w:lang w:eastAsia="es-ES"/>
              </w:rPr>
              <w:t>Virtual</w:t>
            </w:r>
          </w:p>
          <w:p w14:paraId="020DC370"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Municipis transparents i justos: lluita contra la corrupció i el crim organitzat</w:t>
            </w:r>
          </w:p>
          <w:p w14:paraId="650F51F6" w14:textId="77777777" w:rsidR="00590DF9" w:rsidRPr="002D3252" w:rsidRDefault="00590DF9" w:rsidP="00590DF9">
            <w:pPr>
              <w:spacing w:after="0" w:line="276" w:lineRule="auto"/>
              <w:jc w:val="both"/>
              <w:rPr>
                <w:rFonts w:ascii="Arial" w:hAnsi="Arial" w:cs="Arial"/>
                <w:sz w:val="18"/>
                <w:szCs w:val="18"/>
              </w:rPr>
            </w:pPr>
            <w:r w:rsidRPr="002D3252">
              <w:rPr>
                <w:rFonts w:ascii="Arial" w:eastAsia="Times New Roman" w:hAnsi="Arial" w:cs="Arial"/>
                <w:bCs/>
                <w:sz w:val="18"/>
                <w:szCs w:val="18"/>
                <w:lang w:eastAsia="es-ES"/>
              </w:rPr>
              <w:t>Taula redona amb la participació del director per a parlar de la corrupció i el crim organitzat, que afecten els municipis de totes les regions del món i que han de combatre's per a unes ciutats més justes i amb justícia social.</w:t>
            </w:r>
          </w:p>
          <w:p w14:paraId="17C84601" w14:textId="77777777" w:rsidR="00590DF9" w:rsidRPr="002D3252" w:rsidRDefault="00254AEC" w:rsidP="00590DF9">
            <w:pPr>
              <w:spacing w:after="0" w:line="276" w:lineRule="auto"/>
              <w:jc w:val="both"/>
              <w:rPr>
                <w:rFonts w:ascii="Arial" w:hAnsi="Arial" w:cs="Arial"/>
                <w:sz w:val="18"/>
                <w:szCs w:val="18"/>
              </w:rPr>
            </w:pPr>
            <w:hyperlink r:id="rId117" w:history="1">
              <w:r w:rsidR="00590DF9" w:rsidRPr="002D3252">
                <w:rPr>
                  <w:rFonts w:ascii="Arial" w:hAnsi="Arial" w:cs="Arial"/>
                  <w:color w:val="000080"/>
                  <w:sz w:val="18"/>
                  <w:szCs w:val="18"/>
                  <w:u w:val="single"/>
                </w:rPr>
                <w:t>https://www.youtube.com/watch?v=GV7pXR2NW_E</w:t>
              </w:r>
            </w:hyperlink>
            <w:r w:rsidR="00590DF9" w:rsidRPr="002D3252">
              <w:rPr>
                <w:rFonts w:ascii="Arial" w:hAnsi="Arial" w:cs="Arial"/>
                <w:sz w:val="18"/>
                <w:szCs w:val="18"/>
              </w:rPr>
              <w:t xml:space="preserve"> </w:t>
            </w:r>
          </w:p>
        </w:tc>
      </w:tr>
      <w:tr w:rsidR="00590DF9" w:rsidRPr="002D3252" w14:paraId="05286BDD" w14:textId="77777777" w:rsidTr="006A100C">
        <w:trPr>
          <w:trHeight w:val="454"/>
        </w:trPr>
        <w:tc>
          <w:tcPr>
            <w:tcW w:w="1418" w:type="dxa"/>
            <w:tcBorders>
              <w:bottom w:val="single" w:sz="8" w:space="0" w:color="993333"/>
            </w:tcBorders>
            <w:shd w:val="clear" w:color="auto" w:fill="auto"/>
            <w:vAlign w:val="center"/>
          </w:tcPr>
          <w:p w14:paraId="1ABE207A"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7 d’octubre</w:t>
            </w:r>
          </w:p>
        </w:tc>
        <w:tc>
          <w:tcPr>
            <w:tcW w:w="7086" w:type="dxa"/>
            <w:tcBorders>
              <w:bottom w:val="single" w:sz="8" w:space="0" w:color="993333"/>
            </w:tcBorders>
            <w:shd w:val="clear" w:color="auto" w:fill="auto"/>
          </w:tcPr>
          <w:p w14:paraId="0AF0A098"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Diputació d’Alacant. </w:t>
            </w:r>
            <w:r w:rsidRPr="002D3252">
              <w:rPr>
                <w:rFonts w:ascii="Arial" w:eastAsia="Times New Roman" w:hAnsi="Arial" w:cs="Arial"/>
                <w:i/>
                <w:sz w:val="18"/>
                <w:szCs w:val="18"/>
                <w:lang w:eastAsia="es-ES"/>
              </w:rPr>
              <w:t>Virtual</w:t>
            </w:r>
          </w:p>
          <w:p w14:paraId="4C4DAA81"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L'Agència Valenciana Antifrau i el paper del personal al servei de les Administracions Públiques en la lluita contra la Corrupció</w:t>
            </w:r>
          </w:p>
          <w:p w14:paraId="5A92F50C" w14:textId="77777777" w:rsidR="00590DF9" w:rsidRPr="002D3252" w:rsidRDefault="00590DF9" w:rsidP="00590DF9">
            <w:pPr>
              <w:spacing w:after="0" w:line="276" w:lineRule="auto"/>
              <w:jc w:val="both"/>
              <w:rPr>
                <w:rFonts w:ascii="Arial" w:eastAsia="Times New Roman" w:hAnsi="Arial" w:cs="Arial"/>
                <w:bCs/>
                <w:sz w:val="18"/>
                <w:szCs w:val="18"/>
                <w:lang w:eastAsia="es-ES"/>
              </w:rPr>
            </w:pPr>
            <w:r w:rsidRPr="002D3252">
              <w:rPr>
                <w:rFonts w:ascii="Arial" w:eastAsia="Times New Roman" w:hAnsi="Arial" w:cs="Arial"/>
                <w:bCs/>
                <w:sz w:val="18"/>
                <w:szCs w:val="18"/>
                <w:lang w:eastAsia="es-ES"/>
              </w:rPr>
              <w:t>Intervenció institucional del director, explicant les funcions de l'Agència en l'activitat formativa dedicada a la Llei 19/2013, de Transparència, accessos a la informació pública i bon govern, per a debatre sobre la seua implantació en l'administració local.</w:t>
            </w:r>
          </w:p>
          <w:p w14:paraId="52CFB390" w14:textId="77777777" w:rsidR="00590DF9" w:rsidRPr="002D3252" w:rsidRDefault="00254AEC" w:rsidP="00590DF9">
            <w:pPr>
              <w:spacing w:after="0" w:line="276" w:lineRule="auto"/>
              <w:jc w:val="both"/>
              <w:rPr>
                <w:rFonts w:ascii="Arial" w:hAnsi="Arial" w:cs="Arial"/>
                <w:sz w:val="18"/>
                <w:szCs w:val="18"/>
              </w:rPr>
            </w:pPr>
            <w:hyperlink r:id="rId118" w:history="1">
              <w:r w:rsidR="00590DF9" w:rsidRPr="002D3252">
                <w:rPr>
                  <w:rFonts w:ascii="Arial" w:hAnsi="Arial" w:cs="Arial"/>
                  <w:color w:val="000080"/>
                  <w:sz w:val="18"/>
                  <w:szCs w:val="18"/>
                  <w:u w:val="single"/>
                </w:rPr>
                <w:t>https://www.antifraucv.es/el-director-de-lavaf-participa-en-la-segona-edicio-del-curs-de-la-llei-de-transparencia-implantacio-en-ladministracio-local-de-la-diputacio-dalacant/</w:t>
              </w:r>
            </w:hyperlink>
            <w:r w:rsidR="00590DF9" w:rsidRPr="002D3252">
              <w:rPr>
                <w:rFonts w:ascii="Arial" w:hAnsi="Arial" w:cs="Arial"/>
                <w:sz w:val="18"/>
                <w:szCs w:val="18"/>
              </w:rPr>
              <w:t xml:space="preserve"> </w:t>
            </w:r>
          </w:p>
        </w:tc>
      </w:tr>
      <w:tr w:rsidR="00590DF9" w:rsidRPr="002D3252" w14:paraId="65EADE66" w14:textId="77777777" w:rsidTr="006A100C">
        <w:trPr>
          <w:trHeight w:val="454"/>
        </w:trPr>
        <w:tc>
          <w:tcPr>
            <w:tcW w:w="1418" w:type="dxa"/>
            <w:tcBorders>
              <w:bottom w:val="single" w:sz="8" w:space="0" w:color="993333"/>
            </w:tcBorders>
            <w:shd w:val="clear" w:color="auto" w:fill="FFFFFF"/>
            <w:vAlign w:val="center"/>
          </w:tcPr>
          <w:p w14:paraId="7ABEBADF"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28 d’octubre</w:t>
            </w:r>
          </w:p>
        </w:tc>
        <w:tc>
          <w:tcPr>
            <w:tcW w:w="7086" w:type="dxa"/>
            <w:tcBorders>
              <w:bottom w:val="single" w:sz="8" w:space="0" w:color="993333"/>
            </w:tcBorders>
            <w:shd w:val="clear" w:color="auto" w:fill="FFFFFF"/>
          </w:tcPr>
          <w:p w14:paraId="0214090F" w14:textId="77777777" w:rsidR="00590DF9" w:rsidRPr="002D3252" w:rsidRDefault="00590DF9" w:rsidP="00590DF9">
            <w:pPr>
              <w:spacing w:after="0" w:line="276" w:lineRule="auto"/>
              <w:ind w:left="708" w:hanging="708"/>
              <w:jc w:val="both"/>
              <w:rPr>
                <w:rFonts w:ascii="Arial" w:eastAsia="Times New Roman" w:hAnsi="Arial" w:cs="Arial"/>
                <w:b/>
                <w:sz w:val="18"/>
                <w:szCs w:val="18"/>
                <w:lang w:eastAsia="es-ES"/>
              </w:rPr>
            </w:pPr>
            <w:r w:rsidRPr="002D3252">
              <w:rPr>
                <w:rFonts w:ascii="Arial" w:eastAsia="Times New Roman" w:hAnsi="Arial" w:cs="Arial"/>
                <w:color w:val="666666"/>
                <w:sz w:val="18"/>
                <w:szCs w:val="18"/>
                <w:lang w:eastAsia="es-ES"/>
              </w:rPr>
              <w:t xml:space="preserve">Universitat Jaume I. </w:t>
            </w:r>
            <w:r w:rsidRPr="002D3252">
              <w:rPr>
                <w:rFonts w:ascii="Arial" w:eastAsia="Times New Roman" w:hAnsi="Arial" w:cs="Arial"/>
                <w:i/>
                <w:sz w:val="18"/>
                <w:szCs w:val="18"/>
                <w:lang w:eastAsia="es-ES"/>
              </w:rPr>
              <w:t>Castelló de la Plana</w:t>
            </w:r>
          </w:p>
          <w:p w14:paraId="55AC244B"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El paper de les agències antifrau en la lluita contra la corrupció i per la integritat pública</w:t>
            </w:r>
          </w:p>
          <w:p w14:paraId="47F932A8" w14:textId="77777777" w:rsidR="00590DF9" w:rsidRPr="002D3252" w:rsidRDefault="00590DF9" w:rsidP="00590DF9">
            <w:pPr>
              <w:spacing w:after="0" w:line="276" w:lineRule="auto"/>
              <w:jc w:val="both"/>
              <w:rPr>
                <w:rFonts w:ascii="Arial" w:hAnsi="Arial" w:cs="Arial"/>
                <w:sz w:val="18"/>
                <w:szCs w:val="18"/>
              </w:rPr>
            </w:pPr>
            <w:r w:rsidRPr="002D3252">
              <w:rPr>
                <w:rFonts w:ascii="Arial" w:hAnsi="Arial" w:cs="Arial"/>
                <w:sz w:val="18"/>
                <w:szCs w:val="18"/>
              </w:rPr>
              <w:t>Intervenció institucional del director en la inauguració de l'activitat formativa titulada “Institucions i governança després de la pandèmia: Perspectives internacionals”, el director va participar amb una conferència sobre el paper de les agències antifrau en la lluita contra la corrupció.</w:t>
            </w:r>
          </w:p>
          <w:p w14:paraId="3E19269B" w14:textId="77777777" w:rsidR="00590DF9" w:rsidRPr="002D3252" w:rsidRDefault="00254AEC" w:rsidP="00590DF9">
            <w:pPr>
              <w:spacing w:after="0" w:line="276" w:lineRule="auto"/>
              <w:jc w:val="both"/>
              <w:rPr>
                <w:rFonts w:ascii="Arial" w:hAnsi="Arial" w:cs="Arial"/>
                <w:sz w:val="18"/>
                <w:szCs w:val="18"/>
              </w:rPr>
            </w:pPr>
            <w:hyperlink r:id="rId119" w:history="1">
              <w:r w:rsidR="00590DF9" w:rsidRPr="002D3252">
                <w:rPr>
                  <w:rFonts w:ascii="Arial" w:hAnsi="Arial" w:cs="Arial"/>
                  <w:color w:val="000080"/>
                  <w:sz w:val="18"/>
                  <w:szCs w:val="18"/>
                  <w:u w:val="single"/>
                </w:rPr>
                <w:t>https://www.uji.es/com/agenda/2021/10/28/workshop-iidl/</w:t>
              </w:r>
            </w:hyperlink>
            <w:r w:rsidR="00590DF9" w:rsidRPr="002D3252">
              <w:rPr>
                <w:rFonts w:ascii="Arial" w:hAnsi="Arial" w:cs="Arial"/>
                <w:sz w:val="18"/>
                <w:szCs w:val="18"/>
              </w:rPr>
              <w:t xml:space="preserve">   </w:t>
            </w:r>
          </w:p>
        </w:tc>
      </w:tr>
      <w:tr w:rsidR="00590DF9" w:rsidRPr="002D3252" w14:paraId="367EC683" w14:textId="77777777" w:rsidTr="006A100C">
        <w:trPr>
          <w:trHeight w:val="454"/>
        </w:trPr>
        <w:tc>
          <w:tcPr>
            <w:tcW w:w="1418" w:type="dxa"/>
            <w:tcBorders>
              <w:bottom w:val="single" w:sz="8" w:space="0" w:color="993333"/>
            </w:tcBorders>
            <w:shd w:val="clear" w:color="auto" w:fill="FFFFFF"/>
            <w:vAlign w:val="center"/>
          </w:tcPr>
          <w:p w14:paraId="7E62E3F0"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29 d’octubre</w:t>
            </w:r>
          </w:p>
        </w:tc>
        <w:tc>
          <w:tcPr>
            <w:tcW w:w="7086" w:type="dxa"/>
            <w:tcBorders>
              <w:bottom w:val="single" w:sz="8" w:space="0" w:color="993333"/>
            </w:tcBorders>
            <w:shd w:val="clear" w:color="auto" w:fill="FFFFFF"/>
          </w:tcPr>
          <w:p w14:paraId="32CF7C2E" w14:textId="77777777" w:rsidR="00590DF9" w:rsidRPr="002D3252" w:rsidRDefault="00590DF9" w:rsidP="00590DF9">
            <w:pPr>
              <w:spacing w:after="0" w:line="276" w:lineRule="auto"/>
              <w:ind w:left="708" w:hanging="708"/>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Congrés NOVAGOB 2021. </w:t>
            </w:r>
            <w:r w:rsidRPr="002D3252">
              <w:rPr>
                <w:rFonts w:ascii="Arial" w:eastAsia="Times New Roman" w:hAnsi="Arial" w:cs="Arial"/>
                <w:i/>
                <w:sz w:val="18"/>
                <w:szCs w:val="18"/>
                <w:lang w:eastAsia="es-ES"/>
              </w:rPr>
              <w:t>Virtual</w:t>
            </w:r>
          </w:p>
          <w:p w14:paraId="5CDBAC47"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Fórmules per a una Administració més oberta i íntegra</w:t>
            </w:r>
          </w:p>
          <w:p w14:paraId="726D0924" w14:textId="77777777" w:rsidR="00590DF9" w:rsidRPr="002D3252" w:rsidRDefault="00590DF9" w:rsidP="00590DF9">
            <w:pPr>
              <w:spacing w:after="0" w:line="276" w:lineRule="auto"/>
              <w:jc w:val="both"/>
              <w:rPr>
                <w:rFonts w:ascii="Arial" w:eastAsia="Times New Roman" w:hAnsi="Arial" w:cs="Arial"/>
                <w:bCs/>
                <w:sz w:val="18"/>
                <w:szCs w:val="18"/>
                <w:lang w:eastAsia="es-ES"/>
              </w:rPr>
            </w:pPr>
            <w:r w:rsidRPr="002D3252">
              <w:rPr>
                <w:rFonts w:ascii="Arial" w:eastAsia="Times New Roman" w:hAnsi="Arial" w:cs="Arial"/>
                <w:bCs/>
                <w:sz w:val="18"/>
                <w:szCs w:val="18"/>
                <w:lang w:eastAsia="es-ES"/>
              </w:rPr>
              <w:t>Intervenció institucional del director per a exposar el treball de l'Agència en el marc del Congrés Novagob 2021, en una taula redona, moderada per Rafa Camacho, al costat de Mercè Crosas, secretària de Govern Obert de la Generalitat Catalunya, Olivié Bayón, director general de Governança Pública del Govern d'Espanya i Kani Poal, portaveu de la #ComunidadAspasia, assessora tècnica de la Direcció General de Govern Obert i Innovació Social del Govern d'Aragó.</w:t>
            </w:r>
          </w:p>
          <w:p w14:paraId="5C0492C0" w14:textId="77777777" w:rsidR="00590DF9" w:rsidRPr="002D3252" w:rsidRDefault="00254AEC" w:rsidP="00590DF9">
            <w:pPr>
              <w:spacing w:after="0" w:line="276" w:lineRule="auto"/>
              <w:jc w:val="both"/>
              <w:rPr>
                <w:rFonts w:ascii="Arial" w:hAnsi="Arial" w:cs="Arial"/>
                <w:sz w:val="18"/>
                <w:szCs w:val="18"/>
              </w:rPr>
            </w:pPr>
            <w:hyperlink r:id="rId120" w:history="1">
              <w:r w:rsidR="00590DF9" w:rsidRPr="002D3252">
                <w:rPr>
                  <w:rFonts w:ascii="Arial" w:eastAsia="Times New Roman" w:hAnsi="Arial" w:cs="Arial"/>
                  <w:bCs/>
                  <w:color w:val="000080"/>
                  <w:sz w:val="18"/>
                  <w:szCs w:val="18"/>
                  <w:u w:val="single"/>
                  <w:lang w:eastAsia="es-ES"/>
                </w:rPr>
                <w:t>https://www.youtube.com/watch?v=vpwVdUqlRKk</w:t>
              </w:r>
            </w:hyperlink>
            <w:r w:rsidR="00590DF9" w:rsidRPr="002D3252">
              <w:rPr>
                <w:rFonts w:ascii="Arial" w:eastAsia="Times New Roman" w:hAnsi="Arial" w:cs="Arial"/>
                <w:bCs/>
                <w:sz w:val="18"/>
                <w:szCs w:val="18"/>
                <w:lang w:eastAsia="es-ES"/>
              </w:rPr>
              <w:t xml:space="preserve"> </w:t>
            </w:r>
          </w:p>
        </w:tc>
      </w:tr>
      <w:tr w:rsidR="00590DF9" w:rsidRPr="002D3252" w14:paraId="1AFCBBB0" w14:textId="77777777" w:rsidTr="006A100C">
        <w:trPr>
          <w:trHeight w:val="454"/>
        </w:trPr>
        <w:tc>
          <w:tcPr>
            <w:tcW w:w="1418" w:type="dxa"/>
            <w:tcBorders>
              <w:top w:val="single" w:sz="8" w:space="0" w:color="993333"/>
              <w:bottom w:val="single" w:sz="8" w:space="0" w:color="993333"/>
            </w:tcBorders>
            <w:shd w:val="clear" w:color="auto" w:fill="FFFFFF"/>
            <w:vAlign w:val="center"/>
          </w:tcPr>
          <w:p w14:paraId="3892659C"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t>2 de novembre</w:t>
            </w:r>
          </w:p>
        </w:tc>
        <w:tc>
          <w:tcPr>
            <w:tcW w:w="7086" w:type="dxa"/>
            <w:tcBorders>
              <w:top w:val="single" w:sz="8" w:space="0" w:color="993333"/>
              <w:bottom w:val="single" w:sz="8" w:space="0" w:color="993333"/>
            </w:tcBorders>
            <w:shd w:val="clear" w:color="auto" w:fill="FFFFFF"/>
          </w:tcPr>
          <w:p w14:paraId="6350D93A" w14:textId="77777777" w:rsidR="00590DF9" w:rsidRPr="002D3252" w:rsidRDefault="00590DF9" w:rsidP="00590DF9">
            <w:pPr>
              <w:spacing w:after="0" w:line="276" w:lineRule="auto"/>
              <w:ind w:left="708" w:hanging="708"/>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INAP </w:t>
            </w:r>
            <w:r w:rsidRPr="002D3252">
              <w:rPr>
                <w:rFonts w:ascii="Arial" w:eastAsia="Times New Roman" w:hAnsi="Arial" w:cs="Arial"/>
                <w:i/>
                <w:sz w:val="18"/>
                <w:szCs w:val="18"/>
                <w:lang w:eastAsia="es-ES"/>
              </w:rPr>
              <w:t>Virtual</w:t>
            </w:r>
          </w:p>
          <w:p w14:paraId="2FAA71D2"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El paper de les agències antifrau en la lluita contra la corrupció i per la integritat pública</w:t>
            </w:r>
          </w:p>
          <w:p w14:paraId="38DD4069" w14:textId="77777777" w:rsidR="00590DF9" w:rsidRPr="002D3252" w:rsidRDefault="00590DF9" w:rsidP="00590DF9">
            <w:pPr>
              <w:spacing w:after="0" w:line="276" w:lineRule="auto"/>
              <w:jc w:val="both"/>
              <w:rPr>
                <w:rFonts w:ascii="Arial" w:hAnsi="Arial" w:cs="Arial"/>
                <w:sz w:val="18"/>
                <w:szCs w:val="18"/>
              </w:rPr>
            </w:pPr>
            <w:r w:rsidRPr="002D3252">
              <w:rPr>
                <w:rFonts w:ascii="Arial" w:eastAsia="Times New Roman" w:hAnsi="Arial" w:cs="Arial"/>
                <w:bCs/>
                <w:sz w:val="18"/>
                <w:szCs w:val="18"/>
                <w:lang w:eastAsia="es-ES"/>
              </w:rPr>
              <w:lastRenderedPageBreak/>
              <w:t xml:space="preserve">Presentació institucional de les funcions i línies d'actuació de l'Agència dins del mòdul educatiu dedicat a polítiques anticorrupció, en l'activitat formativa del curs selectiu del Cos d'Administradors Civils de l'Estat. </w:t>
            </w:r>
          </w:p>
        </w:tc>
      </w:tr>
      <w:tr w:rsidR="00590DF9" w:rsidRPr="002D3252" w14:paraId="7D71D80B" w14:textId="77777777" w:rsidTr="006A100C">
        <w:trPr>
          <w:trHeight w:val="454"/>
        </w:trPr>
        <w:tc>
          <w:tcPr>
            <w:tcW w:w="1418" w:type="dxa"/>
            <w:tcBorders>
              <w:bottom w:val="single" w:sz="8" w:space="0" w:color="993333"/>
            </w:tcBorders>
            <w:shd w:val="clear" w:color="auto" w:fill="FFFFFF"/>
            <w:vAlign w:val="center"/>
          </w:tcPr>
          <w:p w14:paraId="6CB9039C" w14:textId="77777777" w:rsidR="00590DF9" w:rsidRPr="002D3252" w:rsidRDefault="00590DF9" w:rsidP="00590DF9">
            <w:pPr>
              <w:rPr>
                <w:rFonts w:ascii="Arial" w:eastAsia="Times New Roman" w:hAnsi="Arial" w:cs="Arial"/>
                <w:sz w:val="18"/>
                <w:szCs w:val="18"/>
                <w:lang w:eastAsia="es-ES"/>
              </w:rPr>
            </w:pPr>
            <w:r w:rsidRPr="002D3252">
              <w:rPr>
                <w:rFonts w:ascii="Arial" w:eastAsia="Times New Roman" w:hAnsi="Arial" w:cs="Arial"/>
                <w:color w:val="000000"/>
                <w:sz w:val="18"/>
                <w:szCs w:val="18"/>
                <w:lang w:eastAsia="es-ES"/>
              </w:rPr>
              <w:lastRenderedPageBreak/>
              <w:t>3 de novembre</w:t>
            </w:r>
          </w:p>
        </w:tc>
        <w:tc>
          <w:tcPr>
            <w:tcW w:w="7086" w:type="dxa"/>
            <w:tcBorders>
              <w:bottom w:val="single" w:sz="8" w:space="0" w:color="993333"/>
            </w:tcBorders>
            <w:shd w:val="clear" w:color="auto" w:fill="FFFFFF"/>
          </w:tcPr>
          <w:p w14:paraId="10CC6C1D" w14:textId="77777777" w:rsidR="00590DF9" w:rsidRPr="002D3252" w:rsidRDefault="00590DF9" w:rsidP="00590DF9">
            <w:pPr>
              <w:spacing w:after="0" w:line="276" w:lineRule="auto"/>
              <w:ind w:left="708" w:hanging="708"/>
              <w:jc w:val="both"/>
              <w:rPr>
                <w:rFonts w:ascii="Arial" w:eastAsia="Times New Roman" w:hAnsi="Arial" w:cs="Arial"/>
                <w:b/>
                <w:sz w:val="18"/>
                <w:szCs w:val="18"/>
                <w:lang w:eastAsia="es-ES"/>
              </w:rPr>
            </w:pPr>
            <w:r w:rsidRPr="002D3252">
              <w:rPr>
                <w:rFonts w:ascii="Arial" w:eastAsia="Times New Roman" w:hAnsi="Arial" w:cs="Arial"/>
                <w:color w:val="666666"/>
                <w:sz w:val="18"/>
                <w:szCs w:val="18"/>
                <w:lang w:eastAsia="es-ES"/>
              </w:rPr>
              <w:t xml:space="preserve">Universitat Jaume I. </w:t>
            </w:r>
            <w:r w:rsidRPr="002D3252">
              <w:rPr>
                <w:rFonts w:ascii="Arial" w:eastAsia="Times New Roman" w:hAnsi="Arial" w:cs="Arial"/>
                <w:i/>
                <w:sz w:val="18"/>
                <w:szCs w:val="18"/>
                <w:lang w:eastAsia="es-ES"/>
              </w:rPr>
              <w:t>Castelló de la Plana</w:t>
            </w:r>
          </w:p>
          <w:p w14:paraId="0D5C5281"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Bon Govern en la Funció Pública local.</w:t>
            </w:r>
          </w:p>
          <w:p w14:paraId="29D5DAA8" w14:textId="77777777" w:rsidR="00590DF9" w:rsidRPr="002D3252" w:rsidRDefault="00590DF9" w:rsidP="00590DF9">
            <w:pPr>
              <w:spacing w:after="0" w:line="276" w:lineRule="auto"/>
              <w:jc w:val="both"/>
              <w:rPr>
                <w:rFonts w:ascii="Arial" w:hAnsi="Arial" w:cs="Arial"/>
                <w:sz w:val="18"/>
                <w:szCs w:val="18"/>
              </w:rPr>
            </w:pPr>
            <w:r w:rsidRPr="002D3252">
              <w:rPr>
                <w:rFonts w:ascii="Arial" w:hAnsi="Arial" w:cs="Arial"/>
                <w:sz w:val="18"/>
                <w:szCs w:val="18"/>
              </w:rPr>
              <w:t>Representació institucional en la inauguració de la jornada formativa al costat d'Antoni Llorente, secretari autonòmic de Participació i Transparència i Cristina Pauner, secretària general i professora titular de Dret Constitucional de l'UJI.</w:t>
            </w:r>
          </w:p>
          <w:p w14:paraId="0C3236ED" w14:textId="77777777" w:rsidR="00590DF9" w:rsidRPr="002D3252" w:rsidRDefault="00254AEC" w:rsidP="00590DF9">
            <w:pPr>
              <w:spacing w:after="0" w:line="276" w:lineRule="auto"/>
              <w:jc w:val="both"/>
              <w:rPr>
                <w:rFonts w:ascii="Arial" w:hAnsi="Arial" w:cs="Arial"/>
                <w:sz w:val="18"/>
                <w:szCs w:val="18"/>
              </w:rPr>
            </w:pPr>
            <w:hyperlink r:id="rId121" w:history="1">
              <w:r w:rsidR="00590DF9" w:rsidRPr="002D3252">
                <w:rPr>
                  <w:rFonts w:ascii="Arial" w:hAnsi="Arial" w:cs="Arial"/>
                  <w:color w:val="000080"/>
                  <w:sz w:val="18"/>
                  <w:szCs w:val="18"/>
                  <w:u w:val="single"/>
                </w:rPr>
                <w:t>https://www.uji.es/com/agenda/2021/11/03/jornada-bon-govern/</w:t>
              </w:r>
            </w:hyperlink>
            <w:r w:rsidR="00590DF9" w:rsidRPr="002D3252">
              <w:rPr>
                <w:rFonts w:ascii="Arial" w:hAnsi="Arial" w:cs="Arial"/>
                <w:sz w:val="18"/>
                <w:szCs w:val="18"/>
              </w:rPr>
              <w:t xml:space="preserve"> </w:t>
            </w:r>
          </w:p>
        </w:tc>
      </w:tr>
      <w:tr w:rsidR="00590DF9" w:rsidRPr="002D3252" w14:paraId="6DFB9235" w14:textId="77777777" w:rsidTr="006A100C">
        <w:trPr>
          <w:trHeight w:val="454"/>
        </w:trPr>
        <w:tc>
          <w:tcPr>
            <w:tcW w:w="1418" w:type="dxa"/>
            <w:tcBorders>
              <w:bottom w:val="single" w:sz="8" w:space="0" w:color="993333"/>
            </w:tcBorders>
            <w:shd w:val="clear" w:color="auto" w:fill="FFFFFF"/>
            <w:vAlign w:val="center"/>
          </w:tcPr>
          <w:p w14:paraId="137A15CF" w14:textId="77777777" w:rsidR="00590DF9" w:rsidRPr="002D3252" w:rsidRDefault="00590DF9" w:rsidP="00590DF9">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6 de novembre</w:t>
            </w:r>
          </w:p>
        </w:tc>
        <w:tc>
          <w:tcPr>
            <w:tcW w:w="7086" w:type="dxa"/>
            <w:tcBorders>
              <w:bottom w:val="single" w:sz="8" w:space="0" w:color="993333"/>
            </w:tcBorders>
            <w:shd w:val="clear" w:color="auto" w:fill="FFFFFF"/>
          </w:tcPr>
          <w:p w14:paraId="4DA36AC2" w14:textId="77777777" w:rsidR="00590DF9" w:rsidRPr="002D3252" w:rsidRDefault="00590DF9" w:rsidP="00590DF9">
            <w:pPr>
              <w:spacing w:after="0" w:line="276" w:lineRule="auto"/>
              <w:ind w:left="708" w:hanging="708"/>
              <w:jc w:val="both"/>
              <w:rPr>
                <w:rFonts w:ascii="Arial" w:eastAsia="Times New Roman" w:hAnsi="Arial" w:cs="Arial"/>
                <w:b/>
                <w:sz w:val="18"/>
                <w:szCs w:val="18"/>
                <w:lang w:eastAsia="es-ES"/>
              </w:rPr>
            </w:pPr>
            <w:r w:rsidRPr="002D3252">
              <w:rPr>
                <w:rFonts w:ascii="Arial" w:eastAsia="Times New Roman" w:hAnsi="Arial" w:cs="Arial"/>
                <w:color w:val="666666"/>
                <w:sz w:val="18"/>
                <w:szCs w:val="18"/>
                <w:lang w:eastAsia="es-ES"/>
              </w:rPr>
              <w:t xml:space="preserve">Centre Nacional d’Educació Ambiental (CENEAM). </w:t>
            </w:r>
            <w:r w:rsidRPr="002D3252">
              <w:rPr>
                <w:rFonts w:ascii="Arial" w:eastAsia="Times New Roman" w:hAnsi="Arial" w:cs="Arial"/>
                <w:i/>
                <w:sz w:val="18"/>
                <w:szCs w:val="18"/>
                <w:lang w:eastAsia="es-ES"/>
              </w:rPr>
              <w:t>Valsaín, Segòvia</w:t>
            </w:r>
          </w:p>
          <w:p w14:paraId="11437609"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Corrupció i medi ambient.</w:t>
            </w:r>
          </w:p>
          <w:p w14:paraId="6413FDC6" w14:textId="77777777" w:rsidR="00590DF9" w:rsidRPr="002D3252" w:rsidRDefault="00590DF9" w:rsidP="00590DF9">
            <w:pPr>
              <w:spacing w:after="0" w:line="276" w:lineRule="auto"/>
              <w:jc w:val="both"/>
              <w:rPr>
                <w:rFonts w:ascii="Arial" w:eastAsia="Times New Roman" w:hAnsi="Arial" w:cs="Arial"/>
                <w:color w:val="666666"/>
                <w:sz w:val="18"/>
                <w:szCs w:val="18"/>
                <w:lang w:eastAsia="es-ES"/>
              </w:rPr>
            </w:pPr>
            <w:r w:rsidRPr="002D3252">
              <w:rPr>
                <w:rFonts w:ascii="Arial" w:hAnsi="Arial" w:cs="Arial"/>
                <w:sz w:val="18"/>
                <w:szCs w:val="18"/>
              </w:rPr>
              <w:t>Taula redona entorn dels aspectes particulars de l'especialitat en el marc de la jornada organitzada pel CENEAM, per a les Fiscalies de Medi Ambient.</w:t>
            </w:r>
          </w:p>
        </w:tc>
      </w:tr>
      <w:tr w:rsidR="00590DF9" w:rsidRPr="002D3252" w14:paraId="6B9E1C55" w14:textId="77777777" w:rsidTr="006A100C">
        <w:trPr>
          <w:trHeight w:val="454"/>
        </w:trPr>
        <w:tc>
          <w:tcPr>
            <w:tcW w:w="1418" w:type="dxa"/>
            <w:tcBorders>
              <w:top w:val="single" w:sz="8" w:space="0" w:color="993333"/>
              <w:bottom w:val="single" w:sz="8" w:space="0" w:color="993333"/>
            </w:tcBorders>
            <w:shd w:val="clear" w:color="auto" w:fill="FFFFFF"/>
            <w:vAlign w:val="center"/>
          </w:tcPr>
          <w:p w14:paraId="6724F011" w14:textId="77777777" w:rsidR="00590DF9" w:rsidRPr="002D3252" w:rsidRDefault="00590DF9" w:rsidP="00590DF9">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23 de novembre</w:t>
            </w:r>
          </w:p>
        </w:tc>
        <w:tc>
          <w:tcPr>
            <w:tcW w:w="7086" w:type="dxa"/>
            <w:tcBorders>
              <w:top w:val="single" w:sz="8" w:space="0" w:color="993333"/>
              <w:bottom w:val="single" w:sz="8" w:space="0" w:color="993333"/>
            </w:tcBorders>
            <w:shd w:val="clear" w:color="auto" w:fill="FFFFFF"/>
          </w:tcPr>
          <w:p w14:paraId="0F1A9CE9"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Diputació de València. </w:t>
            </w:r>
            <w:r w:rsidRPr="002D3252">
              <w:rPr>
                <w:rFonts w:ascii="Arial" w:eastAsia="Times New Roman" w:hAnsi="Arial" w:cs="Arial"/>
                <w:i/>
                <w:sz w:val="18"/>
                <w:szCs w:val="18"/>
                <w:lang w:eastAsia="es-ES"/>
              </w:rPr>
              <w:t>Virtual</w:t>
            </w:r>
          </w:p>
          <w:p w14:paraId="0B025D3B"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 xml:space="preserve">Els canals de denúncia com a instrument per a la consecució d'institucions sòlides </w:t>
            </w:r>
          </w:p>
          <w:p w14:paraId="74BF57F4" w14:textId="77777777" w:rsidR="00590DF9" w:rsidRPr="002D3252" w:rsidRDefault="00590DF9" w:rsidP="00590DF9">
            <w:pPr>
              <w:spacing w:after="0" w:line="276" w:lineRule="auto"/>
              <w:jc w:val="both"/>
              <w:rPr>
                <w:rFonts w:ascii="Arial" w:eastAsia="Times New Roman" w:hAnsi="Arial" w:cs="Arial"/>
                <w:color w:val="666666"/>
                <w:sz w:val="18"/>
                <w:szCs w:val="18"/>
                <w:lang w:eastAsia="es-ES"/>
              </w:rPr>
            </w:pPr>
            <w:r w:rsidRPr="002D3252">
              <w:rPr>
                <w:rFonts w:ascii="Arial" w:eastAsia="Times New Roman" w:hAnsi="Arial" w:cs="Arial"/>
                <w:bCs/>
                <w:sz w:val="18"/>
                <w:szCs w:val="18"/>
                <w:lang w:eastAsia="es-ES"/>
              </w:rPr>
              <w:t xml:space="preserve">Intervenció institucional presentant l'Agència, dins del mòdul educatiu dedicat a polítiques antifrau, de l'activitat formativa del curs “Els nous reptes de la contractació del Sector Públic: instruments pràctics. ODS i fons Next Generation EU per a una cultura administrativa sostenible”. </w:t>
            </w:r>
          </w:p>
        </w:tc>
      </w:tr>
      <w:tr w:rsidR="00590DF9" w:rsidRPr="002D3252" w14:paraId="4469628B" w14:textId="77777777" w:rsidTr="006A100C">
        <w:trPr>
          <w:trHeight w:val="454"/>
        </w:trPr>
        <w:tc>
          <w:tcPr>
            <w:tcW w:w="1418" w:type="dxa"/>
            <w:tcBorders>
              <w:top w:val="single" w:sz="8" w:space="0" w:color="993333"/>
              <w:bottom w:val="single" w:sz="8" w:space="0" w:color="993333"/>
            </w:tcBorders>
            <w:shd w:val="clear" w:color="auto" w:fill="FFFFFF"/>
            <w:vAlign w:val="center"/>
          </w:tcPr>
          <w:p w14:paraId="2BB1C9EA" w14:textId="77777777" w:rsidR="00590DF9" w:rsidRPr="002D3252" w:rsidRDefault="00590DF9" w:rsidP="00590DF9">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 de desembre</w:t>
            </w:r>
          </w:p>
        </w:tc>
        <w:tc>
          <w:tcPr>
            <w:tcW w:w="7086" w:type="dxa"/>
            <w:tcBorders>
              <w:top w:val="single" w:sz="8" w:space="0" w:color="993333"/>
              <w:bottom w:val="single" w:sz="8" w:space="0" w:color="993333"/>
            </w:tcBorders>
            <w:shd w:val="clear" w:color="auto" w:fill="FFFFFF"/>
          </w:tcPr>
          <w:p w14:paraId="5E9BD22C" w14:textId="77777777" w:rsidR="00590DF9" w:rsidRPr="002D3252" w:rsidRDefault="00590DF9" w:rsidP="00590DF9">
            <w:pPr>
              <w:spacing w:after="0" w:line="276" w:lineRule="auto"/>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Universitat Politècnica de València. </w:t>
            </w:r>
            <w:r w:rsidRPr="002D3252">
              <w:rPr>
                <w:rFonts w:ascii="Arial" w:eastAsia="Times New Roman" w:hAnsi="Arial" w:cs="Arial"/>
                <w:i/>
                <w:sz w:val="18"/>
                <w:szCs w:val="18"/>
                <w:lang w:eastAsia="es-ES"/>
              </w:rPr>
              <w:t>València</w:t>
            </w:r>
          </w:p>
          <w:p w14:paraId="1ADADCB8"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Les particularitats de la gestió administrativa cultural i principals riscos de frau i corrupció.</w:t>
            </w:r>
          </w:p>
          <w:p w14:paraId="5952468D" w14:textId="77777777" w:rsidR="00590DF9" w:rsidRPr="002D3252" w:rsidRDefault="00590DF9" w:rsidP="00590DF9">
            <w:pPr>
              <w:spacing w:after="0" w:line="276" w:lineRule="auto"/>
              <w:jc w:val="both"/>
              <w:rPr>
                <w:rFonts w:ascii="Arial" w:eastAsia="Times New Roman" w:hAnsi="Arial" w:cs="Arial"/>
                <w:color w:val="666666"/>
                <w:sz w:val="18"/>
                <w:szCs w:val="18"/>
                <w:lang w:eastAsia="es-ES"/>
              </w:rPr>
            </w:pPr>
            <w:r w:rsidRPr="002D3252">
              <w:rPr>
                <w:rFonts w:ascii="Arial" w:eastAsia="Times New Roman" w:hAnsi="Arial" w:cs="Arial"/>
                <w:bCs/>
                <w:sz w:val="18"/>
                <w:szCs w:val="18"/>
                <w:lang w:eastAsia="es-ES"/>
              </w:rPr>
              <w:t>Participació institucional del director presentant l'Agència, dins del mòdul formatiu impartit dedicat a polítiques antifrau en el Màster en Gestió Pública de la Universitat Politècnica de València, en l'assignatura Sistemes d'Avaluació i Qualitat i Gestió dels Pressupostos.</w:t>
            </w:r>
          </w:p>
        </w:tc>
      </w:tr>
      <w:tr w:rsidR="00590DF9" w:rsidRPr="002D3252" w14:paraId="00BDFD60" w14:textId="77777777" w:rsidTr="006A100C">
        <w:trPr>
          <w:trHeight w:val="454"/>
        </w:trPr>
        <w:tc>
          <w:tcPr>
            <w:tcW w:w="1418" w:type="dxa"/>
            <w:tcBorders>
              <w:top w:val="single" w:sz="8" w:space="0" w:color="993333"/>
              <w:bottom w:val="single" w:sz="8" w:space="0" w:color="993333"/>
            </w:tcBorders>
            <w:shd w:val="clear" w:color="auto" w:fill="FFFFFF"/>
            <w:vAlign w:val="center"/>
          </w:tcPr>
          <w:p w14:paraId="19F647BD" w14:textId="77777777" w:rsidR="00590DF9" w:rsidRPr="002D3252" w:rsidRDefault="00590DF9" w:rsidP="00590DF9">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16 de desembre</w:t>
            </w:r>
          </w:p>
        </w:tc>
        <w:tc>
          <w:tcPr>
            <w:tcW w:w="7086" w:type="dxa"/>
            <w:tcBorders>
              <w:top w:val="single" w:sz="8" w:space="0" w:color="993333"/>
              <w:bottom w:val="single" w:sz="8" w:space="0" w:color="993333"/>
            </w:tcBorders>
            <w:shd w:val="clear" w:color="auto" w:fill="FFFFFF"/>
          </w:tcPr>
          <w:p w14:paraId="182ADDF4" w14:textId="77777777" w:rsidR="00590DF9" w:rsidRPr="002D3252" w:rsidRDefault="00590DF9" w:rsidP="00590DF9">
            <w:pPr>
              <w:spacing w:after="0" w:line="276" w:lineRule="auto"/>
              <w:ind w:right="140"/>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Oficina de Prevenció i Lluita contra la Corrupció de les Illes Balears. </w:t>
            </w:r>
            <w:r w:rsidRPr="002D3252">
              <w:rPr>
                <w:rFonts w:ascii="Arial" w:eastAsia="Times New Roman" w:hAnsi="Arial" w:cs="Arial"/>
                <w:i/>
                <w:sz w:val="18"/>
                <w:szCs w:val="18"/>
                <w:lang w:eastAsia="es-ES"/>
              </w:rPr>
              <w:t>Virtual</w:t>
            </w:r>
          </w:p>
          <w:p w14:paraId="3F918746"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El paper de les Oficines i Agències Antifrau en l'enfrontament de la corrupció</w:t>
            </w:r>
          </w:p>
          <w:p w14:paraId="4CFF53A8" w14:textId="77777777" w:rsidR="00590DF9" w:rsidRPr="002D3252" w:rsidRDefault="00590DF9" w:rsidP="00590DF9">
            <w:pPr>
              <w:spacing w:after="0" w:line="276" w:lineRule="auto"/>
              <w:jc w:val="both"/>
              <w:rPr>
                <w:rFonts w:ascii="Arial" w:eastAsia="Times New Roman" w:hAnsi="Arial" w:cs="Arial"/>
                <w:bCs/>
                <w:sz w:val="18"/>
                <w:szCs w:val="18"/>
                <w:lang w:eastAsia="es-ES"/>
              </w:rPr>
            </w:pPr>
            <w:r w:rsidRPr="002D3252">
              <w:rPr>
                <w:rFonts w:ascii="Arial" w:eastAsia="Times New Roman" w:hAnsi="Arial" w:cs="Arial"/>
                <w:bCs/>
                <w:sz w:val="18"/>
                <w:szCs w:val="18"/>
                <w:lang w:eastAsia="es-ES"/>
              </w:rPr>
              <w:t>Taula redona dins de la jornada organitzada per l'Oficina Anticorrupció de les Illes Balears, titulada “L'enfrontament de la corrupció” i en la qual va participar, a més del director de l’AVAF, els directors de les oficines de Balears, Catalunya i Andalusia.</w:t>
            </w:r>
          </w:p>
          <w:p w14:paraId="7A393BF4" w14:textId="77777777" w:rsidR="00590DF9" w:rsidRPr="002D3252" w:rsidRDefault="00254AEC" w:rsidP="00590DF9">
            <w:pPr>
              <w:spacing w:after="0" w:line="276" w:lineRule="auto"/>
              <w:jc w:val="both"/>
              <w:rPr>
                <w:rFonts w:ascii="Arial" w:eastAsia="Times New Roman" w:hAnsi="Arial" w:cs="Arial"/>
                <w:color w:val="666666"/>
                <w:sz w:val="18"/>
                <w:szCs w:val="18"/>
                <w:lang w:eastAsia="es-ES"/>
              </w:rPr>
            </w:pPr>
            <w:hyperlink r:id="rId122" w:history="1">
              <w:r w:rsidR="00590DF9" w:rsidRPr="002D3252">
                <w:rPr>
                  <w:rFonts w:ascii="Arial" w:eastAsia="Times New Roman" w:hAnsi="Arial" w:cs="Arial"/>
                  <w:color w:val="000080"/>
                  <w:sz w:val="18"/>
                  <w:szCs w:val="18"/>
                  <w:u w:val="single"/>
                  <w:lang w:eastAsia="es-ES"/>
                </w:rPr>
                <w:t>https://oaib.es/ca/jornada-lenfrontament-de-la-corrupcio/</w:t>
              </w:r>
            </w:hyperlink>
            <w:r w:rsidR="00590DF9" w:rsidRPr="002D3252">
              <w:rPr>
                <w:rFonts w:ascii="Arial" w:eastAsia="Times New Roman" w:hAnsi="Arial" w:cs="Arial"/>
                <w:color w:val="666666"/>
                <w:sz w:val="18"/>
                <w:szCs w:val="18"/>
                <w:lang w:eastAsia="es-ES"/>
              </w:rPr>
              <w:t xml:space="preserve"> </w:t>
            </w:r>
          </w:p>
        </w:tc>
      </w:tr>
      <w:tr w:rsidR="00590DF9" w:rsidRPr="002D3252" w14:paraId="16D8EC40" w14:textId="77777777" w:rsidTr="006A100C">
        <w:trPr>
          <w:trHeight w:val="454"/>
        </w:trPr>
        <w:tc>
          <w:tcPr>
            <w:tcW w:w="1418" w:type="dxa"/>
            <w:tcBorders>
              <w:top w:val="single" w:sz="8" w:space="0" w:color="993333"/>
              <w:bottom w:val="single" w:sz="4" w:space="0" w:color="8A0000"/>
            </w:tcBorders>
            <w:shd w:val="clear" w:color="auto" w:fill="FFFFFF"/>
            <w:vAlign w:val="center"/>
          </w:tcPr>
          <w:p w14:paraId="13ADF790" w14:textId="77777777" w:rsidR="00590DF9" w:rsidRPr="002D3252" w:rsidRDefault="00590DF9" w:rsidP="00590DF9">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17 de desembre</w:t>
            </w:r>
          </w:p>
        </w:tc>
        <w:tc>
          <w:tcPr>
            <w:tcW w:w="7086" w:type="dxa"/>
            <w:tcBorders>
              <w:top w:val="single" w:sz="8" w:space="0" w:color="993333"/>
              <w:bottom w:val="single" w:sz="4" w:space="0" w:color="8A0000"/>
            </w:tcBorders>
            <w:shd w:val="clear" w:color="auto" w:fill="FFFFFF"/>
          </w:tcPr>
          <w:p w14:paraId="13FEFED2" w14:textId="77777777" w:rsidR="00590DF9" w:rsidRPr="002D3252" w:rsidRDefault="00590DF9" w:rsidP="00590DF9">
            <w:pPr>
              <w:spacing w:after="0" w:line="276" w:lineRule="auto"/>
              <w:ind w:right="140"/>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Universitat de Barcelona. </w:t>
            </w:r>
            <w:r w:rsidRPr="002D3252">
              <w:rPr>
                <w:rFonts w:ascii="Arial" w:eastAsia="Times New Roman" w:hAnsi="Arial" w:cs="Arial"/>
                <w:i/>
                <w:sz w:val="18"/>
                <w:szCs w:val="18"/>
                <w:lang w:eastAsia="es-ES"/>
              </w:rPr>
              <w:t>Virtual</w:t>
            </w:r>
          </w:p>
          <w:p w14:paraId="38828369"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Anuari del Bon Govern i de la Qualitat de la Regulació 2020</w:t>
            </w:r>
          </w:p>
          <w:p w14:paraId="01F82F6C" w14:textId="77777777" w:rsidR="00590DF9" w:rsidRPr="002D3252" w:rsidRDefault="00590DF9" w:rsidP="00590DF9">
            <w:pPr>
              <w:spacing w:after="0" w:line="276" w:lineRule="auto"/>
              <w:jc w:val="both"/>
              <w:rPr>
                <w:rFonts w:ascii="Arial" w:eastAsia="Times New Roman" w:hAnsi="Arial" w:cs="Arial"/>
                <w:bCs/>
                <w:sz w:val="18"/>
                <w:szCs w:val="18"/>
                <w:lang w:eastAsia="es-ES"/>
              </w:rPr>
            </w:pPr>
            <w:r w:rsidRPr="002D3252">
              <w:rPr>
                <w:rFonts w:ascii="Arial" w:eastAsia="Times New Roman" w:hAnsi="Arial" w:cs="Arial"/>
                <w:bCs/>
                <w:sz w:val="18"/>
                <w:szCs w:val="18"/>
                <w:lang w:eastAsia="es-ES"/>
              </w:rPr>
              <w:t>Intervenció en qualitat de coautor en la presentació de l'Anuari del Bon Govern i de la Qualitat de la Regulació 2020, publicat per la Universitat de Barcelona.</w:t>
            </w:r>
          </w:p>
          <w:p w14:paraId="293FFCFB" w14:textId="77777777" w:rsidR="00590DF9" w:rsidRPr="002D3252" w:rsidRDefault="00254AEC" w:rsidP="00590DF9">
            <w:pPr>
              <w:spacing w:after="0" w:line="276" w:lineRule="auto"/>
              <w:jc w:val="both"/>
              <w:rPr>
                <w:rFonts w:ascii="Arial" w:eastAsia="Times New Roman" w:hAnsi="Arial" w:cs="Arial"/>
                <w:color w:val="666666"/>
                <w:sz w:val="18"/>
                <w:szCs w:val="18"/>
                <w:lang w:eastAsia="es-ES"/>
              </w:rPr>
            </w:pPr>
            <w:hyperlink r:id="rId123" w:history="1">
              <w:r w:rsidR="00590DF9" w:rsidRPr="002D3252">
                <w:rPr>
                  <w:rFonts w:ascii="Arial" w:eastAsia="Times New Roman" w:hAnsi="Arial" w:cs="Arial"/>
                  <w:color w:val="000080"/>
                  <w:sz w:val="18"/>
                  <w:szCs w:val="18"/>
                  <w:u w:val="single"/>
                  <w:lang w:eastAsia="es-ES"/>
                </w:rPr>
                <w:t>https://www.gobiernolocal.org/anuario-del-buen-gobierno-y-de-la-calidad-de-la-regulacion-2020/</w:t>
              </w:r>
            </w:hyperlink>
            <w:r w:rsidR="00590DF9" w:rsidRPr="002D3252">
              <w:rPr>
                <w:rFonts w:ascii="Arial" w:eastAsia="Times New Roman" w:hAnsi="Arial" w:cs="Arial"/>
                <w:color w:val="666666"/>
                <w:sz w:val="18"/>
                <w:szCs w:val="18"/>
                <w:lang w:eastAsia="es-ES"/>
              </w:rPr>
              <w:t xml:space="preserve"> </w:t>
            </w:r>
          </w:p>
        </w:tc>
      </w:tr>
      <w:tr w:rsidR="00590DF9" w:rsidRPr="002D3252" w14:paraId="2BDE8AEB" w14:textId="77777777" w:rsidTr="006A100C">
        <w:trPr>
          <w:trHeight w:val="454"/>
        </w:trPr>
        <w:tc>
          <w:tcPr>
            <w:tcW w:w="1418" w:type="dxa"/>
            <w:tcBorders>
              <w:top w:val="single" w:sz="8" w:space="0" w:color="993333"/>
              <w:bottom w:val="single" w:sz="4" w:space="0" w:color="8A0000"/>
            </w:tcBorders>
            <w:shd w:val="clear" w:color="auto" w:fill="FFFFFF"/>
            <w:vAlign w:val="center"/>
          </w:tcPr>
          <w:p w14:paraId="1AEC0D2C" w14:textId="77777777" w:rsidR="00590DF9" w:rsidRPr="002D3252" w:rsidRDefault="00590DF9" w:rsidP="00590DF9">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21 de desembre</w:t>
            </w:r>
          </w:p>
        </w:tc>
        <w:tc>
          <w:tcPr>
            <w:tcW w:w="7086" w:type="dxa"/>
            <w:tcBorders>
              <w:top w:val="single" w:sz="8" w:space="0" w:color="993333"/>
              <w:bottom w:val="single" w:sz="4" w:space="0" w:color="8A0000"/>
            </w:tcBorders>
            <w:shd w:val="clear" w:color="auto" w:fill="FFFFFF"/>
          </w:tcPr>
          <w:p w14:paraId="6CC2141E" w14:textId="77777777" w:rsidR="00590DF9" w:rsidRPr="002D3252" w:rsidRDefault="00590DF9" w:rsidP="00590DF9">
            <w:pPr>
              <w:spacing w:after="0" w:line="276" w:lineRule="auto"/>
              <w:ind w:right="140"/>
              <w:jc w:val="both"/>
              <w:rPr>
                <w:rFonts w:ascii="Arial" w:eastAsia="Times New Roman" w:hAnsi="Arial" w:cs="Arial"/>
                <w:sz w:val="18"/>
                <w:szCs w:val="18"/>
                <w:lang w:eastAsia="es-ES"/>
              </w:rPr>
            </w:pPr>
            <w:r w:rsidRPr="002D3252">
              <w:rPr>
                <w:rFonts w:ascii="Arial" w:eastAsia="Times New Roman" w:hAnsi="Arial" w:cs="Arial"/>
                <w:color w:val="666666"/>
                <w:sz w:val="18"/>
                <w:szCs w:val="18"/>
                <w:lang w:eastAsia="es-ES"/>
              </w:rPr>
              <w:t xml:space="preserve">Direcció General de Transparència, Atenció ciutadana i Bon Govern de la Conselleria de Participació, Transparència, Cooperació i Qualitat democràtica. </w:t>
            </w:r>
            <w:r w:rsidRPr="002D3252">
              <w:rPr>
                <w:rFonts w:ascii="Arial" w:eastAsia="Times New Roman" w:hAnsi="Arial" w:cs="Arial"/>
                <w:i/>
                <w:sz w:val="18"/>
                <w:szCs w:val="18"/>
                <w:lang w:eastAsia="es-ES"/>
              </w:rPr>
              <w:t>Virtual</w:t>
            </w:r>
          </w:p>
          <w:p w14:paraId="6C8AB982" w14:textId="77777777" w:rsidR="00590DF9" w:rsidRPr="002D3252" w:rsidRDefault="00590DF9" w:rsidP="00590DF9">
            <w:pPr>
              <w:spacing w:after="0" w:line="276" w:lineRule="auto"/>
              <w:jc w:val="both"/>
              <w:rPr>
                <w:rFonts w:ascii="Arial" w:eastAsia="Times New Roman" w:hAnsi="Arial" w:cs="Arial"/>
                <w:b/>
                <w:bCs/>
                <w:sz w:val="18"/>
                <w:szCs w:val="18"/>
                <w:lang w:eastAsia="es-ES"/>
              </w:rPr>
            </w:pPr>
            <w:r w:rsidRPr="002D3252">
              <w:rPr>
                <w:rFonts w:ascii="Arial" w:eastAsia="Times New Roman" w:hAnsi="Arial" w:cs="Arial"/>
                <w:b/>
                <w:bCs/>
                <w:sz w:val="18"/>
                <w:szCs w:val="18"/>
                <w:lang w:eastAsia="es-ES"/>
              </w:rPr>
              <w:t xml:space="preserve">Elaboració d’un pla antifrau en l’àmbit local </w:t>
            </w:r>
          </w:p>
          <w:p w14:paraId="20FB9EBF" w14:textId="77777777" w:rsidR="00590DF9" w:rsidRPr="002D3252" w:rsidRDefault="00590DF9" w:rsidP="00590DF9">
            <w:pPr>
              <w:spacing w:after="0" w:line="276" w:lineRule="auto"/>
              <w:jc w:val="both"/>
              <w:rPr>
                <w:rFonts w:ascii="Arial" w:eastAsia="Times New Roman" w:hAnsi="Arial" w:cs="Arial"/>
                <w:bCs/>
                <w:sz w:val="18"/>
                <w:szCs w:val="18"/>
                <w:lang w:eastAsia="es-ES"/>
              </w:rPr>
            </w:pPr>
            <w:r w:rsidRPr="002D3252">
              <w:rPr>
                <w:rFonts w:ascii="Arial" w:eastAsia="Times New Roman" w:hAnsi="Arial" w:cs="Arial"/>
                <w:bCs/>
                <w:sz w:val="18"/>
                <w:szCs w:val="18"/>
                <w:lang w:eastAsia="es-ES"/>
              </w:rPr>
              <w:t>Representació institucional en la inauguració de la jornada formativa, dirigida a entitats locals de la Comunitat Valenciana, a càrrec del director de l’AVAF i del director general de Transparència, Atenció Ciutadana i Bon Govern.</w:t>
            </w:r>
          </w:p>
          <w:p w14:paraId="7005DC3A" w14:textId="77777777" w:rsidR="00590DF9" w:rsidRPr="002D3252" w:rsidRDefault="00254AEC" w:rsidP="00590DF9">
            <w:pPr>
              <w:spacing w:after="0" w:line="276" w:lineRule="auto"/>
              <w:jc w:val="both"/>
              <w:rPr>
                <w:rFonts w:ascii="Arial" w:eastAsia="Times New Roman" w:hAnsi="Arial" w:cs="Arial"/>
                <w:color w:val="666666"/>
                <w:sz w:val="18"/>
                <w:szCs w:val="18"/>
                <w:lang w:eastAsia="es-ES"/>
              </w:rPr>
            </w:pPr>
            <w:hyperlink r:id="rId124" w:history="1">
              <w:r w:rsidR="00590DF9" w:rsidRPr="002D3252">
                <w:rPr>
                  <w:rFonts w:ascii="Arial" w:eastAsia="Times New Roman" w:hAnsi="Arial" w:cs="Arial"/>
                  <w:color w:val="000080"/>
                  <w:sz w:val="18"/>
                  <w:szCs w:val="18"/>
                  <w:u w:val="single"/>
                  <w:lang w:eastAsia="es-ES"/>
                </w:rPr>
                <w:t>https://videos.gva.es/html5/html5lib/v2.79.1/mwEmbedFrame.php/p/149/uiconf_id/23448251/entry_id/0_ys3qsco5?wid=_149&amp;iframeembed=true&amp;entry_id=0_ys3qsco5</w:t>
              </w:r>
            </w:hyperlink>
            <w:r w:rsidR="00590DF9" w:rsidRPr="002D3252">
              <w:rPr>
                <w:rFonts w:ascii="Arial" w:eastAsia="Times New Roman" w:hAnsi="Arial" w:cs="Arial"/>
                <w:color w:val="666666"/>
                <w:sz w:val="18"/>
                <w:szCs w:val="18"/>
                <w:lang w:eastAsia="es-ES"/>
              </w:rPr>
              <w:t xml:space="preserve"> </w:t>
            </w:r>
          </w:p>
        </w:tc>
      </w:tr>
    </w:tbl>
    <w:p w14:paraId="59F28677" w14:textId="77777777" w:rsidR="00431567" w:rsidRPr="00431567" w:rsidRDefault="00431567" w:rsidP="00431567">
      <w:pPr>
        <w:rPr>
          <w:rFonts w:ascii="Arial" w:eastAsia="Times New Roman" w:hAnsi="Arial" w:cs="Arial"/>
          <w:bCs/>
          <w:sz w:val="21"/>
          <w:szCs w:val="21"/>
        </w:rPr>
      </w:pPr>
      <w:bookmarkStart w:id="44" w:name="_Toc95311207"/>
    </w:p>
    <w:p w14:paraId="7912B189" w14:textId="6BC0AE7B" w:rsidR="00590DF9" w:rsidRPr="002D3252" w:rsidRDefault="00590DF9" w:rsidP="00590DF9">
      <w:pPr>
        <w:pStyle w:val="Prrafodelista"/>
        <w:keepNext/>
        <w:numPr>
          <w:ilvl w:val="1"/>
          <w:numId w:val="27"/>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45" w:name="_Toc99110679"/>
      <w:r w:rsidRPr="002D3252">
        <w:rPr>
          <w:rFonts w:ascii="Arial" w:eastAsia="Times New Roman" w:hAnsi="Arial" w:cs="Arial"/>
          <w:b/>
          <w:color w:val="9D2235"/>
          <w:sz w:val="32"/>
          <w:szCs w:val="32"/>
        </w:rPr>
        <w:lastRenderedPageBreak/>
        <w:t>Entrevistes i reunions</w:t>
      </w:r>
      <w:bookmarkEnd w:id="44"/>
      <w:bookmarkEnd w:id="45"/>
    </w:p>
    <w:p w14:paraId="40431329" w14:textId="5D31DBDD" w:rsidR="00FD3D3A" w:rsidRPr="002D3252" w:rsidRDefault="00590DF9" w:rsidP="00590DF9">
      <w:pPr>
        <w:widowControl w:val="0"/>
        <w:suppressAutoHyphens/>
        <w:autoSpaceDN w:val="0"/>
        <w:spacing w:after="240" w:line="276" w:lineRule="auto"/>
        <w:jc w:val="both"/>
        <w:rPr>
          <w:rFonts w:ascii="Arial" w:eastAsia="Calibri" w:hAnsi="Arial" w:cs="Arial"/>
          <w:sz w:val="21"/>
        </w:rPr>
      </w:pPr>
      <w:r w:rsidRPr="002D3252">
        <w:rPr>
          <w:rFonts w:ascii="Arial" w:eastAsia="Times New Roman" w:hAnsi="Arial" w:cs="Arial"/>
          <w:sz w:val="21"/>
          <w:szCs w:val="21"/>
          <w:lang w:eastAsia="es-ES"/>
        </w:rPr>
        <w:t>Durant 2021 s'han mantingut les següents trobades, de caràcter oficial o institucional, per a tractar diversos temes relacionats amb l'activitat de l'Agència i la col·laboració amb diverses institucions, corporacions, administracions i centres directius de la Generalitat Valenciana, d'altres comunitats autònomes, de l'Administració General de l'Estat, així com amb organitzacions de lluita contra el frau de països estrangers.</w:t>
      </w:r>
    </w:p>
    <w:p w14:paraId="0DF6D9BE" w14:textId="44052D2D" w:rsidR="0012717F" w:rsidRPr="002D3252" w:rsidRDefault="0012717F" w:rsidP="0012717F">
      <w:pPr>
        <w:pStyle w:val="Descripcin"/>
        <w:keepNext/>
        <w:rPr>
          <w:rFonts w:ascii="Arial" w:hAnsi="Arial" w:cs="Arial"/>
          <w:smallCaps w:val="0"/>
          <w:sz w:val="18"/>
          <w:szCs w:val="18"/>
        </w:rPr>
      </w:pPr>
      <w:bookmarkStart w:id="46" w:name="_Toc99110848"/>
      <w:r w:rsidRPr="002D3252">
        <w:rPr>
          <w:rFonts w:ascii="Arial" w:hAnsi="Arial" w:cs="Arial"/>
          <w:smallCaps w:val="0"/>
          <w:color w:val="9D2235" w:themeColor="accent1"/>
          <w:sz w:val="18"/>
          <w:szCs w:val="18"/>
        </w:rPr>
        <w:t xml:space="preserve">Taula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Taula \* ARABIC </w:instrText>
      </w:r>
      <w:r w:rsidRPr="002D3252">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w:t>
      </w:r>
      <w:r w:rsidRPr="002D3252">
        <w:rPr>
          <w:rFonts w:ascii="Arial" w:hAnsi="Arial" w:cs="Arial"/>
          <w:smallCaps w:val="0"/>
          <w:color w:val="9D2235" w:themeColor="accent1"/>
          <w:sz w:val="18"/>
          <w:szCs w:val="18"/>
        </w:rPr>
        <w:fldChar w:fldCharType="end"/>
      </w:r>
      <w:r w:rsidRPr="002D3252">
        <w:rPr>
          <w:rFonts w:ascii="Arial" w:hAnsi="Arial" w:cs="Arial"/>
          <w:smallCaps w:val="0"/>
          <w:color w:val="9D2235" w:themeColor="accent1"/>
          <w:sz w:val="18"/>
          <w:szCs w:val="18"/>
        </w:rPr>
        <w:t xml:space="preserve">. </w:t>
      </w:r>
      <w:r w:rsidRPr="002D3252">
        <w:rPr>
          <w:rFonts w:ascii="Arial" w:hAnsi="Arial" w:cs="Arial"/>
          <w:smallCaps w:val="0"/>
          <w:sz w:val="18"/>
          <w:szCs w:val="18"/>
        </w:rPr>
        <w:t>Entrevistes i reunions mantingudes pel director de l'Agència</w:t>
      </w:r>
      <w:bookmarkEnd w:id="46"/>
    </w:p>
    <w:tbl>
      <w:tblPr>
        <w:tblW w:w="8486" w:type="dxa"/>
        <w:jc w:val="right"/>
        <w:tblCellMar>
          <w:left w:w="0" w:type="dxa"/>
          <w:bottom w:w="28" w:type="dxa"/>
          <w:right w:w="0" w:type="dxa"/>
        </w:tblCellMar>
        <w:tblLook w:val="04A0" w:firstRow="1" w:lastRow="0" w:firstColumn="1" w:lastColumn="0" w:noHBand="0" w:noVBand="1"/>
      </w:tblPr>
      <w:tblGrid>
        <w:gridCol w:w="1560"/>
        <w:gridCol w:w="6926"/>
      </w:tblGrid>
      <w:tr w:rsidR="0012717F" w:rsidRPr="002D3252" w14:paraId="031CFDAB" w14:textId="77777777" w:rsidTr="006A100C">
        <w:trPr>
          <w:trHeight w:val="719"/>
          <w:tblHeader/>
          <w:jc w:val="right"/>
        </w:trPr>
        <w:tc>
          <w:tcPr>
            <w:tcW w:w="1560" w:type="dxa"/>
            <w:tcBorders>
              <w:bottom w:val="single" w:sz="4" w:space="0" w:color="C00000"/>
            </w:tcBorders>
            <w:shd w:val="clear" w:color="auto" w:fill="993333"/>
          </w:tcPr>
          <w:p w14:paraId="2E4CB5C2" w14:textId="77777777" w:rsidR="0012717F" w:rsidRPr="002D3252" w:rsidRDefault="0012717F" w:rsidP="0012717F">
            <w:pPr>
              <w:jc w:val="both"/>
              <w:rPr>
                <w:rFonts w:ascii="Arial" w:eastAsia="Times New Roman" w:hAnsi="Arial" w:cs="Arial"/>
                <w:sz w:val="20"/>
                <w:szCs w:val="20"/>
                <w:lang w:eastAsia="es-ES"/>
              </w:rPr>
            </w:pPr>
            <w:r w:rsidRPr="002D3252">
              <w:rPr>
                <w:rFonts w:ascii="Arial" w:eastAsia="Times New Roman" w:hAnsi="Arial" w:cs="Arial"/>
                <w:b/>
                <w:bCs/>
                <w:color w:val="FFFFFF"/>
                <w:sz w:val="20"/>
                <w:szCs w:val="20"/>
                <w:lang w:eastAsia="es-ES"/>
              </w:rPr>
              <w:t>Data</w:t>
            </w:r>
          </w:p>
        </w:tc>
        <w:tc>
          <w:tcPr>
            <w:tcW w:w="6926" w:type="dxa"/>
            <w:tcBorders>
              <w:bottom w:val="single" w:sz="4" w:space="0" w:color="C00000"/>
            </w:tcBorders>
            <w:shd w:val="clear" w:color="auto" w:fill="993333"/>
          </w:tcPr>
          <w:p w14:paraId="4FE5994F" w14:textId="77777777" w:rsidR="0012717F" w:rsidRPr="002D3252" w:rsidRDefault="0012717F" w:rsidP="0012717F">
            <w:pPr>
              <w:jc w:val="both"/>
              <w:rPr>
                <w:rFonts w:ascii="Arial" w:eastAsia="Times New Roman" w:hAnsi="Arial" w:cs="Arial"/>
                <w:b/>
                <w:bCs/>
                <w:color w:val="FFFFFF"/>
                <w:sz w:val="20"/>
                <w:szCs w:val="20"/>
                <w:lang w:eastAsia="es-ES"/>
              </w:rPr>
            </w:pPr>
            <w:r w:rsidRPr="002D3252">
              <w:rPr>
                <w:rFonts w:ascii="Arial" w:eastAsia="Times New Roman" w:hAnsi="Arial" w:cs="Arial"/>
                <w:b/>
                <w:bCs/>
                <w:color w:val="FFFFFF"/>
                <w:sz w:val="20"/>
                <w:szCs w:val="20"/>
                <w:lang w:eastAsia="es-ES"/>
              </w:rPr>
              <w:t>ENTITAT / AUTORITAT</w:t>
            </w:r>
          </w:p>
          <w:p w14:paraId="363750A1" w14:textId="77777777" w:rsidR="0012717F" w:rsidRPr="002D3252" w:rsidRDefault="0012717F" w:rsidP="0012717F">
            <w:pPr>
              <w:jc w:val="both"/>
              <w:rPr>
                <w:rFonts w:ascii="Arial" w:eastAsia="Times New Roman" w:hAnsi="Arial" w:cs="Arial"/>
                <w:b/>
                <w:i/>
                <w:sz w:val="20"/>
                <w:szCs w:val="20"/>
                <w:lang w:eastAsia="es-ES"/>
              </w:rPr>
            </w:pPr>
            <w:r w:rsidRPr="002D3252">
              <w:rPr>
                <w:rFonts w:ascii="Arial" w:eastAsia="Times New Roman" w:hAnsi="Arial" w:cs="Arial"/>
                <w:b/>
                <w:i/>
                <w:color w:val="FFFFFF" w:themeColor="background1"/>
                <w:sz w:val="20"/>
                <w:szCs w:val="20"/>
                <w:lang w:eastAsia="es-ES"/>
              </w:rPr>
              <w:t>Lloc</w:t>
            </w:r>
          </w:p>
        </w:tc>
      </w:tr>
      <w:tr w:rsidR="0012717F" w:rsidRPr="002D3252" w14:paraId="511124D4" w14:textId="77777777" w:rsidTr="006A100C">
        <w:trPr>
          <w:jc w:val="right"/>
        </w:trPr>
        <w:tc>
          <w:tcPr>
            <w:tcW w:w="1560" w:type="dxa"/>
            <w:tcBorders>
              <w:top w:val="single" w:sz="4" w:space="0" w:color="C00000"/>
              <w:bottom w:val="single" w:sz="4" w:space="0" w:color="C00000"/>
            </w:tcBorders>
            <w:shd w:val="clear" w:color="auto" w:fill="auto"/>
            <w:vAlign w:val="center"/>
          </w:tcPr>
          <w:p w14:paraId="0A3C400C"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 xml:space="preserve">20 de gener </w:t>
            </w:r>
          </w:p>
        </w:tc>
        <w:tc>
          <w:tcPr>
            <w:tcW w:w="6926" w:type="dxa"/>
            <w:tcBorders>
              <w:top w:val="single" w:sz="4" w:space="0" w:color="C00000"/>
              <w:bottom w:val="single" w:sz="4" w:space="0" w:color="C00000"/>
            </w:tcBorders>
            <w:shd w:val="clear" w:color="auto" w:fill="auto"/>
          </w:tcPr>
          <w:p w14:paraId="4471C54F"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Corts Valencianes, president, Sr. Enric Morera i Català.</w:t>
            </w:r>
          </w:p>
          <w:p w14:paraId="5BAB33F7" w14:textId="77777777" w:rsidR="0012717F" w:rsidRPr="002D3252" w:rsidRDefault="0012717F" w:rsidP="0012717F">
            <w:pPr>
              <w:spacing w:after="0" w:line="276" w:lineRule="auto"/>
              <w:jc w:val="both"/>
              <w:rPr>
                <w:rFonts w:ascii="Arial" w:eastAsia="Times New Roman" w:hAnsi="Arial" w:cs="Arial"/>
                <w:i/>
                <w:sz w:val="18"/>
                <w:szCs w:val="18"/>
                <w:lang w:eastAsia="es-ES"/>
              </w:rPr>
            </w:pPr>
            <w:r w:rsidRPr="002D3252">
              <w:rPr>
                <w:rFonts w:ascii="Arial" w:eastAsia="Times New Roman" w:hAnsi="Arial" w:cs="Arial"/>
                <w:i/>
                <w:sz w:val="18"/>
                <w:szCs w:val="18"/>
                <w:lang w:eastAsia="es-ES"/>
              </w:rPr>
              <w:t>València</w:t>
            </w:r>
          </w:p>
          <w:p w14:paraId="51F57833" w14:textId="77777777" w:rsidR="0012717F" w:rsidRPr="002D3252" w:rsidRDefault="00254AEC" w:rsidP="0012717F">
            <w:pPr>
              <w:spacing w:after="0" w:line="276" w:lineRule="auto"/>
              <w:jc w:val="both"/>
              <w:rPr>
                <w:rFonts w:ascii="Arial" w:eastAsia="Times New Roman" w:hAnsi="Arial" w:cs="Arial"/>
                <w:color w:val="000000"/>
                <w:sz w:val="18"/>
                <w:szCs w:val="18"/>
                <w:lang w:eastAsia="es-ES"/>
              </w:rPr>
            </w:pPr>
            <w:hyperlink r:id="rId125" w:history="1">
              <w:r w:rsidR="0012717F" w:rsidRPr="002D3252">
                <w:rPr>
                  <w:rFonts w:ascii="Arial" w:hAnsi="Arial" w:cs="Arial"/>
                  <w:color w:val="000080"/>
                  <w:sz w:val="18"/>
                  <w:u w:val="single"/>
                </w:rPr>
                <w:t>https://www.antifraucv.es/va/el-president-morera-i-el-director-de-lagencia-antifrau-analitzen-els-avancos-contra-la-corrupcio-i-la-recuperacio-del-credit-reputacional-de-les-institucions-valencianes/</w:t>
              </w:r>
            </w:hyperlink>
            <w:r w:rsidR="0012717F" w:rsidRPr="002D3252">
              <w:rPr>
                <w:rFonts w:ascii="Arial" w:hAnsi="Arial" w:cs="Arial"/>
                <w:color w:val="9D2235" w:themeColor="accent1"/>
                <w:sz w:val="18"/>
              </w:rPr>
              <w:t xml:space="preserve"> </w:t>
            </w:r>
            <w:r w:rsidR="0012717F" w:rsidRPr="002D3252">
              <w:rPr>
                <w:rFonts w:ascii="Arial" w:eastAsia="Times New Roman" w:hAnsi="Arial" w:cs="Arial"/>
                <w:color w:val="9D2235" w:themeColor="accent1"/>
                <w:sz w:val="14"/>
                <w:szCs w:val="18"/>
                <w:lang w:eastAsia="es-ES"/>
              </w:rPr>
              <w:t xml:space="preserve"> </w:t>
            </w:r>
          </w:p>
        </w:tc>
      </w:tr>
      <w:tr w:rsidR="0012717F" w:rsidRPr="002D3252" w14:paraId="7949C1A7" w14:textId="77777777" w:rsidTr="006A100C">
        <w:trPr>
          <w:jc w:val="right"/>
        </w:trPr>
        <w:tc>
          <w:tcPr>
            <w:tcW w:w="1560" w:type="dxa"/>
            <w:tcBorders>
              <w:top w:val="single" w:sz="4" w:space="0" w:color="C00000"/>
              <w:bottom w:val="single" w:sz="4" w:space="0" w:color="C00000"/>
            </w:tcBorders>
            <w:shd w:val="clear" w:color="auto" w:fill="auto"/>
            <w:vAlign w:val="center"/>
          </w:tcPr>
          <w:p w14:paraId="19BEACDD" w14:textId="77777777" w:rsidR="0012717F" w:rsidRPr="002D3252" w:rsidRDefault="0012717F" w:rsidP="0012717F">
            <w:pPr>
              <w:ind w:left="708" w:hanging="708"/>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27 de gener</w:t>
            </w:r>
          </w:p>
        </w:tc>
        <w:tc>
          <w:tcPr>
            <w:tcW w:w="6926" w:type="dxa"/>
            <w:tcBorders>
              <w:top w:val="single" w:sz="4" w:space="0" w:color="C00000"/>
              <w:bottom w:val="single" w:sz="4" w:space="0" w:color="C00000"/>
            </w:tcBorders>
            <w:shd w:val="clear" w:color="auto" w:fill="auto"/>
          </w:tcPr>
          <w:p w14:paraId="42FA5794"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Universitat Nacional d'Educació a Distància, professor, Sr. Orencio Vázquez.</w:t>
            </w:r>
          </w:p>
          <w:p w14:paraId="18FE9293"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sz w:val="18"/>
                <w:szCs w:val="18"/>
                <w:lang w:eastAsia="es-ES"/>
              </w:rPr>
              <w:t>Virtual</w:t>
            </w:r>
          </w:p>
        </w:tc>
      </w:tr>
      <w:tr w:rsidR="0012717F" w:rsidRPr="002D3252" w14:paraId="49A6CE6A" w14:textId="77777777" w:rsidTr="006A100C">
        <w:trPr>
          <w:jc w:val="right"/>
        </w:trPr>
        <w:tc>
          <w:tcPr>
            <w:tcW w:w="1560" w:type="dxa"/>
            <w:tcBorders>
              <w:top w:val="single" w:sz="4" w:space="0" w:color="C00000"/>
              <w:bottom w:val="single" w:sz="4" w:space="0" w:color="C00000"/>
            </w:tcBorders>
            <w:shd w:val="clear" w:color="auto" w:fill="auto"/>
            <w:vAlign w:val="center"/>
          </w:tcPr>
          <w:p w14:paraId="1D9722F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8 de febrer</w:t>
            </w:r>
          </w:p>
        </w:tc>
        <w:tc>
          <w:tcPr>
            <w:tcW w:w="6926" w:type="dxa"/>
            <w:tcBorders>
              <w:top w:val="single" w:sz="4" w:space="0" w:color="C00000"/>
              <w:bottom w:val="single" w:sz="4" w:space="0" w:color="C00000"/>
            </w:tcBorders>
            <w:shd w:val="clear" w:color="auto" w:fill="auto"/>
          </w:tcPr>
          <w:p w14:paraId="4A25754F"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Conselleria de Justícia, Interior i Administració Pública, sotssecretària, Sra. Belén Cardona Rubert.</w:t>
            </w:r>
          </w:p>
          <w:p w14:paraId="1A124326"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i/>
                <w:sz w:val="18"/>
                <w:szCs w:val="18"/>
                <w:lang w:eastAsia="es-ES"/>
              </w:rPr>
              <w:t>Virtual</w:t>
            </w:r>
          </w:p>
        </w:tc>
      </w:tr>
      <w:tr w:rsidR="0012717F" w:rsidRPr="002D3252" w14:paraId="084094C8" w14:textId="77777777" w:rsidTr="006A100C">
        <w:trPr>
          <w:jc w:val="right"/>
        </w:trPr>
        <w:tc>
          <w:tcPr>
            <w:tcW w:w="1560" w:type="dxa"/>
            <w:tcBorders>
              <w:top w:val="single" w:sz="4" w:space="0" w:color="C00000"/>
              <w:bottom w:val="single" w:sz="4" w:space="0" w:color="C00000"/>
            </w:tcBorders>
            <w:shd w:val="clear" w:color="auto" w:fill="auto"/>
            <w:vAlign w:val="center"/>
          </w:tcPr>
          <w:p w14:paraId="1F49888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11 de febrer</w:t>
            </w:r>
          </w:p>
        </w:tc>
        <w:tc>
          <w:tcPr>
            <w:tcW w:w="6926" w:type="dxa"/>
            <w:tcBorders>
              <w:top w:val="single" w:sz="4" w:space="0" w:color="C00000"/>
              <w:bottom w:val="single" w:sz="4" w:space="0" w:color="C00000"/>
            </w:tcBorders>
            <w:shd w:val="clear" w:color="auto" w:fill="auto"/>
          </w:tcPr>
          <w:p w14:paraId="6307A2F2"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Reunió de directors de les Oficines Antifrau de Catalunya, Illes Balears i València.</w:t>
            </w:r>
          </w:p>
          <w:p w14:paraId="3702FA14"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239D28C8" w14:textId="77777777" w:rsidTr="006A100C">
        <w:trPr>
          <w:jc w:val="right"/>
        </w:trPr>
        <w:tc>
          <w:tcPr>
            <w:tcW w:w="1560" w:type="dxa"/>
            <w:tcBorders>
              <w:top w:val="single" w:sz="4" w:space="0" w:color="C00000"/>
              <w:bottom w:val="single" w:sz="4" w:space="0" w:color="C00000"/>
            </w:tcBorders>
            <w:shd w:val="clear" w:color="auto" w:fill="auto"/>
            <w:vAlign w:val="center"/>
          </w:tcPr>
          <w:p w14:paraId="30986305"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15 de febrer</w:t>
            </w:r>
          </w:p>
        </w:tc>
        <w:tc>
          <w:tcPr>
            <w:tcW w:w="6926" w:type="dxa"/>
            <w:tcBorders>
              <w:top w:val="single" w:sz="4" w:space="0" w:color="C00000"/>
              <w:bottom w:val="single" w:sz="4" w:space="0" w:color="C00000"/>
            </w:tcBorders>
            <w:shd w:val="clear" w:color="auto" w:fill="auto"/>
          </w:tcPr>
          <w:p w14:paraId="611B90A7"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Oficina de Control de Conflictes d'Interessos de la Generalitat Valenciana, director, Sr. Mario Carrión Peinado.</w:t>
            </w:r>
          </w:p>
          <w:p w14:paraId="79894EB3"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17A0F8DB" w14:textId="77777777" w:rsidTr="006A100C">
        <w:trPr>
          <w:jc w:val="right"/>
        </w:trPr>
        <w:tc>
          <w:tcPr>
            <w:tcW w:w="1560" w:type="dxa"/>
            <w:tcBorders>
              <w:top w:val="single" w:sz="4" w:space="0" w:color="C00000"/>
              <w:bottom w:val="single" w:sz="4" w:space="0" w:color="C00000"/>
            </w:tcBorders>
            <w:shd w:val="clear" w:color="auto" w:fill="auto"/>
            <w:vAlign w:val="center"/>
          </w:tcPr>
          <w:p w14:paraId="5F324EF4"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18 de febrer</w:t>
            </w:r>
          </w:p>
        </w:tc>
        <w:tc>
          <w:tcPr>
            <w:tcW w:w="6926" w:type="dxa"/>
            <w:tcBorders>
              <w:top w:val="single" w:sz="4" w:space="0" w:color="C00000"/>
              <w:bottom w:val="single" w:sz="4" w:space="0" w:color="C00000"/>
            </w:tcBorders>
            <w:shd w:val="clear" w:color="auto" w:fill="auto"/>
          </w:tcPr>
          <w:p w14:paraId="280BDFBA"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Reunió de directors de les Oficines Antifrau de Catalunya, Illes Balears i Comunitat Valenciana.</w:t>
            </w:r>
          </w:p>
          <w:p w14:paraId="6A92AA6D"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2210C4AB" w14:textId="77777777" w:rsidTr="006A100C">
        <w:trPr>
          <w:jc w:val="right"/>
        </w:trPr>
        <w:tc>
          <w:tcPr>
            <w:tcW w:w="1560" w:type="dxa"/>
            <w:tcBorders>
              <w:top w:val="single" w:sz="4" w:space="0" w:color="C00000"/>
              <w:bottom w:val="single" w:sz="4" w:space="0" w:color="C00000"/>
            </w:tcBorders>
            <w:shd w:val="clear" w:color="auto" w:fill="auto"/>
            <w:vAlign w:val="center"/>
          </w:tcPr>
          <w:p w14:paraId="1577BA8F"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3 de març</w:t>
            </w:r>
          </w:p>
        </w:tc>
        <w:tc>
          <w:tcPr>
            <w:tcW w:w="6926" w:type="dxa"/>
            <w:tcBorders>
              <w:top w:val="single" w:sz="4" w:space="0" w:color="C00000"/>
              <w:bottom w:val="single" w:sz="4" w:space="0" w:color="C00000"/>
            </w:tcBorders>
            <w:shd w:val="clear" w:color="auto" w:fill="auto"/>
          </w:tcPr>
          <w:p w14:paraId="2D3CC0FD"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Vicerectorat de Projecció Territorial i Societat de la Universitat de València, delegació.</w:t>
            </w:r>
          </w:p>
          <w:p w14:paraId="0EC476DD"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01D5F9DA" w14:textId="77777777" w:rsidTr="006A100C">
        <w:trPr>
          <w:jc w:val="right"/>
        </w:trPr>
        <w:tc>
          <w:tcPr>
            <w:tcW w:w="1560" w:type="dxa"/>
            <w:tcBorders>
              <w:top w:val="single" w:sz="4" w:space="0" w:color="C00000"/>
              <w:bottom w:val="single" w:sz="4" w:space="0" w:color="C00000"/>
            </w:tcBorders>
            <w:shd w:val="clear" w:color="auto" w:fill="auto"/>
            <w:vAlign w:val="center"/>
          </w:tcPr>
          <w:p w14:paraId="7855996D"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4 de març</w:t>
            </w:r>
          </w:p>
        </w:tc>
        <w:tc>
          <w:tcPr>
            <w:tcW w:w="6926" w:type="dxa"/>
            <w:tcBorders>
              <w:top w:val="single" w:sz="4" w:space="0" w:color="C00000"/>
              <w:bottom w:val="single" w:sz="4" w:space="0" w:color="C00000"/>
            </w:tcBorders>
            <w:shd w:val="clear" w:color="auto" w:fill="auto"/>
          </w:tcPr>
          <w:p w14:paraId="06EBEB7A"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Corts Valencianes, president, Sr. Enric Morera i Català.</w:t>
            </w:r>
          </w:p>
          <w:p w14:paraId="23B56AFC" w14:textId="77777777" w:rsidR="0012717F" w:rsidRPr="002D3252" w:rsidRDefault="0012717F" w:rsidP="0012717F">
            <w:pPr>
              <w:spacing w:after="0" w:line="276" w:lineRule="auto"/>
              <w:jc w:val="both"/>
              <w:rPr>
                <w:rFonts w:ascii="Arial" w:eastAsia="Times New Roman" w:hAnsi="Arial" w:cs="Arial"/>
                <w:i/>
                <w:sz w:val="18"/>
                <w:szCs w:val="18"/>
                <w:lang w:eastAsia="es-ES"/>
              </w:rPr>
            </w:pPr>
            <w:r w:rsidRPr="002D3252">
              <w:rPr>
                <w:rFonts w:ascii="Arial" w:eastAsia="Times New Roman" w:hAnsi="Arial" w:cs="Arial"/>
                <w:i/>
                <w:sz w:val="18"/>
                <w:szCs w:val="18"/>
                <w:lang w:eastAsia="es-ES"/>
              </w:rPr>
              <w:t>València</w:t>
            </w:r>
          </w:p>
        </w:tc>
      </w:tr>
      <w:tr w:rsidR="0012717F" w:rsidRPr="002D3252" w14:paraId="375163F1" w14:textId="77777777" w:rsidTr="006A100C">
        <w:trPr>
          <w:jc w:val="right"/>
        </w:trPr>
        <w:tc>
          <w:tcPr>
            <w:tcW w:w="1560" w:type="dxa"/>
            <w:tcBorders>
              <w:top w:val="single" w:sz="4" w:space="0" w:color="C00000"/>
              <w:bottom w:val="single" w:sz="4" w:space="0" w:color="C00000"/>
            </w:tcBorders>
            <w:shd w:val="clear" w:color="auto" w:fill="auto"/>
            <w:vAlign w:val="center"/>
          </w:tcPr>
          <w:p w14:paraId="08DECB6F"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8 de març</w:t>
            </w:r>
          </w:p>
        </w:tc>
        <w:tc>
          <w:tcPr>
            <w:tcW w:w="6926" w:type="dxa"/>
            <w:tcBorders>
              <w:top w:val="single" w:sz="4" w:space="0" w:color="C00000"/>
              <w:bottom w:val="single" w:sz="4" w:space="0" w:color="C00000"/>
            </w:tcBorders>
            <w:shd w:val="clear" w:color="auto" w:fill="auto"/>
          </w:tcPr>
          <w:p w14:paraId="662F0D62"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Conselleria de Transparència, Cooperació i Qualitat Democràtica, consellera, Sra. Rosa Pérez Garijo.</w:t>
            </w:r>
          </w:p>
          <w:p w14:paraId="362151F1"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7FE6741F" w14:textId="77777777" w:rsidTr="006A100C">
        <w:trPr>
          <w:jc w:val="right"/>
        </w:trPr>
        <w:tc>
          <w:tcPr>
            <w:tcW w:w="1560" w:type="dxa"/>
            <w:tcBorders>
              <w:top w:val="single" w:sz="4" w:space="0" w:color="C00000"/>
              <w:bottom w:val="single" w:sz="4" w:space="0" w:color="C00000"/>
            </w:tcBorders>
            <w:shd w:val="clear" w:color="auto" w:fill="auto"/>
            <w:vAlign w:val="center"/>
          </w:tcPr>
          <w:p w14:paraId="4873E2C7"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12 de març</w:t>
            </w:r>
          </w:p>
        </w:tc>
        <w:tc>
          <w:tcPr>
            <w:tcW w:w="6926" w:type="dxa"/>
            <w:tcBorders>
              <w:top w:val="single" w:sz="4" w:space="0" w:color="C00000"/>
              <w:bottom w:val="single" w:sz="4" w:space="0" w:color="C00000"/>
            </w:tcBorders>
            <w:shd w:val="clear" w:color="auto" w:fill="auto"/>
          </w:tcPr>
          <w:p w14:paraId="20CFB80C"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Grup parlamentari Unides-Podem, portaveu, Sra. María Pilar Lima González</w:t>
            </w:r>
          </w:p>
          <w:p w14:paraId="5BD47056"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5585E487" w14:textId="77777777" w:rsidTr="006A100C">
        <w:trPr>
          <w:jc w:val="right"/>
        </w:trPr>
        <w:tc>
          <w:tcPr>
            <w:tcW w:w="1560" w:type="dxa"/>
            <w:tcBorders>
              <w:top w:val="single" w:sz="4" w:space="0" w:color="C00000"/>
              <w:bottom w:val="single" w:sz="4" w:space="0" w:color="C00000"/>
            </w:tcBorders>
            <w:shd w:val="clear" w:color="auto" w:fill="auto"/>
            <w:vAlign w:val="center"/>
          </w:tcPr>
          <w:p w14:paraId="4701C425"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16 de març</w:t>
            </w:r>
          </w:p>
        </w:tc>
        <w:tc>
          <w:tcPr>
            <w:tcW w:w="6926" w:type="dxa"/>
            <w:tcBorders>
              <w:top w:val="single" w:sz="4" w:space="0" w:color="C00000"/>
              <w:bottom w:val="single" w:sz="4" w:space="0" w:color="C00000"/>
            </w:tcBorders>
            <w:shd w:val="clear" w:color="auto" w:fill="auto"/>
          </w:tcPr>
          <w:p w14:paraId="29CE9516"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Vicerectorat de Projecció Territorial i Societat de la Universitat de València, delegació.</w:t>
            </w:r>
          </w:p>
          <w:p w14:paraId="753A3811"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36B4C7E8" w14:textId="77777777" w:rsidTr="006A100C">
        <w:trPr>
          <w:jc w:val="right"/>
        </w:trPr>
        <w:tc>
          <w:tcPr>
            <w:tcW w:w="1560" w:type="dxa"/>
            <w:tcBorders>
              <w:top w:val="single" w:sz="4" w:space="0" w:color="C00000"/>
              <w:bottom w:val="single" w:sz="4" w:space="0" w:color="C00000"/>
            </w:tcBorders>
            <w:shd w:val="clear" w:color="auto" w:fill="auto"/>
            <w:vAlign w:val="center"/>
          </w:tcPr>
          <w:p w14:paraId="0C9CEEBB"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30 de març</w:t>
            </w:r>
          </w:p>
        </w:tc>
        <w:tc>
          <w:tcPr>
            <w:tcW w:w="6926" w:type="dxa"/>
            <w:tcBorders>
              <w:top w:val="single" w:sz="4" w:space="0" w:color="C00000"/>
              <w:bottom w:val="single" w:sz="4" w:space="0" w:color="C00000"/>
            </w:tcBorders>
            <w:shd w:val="clear" w:color="auto" w:fill="auto"/>
          </w:tcPr>
          <w:p w14:paraId="7B7F2DAF"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Corts Valencianes, president i síndics/as dels grups parlamentaris.</w:t>
            </w:r>
          </w:p>
          <w:p w14:paraId="590883CA"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57148D51" w14:textId="77777777" w:rsidTr="006A100C">
        <w:trPr>
          <w:jc w:val="right"/>
        </w:trPr>
        <w:tc>
          <w:tcPr>
            <w:tcW w:w="1560" w:type="dxa"/>
            <w:tcBorders>
              <w:top w:val="single" w:sz="4" w:space="0" w:color="C00000"/>
              <w:bottom w:val="single" w:sz="4" w:space="0" w:color="C00000"/>
            </w:tcBorders>
            <w:shd w:val="clear" w:color="auto" w:fill="auto"/>
            <w:vAlign w:val="center"/>
          </w:tcPr>
          <w:p w14:paraId="5065DBDB"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6 d’abril</w:t>
            </w:r>
          </w:p>
        </w:tc>
        <w:tc>
          <w:tcPr>
            <w:tcW w:w="6926" w:type="dxa"/>
            <w:tcBorders>
              <w:top w:val="single" w:sz="4" w:space="0" w:color="C00000"/>
              <w:bottom w:val="single" w:sz="4" w:space="0" w:color="C00000"/>
            </w:tcBorders>
            <w:shd w:val="clear" w:color="auto" w:fill="auto"/>
          </w:tcPr>
          <w:p w14:paraId="6EB052D2"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Ajuntament de València, delegació.</w:t>
            </w:r>
          </w:p>
          <w:p w14:paraId="7D664290"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Presencial</w:t>
            </w:r>
          </w:p>
        </w:tc>
      </w:tr>
      <w:tr w:rsidR="0012717F" w:rsidRPr="002D3252" w14:paraId="09329EC4" w14:textId="77777777" w:rsidTr="006A100C">
        <w:trPr>
          <w:jc w:val="right"/>
        </w:trPr>
        <w:tc>
          <w:tcPr>
            <w:tcW w:w="1560" w:type="dxa"/>
            <w:tcBorders>
              <w:top w:val="single" w:sz="4" w:space="0" w:color="C00000"/>
              <w:bottom w:val="single" w:sz="4" w:space="0" w:color="C00000"/>
            </w:tcBorders>
            <w:shd w:val="clear" w:color="auto" w:fill="auto"/>
            <w:vAlign w:val="center"/>
          </w:tcPr>
          <w:p w14:paraId="4A7E31C5"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16 d’abril</w:t>
            </w:r>
          </w:p>
        </w:tc>
        <w:tc>
          <w:tcPr>
            <w:tcW w:w="6926" w:type="dxa"/>
            <w:tcBorders>
              <w:top w:val="single" w:sz="4" w:space="0" w:color="C00000"/>
              <w:bottom w:val="single" w:sz="4" w:space="0" w:color="C00000"/>
            </w:tcBorders>
            <w:shd w:val="clear" w:color="auto" w:fill="auto"/>
          </w:tcPr>
          <w:p w14:paraId="66482822"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Tribunal Suprem, fiscal de sala en matèria de Medi Ambient, Sr. Antonio Vercher Noguera.</w:t>
            </w:r>
          </w:p>
          <w:p w14:paraId="79388AD2"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5762D557" w14:textId="77777777" w:rsidTr="006A100C">
        <w:trPr>
          <w:jc w:val="right"/>
        </w:trPr>
        <w:tc>
          <w:tcPr>
            <w:tcW w:w="1560" w:type="dxa"/>
            <w:tcBorders>
              <w:top w:val="single" w:sz="4" w:space="0" w:color="C00000"/>
              <w:bottom w:val="single" w:sz="4" w:space="0" w:color="C00000"/>
            </w:tcBorders>
            <w:shd w:val="clear" w:color="auto" w:fill="auto"/>
            <w:vAlign w:val="center"/>
          </w:tcPr>
          <w:p w14:paraId="76017E12"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21 d’abril</w:t>
            </w:r>
          </w:p>
        </w:tc>
        <w:tc>
          <w:tcPr>
            <w:tcW w:w="6926" w:type="dxa"/>
            <w:tcBorders>
              <w:top w:val="single" w:sz="4" w:space="0" w:color="C00000"/>
              <w:bottom w:val="single" w:sz="4" w:space="0" w:color="C00000"/>
            </w:tcBorders>
            <w:shd w:val="clear" w:color="auto" w:fill="auto"/>
          </w:tcPr>
          <w:p w14:paraId="324E7393"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Secretaria Autonòmica de Prospectiva i Comunicació de la Generalitat Valenciana, secretària autonòmica, Sra. Beatriz Gallardo Paúls.</w:t>
            </w:r>
          </w:p>
          <w:p w14:paraId="06B48BC6"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lastRenderedPageBreak/>
              <w:t>València</w:t>
            </w:r>
          </w:p>
        </w:tc>
      </w:tr>
      <w:tr w:rsidR="0012717F" w:rsidRPr="002D3252" w14:paraId="5E81EDF4" w14:textId="77777777" w:rsidTr="006A100C">
        <w:trPr>
          <w:jc w:val="right"/>
        </w:trPr>
        <w:tc>
          <w:tcPr>
            <w:tcW w:w="1560" w:type="dxa"/>
            <w:tcBorders>
              <w:top w:val="single" w:sz="4" w:space="0" w:color="C00000"/>
              <w:bottom w:val="single" w:sz="4" w:space="0" w:color="C00000"/>
            </w:tcBorders>
            <w:shd w:val="clear" w:color="auto" w:fill="auto"/>
            <w:vAlign w:val="center"/>
          </w:tcPr>
          <w:p w14:paraId="059F3D1B"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lastRenderedPageBreak/>
              <w:t>29 d’abril</w:t>
            </w:r>
          </w:p>
        </w:tc>
        <w:tc>
          <w:tcPr>
            <w:tcW w:w="6926" w:type="dxa"/>
            <w:tcBorders>
              <w:top w:val="single" w:sz="4" w:space="0" w:color="C00000"/>
              <w:bottom w:val="single" w:sz="4" w:space="0" w:color="C00000"/>
            </w:tcBorders>
            <w:shd w:val="clear" w:color="auto" w:fill="auto"/>
          </w:tcPr>
          <w:p w14:paraId="48F7E7C2"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Secretaria Autonòmica de Model Econòmic i Finançament de la Generalitat Valenciana, secretària autonòmica, Sra. María José Mira Veintimilla.</w:t>
            </w:r>
          </w:p>
          <w:p w14:paraId="6982EB18"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351FC64B" w14:textId="77777777" w:rsidTr="006A100C">
        <w:trPr>
          <w:jc w:val="right"/>
        </w:trPr>
        <w:tc>
          <w:tcPr>
            <w:tcW w:w="1560" w:type="dxa"/>
            <w:tcBorders>
              <w:top w:val="single" w:sz="4" w:space="0" w:color="C00000"/>
              <w:bottom w:val="single" w:sz="4" w:space="0" w:color="C00000"/>
            </w:tcBorders>
            <w:shd w:val="clear" w:color="auto" w:fill="auto"/>
            <w:vAlign w:val="center"/>
          </w:tcPr>
          <w:p w14:paraId="39929B9B"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17 de juny</w:t>
            </w:r>
          </w:p>
        </w:tc>
        <w:tc>
          <w:tcPr>
            <w:tcW w:w="6926" w:type="dxa"/>
            <w:tcBorders>
              <w:top w:val="single" w:sz="4" w:space="0" w:color="C00000"/>
              <w:bottom w:val="single" w:sz="4" w:space="0" w:color="C00000"/>
            </w:tcBorders>
            <w:shd w:val="clear" w:color="auto" w:fill="auto"/>
          </w:tcPr>
          <w:p w14:paraId="48686DB6"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Secretaria Autonòmica de Model Econòmic i Finançament de la Generalitat Valenciana, secretària autonòmica, Sra. María José Mira Veintimilla.</w:t>
            </w:r>
          </w:p>
          <w:p w14:paraId="6945C83D"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23BF6CD0" w14:textId="77777777" w:rsidTr="006A100C">
        <w:trPr>
          <w:jc w:val="right"/>
        </w:trPr>
        <w:tc>
          <w:tcPr>
            <w:tcW w:w="1560" w:type="dxa"/>
            <w:tcBorders>
              <w:top w:val="single" w:sz="4" w:space="0" w:color="C00000"/>
              <w:bottom w:val="single" w:sz="4" w:space="0" w:color="C00000"/>
            </w:tcBorders>
            <w:shd w:val="clear" w:color="auto" w:fill="auto"/>
            <w:vAlign w:val="center"/>
          </w:tcPr>
          <w:p w14:paraId="1F0707EF"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29 de juny</w:t>
            </w:r>
          </w:p>
        </w:tc>
        <w:tc>
          <w:tcPr>
            <w:tcW w:w="6926" w:type="dxa"/>
            <w:tcBorders>
              <w:top w:val="single" w:sz="4" w:space="0" w:color="C00000"/>
              <w:bottom w:val="single" w:sz="4" w:space="0" w:color="C00000"/>
            </w:tcBorders>
            <w:shd w:val="clear" w:color="auto" w:fill="auto"/>
          </w:tcPr>
          <w:p w14:paraId="6BC829BF"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Conselleria de Transparència, Cooperació i Qualitat Democràtica, consellera, Sra. Rosa Pérez Garijo.</w:t>
            </w:r>
          </w:p>
          <w:p w14:paraId="78F680FD"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4F564BDD" w14:textId="77777777" w:rsidTr="006A100C">
        <w:trPr>
          <w:jc w:val="right"/>
        </w:trPr>
        <w:tc>
          <w:tcPr>
            <w:tcW w:w="1560" w:type="dxa"/>
            <w:tcBorders>
              <w:top w:val="single" w:sz="4" w:space="0" w:color="C00000"/>
              <w:bottom w:val="single" w:sz="4" w:space="0" w:color="C00000"/>
            </w:tcBorders>
            <w:shd w:val="clear" w:color="auto" w:fill="auto"/>
            <w:vAlign w:val="center"/>
          </w:tcPr>
          <w:p w14:paraId="01BE27A1"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 de juliol</w:t>
            </w:r>
          </w:p>
        </w:tc>
        <w:tc>
          <w:tcPr>
            <w:tcW w:w="6926" w:type="dxa"/>
            <w:tcBorders>
              <w:top w:val="single" w:sz="4" w:space="0" w:color="C00000"/>
              <w:bottom w:val="single" w:sz="4" w:space="0" w:color="C00000"/>
            </w:tcBorders>
            <w:shd w:val="clear" w:color="auto" w:fill="auto"/>
          </w:tcPr>
          <w:p w14:paraId="77030A93"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Ajuntament de València, Delegació de Transparència i Bon Govern.</w:t>
            </w:r>
          </w:p>
          <w:p w14:paraId="4AB9A75C"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7D0C3C96" w14:textId="77777777" w:rsidTr="006A100C">
        <w:trPr>
          <w:jc w:val="right"/>
        </w:trPr>
        <w:tc>
          <w:tcPr>
            <w:tcW w:w="1560" w:type="dxa"/>
            <w:tcBorders>
              <w:top w:val="single" w:sz="4" w:space="0" w:color="C00000"/>
              <w:bottom w:val="single" w:sz="4" w:space="0" w:color="C00000"/>
            </w:tcBorders>
            <w:shd w:val="clear" w:color="auto" w:fill="auto"/>
            <w:vAlign w:val="center"/>
          </w:tcPr>
          <w:p w14:paraId="3CA93627"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13 de juliol</w:t>
            </w:r>
          </w:p>
        </w:tc>
        <w:tc>
          <w:tcPr>
            <w:tcW w:w="6926" w:type="dxa"/>
            <w:tcBorders>
              <w:top w:val="single" w:sz="4" w:space="0" w:color="C00000"/>
              <w:bottom w:val="single" w:sz="4" w:space="0" w:color="C00000"/>
            </w:tcBorders>
            <w:shd w:val="clear" w:color="auto" w:fill="auto"/>
          </w:tcPr>
          <w:p w14:paraId="428F39FA"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 xml:space="preserve">Conselleria de Justícia, Interior i Administració Pública, consellera, </w:t>
            </w:r>
            <w:r w:rsidRPr="002D3252">
              <w:rPr>
                <w:rFonts w:ascii="Arial" w:eastAsia="Times New Roman" w:hAnsi="Arial" w:cs="Arial"/>
                <w:color w:val="000000"/>
                <w:sz w:val="18"/>
                <w:szCs w:val="18"/>
                <w:lang w:eastAsia="es-ES"/>
              </w:rPr>
              <w:br/>
              <w:t>Sra. Gabriela Bravo Sanestanislao.</w:t>
            </w:r>
          </w:p>
          <w:p w14:paraId="0BB0146C"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48959ED0" w14:textId="77777777" w:rsidTr="006A100C">
        <w:trPr>
          <w:trHeight w:val="330"/>
          <w:jc w:val="right"/>
        </w:trPr>
        <w:tc>
          <w:tcPr>
            <w:tcW w:w="1560" w:type="dxa"/>
            <w:tcBorders>
              <w:top w:val="single" w:sz="4" w:space="0" w:color="C00000"/>
              <w:bottom w:val="single" w:sz="4" w:space="0" w:color="C00000"/>
            </w:tcBorders>
            <w:shd w:val="clear" w:color="auto" w:fill="auto"/>
            <w:vAlign w:val="center"/>
          </w:tcPr>
          <w:p w14:paraId="597D4006"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15 de juliol</w:t>
            </w:r>
          </w:p>
        </w:tc>
        <w:tc>
          <w:tcPr>
            <w:tcW w:w="6926" w:type="dxa"/>
            <w:tcBorders>
              <w:top w:val="single" w:sz="4" w:space="0" w:color="C00000"/>
              <w:bottom w:val="single" w:sz="4" w:space="0" w:color="C00000"/>
            </w:tcBorders>
            <w:shd w:val="clear" w:color="auto" w:fill="auto"/>
          </w:tcPr>
          <w:p w14:paraId="350E17FF"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Diputació de Castelló, Servei d'Administració Pública i Innovació.</w:t>
            </w:r>
          </w:p>
          <w:p w14:paraId="78BB681A"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160A9A5E" w14:textId="77777777" w:rsidTr="006A100C">
        <w:trPr>
          <w:jc w:val="right"/>
        </w:trPr>
        <w:tc>
          <w:tcPr>
            <w:tcW w:w="1560" w:type="dxa"/>
            <w:tcBorders>
              <w:top w:val="single" w:sz="4" w:space="0" w:color="C00000"/>
              <w:bottom w:val="single" w:sz="4" w:space="0" w:color="C00000"/>
            </w:tcBorders>
            <w:shd w:val="clear" w:color="auto" w:fill="auto"/>
            <w:vAlign w:val="center"/>
          </w:tcPr>
          <w:p w14:paraId="2EFA64A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19 de juliol</w:t>
            </w:r>
          </w:p>
        </w:tc>
        <w:tc>
          <w:tcPr>
            <w:tcW w:w="6926" w:type="dxa"/>
            <w:tcBorders>
              <w:top w:val="single" w:sz="4" w:space="0" w:color="C00000"/>
              <w:bottom w:val="single" w:sz="4" w:space="0" w:color="C00000"/>
            </w:tcBorders>
            <w:shd w:val="clear" w:color="auto" w:fill="auto"/>
          </w:tcPr>
          <w:p w14:paraId="56F46BBA"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 Valencià de Col·legis d'Advocats, presidenta, Sra. Ángela Coquillat Vicente.</w:t>
            </w:r>
          </w:p>
          <w:p w14:paraId="79D5B195"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51359B41" w14:textId="77777777" w:rsidTr="006A100C">
        <w:trPr>
          <w:jc w:val="right"/>
        </w:trPr>
        <w:tc>
          <w:tcPr>
            <w:tcW w:w="1560" w:type="dxa"/>
            <w:tcBorders>
              <w:top w:val="single" w:sz="4" w:space="0" w:color="C00000"/>
              <w:bottom w:val="single" w:sz="4" w:space="0" w:color="C00000"/>
            </w:tcBorders>
            <w:shd w:val="clear" w:color="auto" w:fill="auto"/>
            <w:vAlign w:val="center"/>
          </w:tcPr>
          <w:p w14:paraId="2FD0B7BB"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31 de agost</w:t>
            </w:r>
          </w:p>
        </w:tc>
        <w:tc>
          <w:tcPr>
            <w:tcW w:w="6926" w:type="dxa"/>
            <w:tcBorders>
              <w:top w:val="single" w:sz="4" w:space="0" w:color="C00000"/>
              <w:bottom w:val="single" w:sz="4" w:space="0" w:color="C00000"/>
            </w:tcBorders>
            <w:shd w:val="clear" w:color="auto" w:fill="auto"/>
          </w:tcPr>
          <w:p w14:paraId="75254185"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Secretaria Autonòmica de Model Econòmic i Finançament de la Generalitat Valenciana, secretària autonòmica, Sra. María José Mira Veintimilla.</w:t>
            </w:r>
          </w:p>
          <w:p w14:paraId="314F7B30"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6767A8E5" w14:textId="77777777" w:rsidTr="006A100C">
        <w:trPr>
          <w:jc w:val="right"/>
        </w:trPr>
        <w:tc>
          <w:tcPr>
            <w:tcW w:w="1560" w:type="dxa"/>
            <w:tcBorders>
              <w:top w:val="single" w:sz="4" w:space="0" w:color="C00000"/>
              <w:bottom w:val="single" w:sz="4" w:space="0" w:color="C00000"/>
            </w:tcBorders>
            <w:shd w:val="clear" w:color="auto" w:fill="auto"/>
            <w:vAlign w:val="center"/>
          </w:tcPr>
          <w:p w14:paraId="1091FD02"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3 de setembre</w:t>
            </w:r>
          </w:p>
        </w:tc>
        <w:tc>
          <w:tcPr>
            <w:tcW w:w="6926" w:type="dxa"/>
            <w:tcBorders>
              <w:top w:val="single" w:sz="4" w:space="0" w:color="C00000"/>
              <w:bottom w:val="single" w:sz="4" w:space="0" w:color="C00000"/>
            </w:tcBorders>
            <w:shd w:val="clear" w:color="auto" w:fill="auto"/>
          </w:tcPr>
          <w:p w14:paraId="4BA3FAE3"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Vicerectorat de Projecció Territorial i Societat de la Universitat de València, delegació.</w:t>
            </w:r>
          </w:p>
          <w:p w14:paraId="6CDCA30A"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4EC082FA" w14:textId="77777777" w:rsidTr="006A100C">
        <w:trPr>
          <w:jc w:val="right"/>
        </w:trPr>
        <w:tc>
          <w:tcPr>
            <w:tcW w:w="1560" w:type="dxa"/>
            <w:tcBorders>
              <w:top w:val="single" w:sz="4" w:space="0" w:color="C00000"/>
              <w:bottom w:val="single" w:sz="4" w:space="0" w:color="C00000"/>
            </w:tcBorders>
            <w:shd w:val="clear" w:color="auto" w:fill="auto"/>
            <w:vAlign w:val="center"/>
          </w:tcPr>
          <w:p w14:paraId="0EC7598C"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8 de setembre</w:t>
            </w:r>
          </w:p>
        </w:tc>
        <w:tc>
          <w:tcPr>
            <w:tcW w:w="6926" w:type="dxa"/>
            <w:tcBorders>
              <w:top w:val="single" w:sz="4" w:space="0" w:color="C00000"/>
              <w:bottom w:val="single" w:sz="4" w:space="0" w:color="C00000"/>
            </w:tcBorders>
            <w:shd w:val="clear" w:color="auto" w:fill="auto"/>
          </w:tcPr>
          <w:p w14:paraId="10C3091C"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Conselleria d'Agricultura, Desenvolupament Rural, Emergència Climàtica i Transició Ecològica, sotssecretari, Sr. Alfonso Puncel Chornet.</w:t>
            </w:r>
          </w:p>
          <w:p w14:paraId="254121F5"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0A80078A" w14:textId="77777777" w:rsidTr="006A100C">
        <w:trPr>
          <w:jc w:val="right"/>
        </w:trPr>
        <w:tc>
          <w:tcPr>
            <w:tcW w:w="1560" w:type="dxa"/>
            <w:tcBorders>
              <w:top w:val="single" w:sz="4" w:space="0" w:color="C00000"/>
              <w:bottom w:val="single" w:sz="4" w:space="0" w:color="C00000"/>
            </w:tcBorders>
            <w:shd w:val="clear" w:color="auto" w:fill="auto"/>
            <w:vAlign w:val="center"/>
          </w:tcPr>
          <w:p w14:paraId="4A6D9BE4"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8 de setembre</w:t>
            </w:r>
          </w:p>
        </w:tc>
        <w:tc>
          <w:tcPr>
            <w:tcW w:w="6926" w:type="dxa"/>
            <w:tcBorders>
              <w:top w:val="single" w:sz="4" w:space="0" w:color="C00000"/>
              <w:bottom w:val="single" w:sz="4" w:space="0" w:color="C00000"/>
            </w:tcBorders>
            <w:shd w:val="clear" w:color="auto" w:fill="auto"/>
          </w:tcPr>
          <w:p w14:paraId="6A026952"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Presidenta de la Comissió de Competència de la Comunitat Valenciana, Sra. Carmen Rodilla Martí.</w:t>
            </w:r>
          </w:p>
          <w:p w14:paraId="798F536A"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1EEA70BB" w14:textId="77777777" w:rsidTr="006A100C">
        <w:trPr>
          <w:jc w:val="right"/>
        </w:trPr>
        <w:tc>
          <w:tcPr>
            <w:tcW w:w="1560" w:type="dxa"/>
            <w:tcBorders>
              <w:top w:val="single" w:sz="4" w:space="0" w:color="C00000"/>
              <w:bottom w:val="single" w:sz="4" w:space="0" w:color="C00000"/>
            </w:tcBorders>
            <w:shd w:val="clear" w:color="auto" w:fill="auto"/>
            <w:vAlign w:val="center"/>
          </w:tcPr>
          <w:p w14:paraId="6CAE00B0"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9 de setembre</w:t>
            </w:r>
          </w:p>
        </w:tc>
        <w:tc>
          <w:tcPr>
            <w:tcW w:w="6926" w:type="dxa"/>
            <w:tcBorders>
              <w:top w:val="single" w:sz="4" w:space="0" w:color="C00000"/>
              <w:bottom w:val="single" w:sz="4" w:space="0" w:color="C00000"/>
            </w:tcBorders>
            <w:shd w:val="clear" w:color="auto" w:fill="auto"/>
          </w:tcPr>
          <w:p w14:paraId="6A5D4BAF"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Sindicatura de Comptes de la Comunitat Valenciana, Síndic Major, Sr. Vicent Cucarella Tormo.</w:t>
            </w:r>
          </w:p>
          <w:p w14:paraId="182D5A35"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5F6E477B" w14:textId="77777777" w:rsidTr="006A100C">
        <w:trPr>
          <w:jc w:val="right"/>
        </w:trPr>
        <w:tc>
          <w:tcPr>
            <w:tcW w:w="1560" w:type="dxa"/>
            <w:tcBorders>
              <w:top w:val="single" w:sz="4" w:space="0" w:color="C00000"/>
              <w:bottom w:val="single" w:sz="4" w:space="0" w:color="C00000"/>
            </w:tcBorders>
            <w:shd w:val="clear" w:color="auto" w:fill="auto"/>
            <w:vAlign w:val="center"/>
          </w:tcPr>
          <w:p w14:paraId="22F388BB"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14 de setembre</w:t>
            </w:r>
          </w:p>
        </w:tc>
        <w:tc>
          <w:tcPr>
            <w:tcW w:w="6926" w:type="dxa"/>
            <w:tcBorders>
              <w:top w:val="single" w:sz="4" w:space="0" w:color="C00000"/>
              <w:bottom w:val="single" w:sz="4" w:space="0" w:color="C00000"/>
            </w:tcBorders>
            <w:shd w:val="clear" w:color="auto" w:fill="auto"/>
          </w:tcPr>
          <w:p w14:paraId="73D13CC1"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Conselleria d'Agricultura, Desenvolupament Rural, Emergència Climàtica i Transició Ecològica, sotssecretari, Sr. Alfonso Puncel Chornet.</w:t>
            </w:r>
          </w:p>
          <w:p w14:paraId="3D14BB9D"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71286B3E" w14:textId="77777777" w:rsidTr="006A100C">
        <w:trPr>
          <w:jc w:val="right"/>
        </w:trPr>
        <w:tc>
          <w:tcPr>
            <w:tcW w:w="1560" w:type="dxa"/>
            <w:tcBorders>
              <w:top w:val="single" w:sz="4" w:space="0" w:color="C00000"/>
              <w:bottom w:val="single" w:sz="4" w:space="0" w:color="C00000"/>
            </w:tcBorders>
            <w:shd w:val="clear" w:color="auto" w:fill="auto"/>
            <w:vAlign w:val="center"/>
          </w:tcPr>
          <w:p w14:paraId="24B9248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14 de setembre</w:t>
            </w:r>
          </w:p>
        </w:tc>
        <w:tc>
          <w:tcPr>
            <w:tcW w:w="6926" w:type="dxa"/>
            <w:tcBorders>
              <w:top w:val="single" w:sz="4" w:space="0" w:color="C00000"/>
              <w:bottom w:val="single" w:sz="4" w:space="0" w:color="C00000"/>
            </w:tcBorders>
            <w:shd w:val="clear" w:color="auto" w:fill="auto"/>
          </w:tcPr>
          <w:p w14:paraId="6DBB4FFE"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Corts Valencianes, president, Sr. Enric Morera i Català.</w:t>
            </w:r>
          </w:p>
          <w:p w14:paraId="45F8B444"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sz w:val="18"/>
                <w:szCs w:val="18"/>
                <w:lang w:eastAsia="es-ES"/>
              </w:rPr>
              <w:t>València</w:t>
            </w:r>
          </w:p>
        </w:tc>
      </w:tr>
      <w:tr w:rsidR="0012717F" w:rsidRPr="002D3252" w14:paraId="1E984ABA" w14:textId="77777777" w:rsidTr="006A100C">
        <w:trPr>
          <w:jc w:val="right"/>
        </w:trPr>
        <w:tc>
          <w:tcPr>
            <w:tcW w:w="1560" w:type="dxa"/>
            <w:tcBorders>
              <w:top w:val="single" w:sz="4" w:space="0" w:color="C00000"/>
              <w:bottom w:val="single" w:sz="4" w:space="0" w:color="C00000"/>
            </w:tcBorders>
            <w:shd w:val="clear" w:color="auto" w:fill="auto"/>
            <w:vAlign w:val="center"/>
          </w:tcPr>
          <w:p w14:paraId="36A721DC"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21 de setembre</w:t>
            </w:r>
          </w:p>
        </w:tc>
        <w:tc>
          <w:tcPr>
            <w:tcW w:w="6926" w:type="dxa"/>
            <w:tcBorders>
              <w:top w:val="single" w:sz="4" w:space="0" w:color="C00000"/>
              <w:bottom w:val="single" w:sz="4" w:space="0" w:color="C00000"/>
            </w:tcBorders>
            <w:shd w:val="clear" w:color="auto" w:fill="auto"/>
          </w:tcPr>
          <w:p w14:paraId="44CAC3F9"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Vicepresidència segona i Conselleria d'Habitatge i Arquitectura Bioclimàtica, conseller, Sr. Héctor Illueca Ballester.</w:t>
            </w:r>
          </w:p>
          <w:p w14:paraId="31CCF323"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3F42930C" w14:textId="77777777" w:rsidTr="006A100C">
        <w:trPr>
          <w:jc w:val="right"/>
        </w:trPr>
        <w:tc>
          <w:tcPr>
            <w:tcW w:w="1560" w:type="dxa"/>
            <w:tcBorders>
              <w:top w:val="single" w:sz="4" w:space="0" w:color="C00000"/>
              <w:bottom w:val="single" w:sz="4" w:space="0" w:color="C00000"/>
            </w:tcBorders>
            <w:shd w:val="clear" w:color="auto" w:fill="auto"/>
            <w:vAlign w:val="center"/>
          </w:tcPr>
          <w:p w14:paraId="53778036"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23 de setembre</w:t>
            </w:r>
          </w:p>
        </w:tc>
        <w:tc>
          <w:tcPr>
            <w:tcW w:w="6926" w:type="dxa"/>
            <w:tcBorders>
              <w:top w:val="single" w:sz="4" w:space="0" w:color="C00000"/>
              <w:bottom w:val="single" w:sz="4" w:space="0" w:color="C00000"/>
            </w:tcBorders>
            <w:shd w:val="clear" w:color="auto" w:fill="auto"/>
          </w:tcPr>
          <w:p w14:paraId="2A7E6BC3"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Corts Valencianes, síndiques i síndics dels grups parlamentaris PSOE, Compromís i Unides-Podem.</w:t>
            </w:r>
          </w:p>
          <w:p w14:paraId="4EF8F101"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31FE00CE" w14:textId="77777777" w:rsidTr="006A100C">
        <w:trPr>
          <w:jc w:val="right"/>
        </w:trPr>
        <w:tc>
          <w:tcPr>
            <w:tcW w:w="1560" w:type="dxa"/>
            <w:tcBorders>
              <w:top w:val="single" w:sz="4" w:space="0" w:color="C00000"/>
              <w:bottom w:val="single" w:sz="4" w:space="0" w:color="C00000"/>
            </w:tcBorders>
            <w:shd w:val="clear" w:color="auto" w:fill="auto"/>
            <w:vAlign w:val="center"/>
          </w:tcPr>
          <w:p w14:paraId="78100B7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28 de setembre</w:t>
            </w:r>
          </w:p>
        </w:tc>
        <w:tc>
          <w:tcPr>
            <w:tcW w:w="6926" w:type="dxa"/>
            <w:tcBorders>
              <w:top w:val="single" w:sz="4" w:space="0" w:color="C00000"/>
              <w:bottom w:val="single" w:sz="4" w:space="0" w:color="C00000"/>
            </w:tcBorders>
            <w:shd w:val="clear" w:color="auto" w:fill="auto"/>
          </w:tcPr>
          <w:p w14:paraId="1A95122D"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Síndic de Greuges de la Comunitat Valenciana, Sr. Ángel Luna González.</w:t>
            </w:r>
          </w:p>
          <w:p w14:paraId="63E70D81"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Alacant</w:t>
            </w:r>
          </w:p>
        </w:tc>
      </w:tr>
      <w:tr w:rsidR="0012717F" w:rsidRPr="002D3252" w14:paraId="75D1B943" w14:textId="77777777" w:rsidTr="006A100C">
        <w:trPr>
          <w:jc w:val="right"/>
        </w:trPr>
        <w:tc>
          <w:tcPr>
            <w:tcW w:w="1560" w:type="dxa"/>
            <w:tcBorders>
              <w:top w:val="single" w:sz="4" w:space="0" w:color="C00000"/>
              <w:bottom w:val="single" w:sz="4" w:space="0" w:color="C00000"/>
            </w:tcBorders>
            <w:shd w:val="clear" w:color="auto" w:fill="auto"/>
            <w:vAlign w:val="center"/>
          </w:tcPr>
          <w:p w14:paraId="7871AABC"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5 d’octubre</w:t>
            </w:r>
          </w:p>
        </w:tc>
        <w:tc>
          <w:tcPr>
            <w:tcW w:w="6926" w:type="dxa"/>
            <w:tcBorders>
              <w:top w:val="single" w:sz="4" w:space="0" w:color="C00000"/>
              <w:bottom w:val="single" w:sz="4" w:space="0" w:color="C00000"/>
            </w:tcBorders>
            <w:shd w:val="clear" w:color="auto" w:fill="auto"/>
          </w:tcPr>
          <w:p w14:paraId="3BAFEE93"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Ajuntament de València, regidora del Cicle Integral de l'aigua, Participació Ciutadana i Acció Veïnal i Transparència i Govern Obert, Sra. Elisa Valía Cotanda.</w:t>
            </w:r>
          </w:p>
          <w:p w14:paraId="6760560A"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43A47CCA" w14:textId="77777777" w:rsidTr="006A100C">
        <w:trPr>
          <w:jc w:val="right"/>
        </w:trPr>
        <w:tc>
          <w:tcPr>
            <w:tcW w:w="1560" w:type="dxa"/>
            <w:tcBorders>
              <w:top w:val="single" w:sz="4" w:space="0" w:color="C00000"/>
              <w:bottom w:val="single" w:sz="4" w:space="0" w:color="C00000"/>
            </w:tcBorders>
            <w:shd w:val="clear" w:color="auto" w:fill="auto"/>
            <w:vAlign w:val="center"/>
          </w:tcPr>
          <w:p w14:paraId="09BD344E"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lastRenderedPageBreak/>
              <w:t>7 d’octubre</w:t>
            </w:r>
          </w:p>
        </w:tc>
        <w:tc>
          <w:tcPr>
            <w:tcW w:w="6926" w:type="dxa"/>
            <w:tcBorders>
              <w:top w:val="single" w:sz="4" w:space="0" w:color="C00000"/>
              <w:bottom w:val="single" w:sz="4" w:space="0" w:color="C00000"/>
            </w:tcBorders>
            <w:shd w:val="clear" w:color="auto" w:fill="auto"/>
          </w:tcPr>
          <w:p w14:paraId="3A8C5CA4"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Viceconselleria de Transparència i Qualitat dels Serveis de la Junta de Castella i Lleó, delegació.</w:t>
            </w:r>
          </w:p>
          <w:p w14:paraId="35CAE448"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1577B680" w14:textId="77777777" w:rsidTr="006A100C">
        <w:trPr>
          <w:jc w:val="right"/>
        </w:trPr>
        <w:tc>
          <w:tcPr>
            <w:tcW w:w="1560" w:type="dxa"/>
            <w:tcBorders>
              <w:top w:val="single" w:sz="4" w:space="0" w:color="C00000"/>
              <w:bottom w:val="single" w:sz="4" w:space="0" w:color="C00000"/>
            </w:tcBorders>
            <w:shd w:val="clear" w:color="auto" w:fill="auto"/>
            <w:vAlign w:val="center"/>
          </w:tcPr>
          <w:p w14:paraId="18543B0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13 d’octubre</w:t>
            </w:r>
          </w:p>
        </w:tc>
        <w:tc>
          <w:tcPr>
            <w:tcW w:w="6926" w:type="dxa"/>
            <w:tcBorders>
              <w:top w:val="single" w:sz="4" w:space="0" w:color="C00000"/>
              <w:bottom w:val="single" w:sz="4" w:space="0" w:color="C00000"/>
            </w:tcBorders>
            <w:shd w:val="clear" w:color="auto" w:fill="auto"/>
          </w:tcPr>
          <w:p w14:paraId="72698017"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Associació Atelier ONGD, Sra. Consuelo Vidal Hernandis.</w:t>
            </w:r>
          </w:p>
          <w:p w14:paraId="5463D88F"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6D99D6DB" w14:textId="77777777" w:rsidTr="006A100C">
        <w:trPr>
          <w:jc w:val="right"/>
        </w:trPr>
        <w:tc>
          <w:tcPr>
            <w:tcW w:w="1560" w:type="dxa"/>
            <w:tcBorders>
              <w:top w:val="single" w:sz="4" w:space="0" w:color="C00000"/>
              <w:bottom w:val="single" w:sz="4" w:space="0" w:color="C00000"/>
            </w:tcBorders>
            <w:shd w:val="clear" w:color="auto" w:fill="auto"/>
            <w:vAlign w:val="center"/>
          </w:tcPr>
          <w:p w14:paraId="2CA10A18"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13 d’octubre</w:t>
            </w:r>
          </w:p>
        </w:tc>
        <w:tc>
          <w:tcPr>
            <w:tcW w:w="6926" w:type="dxa"/>
            <w:tcBorders>
              <w:top w:val="single" w:sz="4" w:space="0" w:color="C00000"/>
              <w:bottom w:val="single" w:sz="4" w:space="0" w:color="C00000"/>
            </w:tcBorders>
            <w:shd w:val="clear" w:color="auto" w:fill="auto"/>
          </w:tcPr>
          <w:p w14:paraId="390CFA09"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Partit Lo Nostre Comunitat Valenciana, delegació.</w:t>
            </w:r>
          </w:p>
          <w:p w14:paraId="41E0F167"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2AF45751" w14:textId="77777777" w:rsidTr="006A100C">
        <w:trPr>
          <w:jc w:val="right"/>
        </w:trPr>
        <w:tc>
          <w:tcPr>
            <w:tcW w:w="1560" w:type="dxa"/>
            <w:tcBorders>
              <w:top w:val="single" w:sz="4" w:space="0" w:color="C00000"/>
              <w:bottom w:val="single" w:sz="4" w:space="0" w:color="C00000"/>
            </w:tcBorders>
            <w:shd w:val="clear" w:color="auto" w:fill="auto"/>
            <w:vAlign w:val="center"/>
          </w:tcPr>
          <w:p w14:paraId="41D4729D"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13 d’octubre</w:t>
            </w:r>
          </w:p>
        </w:tc>
        <w:tc>
          <w:tcPr>
            <w:tcW w:w="6926" w:type="dxa"/>
            <w:tcBorders>
              <w:top w:val="single" w:sz="4" w:space="0" w:color="C00000"/>
              <w:bottom w:val="single" w:sz="4" w:space="0" w:color="C00000"/>
            </w:tcBorders>
            <w:shd w:val="clear" w:color="auto" w:fill="auto"/>
          </w:tcPr>
          <w:p w14:paraId="0E3DCFF9"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Diputació de Castelló, Servei d'Administració Pública i Innovació.</w:t>
            </w:r>
          </w:p>
          <w:p w14:paraId="74603C40"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5FE132D3" w14:textId="77777777" w:rsidTr="006A100C">
        <w:trPr>
          <w:jc w:val="right"/>
        </w:trPr>
        <w:tc>
          <w:tcPr>
            <w:tcW w:w="1560" w:type="dxa"/>
            <w:tcBorders>
              <w:top w:val="single" w:sz="4" w:space="0" w:color="C00000"/>
              <w:bottom w:val="single" w:sz="4" w:space="0" w:color="C00000"/>
            </w:tcBorders>
            <w:shd w:val="clear" w:color="auto" w:fill="auto"/>
            <w:vAlign w:val="center"/>
          </w:tcPr>
          <w:p w14:paraId="7AC67FD6"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15 d’octubre</w:t>
            </w:r>
          </w:p>
        </w:tc>
        <w:tc>
          <w:tcPr>
            <w:tcW w:w="6926" w:type="dxa"/>
            <w:tcBorders>
              <w:top w:val="single" w:sz="4" w:space="0" w:color="C00000"/>
              <w:bottom w:val="single" w:sz="4" w:space="0" w:color="C00000"/>
            </w:tcBorders>
            <w:shd w:val="clear" w:color="auto" w:fill="auto"/>
          </w:tcPr>
          <w:p w14:paraId="2C232489"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Servei Nacional de Coordinació Antifrau i directors de les oficines Antifrau de Catalunya i Illes Balears.</w:t>
            </w:r>
          </w:p>
          <w:p w14:paraId="5B3D75E8"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25417221" w14:textId="77777777" w:rsidTr="006A100C">
        <w:trPr>
          <w:jc w:val="right"/>
        </w:trPr>
        <w:tc>
          <w:tcPr>
            <w:tcW w:w="1560" w:type="dxa"/>
            <w:tcBorders>
              <w:top w:val="single" w:sz="4" w:space="0" w:color="C00000"/>
              <w:bottom w:val="single" w:sz="4" w:space="0" w:color="C00000"/>
            </w:tcBorders>
            <w:shd w:val="clear" w:color="auto" w:fill="auto"/>
            <w:vAlign w:val="center"/>
          </w:tcPr>
          <w:p w14:paraId="5D67B7EB"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20 d’octubre</w:t>
            </w:r>
          </w:p>
        </w:tc>
        <w:tc>
          <w:tcPr>
            <w:tcW w:w="6926" w:type="dxa"/>
            <w:tcBorders>
              <w:top w:val="single" w:sz="4" w:space="0" w:color="C00000"/>
              <w:bottom w:val="single" w:sz="4" w:space="0" w:color="C00000"/>
            </w:tcBorders>
            <w:shd w:val="clear" w:color="auto" w:fill="auto"/>
          </w:tcPr>
          <w:p w14:paraId="6F07A875"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Oficina Andalusa contra el Frau i la Corrupció, director, Sr. Ricardo Puyol Sánchez.</w:t>
            </w:r>
          </w:p>
          <w:p w14:paraId="13D67489"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Telefónica</w:t>
            </w:r>
          </w:p>
        </w:tc>
      </w:tr>
      <w:tr w:rsidR="0012717F" w:rsidRPr="002D3252" w14:paraId="4DB96B1E" w14:textId="77777777" w:rsidTr="006A100C">
        <w:trPr>
          <w:jc w:val="right"/>
        </w:trPr>
        <w:tc>
          <w:tcPr>
            <w:tcW w:w="1560" w:type="dxa"/>
            <w:tcBorders>
              <w:top w:val="single" w:sz="4" w:space="0" w:color="C00000"/>
              <w:bottom w:val="single" w:sz="4" w:space="0" w:color="C00000"/>
            </w:tcBorders>
            <w:shd w:val="clear" w:color="auto" w:fill="auto"/>
            <w:vAlign w:val="center"/>
          </w:tcPr>
          <w:p w14:paraId="5AC424F8"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21 d’octubre</w:t>
            </w:r>
          </w:p>
        </w:tc>
        <w:tc>
          <w:tcPr>
            <w:tcW w:w="6926" w:type="dxa"/>
            <w:tcBorders>
              <w:top w:val="single" w:sz="4" w:space="0" w:color="C00000"/>
              <w:bottom w:val="single" w:sz="4" w:space="0" w:color="C00000"/>
            </w:tcBorders>
            <w:shd w:val="clear" w:color="auto" w:fill="auto"/>
          </w:tcPr>
          <w:p w14:paraId="31CB14C9"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Sindicat CSIF (Central Sindical Independent i de Funcionaris), presidenta, Sra. Alicia Torres Palanca.</w:t>
            </w:r>
          </w:p>
          <w:p w14:paraId="56E942ED"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3DDE0819" w14:textId="77777777" w:rsidTr="006A100C">
        <w:trPr>
          <w:jc w:val="right"/>
        </w:trPr>
        <w:tc>
          <w:tcPr>
            <w:tcW w:w="1560" w:type="dxa"/>
            <w:tcBorders>
              <w:top w:val="single" w:sz="4" w:space="0" w:color="C00000"/>
              <w:bottom w:val="single" w:sz="4" w:space="0" w:color="C00000"/>
            </w:tcBorders>
            <w:shd w:val="clear" w:color="auto" w:fill="auto"/>
            <w:vAlign w:val="center"/>
          </w:tcPr>
          <w:p w14:paraId="5D4F42C0"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22 d’octubre</w:t>
            </w:r>
          </w:p>
        </w:tc>
        <w:tc>
          <w:tcPr>
            <w:tcW w:w="6926" w:type="dxa"/>
            <w:tcBorders>
              <w:top w:val="single" w:sz="4" w:space="0" w:color="C00000"/>
              <w:bottom w:val="single" w:sz="4" w:space="0" w:color="C00000"/>
            </w:tcBorders>
            <w:shd w:val="clear" w:color="auto" w:fill="auto"/>
          </w:tcPr>
          <w:p w14:paraId="44C0AC52"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Conselleria d'Hisenda i Model Econòmic, Direcció General de Fons Europeus, director general, Sr Andreu Iranzo Navarro.</w:t>
            </w:r>
          </w:p>
          <w:p w14:paraId="2E9FA732"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31235E9B" w14:textId="77777777" w:rsidTr="006A100C">
        <w:trPr>
          <w:jc w:val="right"/>
        </w:trPr>
        <w:tc>
          <w:tcPr>
            <w:tcW w:w="1560" w:type="dxa"/>
            <w:tcBorders>
              <w:top w:val="single" w:sz="4" w:space="0" w:color="C00000"/>
              <w:bottom w:val="single" w:sz="4" w:space="0" w:color="C00000"/>
            </w:tcBorders>
            <w:shd w:val="clear" w:color="auto" w:fill="auto"/>
            <w:vAlign w:val="center"/>
          </w:tcPr>
          <w:p w14:paraId="09E9863F"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25 d’octubre</w:t>
            </w:r>
          </w:p>
        </w:tc>
        <w:tc>
          <w:tcPr>
            <w:tcW w:w="6926" w:type="dxa"/>
            <w:tcBorders>
              <w:top w:val="single" w:sz="4" w:space="0" w:color="C00000"/>
              <w:bottom w:val="single" w:sz="4" w:space="0" w:color="C00000"/>
            </w:tcBorders>
            <w:shd w:val="clear" w:color="auto" w:fill="auto"/>
          </w:tcPr>
          <w:p w14:paraId="5ECFC639"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Sindicat CCOO (Comissions Obreres), secretària general, Sra. Ana María García Alcolea.</w:t>
            </w:r>
          </w:p>
          <w:p w14:paraId="63F46068"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4C398A4E" w14:textId="77777777" w:rsidTr="006A100C">
        <w:trPr>
          <w:jc w:val="right"/>
        </w:trPr>
        <w:tc>
          <w:tcPr>
            <w:tcW w:w="1560" w:type="dxa"/>
            <w:tcBorders>
              <w:top w:val="single" w:sz="4" w:space="0" w:color="C00000"/>
              <w:bottom w:val="single" w:sz="4" w:space="0" w:color="C00000"/>
            </w:tcBorders>
            <w:shd w:val="clear" w:color="auto" w:fill="auto"/>
            <w:vAlign w:val="center"/>
          </w:tcPr>
          <w:p w14:paraId="34F13E92"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27 d’octubre</w:t>
            </w:r>
          </w:p>
        </w:tc>
        <w:tc>
          <w:tcPr>
            <w:tcW w:w="6926" w:type="dxa"/>
            <w:tcBorders>
              <w:top w:val="single" w:sz="4" w:space="0" w:color="C00000"/>
              <w:bottom w:val="single" w:sz="4" w:space="0" w:color="C00000"/>
            </w:tcBorders>
            <w:shd w:val="clear" w:color="auto" w:fill="auto"/>
          </w:tcPr>
          <w:p w14:paraId="25FA2DD9"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Universitat Carles III, professor, Sr. Pablo Fernández-Vázquez.</w:t>
            </w:r>
          </w:p>
          <w:p w14:paraId="09BDAA43"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184886FD" w14:textId="77777777" w:rsidTr="006A100C">
        <w:trPr>
          <w:jc w:val="right"/>
        </w:trPr>
        <w:tc>
          <w:tcPr>
            <w:tcW w:w="1560" w:type="dxa"/>
            <w:tcBorders>
              <w:top w:val="single" w:sz="4" w:space="0" w:color="C00000"/>
              <w:bottom w:val="single" w:sz="4" w:space="0" w:color="C00000"/>
            </w:tcBorders>
            <w:shd w:val="clear" w:color="auto" w:fill="auto"/>
            <w:vAlign w:val="center"/>
          </w:tcPr>
          <w:p w14:paraId="567BB47E"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28 d’octubre</w:t>
            </w:r>
          </w:p>
        </w:tc>
        <w:tc>
          <w:tcPr>
            <w:tcW w:w="6926" w:type="dxa"/>
            <w:tcBorders>
              <w:top w:val="single" w:sz="4" w:space="0" w:color="C00000"/>
              <w:bottom w:val="single" w:sz="4" w:space="0" w:color="C00000"/>
            </w:tcBorders>
            <w:shd w:val="clear" w:color="auto" w:fill="auto"/>
          </w:tcPr>
          <w:p w14:paraId="62C81DAA"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Diputació de València, president, Sr. Antoni Francesc Gaspar Ramos.</w:t>
            </w:r>
          </w:p>
          <w:p w14:paraId="3226DF12"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73832A8F" w14:textId="77777777" w:rsidTr="006A100C">
        <w:trPr>
          <w:jc w:val="right"/>
        </w:trPr>
        <w:tc>
          <w:tcPr>
            <w:tcW w:w="1560" w:type="dxa"/>
            <w:tcBorders>
              <w:top w:val="single" w:sz="4" w:space="0" w:color="C00000"/>
              <w:bottom w:val="single" w:sz="4" w:space="0" w:color="C00000"/>
            </w:tcBorders>
            <w:shd w:val="clear" w:color="auto" w:fill="auto"/>
            <w:vAlign w:val="center"/>
          </w:tcPr>
          <w:p w14:paraId="316F5C65"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3 de novembre</w:t>
            </w:r>
          </w:p>
        </w:tc>
        <w:tc>
          <w:tcPr>
            <w:tcW w:w="6926" w:type="dxa"/>
            <w:tcBorders>
              <w:top w:val="single" w:sz="4" w:space="0" w:color="C00000"/>
              <w:bottom w:val="single" w:sz="4" w:space="0" w:color="C00000"/>
            </w:tcBorders>
            <w:shd w:val="clear" w:color="auto" w:fill="auto"/>
          </w:tcPr>
          <w:p w14:paraId="18386948"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 de Transparència, president, Sr. Ricardo García Macho.</w:t>
            </w:r>
          </w:p>
          <w:p w14:paraId="472BB9C9"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Castelló de la Plana</w:t>
            </w:r>
          </w:p>
        </w:tc>
      </w:tr>
      <w:tr w:rsidR="0012717F" w:rsidRPr="002D3252" w14:paraId="38481301" w14:textId="77777777" w:rsidTr="006A100C">
        <w:trPr>
          <w:jc w:val="right"/>
        </w:trPr>
        <w:tc>
          <w:tcPr>
            <w:tcW w:w="1560" w:type="dxa"/>
            <w:tcBorders>
              <w:top w:val="single" w:sz="4" w:space="0" w:color="C00000"/>
              <w:bottom w:val="single" w:sz="4" w:space="0" w:color="C00000"/>
            </w:tcBorders>
            <w:shd w:val="clear" w:color="auto" w:fill="auto"/>
            <w:vAlign w:val="center"/>
          </w:tcPr>
          <w:p w14:paraId="0A04A84A"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4 de novembre</w:t>
            </w:r>
          </w:p>
        </w:tc>
        <w:tc>
          <w:tcPr>
            <w:tcW w:w="6926" w:type="dxa"/>
            <w:tcBorders>
              <w:top w:val="single" w:sz="4" w:space="0" w:color="C00000"/>
              <w:bottom w:val="single" w:sz="4" w:space="0" w:color="C00000"/>
            </w:tcBorders>
            <w:shd w:val="clear" w:color="auto" w:fill="auto"/>
          </w:tcPr>
          <w:p w14:paraId="6FB8C791"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Fiscalia General de l'Estat, delegació.</w:t>
            </w:r>
          </w:p>
          <w:p w14:paraId="1ECCF7B8"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Madrid</w:t>
            </w:r>
          </w:p>
        </w:tc>
      </w:tr>
      <w:tr w:rsidR="0012717F" w:rsidRPr="002D3252" w14:paraId="2B2BEBBA" w14:textId="77777777" w:rsidTr="006A100C">
        <w:trPr>
          <w:jc w:val="right"/>
        </w:trPr>
        <w:tc>
          <w:tcPr>
            <w:tcW w:w="1560" w:type="dxa"/>
            <w:tcBorders>
              <w:top w:val="single" w:sz="4" w:space="0" w:color="C00000"/>
              <w:bottom w:val="single" w:sz="4" w:space="0" w:color="C00000"/>
            </w:tcBorders>
            <w:shd w:val="clear" w:color="auto" w:fill="auto"/>
            <w:vAlign w:val="center"/>
          </w:tcPr>
          <w:p w14:paraId="400DD9F1"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9 de novembre</w:t>
            </w:r>
          </w:p>
        </w:tc>
        <w:tc>
          <w:tcPr>
            <w:tcW w:w="6926" w:type="dxa"/>
            <w:tcBorders>
              <w:top w:val="single" w:sz="4" w:space="0" w:color="C00000"/>
              <w:bottom w:val="single" w:sz="4" w:space="0" w:color="C00000"/>
            </w:tcBorders>
            <w:shd w:val="clear" w:color="auto" w:fill="auto"/>
          </w:tcPr>
          <w:p w14:paraId="6E6EBE73"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Presidència de la Generalitat, Direcció General d'Acció del Govern, director general, Sr. Juan Ángel Poyatos León.</w:t>
            </w:r>
          </w:p>
          <w:p w14:paraId="298D420E"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6D96A148" w14:textId="77777777" w:rsidTr="006A100C">
        <w:trPr>
          <w:jc w:val="right"/>
        </w:trPr>
        <w:tc>
          <w:tcPr>
            <w:tcW w:w="1560" w:type="dxa"/>
            <w:tcBorders>
              <w:top w:val="single" w:sz="4" w:space="0" w:color="C00000"/>
              <w:bottom w:val="single" w:sz="4" w:space="0" w:color="C00000"/>
            </w:tcBorders>
            <w:shd w:val="clear" w:color="auto" w:fill="auto"/>
            <w:vAlign w:val="center"/>
          </w:tcPr>
          <w:p w14:paraId="4EFF13D7"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9 de novembre</w:t>
            </w:r>
          </w:p>
        </w:tc>
        <w:tc>
          <w:tcPr>
            <w:tcW w:w="6926" w:type="dxa"/>
            <w:tcBorders>
              <w:top w:val="single" w:sz="4" w:space="0" w:color="C00000"/>
              <w:bottom w:val="single" w:sz="4" w:space="0" w:color="C00000"/>
            </w:tcBorders>
            <w:shd w:val="clear" w:color="auto" w:fill="auto"/>
          </w:tcPr>
          <w:p w14:paraId="2AA8EDB5"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Professora Fabiola Meco Tébar.</w:t>
            </w:r>
          </w:p>
          <w:p w14:paraId="2DB400FC"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0CB6347F" w14:textId="77777777" w:rsidTr="006A100C">
        <w:trPr>
          <w:jc w:val="right"/>
        </w:trPr>
        <w:tc>
          <w:tcPr>
            <w:tcW w:w="1560" w:type="dxa"/>
            <w:tcBorders>
              <w:top w:val="single" w:sz="4" w:space="0" w:color="C00000"/>
              <w:bottom w:val="single" w:sz="4" w:space="0" w:color="C00000"/>
            </w:tcBorders>
            <w:shd w:val="clear" w:color="auto" w:fill="auto"/>
            <w:vAlign w:val="center"/>
          </w:tcPr>
          <w:p w14:paraId="46B629E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10 de novembre</w:t>
            </w:r>
          </w:p>
        </w:tc>
        <w:tc>
          <w:tcPr>
            <w:tcW w:w="6926" w:type="dxa"/>
            <w:tcBorders>
              <w:top w:val="single" w:sz="4" w:space="0" w:color="C00000"/>
              <w:bottom w:val="single" w:sz="4" w:space="0" w:color="C00000"/>
            </w:tcBorders>
            <w:shd w:val="clear" w:color="auto" w:fill="auto"/>
          </w:tcPr>
          <w:p w14:paraId="5572B911"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Universitat d'Alacant, rectora, Sra. Amparo Navarro Faure.</w:t>
            </w:r>
          </w:p>
          <w:p w14:paraId="2D32B0D2"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Alicante</w:t>
            </w:r>
          </w:p>
        </w:tc>
      </w:tr>
      <w:tr w:rsidR="0012717F" w:rsidRPr="002D3252" w14:paraId="0C0275A3" w14:textId="77777777" w:rsidTr="006A100C">
        <w:trPr>
          <w:jc w:val="right"/>
        </w:trPr>
        <w:tc>
          <w:tcPr>
            <w:tcW w:w="1560" w:type="dxa"/>
            <w:tcBorders>
              <w:top w:val="single" w:sz="4" w:space="0" w:color="C00000"/>
              <w:bottom w:val="single" w:sz="4" w:space="0" w:color="C00000"/>
            </w:tcBorders>
            <w:shd w:val="clear" w:color="auto" w:fill="auto"/>
            <w:vAlign w:val="center"/>
          </w:tcPr>
          <w:p w14:paraId="45089533"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10 de novembre</w:t>
            </w:r>
          </w:p>
        </w:tc>
        <w:tc>
          <w:tcPr>
            <w:tcW w:w="6926" w:type="dxa"/>
            <w:tcBorders>
              <w:top w:val="single" w:sz="4" w:space="0" w:color="C00000"/>
              <w:bottom w:val="single" w:sz="4" w:space="0" w:color="C00000"/>
            </w:tcBorders>
            <w:shd w:val="clear" w:color="auto" w:fill="auto"/>
          </w:tcPr>
          <w:p w14:paraId="75508DAE"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Universitat d'Alacant, catedràtic, Sr. Isidoro Calderón Blanco.</w:t>
            </w:r>
          </w:p>
          <w:p w14:paraId="2E584958"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Alicante</w:t>
            </w:r>
          </w:p>
        </w:tc>
      </w:tr>
      <w:tr w:rsidR="0012717F" w:rsidRPr="002D3252" w14:paraId="6C2582B6" w14:textId="77777777" w:rsidTr="006A100C">
        <w:trPr>
          <w:jc w:val="right"/>
        </w:trPr>
        <w:tc>
          <w:tcPr>
            <w:tcW w:w="1560" w:type="dxa"/>
            <w:tcBorders>
              <w:top w:val="single" w:sz="4" w:space="0" w:color="C00000"/>
              <w:bottom w:val="single" w:sz="4" w:space="0" w:color="C00000"/>
            </w:tcBorders>
            <w:shd w:val="clear" w:color="auto" w:fill="auto"/>
            <w:vAlign w:val="center"/>
          </w:tcPr>
          <w:p w14:paraId="55679853"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19 de novembre</w:t>
            </w:r>
          </w:p>
        </w:tc>
        <w:tc>
          <w:tcPr>
            <w:tcW w:w="6926" w:type="dxa"/>
            <w:tcBorders>
              <w:top w:val="single" w:sz="4" w:space="0" w:color="C00000"/>
              <w:bottom w:val="single" w:sz="4" w:space="0" w:color="C00000"/>
            </w:tcBorders>
            <w:shd w:val="clear" w:color="auto" w:fill="auto"/>
          </w:tcPr>
          <w:p w14:paraId="024B8524"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Ajuntament de València, delegació.</w:t>
            </w:r>
          </w:p>
          <w:p w14:paraId="263F7984"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43FC188C" w14:textId="77777777" w:rsidTr="006A100C">
        <w:trPr>
          <w:jc w:val="right"/>
        </w:trPr>
        <w:tc>
          <w:tcPr>
            <w:tcW w:w="1560" w:type="dxa"/>
            <w:tcBorders>
              <w:top w:val="single" w:sz="4" w:space="0" w:color="C00000"/>
              <w:bottom w:val="single" w:sz="4" w:space="0" w:color="C00000"/>
            </w:tcBorders>
            <w:shd w:val="clear" w:color="auto" w:fill="auto"/>
            <w:vAlign w:val="center"/>
          </w:tcPr>
          <w:p w14:paraId="76147514"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23 de novembre</w:t>
            </w:r>
          </w:p>
        </w:tc>
        <w:tc>
          <w:tcPr>
            <w:tcW w:w="6926" w:type="dxa"/>
            <w:tcBorders>
              <w:top w:val="single" w:sz="4" w:space="0" w:color="C00000"/>
              <w:bottom w:val="single" w:sz="4" w:space="0" w:color="C00000"/>
            </w:tcBorders>
            <w:shd w:val="clear" w:color="auto" w:fill="auto"/>
          </w:tcPr>
          <w:p w14:paraId="09DC6EF0"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Federació Valenciana de Municipis i Províncies, president, Sr. Rubén Alfaro Bernabé.</w:t>
            </w:r>
          </w:p>
          <w:p w14:paraId="6898AB9A"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7083B2BA" w14:textId="77777777" w:rsidTr="006A100C">
        <w:trPr>
          <w:jc w:val="right"/>
        </w:trPr>
        <w:tc>
          <w:tcPr>
            <w:tcW w:w="1560" w:type="dxa"/>
            <w:tcBorders>
              <w:top w:val="single" w:sz="4" w:space="0" w:color="C00000"/>
              <w:bottom w:val="single" w:sz="4" w:space="0" w:color="C00000"/>
            </w:tcBorders>
            <w:shd w:val="clear" w:color="auto" w:fill="auto"/>
            <w:vAlign w:val="center"/>
          </w:tcPr>
          <w:p w14:paraId="39469863"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30 de novembre</w:t>
            </w:r>
          </w:p>
        </w:tc>
        <w:tc>
          <w:tcPr>
            <w:tcW w:w="6926" w:type="dxa"/>
            <w:tcBorders>
              <w:top w:val="single" w:sz="4" w:space="0" w:color="C00000"/>
              <w:bottom w:val="single" w:sz="4" w:space="0" w:color="C00000"/>
            </w:tcBorders>
            <w:shd w:val="clear" w:color="auto" w:fill="auto"/>
          </w:tcPr>
          <w:p w14:paraId="6450EC86"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Fiscalia General de l'Estat, delegació.</w:t>
            </w:r>
          </w:p>
          <w:p w14:paraId="0F8EB35D"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0278BEFD" w14:textId="77777777" w:rsidTr="006A100C">
        <w:trPr>
          <w:jc w:val="right"/>
        </w:trPr>
        <w:tc>
          <w:tcPr>
            <w:tcW w:w="1560" w:type="dxa"/>
            <w:tcBorders>
              <w:top w:val="single" w:sz="4" w:space="0" w:color="C00000"/>
              <w:bottom w:val="single" w:sz="4" w:space="0" w:color="C00000"/>
            </w:tcBorders>
            <w:shd w:val="clear" w:color="auto" w:fill="auto"/>
            <w:vAlign w:val="center"/>
          </w:tcPr>
          <w:p w14:paraId="076C6F67"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3 de novembre</w:t>
            </w:r>
          </w:p>
        </w:tc>
        <w:tc>
          <w:tcPr>
            <w:tcW w:w="6926" w:type="dxa"/>
            <w:tcBorders>
              <w:top w:val="single" w:sz="4" w:space="0" w:color="C00000"/>
              <w:bottom w:val="single" w:sz="4" w:space="0" w:color="C00000"/>
            </w:tcBorders>
            <w:shd w:val="clear" w:color="auto" w:fill="auto"/>
          </w:tcPr>
          <w:p w14:paraId="65FA7032"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Conselleria d'Hisenda i Model Econòmic, Direcció General del Sector Públic i Patrimoni, directora general, Sra. Isabel Castelló García.</w:t>
            </w:r>
          </w:p>
          <w:p w14:paraId="53AF2DB1"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i/>
                <w:color w:val="000000"/>
                <w:sz w:val="18"/>
                <w:szCs w:val="18"/>
                <w:lang w:eastAsia="es-ES"/>
              </w:rPr>
              <w:lastRenderedPageBreak/>
              <w:t>València</w:t>
            </w:r>
          </w:p>
        </w:tc>
      </w:tr>
      <w:tr w:rsidR="0012717F" w:rsidRPr="002D3252" w14:paraId="5655082B" w14:textId="77777777" w:rsidTr="006A100C">
        <w:trPr>
          <w:jc w:val="right"/>
        </w:trPr>
        <w:tc>
          <w:tcPr>
            <w:tcW w:w="1560" w:type="dxa"/>
            <w:tcBorders>
              <w:top w:val="single" w:sz="4" w:space="0" w:color="C00000"/>
              <w:bottom w:val="single" w:sz="4" w:space="0" w:color="C00000"/>
            </w:tcBorders>
            <w:shd w:val="clear" w:color="auto" w:fill="auto"/>
            <w:vAlign w:val="center"/>
          </w:tcPr>
          <w:p w14:paraId="6D43A1A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lastRenderedPageBreak/>
              <w:t>14 de desembre</w:t>
            </w:r>
          </w:p>
        </w:tc>
        <w:tc>
          <w:tcPr>
            <w:tcW w:w="6926" w:type="dxa"/>
            <w:tcBorders>
              <w:top w:val="single" w:sz="4" w:space="0" w:color="C00000"/>
              <w:bottom w:val="single" w:sz="4" w:space="0" w:color="C00000"/>
            </w:tcBorders>
            <w:shd w:val="clear" w:color="auto" w:fill="auto"/>
          </w:tcPr>
          <w:p w14:paraId="569DC19D"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Diputació de Castelló, delegació.</w:t>
            </w:r>
          </w:p>
          <w:p w14:paraId="7D19801E"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Castelló de la Plana</w:t>
            </w:r>
          </w:p>
        </w:tc>
      </w:tr>
      <w:tr w:rsidR="0012717F" w:rsidRPr="002D3252" w14:paraId="50A1D492" w14:textId="77777777" w:rsidTr="006A100C">
        <w:trPr>
          <w:jc w:val="right"/>
        </w:trPr>
        <w:tc>
          <w:tcPr>
            <w:tcW w:w="1560" w:type="dxa"/>
            <w:tcBorders>
              <w:top w:val="single" w:sz="4" w:space="0" w:color="C00000"/>
              <w:bottom w:val="single" w:sz="4" w:space="0" w:color="C00000"/>
            </w:tcBorders>
            <w:shd w:val="clear" w:color="auto" w:fill="auto"/>
            <w:vAlign w:val="center"/>
          </w:tcPr>
          <w:p w14:paraId="17272A79"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20 de desembre</w:t>
            </w:r>
          </w:p>
        </w:tc>
        <w:tc>
          <w:tcPr>
            <w:tcW w:w="6926" w:type="dxa"/>
            <w:tcBorders>
              <w:top w:val="single" w:sz="4" w:space="0" w:color="C00000"/>
              <w:bottom w:val="single" w:sz="4" w:space="0" w:color="C00000"/>
            </w:tcBorders>
            <w:shd w:val="clear" w:color="auto" w:fill="auto"/>
          </w:tcPr>
          <w:p w14:paraId="5495170F"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Conselleria de Transparència, Cooperació i Qualitat Democràtica, secretari autonòmic de Transparència, Sr. Antoni Llorente Ferreres.</w:t>
            </w:r>
          </w:p>
          <w:p w14:paraId="76A26FA4"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i/>
                <w:color w:val="000000"/>
                <w:sz w:val="18"/>
                <w:szCs w:val="18"/>
                <w:lang w:eastAsia="es-ES"/>
              </w:rPr>
              <w:t>València</w:t>
            </w:r>
          </w:p>
        </w:tc>
      </w:tr>
      <w:tr w:rsidR="0012717F" w:rsidRPr="002D3252" w14:paraId="4AB5810E" w14:textId="77777777" w:rsidTr="006A100C">
        <w:trPr>
          <w:jc w:val="right"/>
        </w:trPr>
        <w:tc>
          <w:tcPr>
            <w:tcW w:w="1560" w:type="dxa"/>
            <w:tcBorders>
              <w:top w:val="single" w:sz="4" w:space="0" w:color="C00000"/>
              <w:bottom w:val="single" w:sz="4" w:space="0" w:color="C00000"/>
            </w:tcBorders>
            <w:shd w:val="clear" w:color="auto" w:fill="auto"/>
            <w:vAlign w:val="center"/>
          </w:tcPr>
          <w:p w14:paraId="6B64D7C0"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27 de desembre</w:t>
            </w:r>
          </w:p>
        </w:tc>
        <w:tc>
          <w:tcPr>
            <w:tcW w:w="6926" w:type="dxa"/>
            <w:tcBorders>
              <w:top w:val="single" w:sz="4" w:space="0" w:color="C00000"/>
              <w:bottom w:val="single" w:sz="4" w:space="0" w:color="C00000"/>
            </w:tcBorders>
            <w:shd w:val="clear" w:color="auto" w:fill="auto"/>
          </w:tcPr>
          <w:p w14:paraId="16B5E47A"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Despatx d'advocats Legal Notes, delegació.</w:t>
            </w:r>
          </w:p>
          <w:p w14:paraId="5B0ADC62"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Virtual</w:t>
            </w:r>
          </w:p>
        </w:tc>
      </w:tr>
      <w:tr w:rsidR="0012717F" w:rsidRPr="002D3252" w14:paraId="22BC0D26" w14:textId="77777777" w:rsidTr="006A100C">
        <w:trPr>
          <w:jc w:val="right"/>
        </w:trPr>
        <w:tc>
          <w:tcPr>
            <w:tcW w:w="1560" w:type="dxa"/>
            <w:tcBorders>
              <w:top w:val="single" w:sz="4" w:space="0" w:color="C00000"/>
              <w:bottom w:val="single" w:sz="4" w:space="0" w:color="C00000"/>
            </w:tcBorders>
            <w:shd w:val="clear" w:color="auto" w:fill="auto"/>
            <w:vAlign w:val="center"/>
          </w:tcPr>
          <w:p w14:paraId="3024CDAE" w14:textId="77777777" w:rsidR="0012717F" w:rsidRPr="002D3252" w:rsidRDefault="0012717F" w:rsidP="0012717F">
            <w:pPr>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28 de desembre</w:t>
            </w:r>
          </w:p>
        </w:tc>
        <w:tc>
          <w:tcPr>
            <w:tcW w:w="6926" w:type="dxa"/>
            <w:tcBorders>
              <w:top w:val="single" w:sz="4" w:space="0" w:color="C00000"/>
              <w:bottom w:val="single" w:sz="4" w:space="0" w:color="C00000"/>
            </w:tcBorders>
            <w:shd w:val="clear" w:color="auto" w:fill="auto"/>
          </w:tcPr>
          <w:p w14:paraId="0EF34CA7" w14:textId="77777777" w:rsidR="0012717F" w:rsidRPr="002D3252" w:rsidRDefault="0012717F" w:rsidP="0012717F">
            <w:pPr>
              <w:spacing w:after="0" w:line="276" w:lineRule="auto"/>
              <w:jc w:val="both"/>
              <w:rPr>
                <w:rFonts w:ascii="Arial" w:eastAsia="Times New Roman" w:hAnsi="Arial" w:cs="Arial"/>
                <w:color w:val="000000"/>
                <w:sz w:val="18"/>
                <w:szCs w:val="18"/>
                <w:lang w:eastAsia="es-ES"/>
              </w:rPr>
            </w:pPr>
            <w:r w:rsidRPr="002D3252">
              <w:rPr>
                <w:rFonts w:ascii="Arial" w:eastAsia="Times New Roman" w:hAnsi="Arial" w:cs="Arial"/>
                <w:color w:val="000000"/>
                <w:sz w:val="18"/>
                <w:szCs w:val="18"/>
                <w:lang w:eastAsia="es-ES"/>
              </w:rPr>
              <w:t>Generalitat Valenciana, delegació.</w:t>
            </w:r>
          </w:p>
          <w:p w14:paraId="26D05E3D" w14:textId="77777777" w:rsidR="0012717F" w:rsidRPr="002D3252" w:rsidRDefault="0012717F" w:rsidP="0012717F">
            <w:pPr>
              <w:spacing w:after="0" w:line="276" w:lineRule="auto"/>
              <w:jc w:val="both"/>
              <w:rPr>
                <w:rFonts w:ascii="Arial" w:eastAsia="Times New Roman" w:hAnsi="Arial" w:cs="Arial"/>
                <w:i/>
                <w:color w:val="000000"/>
                <w:sz w:val="18"/>
                <w:szCs w:val="18"/>
                <w:lang w:eastAsia="es-ES"/>
              </w:rPr>
            </w:pPr>
            <w:r w:rsidRPr="002D3252">
              <w:rPr>
                <w:rFonts w:ascii="Arial" w:eastAsia="Times New Roman" w:hAnsi="Arial" w:cs="Arial"/>
                <w:i/>
                <w:color w:val="000000"/>
                <w:sz w:val="18"/>
                <w:szCs w:val="18"/>
                <w:lang w:eastAsia="es-ES"/>
              </w:rPr>
              <w:t>València</w:t>
            </w:r>
          </w:p>
        </w:tc>
      </w:tr>
    </w:tbl>
    <w:p w14:paraId="6463C13C" w14:textId="71856018" w:rsidR="005F47EC" w:rsidRPr="002D3252" w:rsidRDefault="005F47EC" w:rsidP="005F47EC">
      <w:pPr>
        <w:rPr>
          <w:rFonts w:ascii="Arial" w:eastAsia="Times New Roman" w:hAnsi="Arial" w:cs="Arial"/>
          <w:bCs/>
          <w:sz w:val="21"/>
          <w:szCs w:val="21"/>
        </w:rPr>
      </w:pPr>
    </w:p>
    <w:p w14:paraId="24C46897" w14:textId="1DED23AD" w:rsidR="005F47EC" w:rsidRPr="002D3252" w:rsidRDefault="005F47EC" w:rsidP="005F47EC">
      <w:pPr>
        <w:rPr>
          <w:rFonts w:ascii="Arial" w:eastAsia="Times New Roman" w:hAnsi="Arial" w:cs="Arial"/>
          <w:bCs/>
          <w:sz w:val="21"/>
          <w:szCs w:val="21"/>
        </w:rPr>
      </w:pPr>
    </w:p>
    <w:p w14:paraId="2D7E6DE1" w14:textId="77777777" w:rsidR="005F47EC" w:rsidRPr="002D3252" w:rsidRDefault="005F47EC" w:rsidP="005F47EC">
      <w:pPr>
        <w:rPr>
          <w:rFonts w:ascii="Arial" w:eastAsia="Times New Roman" w:hAnsi="Arial" w:cs="Arial"/>
          <w:bCs/>
          <w:sz w:val="21"/>
          <w:szCs w:val="21"/>
        </w:rPr>
      </w:pPr>
    </w:p>
    <w:p w14:paraId="319BB5CE" w14:textId="150E65CA" w:rsidR="0012717F" w:rsidRPr="002D3252" w:rsidRDefault="0012717F" w:rsidP="0012717F">
      <w:pPr>
        <w:pStyle w:val="Prrafodelista"/>
        <w:keepNext/>
        <w:numPr>
          <w:ilvl w:val="1"/>
          <w:numId w:val="27"/>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47" w:name="_Toc99110680"/>
      <w:r w:rsidRPr="002D3252">
        <w:rPr>
          <w:rFonts w:ascii="Arial" w:eastAsia="Times New Roman" w:hAnsi="Arial" w:cs="Arial"/>
          <w:b/>
          <w:color w:val="9D2235" w:themeColor="accent1"/>
          <w:sz w:val="32"/>
          <w:szCs w:val="32"/>
        </w:rPr>
        <w:t>Pàgina web i xarxes socials</w:t>
      </w:r>
      <w:bookmarkEnd w:id="47"/>
    </w:p>
    <w:p w14:paraId="6A857028" w14:textId="77777777" w:rsidR="0012717F" w:rsidRPr="002D3252" w:rsidRDefault="0012717F" w:rsidP="0012717F">
      <w:pPr>
        <w:spacing w:after="240" w:line="276" w:lineRule="auto"/>
        <w:jc w:val="both"/>
        <w:rPr>
          <w:rFonts w:ascii="Arial" w:hAnsi="Arial" w:cs="Arial"/>
          <w:sz w:val="21"/>
          <w:szCs w:val="21"/>
        </w:rPr>
      </w:pPr>
      <w:r w:rsidRPr="002D3252">
        <w:rPr>
          <w:rFonts w:ascii="Arial" w:hAnsi="Arial" w:cs="Arial"/>
          <w:sz w:val="21"/>
          <w:szCs w:val="21"/>
        </w:rPr>
        <w:t xml:space="preserve">La pàgina web és un dels principals canals de difusió, de l'activitat que desenvolupa l'Agència, així com l'espai en el qual es recull tota la informació que està a disposició de la ciutadania. </w:t>
      </w:r>
    </w:p>
    <w:p w14:paraId="02F00B56" w14:textId="77777777" w:rsidR="00FD3D3A" w:rsidRPr="002D3252" w:rsidRDefault="0012717F" w:rsidP="0012717F">
      <w:pPr>
        <w:widowControl w:val="0"/>
        <w:suppressAutoHyphens/>
        <w:autoSpaceDN w:val="0"/>
        <w:spacing w:after="240" w:line="276" w:lineRule="auto"/>
        <w:jc w:val="both"/>
        <w:rPr>
          <w:rFonts w:ascii="Arial" w:eastAsia="Calibri" w:hAnsi="Arial" w:cs="Arial"/>
          <w:sz w:val="21"/>
        </w:rPr>
      </w:pPr>
      <w:r w:rsidRPr="002D3252">
        <w:rPr>
          <w:rFonts w:ascii="Arial" w:hAnsi="Arial" w:cs="Arial"/>
          <w:sz w:val="21"/>
          <w:szCs w:val="21"/>
        </w:rPr>
        <w:t>Enguany, com a novetat, s'han inclòs dues noves seccions a la web: Diàlegs a l'AVAF i el Blog de l'AVAF.</w:t>
      </w:r>
    </w:p>
    <w:bookmarkStart w:id="48" w:name="_Toc99110681"/>
    <w:p w14:paraId="7B554542" w14:textId="5A7E46CB" w:rsidR="00FD3D3A" w:rsidRPr="002D3252" w:rsidRDefault="005F47EC" w:rsidP="0012717F">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r w:rsidRPr="002D3252">
        <w:rPr>
          <w:noProof/>
        </w:rPr>
        <w:lastRenderedPageBreak/>
        <mc:AlternateContent>
          <mc:Choice Requires="wps">
            <w:drawing>
              <wp:anchor distT="0" distB="0" distL="114300" distR="114300" simplePos="0" relativeHeight="251983872" behindDoc="0" locked="0" layoutInCell="1" allowOverlap="1" wp14:anchorId="396EB42F" wp14:editId="10BD011D">
                <wp:simplePos x="0" y="0"/>
                <wp:positionH relativeFrom="column">
                  <wp:posOffset>1002030</wp:posOffset>
                </wp:positionH>
                <wp:positionV relativeFrom="paragraph">
                  <wp:posOffset>3801745</wp:posOffset>
                </wp:positionV>
                <wp:extent cx="3395345" cy="635"/>
                <wp:effectExtent l="0" t="0" r="0" b="0"/>
                <wp:wrapTopAndBottom/>
                <wp:docPr id="21" name="Cuadro de texto 21"/>
                <wp:cNvGraphicFramePr/>
                <a:graphic xmlns:a="http://schemas.openxmlformats.org/drawingml/2006/main">
                  <a:graphicData uri="http://schemas.microsoft.com/office/word/2010/wordprocessingShape">
                    <wps:wsp>
                      <wps:cNvSpPr txBox="1"/>
                      <wps:spPr>
                        <a:xfrm>
                          <a:off x="0" y="0"/>
                          <a:ext cx="3395345" cy="635"/>
                        </a:xfrm>
                        <a:prstGeom prst="rect">
                          <a:avLst/>
                        </a:prstGeom>
                        <a:solidFill>
                          <a:prstClr val="white"/>
                        </a:solidFill>
                        <a:ln>
                          <a:noFill/>
                        </a:ln>
                      </wps:spPr>
                      <wps:txbx>
                        <w:txbxContent>
                          <w:p w14:paraId="133B06BD" w14:textId="532902B5" w:rsidR="005F47EC" w:rsidRPr="005F47EC" w:rsidRDefault="005F47EC" w:rsidP="005F47EC">
                            <w:pPr>
                              <w:pStyle w:val="Descripcin"/>
                              <w:jc w:val="center"/>
                              <w:rPr>
                                <w:rFonts w:ascii="Arial" w:eastAsia="Times New Roman" w:hAnsi="Arial" w:cs="Arial"/>
                                <w:smallCaps w:val="0"/>
                                <w:noProof/>
                                <w:color w:val="9D2235" w:themeColor="accent1"/>
                                <w:sz w:val="18"/>
                                <w:szCs w:val="18"/>
                              </w:rPr>
                            </w:pPr>
                            <w:bookmarkStart w:id="49" w:name="_Toc99110953"/>
                            <w:r w:rsidRPr="005F47EC">
                              <w:rPr>
                                <w:rFonts w:ascii="Arial" w:hAnsi="Arial" w:cs="Arial"/>
                                <w:smallCaps w:val="0"/>
                                <w:color w:val="9D2235" w:themeColor="accent1"/>
                                <w:sz w:val="18"/>
                                <w:szCs w:val="18"/>
                              </w:rPr>
                              <w:t xml:space="preserve">Il·lustració </w:t>
                            </w:r>
                            <w:r w:rsidRPr="005F47EC">
                              <w:rPr>
                                <w:rFonts w:ascii="Arial" w:hAnsi="Arial" w:cs="Arial"/>
                                <w:smallCaps w:val="0"/>
                                <w:color w:val="9D2235" w:themeColor="accent1"/>
                                <w:sz w:val="18"/>
                                <w:szCs w:val="18"/>
                              </w:rPr>
                              <w:fldChar w:fldCharType="begin"/>
                            </w:r>
                            <w:r w:rsidRPr="005F47EC">
                              <w:rPr>
                                <w:rFonts w:ascii="Arial" w:hAnsi="Arial" w:cs="Arial"/>
                                <w:smallCaps w:val="0"/>
                                <w:color w:val="9D2235" w:themeColor="accent1"/>
                                <w:sz w:val="18"/>
                                <w:szCs w:val="18"/>
                              </w:rPr>
                              <w:instrText xml:space="preserve"> SEQ Il·lustració \* ARABIC </w:instrText>
                            </w:r>
                            <w:r w:rsidRPr="005F47EC">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7</w:t>
                            </w:r>
                            <w:r w:rsidRPr="005F47EC">
                              <w:rPr>
                                <w:rFonts w:ascii="Arial" w:hAnsi="Arial" w:cs="Arial"/>
                                <w:smallCaps w:val="0"/>
                                <w:color w:val="9D2235" w:themeColor="accent1"/>
                                <w:sz w:val="18"/>
                                <w:szCs w:val="18"/>
                              </w:rPr>
                              <w:fldChar w:fldCharType="end"/>
                            </w:r>
                            <w:r w:rsidRPr="005F47EC">
                              <w:rPr>
                                <w:rFonts w:ascii="Arial" w:hAnsi="Arial" w:cs="Arial"/>
                                <w:smallCaps w:val="0"/>
                                <w:color w:val="9D2235" w:themeColor="accent1"/>
                                <w:sz w:val="18"/>
                                <w:szCs w:val="18"/>
                              </w:rPr>
                              <w:t xml:space="preserve">. </w:t>
                            </w:r>
                            <w:r w:rsidRPr="005F47EC">
                              <w:rPr>
                                <w:rFonts w:ascii="Arial" w:hAnsi="Arial" w:cs="Arial"/>
                                <w:smallCaps w:val="0"/>
                                <w:sz w:val="18"/>
                                <w:szCs w:val="18"/>
                              </w:rPr>
                              <w:t>Diàlegs a l'AVAF</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6EB42F" id="Cuadro de texto 21" o:spid="_x0000_s1030" type="#_x0000_t202" style="position:absolute;left:0;text-align:left;margin-left:78.9pt;margin-top:299.35pt;width:267.35pt;height:.0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" stroked="f">
                <v:textbox style="mso-fit-shape-to-text:t" inset="0,0,0,0">
                  <w:txbxContent>
                    <w:p w14:paraId="133B06BD" w14:textId="532902B5" w:rsidR="005F47EC" w:rsidRPr="005F47EC" w:rsidRDefault="005F47EC" w:rsidP="005F47EC">
                      <w:pPr>
                        <w:pStyle w:val="Descripcin"/>
                        <w:jc w:val="center"/>
                        <w:rPr>
                          <w:rFonts w:ascii="Arial" w:eastAsia="Times New Roman" w:hAnsi="Arial" w:cs="Arial"/>
                          <w:smallCaps w:val="0"/>
                          <w:noProof/>
                          <w:color w:val="9D2235" w:themeColor="accent1"/>
                          <w:sz w:val="18"/>
                          <w:szCs w:val="18"/>
                        </w:rPr>
                      </w:pPr>
                      <w:bookmarkStart w:id="54" w:name="_Toc99110953"/>
                      <w:r w:rsidRPr="005F47EC">
                        <w:rPr>
                          <w:rFonts w:ascii="Arial" w:hAnsi="Arial" w:cs="Arial"/>
                          <w:smallCaps w:val="0"/>
                          <w:color w:val="9D2235" w:themeColor="accent1"/>
                          <w:sz w:val="18"/>
                          <w:szCs w:val="18"/>
                        </w:rPr>
                        <w:t xml:space="preserve">Il·lustració </w:t>
                      </w:r>
                      <w:r w:rsidRPr="005F47EC">
                        <w:rPr>
                          <w:rFonts w:ascii="Arial" w:hAnsi="Arial" w:cs="Arial"/>
                          <w:smallCaps w:val="0"/>
                          <w:color w:val="9D2235" w:themeColor="accent1"/>
                          <w:sz w:val="18"/>
                          <w:szCs w:val="18"/>
                        </w:rPr>
                        <w:fldChar w:fldCharType="begin"/>
                      </w:r>
                      <w:r w:rsidRPr="005F47EC">
                        <w:rPr>
                          <w:rFonts w:ascii="Arial" w:hAnsi="Arial" w:cs="Arial"/>
                          <w:smallCaps w:val="0"/>
                          <w:color w:val="9D2235" w:themeColor="accent1"/>
                          <w:sz w:val="18"/>
                          <w:szCs w:val="18"/>
                        </w:rPr>
                        <w:instrText xml:space="preserve"> SEQ Il·lustració \* ARABIC </w:instrText>
                      </w:r>
                      <w:r w:rsidRPr="005F47EC">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7</w:t>
                      </w:r>
                      <w:r w:rsidRPr="005F47EC">
                        <w:rPr>
                          <w:rFonts w:ascii="Arial" w:hAnsi="Arial" w:cs="Arial"/>
                          <w:smallCaps w:val="0"/>
                          <w:color w:val="9D2235" w:themeColor="accent1"/>
                          <w:sz w:val="18"/>
                          <w:szCs w:val="18"/>
                        </w:rPr>
                        <w:fldChar w:fldCharType="end"/>
                      </w:r>
                      <w:r w:rsidRPr="005F47EC">
                        <w:rPr>
                          <w:rFonts w:ascii="Arial" w:hAnsi="Arial" w:cs="Arial"/>
                          <w:smallCaps w:val="0"/>
                          <w:color w:val="9D2235" w:themeColor="accent1"/>
                          <w:sz w:val="18"/>
                          <w:szCs w:val="18"/>
                        </w:rPr>
                        <w:t xml:space="preserve">. </w:t>
                      </w:r>
                      <w:r w:rsidRPr="005F47EC">
                        <w:rPr>
                          <w:rFonts w:ascii="Arial" w:hAnsi="Arial" w:cs="Arial"/>
                          <w:smallCaps w:val="0"/>
                          <w:sz w:val="18"/>
                          <w:szCs w:val="18"/>
                        </w:rPr>
                        <w:t>Diàlegs a l'AVAF</w:t>
                      </w:r>
                      <w:bookmarkEnd w:id="54"/>
                    </w:p>
                  </w:txbxContent>
                </v:textbox>
                <w10:wrap type="topAndBottom"/>
              </v:shape>
            </w:pict>
          </mc:Fallback>
        </mc:AlternateContent>
      </w:r>
      <w:r w:rsidRPr="002D3252">
        <w:rPr>
          <w:rFonts w:ascii="Arial" w:eastAsia="Times New Roman" w:hAnsi="Arial" w:cs="Arial"/>
          <w:b/>
          <w:bCs/>
          <w:noProof/>
          <w:color w:val="9D2235" w:themeColor="accent1"/>
          <w:sz w:val="21"/>
          <w:szCs w:val="21"/>
          <w:lang w:eastAsia="es-ES"/>
        </w:rPr>
        <w:drawing>
          <wp:anchor distT="0" distB="0" distL="114300" distR="114300" simplePos="0" relativeHeight="251981824" behindDoc="0" locked="0" layoutInCell="1" allowOverlap="1" wp14:anchorId="7B70B112" wp14:editId="4AAF1449">
            <wp:simplePos x="0" y="0"/>
            <wp:positionH relativeFrom="margin">
              <wp:align>center</wp:align>
            </wp:positionH>
            <wp:positionV relativeFrom="page">
              <wp:posOffset>1343025</wp:posOffset>
            </wp:positionV>
            <wp:extent cx="3395345" cy="3395345"/>
            <wp:effectExtent l="0" t="0" r="0" b="0"/>
            <wp:wrapTopAndBottom/>
            <wp:docPr id="5" name="Imagen 5" descr="Texto, 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exto, Logotipo, nombre de la empresa&#10;&#10;Descripción generada automáticament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395345" cy="3395345"/>
                    </a:xfrm>
                    <a:prstGeom prst="rect">
                      <a:avLst/>
                    </a:prstGeom>
                  </pic:spPr>
                </pic:pic>
              </a:graphicData>
            </a:graphic>
            <wp14:sizeRelH relativeFrom="margin">
              <wp14:pctWidth>0</wp14:pctWidth>
            </wp14:sizeRelH>
            <wp14:sizeRelV relativeFrom="margin">
              <wp14:pctHeight>0</wp14:pctHeight>
            </wp14:sizeRelV>
          </wp:anchor>
        </w:drawing>
      </w:r>
      <w:r w:rsidR="0012717F" w:rsidRPr="002D3252">
        <w:rPr>
          <w:rFonts w:ascii="Arial" w:eastAsia="Times New Roman" w:hAnsi="Arial" w:cs="Arial"/>
          <w:b/>
          <w:color w:val="9D2235"/>
          <w:sz w:val="28"/>
          <w:szCs w:val="28"/>
        </w:rPr>
        <w:t>Diàlegs a l’AVAF</w:t>
      </w:r>
      <w:bookmarkEnd w:id="48"/>
    </w:p>
    <w:p w14:paraId="70CE0948" w14:textId="1B633278" w:rsidR="005F47EC" w:rsidRPr="002D3252" w:rsidRDefault="005F47EC" w:rsidP="005F47EC">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Durant l'any 2021, l'Agència Valenciana Antifrau ha posat en marxa un nou espai de difusió amb el nom de "Diàlegs de l'AVAF/ Diàlegs de l'AVAF".</w:t>
      </w:r>
    </w:p>
    <w:p w14:paraId="2B4710C9" w14:textId="4793F624" w:rsidR="005F47EC" w:rsidRPr="002D3252" w:rsidRDefault="005F47EC" w:rsidP="005F47EC">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L'objectiu d' aquest nou format és oferir a través d' entrevistes, diferents punts de vista i opinions de persones expertes i vinculades amb les diferents temàtiques de l' Agència, per contribuir al debat i a la reflexió.</w:t>
      </w:r>
    </w:p>
    <w:p w14:paraId="605BABC9" w14:textId="77777777" w:rsidR="005F47EC" w:rsidRPr="002D3252" w:rsidRDefault="005F47EC" w:rsidP="005F47EC">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L'any 2021, hem entrevistat en aquest espai, a Irma Ferrer, advocada de Transparència Urbanística i d'Acció Cívica contra la corrupció, que va ser entrevistada per la directora d'Afers Jurídics de l'Agència, Teresa Clemente.</w:t>
      </w:r>
    </w:p>
    <w:p w14:paraId="37DA23C6" w14:textId="77777777" w:rsidR="005F47EC" w:rsidRPr="002D3252" w:rsidRDefault="005F47EC" w:rsidP="005F47EC">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El segon dels Diàlegs va estar protagonitzat per Concha Campos Acuña, Doctora en Dret i codirectora de la Xarxa Localis, que va ser entrevistada per Pilar Moreno, tècnica de formació.</w:t>
      </w:r>
    </w:p>
    <w:p w14:paraId="469B3008" w14:textId="77777777" w:rsidR="005F47EC" w:rsidRPr="002D3252" w:rsidRDefault="005F47EC" w:rsidP="005F47EC">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Els Diàlegs de l'AVAF, són difosos a través de format vídeo a través del canal de YouTube de l'Agència, així com en format pòdcast als canals de l'Agència a les plataformes d'ivoox i de Spotify.</w:t>
      </w:r>
    </w:p>
    <w:p w14:paraId="4A8E7939" w14:textId="77777777" w:rsidR="005F47EC" w:rsidRPr="002D3252" w:rsidRDefault="005F47EC" w:rsidP="005F47EC">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Enllaç al canal de l' Agència en ivoox: </w:t>
      </w:r>
      <w:hyperlink r:id="rId127" w:history="1">
        <w:r w:rsidRPr="002D3252">
          <w:rPr>
            <w:rStyle w:val="Hipervnculo"/>
            <w:rFonts w:ascii="Arial" w:eastAsia="Calibri" w:hAnsi="Arial" w:cs="Arial"/>
            <w:sz w:val="21"/>
          </w:rPr>
          <w:t>https://www.ivoox.com/podcast-podcast-agencia-valenciana-antifraude_sq_f11289334_1.html</w:t>
        </w:r>
      </w:hyperlink>
    </w:p>
    <w:p w14:paraId="56CD6323" w14:textId="77777777" w:rsidR="005F47EC" w:rsidRPr="002D3252" w:rsidRDefault="005F47EC" w:rsidP="005F47EC">
      <w:pPr>
        <w:widowControl w:val="0"/>
        <w:suppressAutoHyphens/>
        <w:autoSpaceDN w:val="0"/>
        <w:spacing w:after="120" w:line="276" w:lineRule="auto"/>
        <w:contextualSpacing/>
        <w:jc w:val="both"/>
        <w:rPr>
          <w:rFonts w:ascii="Arial" w:eastAsia="Calibri" w:hAnsi="Arial" w:cs="Arial"/>
          <w:sz w:val="21"/>
        </w:rPr>
      </w:pPr>
      <w:r w:rsidRPr="002D3252">
        <w:rPr>
          <w:rFonts w:ascii="Arial" w:eastAsia="Calibri" w:hAnsi="Arial" w:cs="Arial"/>
          <w:sz w:val="21"/>
        </w:rPr>
        <w:t xml:space="preserve">Enllaç al canal de l' Agència en Spotify: </w:t>
      </w:r>
    </w:p>
    <w:p w14:paraId="530A3831" w14:textId="206110FB" w:rsidR="00FD3D3A" w:rsidRPr="002D3252" w:rsidRDefault="00254AEC" w:rsidP="005F47EC">
      <w:pPr>
        <w:widowControl w:val="0"/>
        <w:suppressAutoHyphens/>
        <w:autoSpaceDN w:val="0"/>
        <w:spacing w:after="240" w:line="276" w:lineRule="auto"/>
        <w:jc w:val="both"/>
        <w:rPr>
          <w:rFonts w:ascii="Arial" w:eastAsia="Calibri" w:hAnsi="Arial" w:cs="Arial"/>
          <w:sz w:val="21"/>
        </w:rPr>
      </w:pPr>
      <w:hyperlink r:id="rId128" w:history="1">
        <w:r w:rsidR="005F47EC" w:rsidRPr="002D3252">
          <w:rPr>
            <w:rStyle w:val="Hipervnculo"/>
            <w:rFonts w:ascii="Arial" w:eastAsia="Calibri" w:hAnsi="Arial" w:cs="Arial"/>
            <w:sz w:val="21"/>
          </w:rPr>
          <w:t>https://open.spotify.com/show/0vqDIp0isZNy8xComIIBjC</w:t>
        </w:r>
      </w:hyperlink>
    </w:p>
    <w:p w14:paraId="0976E485" w14:textId="77777777" w:rsidR="00B949A9" w:rsidRPr="002D3252" w:rsidRDefault="00B949A9" w:rsidP="00B949A9">
      <w:pPr>
        <w:keepNext/>
        <w:numPr>
          <w:ilvl w:val="2"/>
          <w:numId w:val="27"/>
        </w:numPr>
        <w:spacing w:before="360" w:after="240" w:line="276" w:lineRule="auto"/>
        <w:ind w:left="1134" w:hanging="1134"/>
        <w:jc w:val="both"/>
        <w:outlineLvl w:val="2"/>
        <w:rPr>
          <w:rFonts w:ascii="Arial" w:eastAsia="Times New Roman" w:hAnsi="Arial" w:cs="Arial"/>
          <w:b/>
          <w:color w:val="9D2235"/>
          <w:sz w:val="28"/>
          <w:szCs w:val="28"/>
        </w:rPr>
      </w:pPr>
      <w:bookmarkStart w:id="50" w:name="_Toc95311210"/>
      <w:bookmarkStart w:id="51" w:name="_Toc99110682"/>
      <w:r w:rsidRPr="002D3252">
        <w:rPr>
          <w:rFonts w:ascii="Arial" w:eastAsia="Times New Roman" w:hAnsi="Arial" w:cs="Arial"/>
          <w:b/>
          <w:color w:val="9D2235"/>
          <w:sz w:val="28"/>
          <w:szCs w:val="28"/>
        </w:rPr>
        <w:lastRenderedPageBreak/>
        <w:t>Blog de l’AVAF</w:t>
      </w:r>
      <w:bookmarkEnd w:id="50"/>
      <w:bookmarkEnd w:id="51"/>
    </w:p>
    <w:p w14:paraId="03BC2846" w14:textId="77777777" w:rsidR="00B949A9" w:rsidRPr="002D3252" w:rsidRDefault="00B949A9" w:rsidP="00B949A9">
      <w:pPr>
        <w:keepNext/>
        <w:widowControl w:val="0"/>
        <w:suppressAutoHyphens/>
        <w:autoSpaceDN w:val="0"/>
        <w:spacing w:after="240" w:line="276" w:lineRule="auto"/>
        <w:jc w:val="both"/>
      </w:pPr>
      <w:r w:rsidRPr="002D3252">
        <w:rPr>
          <w:rFonts w:ascii="Arial" w:eastAsia="Times New Roman" w:hAnsi="Arial" w:cs="Arial"/>
          <w:bCs/>
          <w:noProof/>
          <w:sz w:val="21"/>
          <w:szCs w:val="21"/>
        </w:rPr>
        <w:drawing>
          <wp:inline distT="0" distB="0" distL="0" distR="0" wp14:anchorId="3788F0F7" wp14:editId="1B910435">
            <wp:extent cx="5399159" cy="1581785"/>
            <wp:effectExtent l="0" t="0" r="0" b="0"/>
            <wp:docPr id="50" name="Imagen 50" descr="Un periódico en la m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Un periódico en la mano&#10;&#10;Descripción generada automáticamente con confianza media"/>
                    <pic:cNvPicPr/>
                  </pic:nvPicPr>
                  <pic:blipFill>
                    <a:blip r:embed="rId129">
                      <a:extLst>
                        <a:ext uri="{28A0092B-C50C-407E-A947-70E740481C1C}">
                          <a14:useLocalDpi xmlns:a14="http://schemas.microsoft.com/office/drawing/2010/main" val="0"/>
                        </a:ext>
                      </a:extLst>
                    </a:blip>
                    <a:stretch>
                      <a:fillRect/>
                    </a:stretch>
                  </pic:blipFill>
                  <pic:spPr>
                    <a:xfrm>
                      <a:off x="0" y="0"/>
                      <a:ext cx="5399159" cy="1581785"/>
                    </a:xfrm>
                    <a:prstGeom prst="rect">
                      <a:avLst/>
                    </a:prstGeom>
                  </pic:spPr>
                </pic:pic>
              </a:graphicData>
            </a:graphic>
          </wp:inline>
        </w:drawing>
      </w:r>
    </w:p>
    <w:p w14:paraId="77CE825C" w14:textId="59BB038F" w:rsidR="00FD3D3A" w:rsidRPr="002D3252" w:rsidRDefault="00B949A9" w:rsidP="00B949A9">
      <w:pPr>
        <w:pStyle w:val="Descripcin"/>
        <w:jc w:val="center"/>
        <w:rPr>
          <w:rFonts w:ascii="Arial" w:eastAsia="Calibri" w:hAnsi="Arial" w:cs="Arial"/>
          <w:smallCaps w:val="0"/>
          <w:sz w:val="18"/>
          <w:szCs w:val="18"/>
        </w:rPr>
      </w:pPr>
      <w:bookmarkStart w:id="52" w:name="_Toc99110954"/>
      <w:r w:rsidRPr="002D3252">
        <w:rPr>
          <w:rFonts w:ascii="Arial" w:hAnsi="Arial" w:cs="Arial"/>
          <w:smallCaps w:val="0"/>
          <w:color w:val="9D2235" w:themeColor="accent1"/>
          <w:sz w:val="18"/>
          <w:szCs w:val="18"/>
        </w:rPr>
        <w:t xml:space="preserve">Il·lustració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Il·lustració \* ARABIC </w:instrText>
      </w:r>
      <w:r w:rsidRPr="002D3252">
        <w:rPr>
          <w:rFonts w:ascii="Arial" w:hAnsi="Arial" w:cs="Arial"/>
          <w:smallCaps w:val="0"/>
          <w:color w:val="9D2235" w:themeColor="accent1"/>
          <w:sz w:val="18"/>
          <w:szCs w:val="18"/>
        </w:rPr>
        <w:fldChar w:fldCharType="separate"/>
      </w:r>
      <w:r w:rsidR="008350F3">
        <w:rPr>
          <w:rFonts w:ascii="Arial" w:hAnsi="Arial" w:cs="Arial"/>
          <w:smallCaps w:val="0"/>
          <w:noProof/>
          <w:color w:val="9D2235" w:themeColor="accent1"/>
          <w:sz w:val="18"/>
          <w:szCs w:val="18"/>
        </w:rPr>
        <w:t>8</w:t>
      </w:r>
      <w:r w:rsidRPr="002D3252">
        <w:rPr>
          <w:rFonts w:ascii="Arial" w:hAnsi="Arial" w:cs="Arial"/>
          <w:smallCaps w:val="0"/>
          <w:color w:val="9D2235" w:themeColor="accent1"/>
          <w:sz w:val="18"/>
          <w:szCs w:val="18"/>
        </w:rPr>
        <w:fldChar w:fldCharType="end"/>
      </w:r>
      <w:r w:rsidRPr="002D3252">
        <w:rPr>
          <w:rFonts w:ascii="Arial" w:hAnsi="Arial" w:cs="Arial"/>
          <w:smallCaps w:val="0"/>
          <w:color w:val="9D2235" w:themeColor="accent1"/>
          <w:sz w:val="18"/>
          <w:szCs w:val="18"/>
        </w:rPr>
        <w:t xml:space="preserve">. </w:t>
      </w:r>
      <w:r w:rsidRPr="002D3252">
        <w:rPr>
          <w:rFonts w:ascii="Arial" w:hAnsi="Arial" w:cs="Arial"/>
          <w:smallCaps w:val="0"/>
          <w:sz w:val="18"/>
          <w:szCs w:val="18"/>
        </w:rPr>
        <w:t>El Blog de l'AVAF</w:t>
      </w:r>
      <w:bookmarkEnd w:id="52"/>
    </w:p>
    <w:p w14:paraId="0CDA7612" w14:textId="1256A709" w:rsidR="00B949A9" w:rsidRPr="002D3252" w:rsidRDefault="00B949A9" w:rsidP="00B949A9">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El segon dels formats posats en marxa per l'Agència Valenciana Antifrau durant l'any 2021 és el "Blog de l'AVAF".</w:t>
      </w:r>
    </w:p>
    <w:p w14:paraId="33F05600" w14:textId="6B5BE116" w:rsidR="00B949A9" w:rsidRPr="002D3252" w:rsidRDefault="00B949A9" w:rsidP="00B949A9">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Aquest espai té com a objectiu</w:t>
      </w:r>
      <w:r w:rsidR="00916630">
        <w:rPr>
          <w:rFonts w:ascii="Arial" w:eastAsia="Calibri" w:hAnsi="Arial" w:cs="Arial"/>
          <w:bCs/>
          <w:sz w:val="21"/>
        </w:rPr>
        <w:t xml:space="preserve"> </w:t>
      </w:r>
      <w:r w:rsidRPr="002D3252">
        <w:rPr>
          <w:rFonts w:ascii="Arial" w:eastAsia="Calibri" w:hAnsi="Arial" w:cs="Arial"/>
          <w:bCs/>
          <w:sz w:val="21"/>
        </w:rPr>
        <w:t>recollir</w:t>
      </w:r>
      <w:r w:rsidR="00916630">
        <w:rPr>
          <w:rFonts w:ascii="Arial" w:eastAsia="Calibri" w:hAnsi="Arial" w:cs="Arial"/>
          <w:bCs/>
          <w:sz w:val="21"/>
        </w:rPr>
        <w:t>,</w:t>
      </w:r>
      <w:r w:rsidRPr="002D3252">
        <w:rPr>
          <w:rFonts w:ascii="Arial" w:eastAsia="Calibri" w:hAnsi="Arial" w:cs="Arial"/>
          <w:bCs/>
          <w:sz w:val="21"/>
        </w:rPr>
        <w:t xml:space="preserve"> en format escrit, articles del personal de la mateixa Agència que poden oferir informació, i contingut d'interès que per les seues pròpies característiques no té cabuda en altres espais del web.</w:t>
      </w:r>
    </w:p>
    <w:p w14:paraId="26200017" w14:textId="77777777" w:rsidR="00B949A9" w:rsidRPr="002D3252" w:rsidRDefault="00B949A9" w:rsidP="00B949A9">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El treball diari ens permet adquirir coneixements i experiències que creiem poden ser interessants per al conjunt de la ciutadania.</w:t>
      </w:r>
    </w:p>
    <w:p w14:paraId="34B02DC6" w14:textId="77777777" w:rsidR="00B949A9" w:rsidRPr="002D3252" w:rsidRDefault="00B949A9" w:rsidP="00B949A9">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També volem que el Blog siga un espai obert a altres col·laboracions, per a la qual cosa s'ha convidat diferents persones a que col·laboren escrivint articles per al "Blog de l'AVAF", que creiem són d'enorme valor i interès.</w:t>
      </w:r>
    </w:p>
    <w:p w14:paraId="65D8E057" w14:textId="29AC5E54" w:rsidR="00B949A9" w:rsidRPr="002D3252" w:rsidRDefault="00B949A9" w:rsidP="00B949A9">
      <w:pPr>
        <w:widowControl w:val="0"/>
        <w:suppressAutoHyphens/>
        <w:autoSpaceDN w:val="0"/>
        <w:spacing w:after="120" w:line="276" w:lineRule="auto"/>
        <w:jc w:val="both"/>
        <w:rPr>
          <w:rFonts w:ascii="Arial" w:eastAsia="Calibri" w:hAnsi="Arial" w:cs="Arial"/>
          <w:bCs/>
          <w:sz w:val="21"/>
        </w:rPr>
      </w:pPr>
      <w:r w:rsidRPr="002D3252">
        <w:rPr>
          <w:rFonts w:ascii="Arial" w:eastAsia="Calibri" w:hAnsi="Arial" w:cs="Arial"/>
          <w:bCs/>
          <w:sz w:val="21"/>
        </w:rPr>
        <w:t>Al llarg de 2021 s'han publicat els següents articles:</w:t>
      </w:r>
    </w:p>
    <w:p w14:paraId="4C235A86" w14:textId="77777777" w:rsidR="00B949A9" w:rsidRPr="002D3252" w:rsidRDefault="00B949A9" w:rsidP="00E0155F">
      <w:pPr>
        <w:widowControl w:val="0"/>
        <w:numPr>
          <w:ilvl w:val="0"/>
          <w:numId w:val="36"/>
        </w:numPr>
        <w:suppressAutoHyphens/>
        <w:autoSpaceDN w:val="0"/>
        <w:spacing w:after="0" w:line="276" w:lineRule="auto"/>
        <w:ind w:left="714" w:hanging="357"/>
        <w:jc w:val="both"/>
        <w:rPr>
          <w:rFonts w:ascii="Arial" w:eastAsia="Calibri" w:hAnsi="Arial" w:cs="Arial"/>
          <w:bCs/>
          <w:sz w:val="21"/>
        </w:rPr>
      </w:pPr>
      <w:r w:rsidRPr="002D3252">
        <w:rPr>
          <w:rFonts w:ascii="Arial" w:eastAsia="Calibri" w:hAnsi="Arial" w:cs="Arial"/>
          <w:b/>
          <w:bCs/>
          <w:sz w:val="21"/>
        </w:rPr>
        <w:tab/>
        <w:t xml:space="preserve">El nou blog de l'Agència Valenciana Antifrau, </w:t>
      </w:r>
      <w:r w:rsidRPr="002D3252">
        <w:rPr>
          <w:rFonts w:ascii="Arial" w:eastAsia="Calibri" w:hAnsi="Arial" w:cs="Arial"/>
          <w:sz w:val="21"/>
        </w:rPr>
        <w:t>escrit per Amalia López Acera, cap de comunicació de l'Agència Valenciana Antifrau.</w:t>
      </w:r>
    </w:p>
    <w:p w14:paraId="03549642" w14:textId="77777777" w:rsidR="00B949A9" w:rsidRPr="002D3252" w:rsidRDefault="00254AEC" w:rsidP="00823EBE">
      <w:pPr>
        <w:widowControl w:val="0"/>
        <w:suppressAutoHyphens/>
        <w:autoSpaceDN w:val="0"/>
        <w:spacing w:after="120" w:line="276" w:lineRule="auto"/>
        <w:ind w:left="709"/>
        <w:jc w:val="both"/>
        <w:rPr>
          <w:rFonts w:ascii="Arial" w:eastAsia="Calibri" w:hAnsi="Arial" w:cs="Arial"/>
          <w:bCs/>
          <w:sz w:val="21"/>
        </w:rPr>
      </w:pPr>
      <w:hyperlink r:id="rId130" w:history="1">
        <w:r w:rsidR="00B949A9" w:rsidRPr="002D3252">
          <w:rPr>
            <w:rStyle w:val="Hipervnculo"/>
            <w:rFonts w:ascii="Arial" w:eastAsia="Calibri" w:hAnsi="Arial" w:cs="Arial"/>
            <w:bCs/>
            <w:sz w:val="21"/>
          </w:rPr>
          <w:t>https://www.antifraucv.es/va/el-nou-blog-de-lagencia-valenciana-antifrau/</w:t>
        </w:r>
      </w:hyperlink>
    </w:p>
    <w:p w14:paraId="5F1511B4" w14:textId="77777777" w:rsidR="00B949A9" w:rsidRPr="002D3252" w:rsidRDefault="00B949A9" w:rsidP="00E0155F">
      <w:pPr>
        <w:widowControl w:val="0"/>
        <w:numPr>
          <w:ilvl w:val="0"/>
          <w:numId w:val="36"/>
        </w:numPr>
        <w:suppressAutoHyphens/>
        <w:autoSpaceDN w:val="0"/>
        <w:spacing w:after="0" w:line="276" w:lineRule="auto"/>
        <w:ind w:left="714" w:hanging="357"/>
        <w:jc w:val="both"/>
        <w:rPr>
          <w:rFonts w:ascii="Arial" w:eastAsia="Calibri" w:hAnsi="Arial" w:cs="Arial"/>
          <w:bCs/>
          <w:sz w:val="21"/>
        </w:rPr>
      </w:pPr>
      <w:r w:rsidRPr="002D3252">
        <w:rPr>
          <w:rFonts w:ascii="Arial" w:eastAsia="Calibri" w:hAnsi="Arial" w:cs="Arial"/>
          <w:b/>
          <w:bCs/>
          <w:sz w:val="21"/>
        </w:rPr>
        <w:tab/>
        <w:t>5 raons per a debatre sobre la prevenció de la corrupció a les aules,</w:t>
      </w:r>
      <w:r w:rsidRPr="002D3252">
        <w:rPr>
          <w:rFonts w:ascii="Arial" w:eastAsia="Calibri" w:hAnsi="Arial" w:cs="Arial"/>
          <w:bCs/>
          <w:sz w:val="21"/>
        </w:rPr>
        <w:t xml:space="preserve"> escrit per Pilar Moreno, tècnica de formació de l'Agència Valenciana Antifrau.</w:t>
      </w:r>
    </w:p>
    <w:p w14:paraId="46551B48" w14:textId="77777777" w:rsidR="00B949A9" w:rsidRPr="002D3252" w:rsidRDefault="00254AEC" w:rsidP="00823EBE">
      <w:pPr>
        <w:widowControl w:val="0"/>
        <w:suppressAutoHyphens/>
        <w:autoSpaceDN w:val="0"/>
        <w:spacing w:after="120" w:line="276" w:lineRule="auto"/>
        <w:ind w:left="709"/>
        <w:jc w:val="both"/>
        <w:rPr>
          <w:rFonts w:ascii="Arial" w:eastAsia="Calibri" w:hAnsi="Arial" w:cs="Arial"/>
          <w:bCs/>
          <w:sz w:val="21"/>
        </w:rPr>
      </w:pPr>
      <w:hyperlink r:id="rId131" w:history="1">
        <w:r w:rsidR="00B949A9" w:rsidRPr="002D3252">
          <w:rPr>
            <w:rStyle w:val="Hipervnculo"/>
            <w:rFonts w:ascii="Arial" w:eastAsia="Calibri" w:hAnsi="Arial" w:cs="Arial"/>
            <w:bCs/>
            <w:sz w:val="21"/>
          </w:rPr>
          <w:t>https://www.antifraucv.es/va/5-raons-per-a-debatre-sobre-la-prevencio-de-la-corrupcio-a-les-aules/</w:t>
        </w:r>
      </w:hyperlink>
    </w:p>
    <w:p w14:paraId="27801507" w14:textId="77777777" w:rsidR="00B949A9" w:rsidRPr="002D3252" w:rsidRDefault="00B949A9" w:rsidP="00E0155F">
      <w:pPr>
        <w:widowControl w:val="0"/>
        <w:numPr>
          <w:ilvl w:val="0"/>
          <w:numId w:val="36"/>
        </w:numPr>
        <w:suppressAutoHyphens/>
        <w:autoSpaceDN w:val="0"/>
        <w:spacing w:after="0" w:line="276" w:lineRule="auto"/>
        <w:ind w:left="714" w:hanging="357"/>
        <w:jc w:val="both"/>
        <w:rPr>
          <w:rFonts w:ascii="Arial" w:eastAsia="Calibri" w:hAnsi="Arial" w:cs="Arial"/>
          <w:bCs/>
          <w:sz w:val="21"/>
        </w:rPr>
      </w:pPr>
      <w:r w:rsidRPr="002D3252">
        <w:rPr>
          <w:rFonts w:ascii="Arial" w:eastAsia="Calibri" w:hAnsi="Arial" w:cs="Arial"/>
          <w:b/>
          <w:bCs/>
          <w:sz w:val="21"/>
        </w:rPr>
        <w:tab/>
        <w:t>La delgada línia entre la irregularitat administrativa i el delicte en contractació pública,</w:t>
      </w:r>
      <w:r w:rsidRPr="002D3252">
        <w:rPr>
          <w:rFonts w:ascii="Arial" w:eastAsia="Calibri" w:hAnsi="Arial" w:cs="Arial"/>
          <w:bCs/>
          <w:sz w:val="21"/>
        </w:rPr>
        <w:t xml:space="preserve"> escrit per Pilar Batet, experta en contractació pública.</w:t>
      </w:r>
    </w:p>
    <w:p w14:paraId="77B36A62" w14:textId="77777777" w:rsidR="00B949A9" w:rsidRPr="002D3252" w:rsidRDefault="00254AEC" w:rsidP="00823EBE">
      <w:pPr>
        <w:widowControl w:val="0"/>
        <w:suppressAutoHyphens/>
        <w:autoSpaceDN w:val="0"/>
        <w:spacing w:after="120" w:line="276" w:lineRule="auto"/>
        <w:ind w:left="851" w:hanging="142"/>
        <w:jc w:val="both"/>
        <w:rPr>
          <w:rFonts w:ascii="Arial" w:eastAsia="Calibri" w:hAnsi="Arial" w:cs="Arial"/>
          <w:bCs/>
          <w:sz w:val="21"/>
        </w:rPr>
      </w:pPr>
      <w:hyperlink r:id="rId132" w:history="1">
        <w:r w:rsidR="00B949A9" w:rsidRPr="002D3252">
          <w:rPr>
            <w:rStyle w:val="Hipervnculo"/>
            <w:rFonts w:ascii="Arial" w:eastAsia="Calibri" w:hAnsi="Arial" w:cs="Arial"/>
            <w:bCs/>
            <w:sz w:val="21"/>
          </w:rPr>
          <w:t>https://www.antifraucv.es/va/la-prima-linia/</w:t>
        </w:r>
      </w:hyperlink>
    </w:p>
    <w:p w14:paraId="14691F36" w14:textId="77777777" w:rsidR="00B949A9" w:rsidRPr="002D3252" w:rsidRDefault="00B949A9" w:rsidP="00E0155F">
      <w:pPr>
        <w:widowControl w:val="0"/>
        <w:numPr>
          <w:ilvl w:val="0"/>
          <w:numId w:val="36"/>
        </w:numPr>
        <w:suppressAutoHyphens/>
        <w:autoSpaceDN w:val="0"/>
        <w:spacing w:after="240" w:line="276" w:lineRule="auto"/>
        <w:ind w:left="714" w:hanging="357"/>
        <w:contextualSpacing/>
        <w:jc w:val="both"/>
        <w:rPr>
          <w:rFonts w:ascii="Arial" w:eastAsia="Calibri" w:hAnsi="Arial" w:cs="Arial"/>
          <w:bCs/>
          <w:sz w:val="21"/>
        </w:rPr>
      </w:pPr>
      <w:r w:rsidRPr="002D3252">
        <w:rPr>
          <w:rFonts w:ascii="Arial" w:eastAsia="Calibri" w:hAnsi="Arial" w:cs="Arial"/>
          <w:b/>
          <w:bCs/>
          <w:sz w:val="21"/>
        </w:rPr>
        <w:t>Plans Antifrau, ¿Bla, bla, bla? AVAF,</w:t>
      </w:r>
      <w:r w:rsidRPr="002D3252">
        <w:rPr>
          <w:rFonts w:ascii="Arial" w:eastAsia="Calibri" w:hAnsi="Arial" w:cs="Arial"/>
          <w:bCs/>
          <w:sz w:val="21"/>
        </w:rPr>
        <w:t xml:space="preserve"> escrit per Concepción Campos Acuña, Doctora en Dret Administratiu i codirectora de la Xarxa Localis</w:t>
      </w:r>
    </w:p>
    <w:p w14:paraId="1FDF11EB" w14:textId="77777777" w:rsidR="00B949A9" w:rsidRPr="002D3252" w:rsidRDefault="00254AEC" w:rsidP="00B949A9">
      <w:pPr>
        <w:widowControl w:val="0"/>
        <w:suppressAutoHyphens/>
        <w:autoSpaceDN w:val="0"/>
        <w:spacing w:after="240" w:line="276" w:lineRule="auto"/>
        <w:ind w:firstLine="709"/>
        <w:jc w:val="both"/>
        <w:rPr>
          <w:rFonts w:ascii="Arial" w:eastAsia="Calibri" w:hAnsi="Arial" w:cs="Arial"/>
          <w:bCs/>
          <w:sz w:val="21"/>
        </w:rPr>
      </w:pPr>
      <w:hyperlink r:id="rId133" w:history="1">
        <w:r w:rsidR="00B949A9" w:rsidRPr="002D3252">
          <w:rPr>
            <w:rStyle w:val="Hipervnculo"/>
            <w:rFonts w:ascii="Arial" w:eastAsia="Calibri" w:hAnsi="Arial" w:cs="Arial"/>
            <w:bCs/>
            <w:sz w:val="21"/>
          </w:rPr>
          <w:t>https://www.antifraucv.es/va/plans-antifrau-bla-bla-bla-avaf/</w:t>
        </w:r>
      </w:hyperlink>
    </w:p>
    <w:p w14:paraId="1E873C6A" w14:textId="77777777" w:rsidR="00B949A9" w:rsidRPr="002D3252" w:rsidRDefault="00B949A9" w:rsidP="00B949A9">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El Blog de l'Agència es va posar en marxa el 26 d'octubre del 2021 i en aquell temps s'han subscrit 56 persones per rebre cada nou article publicat.</w:t>
      </w:r>
    </w:p>
    <w:p w14:paraId="44D5F468" w14:textId="4525602F" w:rsidR="0012717F" w:rsidRPr="002D3252" w:rsidRDefault="00B949A9" w:rsidP="00B949A9">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bCs/>
          <w:sz w:val="21"/>
        </w:rPr>
        <w:t xml:space="preserve">Enllaç al blog de l' Agència: </w:t>
      </w:r>
      <w:hyperlink r:id="rId134" w:history="1">
        <w:r w:rsidRPr="002D3252">
          <w:rPr>
            <w:rStyle w:val="Hipervnculo"/>
            <w:rFonts w:ascii="Arial" w:eastAsia="Calibri" w:hAnsi="Arial" w:cs="Arial"/>
            <w:bCs/>
            <w:sz w:val="21"/>
          </w:rPr>
          <w:t>https://www.antifraucv.es/va/blog-de-lavaf/</w:t>
        </w:r>
      </w:hyperlink>
    </w:p>
    <w:p w14:paraId="7BF062D6" w14:textId="77777777" w:rsidR="00823EBE" w:rsidRPr="002D3252" w:rsidRDefault="00823EBE" w:rsidP="00823EBE">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53" w:name="_Toc99110683"/>
      <w:r w:rsidRPr="002D3252">
        <w:rPr>
          <w:rFonts w:ascii="Arial" w:eastAsia="Times New Roman" w:hAnsi="Arial" w:cs="Arial"/>
          <w:b/>
          <w:color w:val="9D2235"/>
          <w:sz w:val="28"/>
          <w:szCs w:val="28"/>
        </w:rPr>
        <w:lastRenderedPageBreak/>
        <w:t>Web institucional</w:t>
      </w:r>
      <w:bookmarkEnd w:id="53"/>
    </w:p>
    <w:p w14:paraId="500CAAF8" w14:textId="77777777" w:rsidR="00823EBE" w:rsidRPr="002D3252" w:rsidRDefault="00823EBE" w:rsidP="00823EBE">
      <w:pPr>
        <w:spacing w:after="240" w:line="276" w:lineRule="auto"/>
        <w:jc w:val="both"/>
        <w:rPr>
          <w:rFonts w:ascii="Arial" w:eastAsia="Times New Roman" w:hAnsi="Arial" w:cs="Arial"/>
          <w:bCs/>
          <w:sz w:val="21"/>
          <w:szCs w:val="21"/>
        </w:rPr>
      </w:pPr>
      <w:r w:rsidRPr="002D3252">
        <w:rPr>
          <w:rFonts w:ascii="Arial" w:eastAsia="Times New Roman" w:hAnsi="Arial" w:cs="Arial"/>
          <w:bCs/>
          <w:sz w:val="21"/>
          <w:szCs w:val="21"/>
        </w:rPr>
        <w:t>Si analitzem les visites a la pàgina web, observem com s'ha passat de les 42.491 visites registrades durant l'any 2019, a les 96.024 visites de l'any 2021, la qual cosa suposa un increment del 123,62%. Les pàgines més visitades han estat, d'una banda, la pàgina d'inici o home de l'Agència, seguida per les pàgines corresponents a la Bústia de Denúncies i del Portal de Transparència.</w:t>
      </w:r>
    </w:p>
    <w:p w14:paraId="3C413358" w14:textId="717524BC" w:rsidR="0012717F"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noProof/>
        </w:rPr>
        <mc:AlternateContent>
          <mc:Choice Requires="wps">
            <w:drawing>
              <wp:anchor distT="0" distB="0" distL="114300" distR="114300" simplePos="0" relativeHeight="251987968" behindDoc="0" locked="0" layoutInCell="1" allowOverlap="1" wp14:anchorId="360F3F87" wp14:editId="66293ECF">
                <wp:simplePos x="0" y="0"/>
                <wp:positionH relativeFrom="column">
                  <wp:posOffset>414020</wp:posOffset>
                </wp:positionH>
                <wp:positionV relativeFrom="paragraph">
                  <wp:posOffset>3661410</wp:posOffset>
                </wp:positionV>
                <wp:extent cx="4572000" cy="635"/>
                <wp:effectExtent l="0" t="0" r="0" b="0"/>
                <wp:wrapTopAndBottom/>
                <wp:docPr id="22" name="Cuadro de texto 22"/>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505895BC" w14:textId="03624CA9" w:rsidR="00823EBE" w:rsidRPr="00823EBE" w:rsidRDefault="00823EBE" w:rsidP="00823EBE">
                            <w:pPr>
                              <w:pStyle w:val="Descripcin"/>
                              <w:jc w:val="center"/>
                              <w:rPr>
                                <w:rFonts w:ascii="Arial" w:eastAsia="Times New Roman" w:hAnsi="Arial" w:cs="Arial"/>
                                <w:smallCaps w:val="0"/>
                                <w:noProof/>
                                <w:color w:val="9D2235"/>
                                <w:sz w:val="18"/>
                                <w:szCs w:val="18"/>
                              </w:rPr>
                            </w:pPr>
                            <w:bookmarkStart w:id="54" w:name="_Toc99110960"/>
                            <w:r w:rsidRPr="00823EBE">
                              <w:rPr>
                                <w:rFonts w:ascii="Arial" w:hAnsi="Arial" w:cs="Arial"/>
                                <w:smallCaps w:val="0"/>
                                <w:color w:val="9D2235" w:themeColor="accent1"/>
                                <w:sz w:val="18"/>
                                <w:szCs w:val="18"/>
                              </w:rPr>
                              <w:t xml:space="preserve">Gràfic </w:t>
                            </w:r>
                            <w:r w:rsidRPr="00823EBE">
                              <w:rPr>
                                <w:rFonts w:ascii="Arial" w:hAnsi="Arial" w:cs="Arial"/>
                                <w:smallCaps w:val="0"/>
                                <w:color w:val="9D2235" w:themeColor="accent1"/>
                                <w:sz w:val="18"/>
                                <w:szCs w:val="18"/>
                              </w:rPr>
                              <w:fldChar w:fldCharType="begin"/>
                            </w:r>
                            <w:r w:rsidRPr="00823EBE">
                              <w:rPr>
                                <w:rFonts w:ascii="Arial" w:hAnsi="Arial" w:cs="Arial"/>
                                <w:smallCaps w:val="0"/>
                                <w:color w:val="9D2235" w:themeColor="accent1"/>
                                <w:sz w:val="18"/>
                                <w:szCs w:val="18"/>
                              </w:rPr>
                              <w:instrText xml:space="preserve"> SEQ Gràfic \* ARABIC </w:instrText>
                            </w:r>
                            <w:r w:rsidRPr="00823EBE">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w:t>
                            </w:r>
                            <w:r w:rsidRPr="00823EBE">
                              <w:rPr>
                                <w:rFonts w:ascii="Arial" w:hAnsi="Arial" w:cs="Arial"/>
                                <w:smallCaps w:val="0"/>
                                <w:color w:val="9D2235" w:themeColor="accent1"/>
                                <w:sz w:val="18"/>
                                <w:szCs w:val="18"/>
                              </w:rPr>
                              <w:fldChar w:fldCharType="end"/>
                            </w:r>
                            <w:r w:rsidRPr="00823EBE">
                              <w:rPr>
                                <w:rFonts w:ascii="Arial" w:hAnsi="Arial" w:cs="Arial"/>
                                <w:smallCaps w:val="0"/>
                                <w:color w:val="9D2235" w:themeColor="accent1"/>
                                <w:sz w:val="18"/>
                                <w:szCs w:val="18"/>
                              </w:rPr>
                              <w:t xml:space="preserve">. </w:t>
                            </w:r>
                            <w:r w:rsidRPr="00823EBE">
                              <w:rPr>
                                <w:rFonts w:ascii="Arial" w:hAnsi="Arial" w:cs="Arial"/>
                                <w:smallCaps w:val="0"/>
                                <w:sz w:val="18"/>
                                <w:szCs w:val="18"/>
                              </w:rPr>
                              <w:t>Evolució d'usuari/es de la web 2019 a 2021</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0F3F87" id="Cuadro de texto 22" o:spid="_x0000_s1031" type="#_x0000_t202" style="position:absolute;left:0;text-align:left;margin-left:32.6pt;margin-top:288.3pt;width:5in;height:.0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" stroked="f">
                <v:textbox style="mso-fit-shape-to-text:t" inset="0,0,0,0">
                  <w:txbxContent>
                    <w:p w14:paraId="505895BC" w14:textId="03624CA9" w:rsidR="00823EBE" w:rsidRPr="00823EBE" w:rsidRDefault="00823EBE" w:rsidP="00823EBE">
                      <w:pPr>
                        <w:pStyle w:val="Descripcin"/>
                        <w:jc w:val="center"/>
                        <w:rPr>
                          <w:rFonts w:ascii="Arial" w:eastAsia="Times New Roman" w:hAnsi="Arial" w:cs="Arial"/>
                          <w:smallCaps w:val="0"/>
                          <w:noProof/>
                          <w:color w:val="9D2235"/>
                          <w:sz w:val="18"/>
                          <w:szCs w:val="18"/>
                        </w:rPr>
                      </w:pPr>
                      <w:bookmarkStart w:id="60" w:name="_Toc99110960"/>
                      <w:r w:rsidRPr="00823EBE">
                        <w:rPr>
                          <w:rFonts w:ascii="Arial" w:hAnsi="Arial" w:cs="Arial"/>
                          <w:smallCaps w:val="0"/>
                          <w:color w:val="9D2235" w:themeColor="accent1"/>
                          <w:sz w:val="18"/>
                          <w:szCs w:val="18"/>
                        </w:rPr>
                        <w:t xml:space="preserve">Gràfic </w:t>
                      </w:r>
                      <w:r w:rsidRPr="00823EBE">
                        <w:rPr>
                          <w:rFonts w:ascii="Arial" w:hAnsi="Arial" w:cs="Arial"/>
                          <w:smallCaps w:val="0"/>
                          <w:color w:val="9D2235" w:themeColor="accent1"/>
                          <w:sz w:val="18"/>
                          <w:szCs w:val="18"/>
                        </w:rPr>
                        <w:fldChar w:fldCharType="begin"/>
                      </w:r>
                      <w:r w:rsidRPr="00823EBE">
                        <w:rPr>
                          <w:rFonts w:ascii="Arial" w:hAnsi="Arial" w:cs="Arial"/>
                          <w:smallCaps w:val="0"/>
                          <w:color w:val="9D2235" w:themeColor="accent1"/>
                          <w:sz w:val="18"/>
                          <w:szCs w:val="18"/>
                        </w:rPr>
                        <w:instrText xml:space="preserve"> SEQ Gràfic \* ARABIC </w:instrText>
                      </w:r>
                      <w:r w:rsidRPr="00823EBE">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w:t>
                      </w:r>
                      <w:r w:rsidRPr="00823EBE">
                        <w:rPr>
                          <w:rFonts w:ascii="Arial" w:hAnsi="Arial" w:cs="Arial"/>
                          <w:smallCaps w:val="0"/>
                          <w:color w:val="9D2235" w:themeColor="accent1"/>
                          <w:sz w:val="18"/>
                          <w:szCs w:val="18"/>
                        </w:rPr>
                        <w:fldChar w:fldCharType="end"/>
                      </w:r>
                      <w:r w:rsidRPr="00823EBE">
                        <w:rPr>
                          <w:rFonts w:ascii="Arial" w:hAnsi="Arial" w:cs="Arial"/>
                          <w:smallCaps w:val="0"/>
                          <w:color w:val="9D2235" w:themeColor="accent1"/>
                          <w:sz w:val="18"/>
                          <w:szCs w:val="18"/>
                        </w:rPr>
                        <w:t xml:space="preserve">. </w:t>
                      </w:r>
                      <w:r w:rsidRPr="00823EBE">
                        <w:rPr>
                          <w:rFonts w:ascii="Arial" w:hAnsi="Arial" w:cs="Arial"/>
                          <w:smallCaps w:val="0"/>
                          <w:sz w:val="18"/>
                          <w:szCs w:val="18"/>
                        </w:rPr>
                        <w:t>Evolució d'usuari/es de la web 2019 a 2021</w:t>
                      </w:r>
                      <w:bookmarkEnd w:id="60"/>
                    </w:p>
                  </w:txbxContent>
                </v:textbox>
                <w10:wrap type="topAndBottom"/>
              </v:shape>
            </w:pict>
          </mc:Fallback>
        </mc:AlternateContent>
      </w:r>
      <w:r w:rsidRPr="002D3252">
        <w:rPr>
          <w:rFonts w:ascii="Arial" w:eastAsia="Times New Roman" w:hAnsi="Arial" w:cs="Arial"/>
          <w:b/>
          <w:noProof/>
          <w:color w:val="9D2235"/>
          <w:sz w:val="28"/>
          <w:szCs w:val="28"/>
        </w:rPr>
        <w:drawing>
          <wp:anchor distT="0" distB="0" distL="114300" distR="114300" simplePos="0" relativeHeight="251985920" behindDoc="0" locked="0" layoutInCell="1" allowOverlap="1" wp14:anchorId="2D3ABAA9" wp14:editId="4C756FAB">
            <wp:simplePos x="0" y="0"/>
            <wp:positionH relativeFrom="margin">
              <wp:align>center</wp:align>
            </wp:positionH>
            <wp:positionV relativeFrom="paragraph">
              <wp:posOffset>861060</wp:posOffset>
            </wp:positionV>
            <wp:extent cx="4572000" cy="2743200"/>
            <wp:effectExtent l="0" t="0" r="0" b="0"/>
            <wp:wrapTopAndBottom/>
            <wp:docPr id="55" name="Gráfico 55" descr="Tipo de gráfico: Columnas agrupadas. &quot;Usuarios de la web&quot; por &quot;Año&quot;&#10;&#10;Descripción generada automáticamente">
              <a:extLst xmlns:a="http://schemas.openxmlformats.org/drawingml/2006/main">
                <a:ext uri="{FF2B5EF4-FFF2-40B4-BE49-F238E27FC236}">
                  <a16:creationId xmlns:a16="http://schemas.microsoft.com/office/drawing/2014/main" id="{9EBFFBFF-5A4C-443C-9B2D-86C23EE614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anchor>
        </w:drawing>
      </w:r>
      <w:r w:rsidRPr="002D3252">
        <w:rPr>
          <w:rFonts w:ascii="Arial" w:eastAsia="Times New Roman" w:hAnsi="Arial" w:cs="Arial"/>
          <w:bCs/>
          <w:sz w:val="21"/>
          <w:szCs w:val="21"/>
        </w:rPr>
        <w:t>Pel que fa al nombre d'usuaris, l'any 2021 s'ha assolit la xifra de 16.772, enfront dels 7.323 de l'any 2019, la qual cosa representa un augment en dos anys del 129,03%. D'aquests 16.772 usuaris registrats, el 78,21% corresponen a nous usuaris, que mai abans havien visitat la pàgina web de l'Agència.</w:t>
      </w:r>
    </w:p>
    <w:p w14:paraId="50A99D0B" w14:textId="3A17D23E" w:rsidR="0012717F" w:rsidRPr="002D3252" w:rsidRDefault="00823EBE" w:rsidP="00823EBE">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55" w:name="_Toc99110684"/>
      <w:r w:rsidRPr="002D3252">
        <w:rPr>
          <w:rFonts w:ascii="Arial" w:eastAsia="Times New Roman" w:hAnsi="Arial" w:cs="Arial"/>
          <w:b/>
          <w:color w:val="9D2235"/>
          <w:sz w:val="28"/>
          <w:szCs w:val="28"/>
        </w:rPr>
        <w:t>Presència a les xarxes socials</w:t>
      </w:r>
      <w:bookmarkEnd w:id="55"/>
    </w:p>
    <w:p w14:paraId="618A1B12"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A més de la pàgina web, l'Agència Valenciana Antifrau disposa de diferents perfils en xarxes socials, amb l'objectiu d'informar i comunicar d'una forma propera i directa amb la ciutadania. </w:t>
      </w:r>
    </w:p>
    <w:p w14:paraId="0A3D6F63"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Durant l'any 2021 ha augmentat la presència de l'AVAF en xarxes socials, ja que s'han obert canals a Twitch, a més d'en ivoox i Spotify, que s'han sumat als canals de Twitter, LinkedIn, Facebook, Instagram, YouTube i Telegram.</w:t>
      </w:r>
    </w:p>
    <w:p w14:paraId="71E6E761"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El perfil a Twitter de l'Agència segueix sent un dels més actius i amb el qual s'obté un abast més gran. Durant l'any 2021 hem passat dels 1.133 seguidors als 1.412, amb un augment de gairebé 290 seguidors en un any.</w:t>
      </w:r>
    </w:p>
    <w:p w14:paraId="424759D7"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S'han publicat gairebé 700 tuits que han aconseguit més de 600.000 impressions.</w:t>
      </w:r>
    </w:p>
    <w:p w14:paraId="464E72A2" w14:textId="60DA5ADF"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En el cas de LinkedIn, l'augment registrat ha estat de 168 seguidors, i s'ha passat de 324 seguidors a 492, que han propiciat que les 182 publicacions realitzades </w:t>
      </w:r>
      <w:r w:rsidR="00E85E6B" w:rsidRPr="002D3252">
        <w:rPr>
          <w:rFonts w:ascii="Arial" w:eastAsia="Calibri" w:hAnsi="Arial" w:cs="Arial"/>
          <w:sz w:val="21"/>
        </w:rPr>
        <w:t>hagen</w:t>
      </w:r>
      <w:r w:rsidRPr="002D3252">
        <w:rPr>
          <w:rFonts w:ascii="Arial" w:eastAsia="Calibri" w:hAnsi="Arial" w:cs="Arial"/>
          <w:sz w:val="21"/>
        </w:rPr>
        <w:t xml:space="preserve"> registrat més </w:t>
      </w:r>
      <w:r w:rsidRPr="002D3252">
        <w:rPr>
          <w:rFonts w:ascii="Arial" w:eastAsia="Calibri" w:hAnsi="Arial" w:cs="Arial"/>
          <w:sz w:val="21"/>
        </w:rPr>
        <w:lastRenderedPageBreak/>
        <w:t>de 32.892 impressions.</w:t>
      </w:r>
    </w:p>
    <w:p w14:paraId="4A908F69" w14:textId="650B276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Per la seva banda, el perfil de Facebook és el que menys moviment registra, i en aquests moments té 176 seguidors, que han aconseguit que les més de 180 publicacions realitzades en aquesta xarxa </w:t>
      </w:r>
      <w:r w:rsidR="00D66BB1" w:rsidRPr="002D3252">
        <w:rPr>
          <w:rFonts w:ascii="Arial" w:eastAsia="Calibri" w:hAnsi="Arial" w:cs="Arial"/>
          <w:sz w:val="21"/>
        </w:rPr>
        <w:t>hagen</w:t>
      </w:r>
      <w:r w:rsidRPr="002D3252">
        <w:rPr>
          <w:rFonts w:ascii="Arial" w:eastAsia="Calibri" w:hAnsi="Arial" w:cs="Arial"/>
          <w:sz w:val="21"/>
        </w:rPr>
        <w:t xml:space="preserve"> assolit 3.500 impressions.</w:t>
      </w:r>
    </w:p>
    <w:p w14:paraId="26DA91D4"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El cas d'Instagram és molt interessant, sobretot si ho comparem amb Facebook, ja que ambdós perfils es van crear simultàniament, i mentre a Facebook el nombre de seguidors és de 176, a Instagram és de 323. El nombre de publicacions realitzades és de 131, aconseguint un abast de 5.200 impressions. </w:t>
      </w:r>
    </w:p>
    <w:p w14:paraId="2A192DF6"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El nombre de publicacions a Instagram és sensiblement inferior, ja que, en ser una xarxa eminentment visual, condiciona el tipus d' informació i contingut que es comparteix. A aquestes 131 publicacions, cal sumar-hi les més de 200 que s'han realitzat en format Stories, un format que desapareix a les 24 hores.</w:t>
      </w:r>
    </w:p>
    <w:p w14:paraId="2304F5D5"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El canal de YouTube s'ha convertit en el principal repositori audiovisual de l'Agència i s'utilitza principalment de dues formes: d'una banda, per fer les emissions en directe dels webinar, jornades i actes organitzats per l'Agència; i de l'altra, per a la difusió de contingut audiovisual generat, ja sigui a través del format de "Diàlegs de l'AVAF" o documentals.</w:t>
      </w:r>
    </w:p>
    <w:p w14:paraId="1057C074"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Durant l'any 2021, s'han publicat un total de 25 vídeos, que han aconseguit més de 4.800 visualitzacions, i s'ha duplicat el nombre de persones subscrites al canal i assolint la xifra de 228.</w:t>
      </w:r>
    </w:p>
    <w:p w14:paraId="117ECDFA"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Un dels nous perfils oberts per l'Agència Valenciana Antifrau és el canal de Twitch, una de les principals plataformes d'emissió en directe o streaming, i que en aquests moments té 13 subscriptors. Les emissions en directe d'algun dels webinars de l'Agència han tingut més abast en directe a través de Twitch que de YouTube, el que és un indicador del potencial que aquesta plataforma va a tenir en els pròxims anys.</w:t>
      </w:r>
    </w:p>
    <w:p w14:paraId="48B0AD43" w14:textId="579BDBCD"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El canal de Telegram registra unes dades més discretes quant al seu augment del nombre de seguidors, ja que ha passat de 79 a 89, però és tanmateix important destacar que les 125 publicacions realitzades han aconseguit una difusió de 15.700 visualitzacions. El motiu de per què la difusió és tan elevada, tot i comptar amb un nombre de seguidors tan reduït, és perquè en enviar-se les publicacions al telèfon mòbil facilita que el contingut sigui compartit amb altres usuaris que no són seguidors del canal.</w:t>
      </w:r>
    </w:p>
    <w:p w14:paraId="3CF3BB15" w14:textId="77777777" w:rsidR="00823EBE"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Si fem un recompte de tots els seguidors que té l'Agència Valenciana Antifrau, en totes les xarxes socials que té presència, sumen un total de 2.721, la qual cosa representa un augment del 68% respecte als 1.868 seguidors que tenia en 2020.</w:t>
      </w:r>
    </w:p>
    <w:p w14:paraId="2686E588" w14:textId="6D5CE300" w:rsidR="0012717F" w:rsidRPr="002D3252" w:rsidRDefault="00823EBE" w:rsidP="00823EBE">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Pel que fa a l'abast de les publicacions realitzades en xarxes socials, i encara conscients de deixar fora d'aquest recompte, per exemple, els abastos de Stories o emissions en directe, estarien en les 687.000 impressions.</w:t>
      </w:r>
    </w:p>
    <w:p w14:paraId="3749B4AD" w14:textId="52B45778" w:rsidR="007C05FB" w:rsidRPr="002D3252" w:rsidRDefault="007C05FB" w:rsidP="007C05FB">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Si ho comparem amb l'any 2020, que les impressions van ser de 203.000, s'ha registrat un augment del 41% l'any 2021, fins a les 687.000 impressions.</w:t>
      </w:r>
    </w:p>
    <w:p w14:paraId="164A458C" w14:textId="07C95578" w:rsidR="0012717F" w:rsidRPr="002D3252" w:rsidRDefault="00C1326B" w:rsidP="00C14934">
      <w:pPr>
        <w:widowControl w:val="0"/>
        <w:suppressAutoHyphens/>
        <w:autoSpaceDN w:val="0"/>
        <w:spacing w:after="240" w:line="276" w:lineRule="auto"/>
        <w:contextualSpacing/>
        <w:jc w:val="both"/>
        <w:rPr>
          <w:rFonts w:ascii="Arial" w:eastAsia="Calibri" w:hAnsi="Arial" w:cs="Arial"/>
          <w:sz w:val="21"/>
        </w:rPr>
      </w:pPr>
      <w:r w:rsidRPr="002D3252">
        <w:rPr>
          <w:noProof/>
        </w:rPr>
        <w:lastRenderedPageBreak/>
        <mc:AlternateContent>
          <mc:Choice Requires="wps">
            <w:drawing>
              <wp:anchor distT="0" distB="0" distL="114300" distR="114300" simplePos="0" relativeHeight="251992064" behindDoc="0" locked="0" layoutInCell="1" allowOverlap="1" wp14:anchorId="51E0A101" wp14:editId="2A7CE5CB">
                <wp:simplePos x="0" y="0"/>
                <wp:positionH relativeFrom="column">
                  <wp:posOffset>876300</wp:posOffset>
                </wp:positionH>
                <wp:positionV relativeFrom="paragraph">
                  <wp:posOffset>3116580</wp:posOffset>
                </wp:positionV>
                <wp:extent cx="3782695" cy="635"/>
                <wp:effectExtent l="0" t="0" r="0" b="0"/>
                <wp:wrapTopAndBottom/>
                <wp:docPr id="23" name="Cuadro de texto 23"/>
                <wp:cNvGraphicFramePr/>
                <a:graphic xmlns:a="http://schemas.openxmlformats.org/drawingml/2006/main">
                  <a:graphicData uri="http://schemas.microsoft.com/office/word/2010/wordprocessingShape">
                    <wps:wsp>
                      <wps:cNvSpPr txBox="1"/>
                      <wps:spPr>
                        <a:xfrm>
                          <a:off x="0" y="0"/>
                          <a:ext cx="3782695" cy="635"/>
                        </a:xfrm>
                        <a:prstGeom prst="rect">
                          <a:avLst/>
                        </a:prstGeom>
                        <a:solidFill>
                          <a:prstClr val="white"/>
                        </a:solidFill>
                        <a:ln>
                          <a:noFill/>
                        </a:ln>
                      </wps:spPr>
                      <wps:txbx>
                        <w:txbxContent>
                          <w:p w14:paraId="521D8C57" w14:textId="3A3F4517" w:rsidR="00C1326B" w:rsidRPr="00C14934" w:rsidRDefault="00C1326B" w:rsidP="00C1326B">
                            <w:pPr>
                              <w:pStyle w:val="Descripcin"/>
                              <w:jc w:val="center"/>
                              <w:rPr>
                                <w:rFonts w:ascii="Arial" w:eastAsia="Times New Roman" w:hAnsi="Arial" w:cs="Arial"/>
                                <w:smallCaps w:val="0"/>
                                <w:noProof/>
                                <w:sz w:val="18"/>
                                <w:szCs w:val="18"/>
                              </w:rPr>
                            </w:pPr>
                            <w:bookmarkStart w:id="56" w:name="_Toc99110955"/>
                            <w:r w:rsidRPr="00C14934">
                              <w:rPr>
                                <w:rFonts w:ascii="Arial" w:hAnsi="Arial" w:cs="Arial"/>
                                <w:smallCaps w:val="0"/>
                                <w:color w:val="9D2235" w:themeColor="accent1"/>
                                <w:sz w:val="18"/>
                                <w:szCs w:val="18"/>
                              </w:rPr>
                              <w:t xml:space="preserve">Il·lustració </w:t>
                            </w:r>
                            <w:r w:rsidRPr="00C14934">
                              <w:rPr>
                                <w:rFonts w:ascii="Arial" w:hAnsi="Arial" w:cs="Arial"/>
                                <w:smallCaps w:val="0"/>
                                <w:color w:val="9D2235" w:themeColor="accent1"/>
                                <w:sz w:val="18"/>
                                <w:szCs w:val="18"/>
                              </w:rPr>
                              <w:fldChar w:fldCharType="begin"/>
                            </w:r>
                            <w:r w:rsidRPr="00C14934">
                              <w:rPr>
                                <w:rFonts w:ascii="Arial" w:hAnsi="Arial" w:cs="Arial"/>
                                <w:smallCaps w:val="0"/>
                                <w:color w:val="9D2235" w:themeColor="accent1"/>
                                <w:sz w:val="18"/>
                                <w:szCs w:val="18"/>
                              </w:rPr>
                              <w:instrText xml:space="preserve"> SEQ Il·lustració \* ARABIC </w:instrText>
                            </w:r>
                            <w:r w:rsidRPr="00C14934">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9</w:t>
                            </w:r>
                            <w:r w:rsidRPr="00C14934">
                              <w:rPr>
                                <w:rFonts w:ascii="Arial" w:hAnsi="Arial" w:cs="Arial"/>
                                <w:smallCaps w:val="0"/>
                                <w:color w:val="9D2235" w:themeColor="accent1"/>
                                <w:sz w:val="18"/>
                                <w:szCs w:val="18"/>
                              </w:rPr>
                              <w:fldChar w:fldCharType="end"/>
                            </w:r>
                            <w:r w:rsidRPr="00C14934">
                              <w:rPr>
                                <w:rFonts w:ascii="Arial" w:hAnsi="Arial" w:cs="Arial"/>
                                <w:smallCaps w:val="0"/>
                                <w:color w:val="9D2235" w:themeColor="accent1"/>
                                <w:sz w:val="18"/>
                                <w:szCs w:val="18"/>
                              </w:rPr>
                              <w:t xml:space="preserve">. </w:t>
                            </w:r>
                            <w:r w:rsidRPr="00C14934">
                              <w:rPr>
                                <w:rFonts w:ascii="Arial" w:hAnsi="Arial" w:cs="Arial"/>
                                <w:smallCaps w:val="0"/>
                                <w:sz w:val="18"/>
                                <w:szCs w:val="18"/>
                              </w:rPr>
                              <w:t>Les xarxes socials de l'A</w:t>
                            </w:r>
                            <w:r w:rsidR="000271FD">
                              <w:rPr>
                                <w:rFonts w:ascii="Arial" w:hAnsi="Arial" w:cs="Arial"/>
                                <w:smallCaps w:val="0"/>
                                <w:sz w:val="18"/>
                                <w:szCs w:val="18"/>
                              </w:rPr>
                              <w:t>VAF</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E0A101" id="Cuadro de texto 23" o:spid="_x0000_s1032" type="#_x0000_t202" style="position:absolute;left:0;text-align:left;margin-left:69pt;margin-top:245.4pt;width:297.85pt;height:.05pt;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" stroked="f">
                <v:textbox style="mso-fit-shape-to-text:t" inset="0,0,0,0">
                  <w:txbxContent>
                    <w:p w14:paraId="521D8C57" w14:textId="3A3F4517" w:rsidR="00C1326B" w:rsidRPr="00C14934" w:rsidRDefault="00C1326B" w:rsidP="00C1326B">
                      <w:pPr>
                        <w:pStyle w:val="Descripcin"/>
                        <w:jc w:val="center"/>
                        <w:rPr>
                          <w:rFonts w:ascii="Arial" w:eastAsia="Times New Roman" w:hAnsi="Arial" w:cs="Arial"/>
                          <w:smallCaps w:val="0"/>
                          <w:noProof/>
                          <w:sz w:val="18"/>
                          <w:szCs w:val="18"/>
                        </w:rPr>
                      </w:pPr>
                      <w:bookmarkStart w:id="63" w:name="_Toc99110955"/>
                      <w:r w:rsidRPr="00C14934">
                        <w:rPr>
                          <w:rFonts w:ascii="Arial" w:hAnsi="Arial" w:cs="Arial"/>
                          <w:smallCaps w:val="0"/>
                          <w:color w:val="9D2235" w:themeColor="accent1"/>
                          <w:sz w:val="18"/>
                          <w:szCs w:val="18"/>
                        </w:rPr>
                        <w:t xml:space="preserve">Il·lustració </w:t>
                      </w:r>
                      <w:r w:rsidRPr="00C14934">
                        <w:rPr>
                          <w:rFonts w:ascii="Arial" w:hAnsi="Arial" w:cs="Arial"/>
                          <w:smallCaps w:val="0"/>
                          <w:color w:val="9D2235" w:themeColor="accent1"/>
                          <w:sz w:val="18"/>
                          <w:szCs w:val="18"/>
                        </w:rPr>
                        <w:fldChar w:fldCharType="begin"/>
                      </w:r>
                      <w:r w:rsidRPr="00C14934">
                        <w:rPr>
                          <w:rFonts w:ascii="Arial" w:hAnsi="Arial" w:cs="Arial"/>
                          <w:smallCaps w:val="0"/>
                          <w:color w:val="9D2235" w:themeColor="accent1"/>
                          <w:sz w:val="18"/>
                          <w:szCs w:val="18"/>
                        </w:rPr>
                        <w:instrText xml:space="preserve"> SEQ Il·lustració \* ARABIC </w:instrText>
                      </w:r>
                      <w:r w:rsidRPr="00C14934">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9</w:t>
                      </w:r>
                      <w:r w:rsidRPr="00C14934">
                        <w:rPr>
                          <w:rFonts w:ascii="Arial" w:hAnsi="Arial" w:cs="Arial"/>
                          <w:smallCaps w:val="0"/>
                          <w:color w:val="9D2235" w:themeColor="accent1"/>
                          <w:sz w:val="18"/>
                          <w:szCs w:val="18"/>
                        </w:rPr>
                        <w:fldChar w:fldCharType="end"/>
                      </w:r>
                      <w:r w:rsidRPr="00C14934">
                        <w:rPr>
                          <w:rFonts w:ascii="Arial" w:hAnsi="Arial" w:cs="Arial"/>
                          <w:smallCaps w:val="0"/>
                          <w:color w:val="9D2235" w:themeColor="accent1"/>
                          <w:sz w:val="18"/>
                          <w:szCs w:val="18"/>
                        </w:rPr>
                        <w:t xml:space="preserve">. </w:t>
                      </w:r>
                      <w:r w:rsidRPr="00C14934">
                        <w:rPr>
                          <w:rFonts w:ascii="Arial" w:hAnsi="Arial" w:cs="Arial"/>
                          <w:smallCaps w:val="0"/>
                          <w:sz w:val="18"/>
                          <w:szCs w:val="18"/>
                        </w:rPr>
                        <w:t>Les xarxes socials de l'A</w:t>
                      </w:r>
                      <w:r w:rsidR="000271FD">
                        <w:rPr>
                          <w:rFonts w:ascii="Arial" w:hAnsi="Arial" w:cs="Arial"/>
                          <w:smallCaps w:val="0"/>
                          <w:sz w:val="18"/>
                          <w:szCs w:val="18"/>
                        </w:rPr>
                        <w:t>VAF</w:t>
                      </w:r>
                      <w:bookmarkEnd w:id="63"/>
                    </w:p>
                  </w:txbxContent>
                </v:textbox>
                <w10:wrap type="topAndBottom"/>
              </v:shape>
            </w:pict>
          </mc:Fallback>
        </mc:AlternateContent>
      </w:r>
      <w:r w:rsidRPr="002D3252">
        <w:rPr>
          <w:rFonts w:ascii="Arial" w:eastAsia="Times New Roman" w:hAnsi="Arial" w:cs="Open Sans"/>
          <w:noProof/>
          <w:sz w:val="21"/>
          <w:szCs w:val="21"/>
          <w:lang w:eastAsia="es-ES"/>
        </w:rPr>
        <w:drawing>
          <wp:anchor distT="0" distB="0" distL="114300" distR="114300" simplePos="0" relativeHeight="251990016" behindDoc="0" locked="0" layoutInCell="1" allowOverlap="1" wp14:anchorId="6ADFFD88" wp14:editId="62E07A61">
            <wp:simplePos x="0" y="0"/>
            <wp:positionH relativeFrom="page">
              <wp:posOffset>1956435</wp:posOffset>
            </wp:positionH>
            <wp:positionV relativeFrom="margin">
              <wp:align>top</wp:align>
            </wp:positionV>
            <wp:extent cx="3782940" cy="3059430"/>
            <wp:effectExtent l="0" t="0" r="8255" b="7620"/>
            <wp:wrapTopAndBottom/>
            <wp:docPr id="62" name="Imagen 15"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5" descr="Texto, Pizarra&#10;&#10;Descripción generada automáticamente"/>
                    <pic:cNvPicPr>
                      <a:picLocks noChangeAspect="1" noChangeArrowheads="1"/>
                    </pic:cNvPicPr>
                  </pic:nvPicPr>
                  <pic:blipFill>
                    <a:blip r:embed="rId136"/>
                    <a:stretch>
                      <a:fillRect/>
                    </a:stretch>
                  </pic:blipFill>
                  <pic:spPr bwMode="auto">
                    <a:xfrm>
                      <a:off x="0" y="0"/>
                      <a:ext cx="3782940" cy="3059430"/>
                    </a:xfrm>
                    <a:prstGeom prst="rect">
                      <a:avLst/>
                    </a:prstGeom>
                  </pic:spPr>
                </pic:pic>
              </a:graphicData>
            </a:graphic>
            <wp14:sizeRelH relativeFrom="margin">
              <wp14:pctWidth>0</wp14:pctWidth>
            </wp14:sizeRelH>
            <wp14:sizeRelV relativeFrom="margin">
              <wp14:pctHeight>0</wp14:pctHeight>
            </wp14:sizeRelV>
          </wp:anchor>
        </w:drawing>
      </w:r>
    </w:p>
    <w:p w14:paraId="7CF6D3E4" w14:textId="77777777" w:rsidR="00C14934" w:rsidRPr="002D3252" w:rsidRDefault="00C14934" w:rsidP="00C14934">
      <w:pPr>
        <w:pStyle w:val="Prrafodelista"/>
        <w:keepNext/>
        <w:numPr>
          <w:ilvl w:val="1"/>
          <w:numId w:val="27"/>
        </w:numPr>
        <w:spacing w:before="360" w:line="276" w:lineRule="auto"/>
        <w:ind w:left="851" w:hanging="851"/>
        <w:contextualSpacing w:val="0"/>
        <w:jc w:val="both"/>
        <w:outlineLvl w:val="1"/>
        <w:rPr>
          <w:rFonts w:ascii="Arial" w:eastAsia="Times New Roman" w:hAnsi="Arial" w:cs="Arial"/>
          <w:b/>
          <w:color w:val="9D2235"/>
          <w:sz w:val="32"/>
          <w:szCs w:val="32"/>
        </w:rPr>
      </w:pPr>
      <w:bookmarkStart w:id="57" w:name="_Toc95311213"/>
      <w:bookmarkStart w:id="58" w:name="_Toc99110685"/>
      <w:r w:rsidRPr="002D3252">
        <w:rPr>
          <w:rFonts w:ascii="Arial" w:eastAsia="Times New Roman" w:hAnsi="Arial" w:cs="Arial"/>
          <w:b/>
          <w:color w:val="9D2235"/>
          <w:sz w:val="32"/>
          <w:szCs w:val="32"/>
        </w:rPr>
        <w:t>Mitjans de comunicació</w:t>
      </w:r>
      <w:bookmarkEnd w:id="57"/>
      <w:bookmarkEnd w:id="58"/>
    </w:p>
    <w:p w14:paraId="242BCC30" w14:textId="114C1986" w:rsidR="00C14934" w:rsidRPr="002D3252" w:rsidRDefault="00C14934" w:rsidP="00C14934">
      <w:pPr>
        <w:spacing w:after="240" w:line="276" w:lineRule="auto"/>
        <w:jc w:val="both"/>
        <w:rPr>
          <w:rFonts w:ascii="Arial" w:eastAsia="Times New Roman" w:hAnsi="Arial" w:cs="Arial"/>
          <w:bCs/>
          <w:sz w:val="21"/>
          <w:szCs w:val="21"/>
        </w:rPr>
      </w:pPr>
      <w:r w:rsidRPr="002D3252">
        <w:rPr>
          <w:rFonts w:ascii="Arial" w:eastAsia="Times New Roman" w:hAnsi="Arial" w:cs="Arial"/>
          <w:bCs/>
          <w:sz w:val="21"/>
          <w:szCs w:val="21"/>
        </w:rPr>
        <w:t>L'Agència i els mitjans de comunicació han mantingut durant l'any 2021 una relació fluida, tant en l'àmbit de la Comunitat Valenciana com en la resta d'Espanya.</w:t>
      </w:r>
    </w:p>
    <w:p w14:paraId="3F4518BE" w14:textId="2F7BD930" w:rsidR="00C14934" w:rsidRPr="002D3252" w:rsidRDefault="00C14934" w:rsidP="00C14934">
      <w:pPr>
        <w:spacing w:after="240" w:line="276" w:lineRule="auto"/>
        <w:jc w:val="both"/>
        <w:rPr>
          <w:rFonts w:ascii="Arial" w:eastAsia="Times New Roman" w:hAnsi="Arial" w:cs="Arial"/>
          <w:bCs/>
          <w:sz w:val="21"/>
          <w:szCs w:val="21"/>
        </w:rPr>
      </w:pPr>
      <w:r w:rsidRPr="002D3252">
        <w:rPr>
          <w:rFonts w:ascii="Arial" w:eastAsia="Times New Roman" w:hAnsi="Arial" w:cs="Arial"/>
          <w:bCs/>
          <w:sz w:val="21"/>
          <w:szCs w:val="21"/>
        </w:rPr>
        <w:t>S'ha de prendre en consideració, no obstant això, que l' Agència, per la seva pròpia naturalesa i com així estableix la seva Llei de creació a l' article 8: "Les actuacions de l' Agència han d' assegurar, en tot cas, la reserva màxima per evitar perjudicis a la persona o a l' entitat investigada i com a salvaguarda de l' eficàcia del procediment jurisdiccional o administratiu que es pugui iniciar com a conseqüència d' aquestes actuacions" , no pot de cap manera facilitar als mitjans de comunicació, informació ni opinions sobre les actuacions concretes de recerca dels expedients que es troben en fase d' anàlisi o estudi.</w:t>
      </w:r>
    </w:p>
    <w:p w14:paraId="58D2F98E" w14:textId="77777777" w:rsidR="00C14934" w:rsidRPr="002D3252" w:rsidRDefault="00C14934" w:rsidP="00C14934">
      <w:pPr>
        <w:spacing w:after="240" w:line="276" w:lineRule="auto"/>
        <w:jc w:val="both"/>
        <w:rPr>
          <w:rFonts w:ascii="Arial" w:eastAsia="Times New Roman" w:hAnsi="Arial" w:cs="Arial"/>
          <w:bCs/>
          <w:sz w:val="21"/>
          <w:szCs w:val="21"/>
        </w:rPr>
      </w:pPr>
      <w:r w:rsidRPr="002D3252">
        <w:rPr>
          <w:rFonts w:ascii="Arial" w:eastAsia="Times New Roman" w:hAnsi="Arial" w:cs="Arial"/>
          <w:bCs/>
          <w:sz w:val="21"/>
          <w:szCs w:val="21"/>
        </w:rPr>
        <w:t xml:space="preserve">Malgrat aquesta limitació, la totalitat dels mitjans: ràdio, premsa i televisió, sempre han trobat la total i oberta disposició de l'Agència per a informar de l'activitat que duu a terme, així com dels diversos aspectes relacionats amb el seu funcionament i amb les relacions exteriors que ha mantingut, tant en l'àmbit de la Comunitat Valenciana com en el nacional i internacional. </w:t>
      </w:r>
    </w:p>
    <w:p w14:paraId="30BC8FD5" w14:textId="018B32A4" w:rsidR="00C14934" w:rsidRPr="002D3252" w:rsidRDefault="00C14934" w:rsidP="00C14934">
      <w:pPr>
        <w:spacing w:after="240" w:line="276" w:lineRule="auto"/>
        <w:jc w:val="both"/>
        <w:rPr>
          <w:rFonts w:ascii="Arial" w:eastAsia="Times New Roman" w:hAnsi="Arial" w:cs="Arial"/>
          <w:bCs/>
          <w:sz w:val="21"/>
          <w:szCs w:val="21"/>
        </w:rPr>
      </w:pPr>
      <w:r w:rsidRPr="002D3252">
        <w:rPr>
          <w:rFonts w:ascii="Arial" w:eastAsia="Times New Roman" w:hAnsi="Arial" w:cs="Arial"/>
          <w:bCs/>
          <w:sz w:val="21"/>
          <w:szCs w:val="21"/>
        </w:rPr>
        <w:t xml:space="preserve">Així mateix, s' ha donat trasllat als mitjans de comunicació les activitats dutes a terme que han estat adreçades al públic en general, perquè en </w:t>
      </w:r>
      <w:r w:rsidR="00DD1495" w:rsidRPr="002D3252">
        <w:rPr>
          <w:rFonts w:ascii="Arial" w:eastAsia="Times New Roman" w:hAnsi="Arial" w:cs="Arial"/>
          <w:bCs/>
          <w:sz w:val="21"/>
          <w:szCs w:val="21"/>
        </w:rPr>
        <w:t>tinguen</w:t>
      </w:r>
      <w:r w:rsidRPr="002D3252">
        <w:rPr>
          <w:rFonts w:ascii="Arial" w:eastAsia="Times New Roman" w:hAnsi="Arial" w:cs="Arial"/>
          <w:bCs/>
          <w:sz w:val="21"/>
          <w:szCs w:val="21"/>
        </w:rPr>
        <w:t xml:space="preserve"> la difusió adequada. Diàriament es fa un recull de totes les mencions que apareixen en mitjans de comunicació i fan referència a l' Agència.</w:t>
      </w:r>
    </w:p>
    <w:p w14:paraId="4CE6B0A6" w14:textId="77777777" w:rsidR="00C14934" w:rsidRPr="002D3252" w:rsidRDefault="00C14934" w:rsidP="00730F6F">
      <w:pPr>
        <w:spacing w:after="240" w:line="276" w:lineRule="auto"/>
        <w:jc w:val="both"/>
        <w:rPr>
          <w:rFonts w:ascii="Arial" w:eastAsia="Times New Roman" w:hAnsi="Arial" w:cs="Arial"/>
          <w:bCs/>
          <w:sz w:val="21"/>
          <w:szCs w:val="21"/>
        </w:rPr>
      </w:pPr>
      <w:r w:rsidRPr="002D3252">
        <w:rPr>
          <w:rFonts w:ascii="Arial" w:eastAsia="Times New Roman" w:hAnsi="Arial" w:cs="Arial"/>
          <w:bCs/>
          <w:sz w:val="21"/>
          <w:szCs w:val="21"/>
        </w:rPr>
        <w:t>Cal destacar, l'elevat augment de les mencions en mitjans de l'Agència Valenciana Antifrau, passant de les 560 mencions en 2020, a les 1.002 mencions registrades en 2021. Un increment que suposa un 78.93 % de mencions més en un any.</w:t>
      </w:r>
    </w:p>
    <w:p w14:paraId="4534A5E2" w14:textId="1A301239" w:rsidR="0012717F" w:rsidRPr="002D3252" w:rsidRDefault="006C75C2" w:rsidP="00C14934">
      <w:pPr>
        <w:widowControl w:val="0"/>
        <w:suppressAutoHyphens/>
        <w:autoSpaceDN w:val="0"/>
        <w:spacing w:after="240" w:line="276" w:lineRule="auto"/>
        <w:jc w:val="both"/>
        <w:rPr>
          <w:rFonts w:ascii="Arial" w:eastAsia="Calibri" w:hAnsi="Arial" w:cs="Arial"/>
          <w:sz w:val="21"/>
        </w:rPr>
      </w:pPr>
      <w:r w:rsidRPr="002D3252">
        <w:rPr>
          <w:noProof/>
        </w:rPr>
        <w:lastRenderedPageBreak/>
        <w:drawing>
          <wp:anchor distT="0" distB="0" distL="114300" distR="114300" simplePos="0" relativeHeight="251995136" behindDoc="0" locked="0" layoutInCell="1" allowOverlap="1" wp14:anchorId="7DF49B9D" wp14:editId="2D553479">
            <wp:simplePos x="0" y="0"/>
            <wp:positionH relativeFrom="margin">
              <wp:align>left</wp:align>
            </wp:positionH>
            <wp:positionV relativeFrom="paragraph">
              <wp:posOffset>947323</wp:posOffset>
            </wp:positionV>
            <wp:extent cx="5400040" cy="3128645"/>
            <wp:effectExtent l="0" t="0" r="10160" b="14605"/>
            <wp:wrapTopAndBottom/>
            <wp:docPr id="6" name="Gráfico 6">
              <a:extLst xmlns:a="http://schemas.openxmlformats.org/drawingml/2006/main">
                <a:ext uri="{FF2B5EF4-FFF2-40B4-BE49-F238E27FC236}">
                  <a16:creationId xmlns:a16="http://schemas.microsoft.com/office/drawing/2014/main" id="{C57321F3-4711-43D1-ACE1-C00CE9CB96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anchor>
        </w:drawing>
      </w:r>
      <w:r w:rsidR="00C14934" w:rsidRPr="002D3252">
        <w:rPr>
          <w:rFonts w:ascii="Arial" w:eastAsia="Times New Roman" w:hAnsi="Arial" w:cs="Arial"/>
          <w:bCs/>
          <w:sz w:val="21"/>
          <w:szCs w:val="21"/>
        </w:rPr>
        <w:t>En el següent gràfic, recullen les mencions segons el mitjà de comunicació i on, tant els mitjans digitals amb un 46%, com la premsa escrita amb un 44%, acaparen la majoria d'elles. També aquest any s' ha produït un canvi de tendència quant a les mencions, per primera vegada, les mencions dels mitjans digitals superen les mencions en premsa escrita.</w:t>
      </w:r>
    </w:p>
    <w:p w14:paraId="58A2562B" w14:textId="77777777" w:rsidR="00730F6F" w:rsidRDefault="00730F6F" w:rsidP="00730F6F">
      <w:pPr>
        <w:pStyle w:val="Descripcin"/>
        <w:spacing w:after="120"/>
        <w:jc w:val="center"/>
        <w:rPr>
          <w:rFonts w:ascii="Arial" w:hAnsi="Arial" w:cs="Arial"/>
          <w:smallCaps w:val="0"/>
          <w:color w:val="9D2235" w:themeColor="accent1"/>
          <w:sz w:val="18"/>
          <w:szCs w:val="18"/>
        </w:rPr>
      </w:pPr>
    </w:p>
    <w:p w14:paraId="371E5262" w14:textId="0B95FEB3" w:rsidR="0012717F" w:rsidRPr="002D3252" w:rsidRDefault="00C14934" w:rsidP="00C14934">
      <w:pPr>
        <w:pStyle w:val="Descripcin"/>
        <w:jc w:val="center"/>
        <w:rPr>
          <w:rFonts w:ascii="Arial" w:eastAsia="Calibri" w:hAnsi="Arial" w:cs="Arial"/>
          <w:smallCaps w:val="0"/>
          <w:sz w:val="18"/>
          <w:szCs w:val="18"/>
        </w:rPr>
      </w:pPr>
      <w:bookmarkStart w:id="59" w:name="_Toc99110961"/>
      <w:r w:rsidRPr="002D3252">
        <w:rPr>
          <w:rFonts w:ascii="Arial" w:hAnsi="Arial" w:cs="Arial"/>
          <w:smallCaps w:val="0"/>
          <w:color w:val="9D2235" w:themeColor="accent1"/>
          <w:sz w:val="18"/>
          <w:szCs w:val="18"/>
        </w:rPr>
        <w:t xml:space="preserve">Gràfic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Gràfic \* ARABIC </w:instrText>
      </w:r>
      <w:r w:rsidRPr="002D3252">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2</w:t>
      </w:r>
      <w:r w:rsidRPr="002D3252">
        <w:rPr>
          <w:rFonts w:ascii="Arial" w:hAnsi="Arial" w:cs="Arial"/>
          <w:smallCaps w:val="0"/>
          <w:color w:val="9D2235" w:themeColor="accent1"/>
          <w:sz w:val="18"/>
          <w:szCs w:val="18"/>
        </w:rPr>
        <w:fldChar w:fldCharType="end"/>
      </w:r>
      <w:r w:rsidRPr="002D3252">
        <w:rPr>
          <w:rFonts w:ascii="Arial" w:hAnsi="Arial" w:cs="Arial"/>
          <w:smallCaps w:val="0"/>
          <w:color w:val="9D2235" w:themeColor="accent1"/>
          <w:sz w:val="18"/>
          <w:szCs w:val="18"/>
        </w:rPr>
        <w:t xml:space="preserve">. </w:t>
      </w:r>
      <w:r w:rsidRPr="002D3252">
        <w:rPr>
          <w:rFonts w:ascii="Arial" w:hAnsi="Arial" w:cs="Arial"/>
          <w:smallCaps w:val="0"/>
          <w:sz w:val="18"/>
          <w:szCs w:val="18"/>
        </w:rPr>
        <w:t>Mencions de l'A</w:t>
      </w:r>
      <w:r w:rsidR="000271FD">
        <w:rPr>
          <w:rFonts w:ascii="Arial" w:hAnsi="Arial" w:cs="Arial"/>
          <w:smallCaps w:val="0"/>
          <w:sz w:val="18"/>
          <w:szCs w:val="18"/>
        </w:rPr>
        <w:t>VAF</w:t>
      </w:r>
      <w:r w:rsidRPr="002D3252">
        <w:rPr>
          <w:rFonts w:ascii="Arial" w:hAnsi="Arial" w:cs="Arial"/>
          <w:smallCaps w:val="0"/>
          <w:sz w:val="18"/>
          <w:szCs w:val="18"/>
        </w:rPr>
        <w:t xml:space="preserve"> segons el mitjà de comunicació</w:t>
      </w:r>
      <w:bookmarkEnd w:id="59"/>
    </w:p>
    <w:p w14:paraId="4B5B1B4A" w14:textId="77777777" w:rsidR="00730F6F" w:rsidRDefault="00730F6F" w:rsidP="006C75C2">
      <w:pPr>
        <w:spacing w:after="0" w:line="276" w:lineRule="auto"/>
        <w:jc w:val="both"/>
        <w:rPr>
          <w:rFonts w:ascii="Arial" w:eastAsia="Times New Roman" w:hAnsi="Arial" w:cs="Arial"/>
          <w:bCs/>
          <w:sz w:val="21"/>
          <w:szCs w:val="21"/>
        </w:rPr>
      </w:pPr>
    </w:p>
    <w:p w14:paraId="4F38F095" w14:textId="2BCF50CA" w:rsidR="00730F6F" w:rsidRDefault="006C75C2" w:rsidP="006C75C2">
      <w:pPr>
        <w:spacing w:after="0" w:line="276" w:lineRule="auto"/>
        <w:jc w:val="both"/>
        <w:rPr>
          <w:rFonts w:ascii="Arial" w:eastAsia="Times New Roman" w:hAnsi="Arial" w:cs="Arial"/>
          <w:bCs/>
          <w:sz w:val="21"/>
          <w:szCs w:val="21"/>
        </w:rPr>
      </w:pPr>
      <w:r w:rsidRPr="002D3252">
        <w:rPr>
          <w:rFonts w:ascii="Arial" w:eastAsia="Times New Roman" w:hAnsi="Arial" w:cs="Arial"/>
          <w:bCs/>
          <w:sz w:val="21"/>
          <w:szCs w:val="21"/>
        </w:rPr>
        <w:t>En aqueix treball de recollida de dades, pel que fa a les mencions en mitjans de comunicació de l'Agència Valenciana Antifrau, creiem que és interessant la informació que es recull en el següent gràfic i que fa menció al número de referència per mesos.</w:t>
      </w:r>
    </w:p>
    <w:p w14:paraId="7C130A32" w14:textId="77777777" w:rsidR="00730F6F" w:rsidRDefault="00730F6F" w:rsidP="006C75C2">
      <w:pPr>
        <w:spacing w:after="0" w:line="276" w:lineRule="auto"/>
        <w:jc w:val="both"/>
        <w:rPr>
          <w:rFonts w:ascii="Arial" w:eastAsia="Times New Roman" w:hAnsi="Arial" w:cs="Arial"/>
          <w:bCs/>
          <w:sz w:val="21"/>
          <w:szCs w:val="21"/>
        </w:rPr>
      </w:pPr>
    </w:p>
    <w:p w14:paraId="4C808E66" w14:textId="56725AD2" w:rsidR="0012717F" w:rsidRDefault="006C75C2" w:rsidP="006C75C2">
      <w:pPr>
        <w:spacing w:after="0" w:line="276" w:lineRule="auto"/>
        <w:jc w:val="both"/>
        <w:rPr>
          <w:rFonts w:ascii="Arial" w:eastAsia="Times New Roman" w:hAnsi="Arial" w:cs="Arial"/>
          <w:bCs/>
          <w:sz w:val="21"/>
          <w:szCs w:val="21"/>
        </w:rPr>
      </w:pPr>
      <w:r w:rsidRPr="002D3252">
        <w:rPr>
          <w:rFonts w:ascii="Arial" w:eastAsia="Times New Roman" w:hAnsi="Arial" w:cs="Arial"/>
          <w:bCs/>
          <w:sz w:val="21"/>
          <w:szCs w:val="21"/>
        </w:rPr>
        <w:t xml:space="preserve"> Les mencions no segueixen un patró i venen determinades per l'actualitat informativa, el 2021, any on la pandèmia del Covid-19 segueix vigent i marca el ritme de la informació publicada als mitjans.</w:t>
      </w:r>
    </w:p>
    <w:p w14:paraId="7A7E6527" w14:textId="1B2220D1" w:rsidR="00730F6F" w:rsidRPr="002D3252" w:rsidRDefault="00730F6F" w:rsidP="006C75C2">
      <w:pPr>
        <w:spacing w:after="0" w:line="276" w:lineRule="auto"/>
        <w:jc w:val="both"/>
        <w:rPr>
          <w:rFonts w:ascii="Arial" w:eastAsia="Times New Roman" w:hAnsi="Arial" w:cs="Arial"/>
          <w:bCs/>
          <w:sz w:val="21"/>
          <w:szCs w:val="21"/>
        </w:rPr>
      </w:pPr>
    </w:p>
    <w:p w14:paraId="5FBE5A76" w14:textId="77777777" w:rsidR="00730F6F" w:rsidRDefault="00730F6F" w:rsidP="00B15188">
      <w:pPr>
        <w:widowControl w:val="0"/>
        <w:suppressAutoHyphens/>
        <w:autoSpaceDN w:val="0"/>
        <w:spacing w:after="240" w:line="276" w:lineRule="auto"/>
        <w:jc w:val="both"/>
        <w:rPr>
          <w:rFonts w:ascii="Arial" w:eastAsia="Calibri" w:hAnsi="Arial" w:cs="Arial"/>
          <w:sz w:val="21"/>
        </w:rPr>
      </w:pPr>
    </w:p>
    <w:p w14:paraId="58BD7EC5" w14:textId="77777777" w:rsidR="00730F6F" w:rsidRDefault="00730F6F" w:rsidP="00B15188">
      <w:pPr>
        <w:widowControl w:val="0"/>
        <w:suppressAutoHyphens/>
        <w:autoSpaceDN w:val="0"/>
        <w:spacing w:after="240" w:line="276" w:lineRule="auto"/>
        <w:jc w:val="both"/>
        <w:rPr>
          <w:rFonts w:ascii="Arial" w:eastAsia="Calibri" w:hAnsi="Arial" w:cs="Arial"/>
          <w:sz w:val="21"/>
        </w:rPr>
      </w:pPr>
    </w:p>
    <w:p w14:paraId="591B106F" w14:textId="77777777" w:rsidR="00730F6F" w:rsidRDefault="00730F6F" w:rsidP="00B15188">
      <w:pPr>
        <w:widowControl w:val="0"/>
        <w:suppressAutoHyphens/>
        <w:autoSpaceDN w:val="0"/>
        <w:spacing w:after="240" w:line="276" w:lineRule="auto"/>
        <w:jc w:val="both"/>
        <w:rPr>
          <w:rFonts w:ascii="Arial" w:eastAsia="Calibri" w:hAnsi="Arial" w:cs="Arial"/>
          <w:sz w:val="21"/>
        </w:rPr>
      </w:pPr>
    </w:p>
    <w:p w14:paraId="3823A334" w14:textId="77777777" w:rsidR="00730F6F" w:rsidRDefault="00730F6F" w:rsidP="00B15188">
      <w:pPr>
        <w:widowControl w:val="0"/>
        <w:suppressAutoHyphens/>
        <w:autoSpaceDN w:val="0"/>
        <w:spacing w:after="240" w:line="276" w:lineRule="auto"/>
        <w:jc w:val="both"/>
        <w:rPr>
          <w:rFonts w:ascii="Arial" w:eastAsia="Calibri" w:hAnsi="Arial" w:cs="Arial"/>
          <w:sz w:val="21"/>
        </w:rPr>
      </w:pPr>
    </w:p>
    <w:p w14:paraId="0201EA3B" w14:textId="77777777" w:rsidR="00730F6F" w:rsidRDefault="00730F6F" w:rsidP="00B15188">
      <w:pPr>
        <w:widowControl w:val="0"/>
        <w:suppressAutoHyphens/>
        <w:autoSpaceDN w:val="0"/>
        <w:spacing w:after="240" w:line="276" w:lineRule="auto"/>
        <w:jc w:val="both"/>
        <w:rPr>
          <w:rFonts w:ascii="Arial" w:eastAsia="Calibri" w:hAnsi="Arial" w:cs="Arial"/>
          <w:sz w:val="21"/>
        </w:rPr>
      </w:pPr>
    </w:p>
    <w:p w14:paraId="340CA372" w14:textId="77777777" w:rsidR="004D1097" w:rsidRDefault="00730F6F" w:rsidP="004D1097">
      <w:pPr>
        <w:widowControl w:val="0"/>
        <w:suppressAutoHyphens/>
        <w:autoSpaceDN w:val="0"/>
        <w:spacing w:after="120" w:line="276" w:lineRule="auto"/>
        <w:jc w:val="both"/>
        <w:rPr>
          <w:rFonts w:ascii="Arial" w:eastAsia="Calibri" w:hAnsi="Arial" w:cs="Arial"/>
          <w:sz w:val="21"/>
        </w:rPr>
      </w:pPr>
      <w:r>
        <w:rPr>
          <w:noProof/>
        </w:rPr>
        <w:lastRenderedPageBreak/>
        <mc:AlternateContent>
          <mc:Choice Requires="wps">
            <w:drawing>
              <wp:anchor distT="0" distB="0" distL="114300" distR="114300" simplePos="0" relativeHeight="252010496" behindDoc="0" locked="0" layoutInCell="1" allowOverlap="1" wp14:anchorId="41E88264" wp14:editId="402F7C09">
                <wp:simplePos x="0" y="0"/>
                <wp:positionH relativeFrom="column">
                  <wp:posOffset>520065</wp:posOffset>
                </wp:positionH>
                <wp:positionV relativeFrom="paragraph">
                  <wp:posOffset>2765425</wp:posOffset>
                </wp:positionV>
                <wp:extent cx="4572000" cy="635"/>
                <wp:effectExtent l="0" t="0" r="0" b="0"/>
                <wp:wrapTopAndBottom/>
                <wp:docPr id="41" name="Cuadro de texto 41"/>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75C70D65" w14:textId="16D6C94E" w:rsidR="00730F6F" w:rsidRPr="00730F6F" w:rsidRDefault="00730F6F" w:rsidP="00730F6F">
                            <w:pPr>
                              <w:pStyle w:val="Descripcin"/>
                              <w:jc w:val="center"/>
                              <w:rPr>
                                <w:rFonts w:ascii="Arial" w:hAnsi="Arial" w:cs="Arial"/>
                                <w:smallCaps w:val="0"/>
                                <w:noProof/>
                                <w:sz w:val="18"/>
                                <w:szCs w:val="18"/>
                              </w:rPr>
                            </w:pPr>
                            <w:bookmarkStart w:id="60" w:name="_Toc99110962"/>
                            <w:r w:rsidRPr="00730F6F">
                              <w:rPr>
                                <w:rFonts w:ascii="Arial" w:hAnsi="Arial" w:cs="Arial"/>
                                <w:smallCaps w:val="0"/>
                                <w:color w:val="9D2235" w:themeColor="accent1"/>
                                <w:sz w:val="18"/>
                                <w:szCs w:val="18"/>
                              </w:rPr>
                              <w:t xml:space="preserve">Gràfic </w:t>
                            </w:r>
                            <w:r w:rsidRPr="00730F6F">
                              <w:rPr>
                                <w:rFonts w:ascii="Arial" w:hAnsi="Arial" w:cs="Arial"/>
                                <w:smallCaps w:val="0"/>
                                <w:color w:val="9D2235" w:themeColor="accent1"/>
                                <w:sz w:val="18"/>
                                <w:szCs w:val="18"/>
                              </w:rPr>
                              <w:fldChar w:fldCharType="begin"/>
                            </w:r>
                            <w:r w:rsidRPr="00730F6F">
                              <w:rPr>
                                <w:rFonts w:ascii="Arial" w:hAnsi="Arial" w:cs="Arial"/>
                                <w:smallCaps w:val="0"/>
                                <w:color w:val="9D2235" w:themeColor="accent1"/>
                                <w:sz w:val="18"/>
                                <w:szCs w:val="18"/>
                              </w:rPr>
                              <w:instrText xml:space="preserve"> SEQ Gràfic \* ARABIC </w:instrText>
                            </w:r>
                            <w:r w:rsidRPr="00730F6F">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3</w:t>
                            </w:r>
                            <w:r w:rsidRPr="00730F6F">
                              <w:rPr>
                                <w:rFonts w:ascii="Arial" w:hAnsi="Arial" w:cs="Arial"/>
                                <w:smallCaps w:val="0"/>
                                <w:color w:val="9D2235" w:themeColor="accent1"/>
                                <w:sz w:val="18"/>
                                <w:szCs w:val="18"/>
                              </w:rPr>
                              <w:fldChar w:fldCharType="end"/>
                            </w:r>
                            <w:r w:rsidRPr="00730F6F">
                              <w:rPr>
                                <w:rFonts w:ascii="Arial" w:hAnsi="Arial" w:cs="Arial"/>
                                <w:smallCaps w:val="0"/>
                                <w:sz w:val="18"/>
                                <w:szCs w:val="18"/>
                              </w:rPr>
                              <w:t>. Nombre de mencions en mitjans de l'A</w:t>
                            </w:r>
                            <w:r w:rsidR="000271FD">
                              <w:rPr>
                                <w:rFonts w:ascii="Arial" w:hAnsi="Arial" w:cs="Arial"/>
                                <w:smallCaps w:val="0"/>
                                <w:sz w:val="18"/>
                                <w:szCs w:val="18"/>
                              </w:rPr>
                              <w:t>VAF</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E88264" id="Cuadro de texto 41" o:spid="_x0000_s1033" type="#_x0000_t202" style="position:absolute;left:0;text-align:left;margin-left:40.95pt;margin-top:217.75pt;width:5in;height:.05pt;z-index:25201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" stroked="f">
                <v:textbox style="mso-fit-shape-to-text:t" inset="0,0,0,0">
                  <w:txbxContent>
                    <w:p w14:paraId="75C70D65" w14:textId="16D6C94E" w:rsidR="00730F6F" w:rsidRPr="00730F6F" w:rsidRDefault="00730F6F" w:rsidP="00730F6F">
                      <w:pPr>
                        <w:pStyle w:val="Descripcin"/>
                        <w:jc w:val="center"/>
                        <w:rPr>
                          <w:rFonts w:ascii="Arial" w:hAnsi="Arial" w:cs="Arial"/>
                          <w:smallCaps w:val="0"/>
                          <w:noProof/>
                          <w:sz w:val="18"/>
                          <w:szCs w:val="18"/>
                        </w:rPr>
                      </w:pPr>
                      <w:bookmarkStart w:id="68" w:name="_Toc99110962"/>
                      <w:r w:rsidRPr="00730F6F">
                        <w:rPr>
                          <w:rFonts w:ascii="Arial" w:hAnsi="Arial" w:cs="Arial"/>
                          <w:smallCaps w:val="0"/>
                          <w:color w:val="9D2235" w:themeColor="accent1"/>
                          <w:sz w:val="18"/>
                          <w:szCs w:val="18"/>
                        </w:rPr>
                        <w:t xml:space="preserve">Gràfic </w:t>
                      </w:r>
                      <w:r w:rsidRPr="00730F6F">
                        <w:rPr>
                          <w:rFonts w:ascii="Arial" w:hAnsi="Arial" w:cs="Arial"/>
                          <w:smallCaps w:val="0"/>
                          <w:color w:val="9D2235" w:themeColor="accent1"/>
                          <w:sz w:val="18"/>
                          <w:szCs w:val="18"/>
                        </w:rPr>
                        <w:fldChar w:fldCharType="begin"/>
                      </w:r>
                      <w:r w:rsidRPr="00730F6F">
                        <w:rPr>
                          <w:rFonts w:ascii="Arial" w:hAnsi="Arial" w:cs="Arial"/>
                          <w:smallCaps w:val="0"/>
                          <w:color w:val="9D2235" w:themeColor="accent1"/>
                          <w:sz w:val="18"/>
                          <w:szCs w:val="18"/>
                        </w:rPr>
                        <w:instrText xml:space="preserve"> SEQ Gràfic \* ARABIC </w:instrText>
                      </w:r>
                      <w:r w:rsidRPr="00730F6F">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3</w:t>
                      </w:r>
                      <w:r w:rsidRPr="00730F6F">
                        <w:rPr>
                          <w:rFonts w:ascii="Arial" w:hAnsi="Arial" w:cs="Arial"/>
                          <w:smallCaps w:val="0"/>
                          <w:color w:val="9D2235" w:themeColor="accent1"/>
                          <w:sz w:val="18"/>
                          <w:szCs w:val="18"/>
                        </w:rPr>
                        <w:fldChar w:fldCharType="end"/>
                      </w:r>
                      <w:r w:rsidRPr="00730F6F">
                        <w:rPr>
                          <w:rFonts w:ascii="Arial" w:hAnsi="Arial" w:cs="Arial"/>
                          <w:smallCaps w:val="0"/>
                          <w:sz w:val="18"/>
                          <w:szCs w:val="18"/>
                        </w:rPr>
                        <w:t>. Nombre de mencions en mitjans de l'A</w:t>
                      </w:r>
                      <w:r w:rsidR="000271FD">
                        <w:rPr>
                          <w:rFonts w:ascii="Arial" w:hAnsi="Arial" w:cs="Arial"/>
                          <w:smallCaps w:val="0"/>
                          <w:sz w:val="18"/>
                          <w:szCs w:val="18"/>
                        </w:rPr>
                        <w:t>VAF</w:t>
                      </w:r>
                      <w:bookmarkEnd w:id="68"/>
                    </w:p>
                  </w:txbxContent>
                </v:textbox>
                <w10:wrap type="topAndBottom"/>
              </v:shape>
            </w:pict>
          </mc:Fallback>
        </mc:AlternateContent>
      </w:r>
      <w:r w:rsidRPr="002D3252">
        <w:rPr>
          <w:noProof/>
        </w:rPr>
        <w:drawing>
          <wp:anchor distT="0" distB="0" distL="114300" distR="114300" simplePos="0" relativeHeight="252008448" behindDoc="0" locked="0" layoutInCell="1" allowOverlap="1" wp14:anchorId="15A6AEB7" wp14:editId="768DE103">
            <wp:simplePos x="0" y="0"/>
            <wp:positionH relativeFrom="margin">
              <wp:posOffset>520505</wp:posOffset>
            </wp:positionH>
            <wp:positionV relativeFrom="margin">
              <wp:posOffset>-34925</wp:posOffset>
            </wp:positionV>
            <wp:extent cx="4572000" cy="2743200"/>
            <wp:effectExtent l="0" t="0" r="0" b="0"/>
            <wp:wrapTopAndBottom/>
            <wp:docPr id="24" name="Gráfico 24">
              <a:extLst xmlns:a="http://schemas.openxmlformats.org/drawingml/2006/main">
                <a:ext uri="{FF2B5EF4-FFF2-40B4-BE49-F238E27FC236}">
                  <a16:creationId xmlns:a16="http://schemas.microsoft.com/office/drawing/2014/main" id="{56CE8CF4-6C5B-4DE7-A5E2-C4F2DF9F7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anchor>
        </w:drawing>
      </w:r>
    </w:p>
    <w:p w14:paraId="0D6F9869" w14:textId="267D6807" w:rsidR="0012717F" w:rsidRPr="002D3252" w:rsidRDefault="00C20DDE" w:rsidP="00B15188">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Així mateix, s' ha anat informant puntualment als mitjans i la ciutadania mitjançant l' elaboració de notes de premsa, les quals relacionem a continuació. En total, s'han publicat a la nostra web 42 notes de premsa.</w:t>
      </w:r>
    </w:p>
    <w:p w14:paraId="54A4AA05" w14:textId="436E139A" w:rsidR="00C20DDE" w:rsidRPr="002D3252" w:rsidRDefault="00C20DDE" w:rsidP="00C20DDE">
      <w:pPr>
        <w:pStyle w:val="Descripcin"/>
        <w:keepNext/>
        <w:rPr>
          <w:rFonts w:ascii="Arial" w:hAnsi="Arial" w:cs="Arial"/>
          <w:sz w:val="18"/>
          <w:szCs w:val="18"/>
        </w:rPr>
      </w:pPr>
      <w:bookmarkStart w:id="61" w:name="_Toc99110849"/>
      <w:r w:rsidRPr="002D3252">
        <w:rPr>
          <w:rFonts w:ascii="Arial" w:hAnsi="Arial" w:cs="Arial"/>
          <w:color w:val="9D2235" w:themeColor="accent1"/>
          <w:sz w:val="18"/>
          <w:szCs w:val="18"/>
        </w:rPr>
        <w:t xml:space="preserve">Taula </w:t>
      </w:r>
      <w:r w:rsidRPr="002D3252">
        <w:rPr>
          <w:rFonts w:ascii="Arial" w:hAnsi="Arial" w:cs="Arial"/>
          <w:color w:val="9D2235" w:themeColor="accent1"/>
          <w:sz w:val="18"/>
          <w:szCs w:val="18"/>
        </w:rPr>
        <w:fldChar w:fldCharType="begin" w:fldLock="1"/>
      </w:r>
      <w:r w:rsidRPr="002D3252">
        <w:rPr>
          <w:rFonts w:ascii="Arial" w:hAnsi="Arial" w:cs="Arial"/>
          <w:color w:val="9D2235" w:themeColor="accent1"/>
          <w:sz w:val="18"/>
          <w:szCs w:val="18"/>
        </w:rPr>
        <w:instrText xml:space="preserve"> SEQ Taula \* ARABIC </w:instrText>
      </w:r>
      <w:r w:rsidRPr="002D3252">
        <w:rPr>
          <w:rFonts w:ascii="Arial" w:hAnsi="Arial" w:cs="Arial"/>
          <w:color w:val="9D2235" w:themeColor="accent1"/>
          <w:sz w:val="18"/>
          <w:szCs w:val="18"/>
        </w:rPr>
        <w:fldChar w:fldCharType="separate"/>
      </w:r>
      <w:r w:rsidR="00A81D4F">
        <w:rPr>
          <w:rFonts w:ascii="Arial" w:hAnsi="Arial" w:cs="Arial"/>
          <w:noProof/>
          <w:color w:val="9D2235" w:themeColor="accent1"/>
          <w:sz w:val="18"/>
          <w:szCs w:val="18"/>
        </w:rPr>
        <w:t>4</w:t>
      </w:r>
      <w:r w:rsidRPr="002D3252">
        <w:rPr>
          <w:rFonts w:ascii="Arial" w:hAnsi="Arial" w:cs="Arial"/>
          <w:color w:val="9D2235" w:themeColor="accent1"/>
          <w:sz w:val="18"/>
          <w:szCs w:val="18"/>
        </w:rPr>
        <w:fldChar w:fldCharType="end"/>
      </w:r>
      <w:r w:rsidRPr="002D3252">
        <w:rPr>
          <w:rFonts w:ascii="Arial" w:hAnsi="Arial" w:cs="Arial"/>
          <w:color w:val="9D2235" w:themeColor="accent1"/>
          <w:sz w:val="18"/>
          <w:szCs w:val="18"/>
        </w:rPr>
        <w:t xml:space="preserve">. </w:t>
      </w:r>
      <w:r w:rsidRPr="002D3252">
        <w:rPr>
          <w:rFonts w:ascii="Arial" w:hAnsi="Arial" w:cs="Arial"/>
          <w:sz w:val="18"/>
          <w:szCs w:val="18"/>
        </w:rPr>
        <w:t>Notes de premsa enviades</w:t>
      </w:r>
      <w:bookmarkEnd w:id="61"/>
    </w:p>
    <w:tbl>
      <w:tblPr>
        <w:tblW w:w="8505" w:type="dxa"/>
        <w:jc w:val="right"/>
        <w:tblCellMar>
          <w:left w:w="0" w:type="dxa"/>
          <w:bottom w:w="28" w:type="dxa"/>
          <w:right w:w="0" w:type="dxa"/>
        </w:tblCellMar>
        <w:tblLook w:val="04A0" w:firstRow="1" w:lastRow="0" w:firstColumn="1" w:lastColumn="0" w:noHBand="0" w:noVBand="1"/>
      </w:tblPr>
      <w:tblGrid>
        <w:gridCol w:w="1266"/>
        <w:gridCol w:w="5255"/>
        <w:gridCol w:w="1984"/>
      </w:tblGrid>
      <w:tr w:rsidR="00C20DDE" w:rsidRPr="002D3252" w14:paraId="4E43FB4B" w14:textId="77777777" w:rsidTr="006A100C">
        <w:trPr>
          <w:tblHeader/>
          <w:jc w:val="right"/>
        </w:trPr>
        <w:tc>
          <w:tcPr>
            <w:tcW w:w="1266" w:type="dxa"/>
            <w:tcBorders>
              <w:bottom w:val="single" w:sz="4" w:space="0" w:color="000000"/>
            </w:tcBorders>
            <w:shd w:val="clear" w:color="auto" w:fill="993333"/>
          </w:tcPr>
          <w:p w14:paraId="55852179" w14:textId="77777777" w:rsidR="00C20DDE" w:rsidRPr="002D3252" w:rsidRDefault="00C20DDE" w:rsidP="00C20DDE">
            <w:pPr>
              <w:rPr>
                <w:rFonts w:ascii="Arial" w:eastAsia="Times New Roman" w:hAnsi="Arial" w:cs="Arial"/>
                <w:bCs/>
                <w:color w:val="FFFFFF" w:themeColor="background1"/>
                <w:sz w:val="18"/>
                <w:szCs w:val="18"/>
              </w:rPr>
            </w:pPr>
            <w:r w:rsidRPr="002D3252">
              <w:rPr>
                <w:rFonts w:ascii="Arial" w:hAnsi="Arial" w:cs="Arial"/>
                <w:b/>
                <w:bCs/>
                <w:color w:val="FFFFFF" w:themeColor="background1"/>
                <w:sz w:val="18"/>
                <w:szCs w:val="18"/>
              </w:rPr>
              <w:t>Data</w:t>
            </w:r>
          </w:p>
        </w:tc>
        <w:tc>
          <w:tcPr>
            <w:tcW w:w="5255" w:type="dxa"/>
            <w:tcBorders>
              <w:bottom w:val="single" w:sz="4" w:space="0" w:color="000000"/>
            </w:tcBorders>
            <w:shd w:val="clear" w:color="auto" w:fill="993333"/>
          </w:tcPr>
          <w:p w14:paraId="6F61FB6A" w14:textId="77777777" w:rsidR="00C20DDE" w:rsidRPr="002D3252" w:rsidRDefault="00C20DDE" w:rsidP="00C20DDE">
            <w:pPr>
              <w:jc w:val="both"/>
              <w:rPr>
                <w:rFonts w:ascii="Arial" w:eastAsia="Times New Roman" w:hAnsi="Arial" w:cs="Arial"/>
                <w:bCs/>
                <w:color w:val="FFFFFF" w:themeColor="background1"/>
                <w:sz w:val="18"/>
                <w:szCs w:val="18"/>
              </w:rPr>
            </w:pPr>
            <w:r w:rsidRPr="002D3252">
              <w:rPr>
                <w:rFonts w:ascii="Arial" w:hAnsi="Arial" w:cs="Arial"/>
                <w:b/>
                <w:bCs/>
                <w:color w:val="FFFFFF" w:themeColor="background1"/>
                <w:sz w:val="18"/>
                <w:szCs w:val="18"/>
              </w:rPr>
              <w:t>NOTA DE PREMSA</w:t>
            </w:r>
          </w:p>
        </w:tc>
        <w:tc>
          <w:tcPr>
            <w:tcW w:w="1984" w:type="dxa"/>
            <w:tcBorders>
              <w:bottom w:val="single" w:sz="4" w:space="0" w:color="000000"/>
            </w:tcBorders>
            <w:shd w:val="clear" w:color="auto" w:fill="993333"/>
          </w:tcPr>
          <w:p w14:paraId="1CF71742" w14:textId="77777777" w:rsidR="00C20DDE" w:rsidRPr="002D3252" w:rsidRDefault="00C20DDE" w:rsidP="00C20DDE">
            <w:pPr>
              <w:jc w:val="center"/>
              <w:rPr>
                <w:rFonts w:ascii="Arial" w:eastAsia="Times New Roman" w:hAnsi="Arial" w:cs="Arial"/>
                <w:bCs/>
                <w:color w:val="FFFFFF" w:themeColor="background1"/>
                <w:sz w:val="18"/>
                <w:szCs w:val="18"/>
              </w:rPr>
            </w:pPr>
            <w:r w:rsidRPr="002D3252">
              <w:rPr>
                <w:rFonts w:ascii="Arial" w:hAnsi="Arial" w:cs="Arial"/>
                <w:b/>
                <w:bCs/>
                <w:color w:val="FFFFFF" w:themeColor="background1"/>
                <w:sz w:val="18"/>
                <w:szCs w:val="18"/>
              </w:rPr>
              <w:t>Enllaç</w:t>
            </w:r>
          </w:p>
        </w:tc>
      </w:tr>
      <w:tr w:rsidR="00C20DDE" w:rsidRPr="002D3252" w14:paraId="52FD3117" w14:textId="77777777" w:rsidTr="006A100C">
        <w:trPr>
          <w:jc w:val="right"/>
        </w:trPr>
        <w:tc>
          <w:tcPr>
            <w:tcW w:w="1266" w:type="dxa"/>
            <w:tcBorders>
              <w:top w:val="single" w:sz="4" w:space="0" w:color="000000"/>
              <w:bottom w:val="single" w:sz="4" w:space="0" w:color="000000"/>
            </w:tcBorders>
            <w:shd w:val="clear" w:color="auto" w:fill="FFFFFF"/>
          </w:tcPr>
          <w:p w14:paraId="210C4E8E"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11 de gener</w:t>
            </w:r>
          </w:p>
        </w:tc>
        <w:tc>
          <w:tcPr>
            <w:tcW w:w="5255" w:type="dxa"/>
            <w:tcBorders>
              <w:top w:val="single" w:sz="4" w:space="0" w:color="000000"/>
              <w:bottom w:val="single" w:sz="4" w:space="0" w:color="000000"/>
            </w:tcBorders>
            <w:shd w:val="clear" w:color="auto" w:fill="FFFFFF"/>
          </w:tcPr>
          <w:p w14:paraId="702E5D0C"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Nova edició de Docufòrum organitzada per la Universitat Miguel Hernández de Elche i l'Agència Valenciana Antifrau</w:t>
            </w:r>
          </w:p>
        </w:tc>
        <w:tc>
          <w:tcPr>
            <w:tcW w:w="1984" w:type="dxa"/>
            <w:tcBorders>
              <w:top w:val="single" w:sz="4" w:space="0" w:color="000000"/>
              <w:bottom w:val="single" w:sz="4" w:space="0" w:color="000000"/>
            </w:tcBorders>
            <w:shd w:val="clear" w:color="auto" w:fill="FFFFFF"/>
          </w:tcPr>
          <w:p w14:paraId="3DB48FCB" w14:textId="77777777" w:rsidR="00C20DDE" w:rsidRPr="002D3252" w:rsidRDefault="00254AEC" w:rsidP="00C20DDE">
            <w:pPr>
              <w:jc w:val="center"/>
              <w:rPr>
                <w:rFonts w:ascii="Arial" w:eastAsia="Times New Roman" w:hAnsi="Arial" w:cs="Arial"/>
                <w:bCs/>
                <w:sz w:val="18"/>
                <w:szCs w:val="18"/>
              </w:rPr>
            </w:pPr>
            <w:hyperlink r:id="rId139" w:history="1">
              <w:r w:rsidR="00C20DDE" w:rsidRPr="002D3252">
                <w:rPr>
                  <w:rFonts w:ascii="Arial" w:eastAsia="Times New Roman" w:hAnsi="Arial" w:cs="Arial"/>
                  <w:bCs/>
                  <w:color w:val="000080"/>
                  <w:sz w:val="18"/>
                  <w:szCs w:val="18"/>
                  <w:u w:val="single"/>
                </w:rPr>
                <w:t>https://bit.ly/3IGNPlG</w:t>
              </w:r>
            </w:hyperlink>
          </w:p>
        </w:tc>
      </w:tr>
      <w:tr w:rsidR="00C20DDE" w:rsidRPr="002D3252" w14:paraId="6B595D3A" w14:textId="77777777" w:rsidTr="006A100C">
        <w:trPr>
          <w:jc w:val="right"/>
        </w:trPr>
        <w:tc>
          <w:tcPr>
            <w:tcW w:w="1266" w:type="dxa"/>
            <w:tcBorders>
              <w:top w:val="single" w:sz="4" w:space="0" w:color="000000"/>
              <w:bottom w:val="single" w:sz="4" w:space="0" w:color="000000"/>
            </w:tcBorders>
            <w:shd w:val="clear" w:color="auto" w:fill="FFFFFF"/>
          </w:tcPr>
          <w:p w14:paraId="56513118"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12 de gener</w:t>
            </w:r>
          </w:p>
        </w:tc>
        <w:tc>
          <w:tcPr>
            <w:tcW w:w="5255" w:type="dxa"/>
            <w:tcBorders>
              <w:top w:val="single" w:sz="4" w:space="0" w:color="000000"/>
              <w:bottom w:val="single" w:sz="4" w:space="0" w:color="000000"/>
            </w:tcBorders>
            <w:shd w:val="clear" w:color="auto" w:fill="FFFFFF"/>
          </w:tcPr>
          <w:p w14:paraId="03D55B96"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 World Compliance Association i l'Agència Valenciana Antifrau signen un conveni per a col·laborar en la lluita contra el frau i la corrupció</w:t>
            </w:r>
          </w:p>
        </w:tc>
        <w:tc>
          <w:tcPr>
            <w:tcW w:w="1984" w:type="dxa"/>
            <w:tcBorders>
              <w:top w:val="single" w:sz="4" w:space="0" w:color="000000"/>
              <w:bottom w:val="single" w:sz="4" w:space="0" w:color="000000"/>
            </w:tcBorders>
            <w:shd w:val="clear" w:color="auto" w:fill="FFFFFF"/>
          </w:tcPr>
          <w:p w14:paraId="2B273241" w14:textId="77777777" w:rsidR="00C20DDE" w:rsidRPr="002D3252" w:rsidRDefault="00254AEC" w:rsidP="00C20DDE">
            <w:pPr>
              <w:jc w:val="center"/>
              <w:rPr>
                <w:rFonts w:ascii="Arial" w:hAnsi="Arial" w:cs="Arial"/>
                <w:sz w:val="18"/>
                <w:szCs w:val="18"/>
              </w:rPr>
            </w:pPr>
            <w:hyperlink r:id="rId140" w:history="1">
              <w:r w:rsidR="00C20DDE" w:rsidRPr="002D3252">
                <w:rPr>
                  <w:rFonts w:ascii="Arial" w:hAnsi="Arial" w:cs="Arial"/>
                  <w:color w:val="000080"/>
                  <w:sz w:val="18"/>
                  <w:szCs w:val="18"/>
                  <w:u w:val="single"/>
                </w:rPr>
                <w:t>https://bit.ly/3IwHc5p</w:t>
              </w:r>
            </w:hyperlink>
          </w:p>
          <w:p w14:paraId="19BFBA43" w14:textId="77777777" w:rsidR="00C20DDE" w:rsidRPr="002D3252" w:rsidRDefault="00C20DDE" w:rsidP="00C20DDE">
            <w:pPr>
              <w:jc w:val="center"/>
              <w:rPr>
                <w:rFonts w:ascii="Arial" w:eastAsia="Times New Roman" w:hAnsi="Arial" w:cs="Arial"/>
                <w:bCs/>
                <w:sz w:val="18"/>
                <w:szCs w:val="18"/>
              </w:rPr>
            </w:pPr>
          </w:p>
        </w:tc>
      </w:tr>
      <w:tr w:rsidR="00C20DDE" w:rsidRPr="002D3252" w14:paraId="49836DF3" w14:textId="77777777" w:rsidTr="006A100C">
        <w:trPr>
          <w:jc w:val="right"/>
        </w:trPr>
        <w:tc>
          <w:tcPr>
            <w:tcW w:w="1266" w:type="dxa"/>
            <w:tcBorders>
              <w:top w:val="single" w:sz="4" w:space="0" w:color="000000"/>
              <w:bottom w:val="single" w:sz="4" w:space="0" w:color="000000"/>
            </w:tcBorders>
            <w:shd w:val="clear" w:color="auto" w:fill="FFFFFF"/>
          </w:tcPr>
          <w:p w14:paraId="5E5A5F72"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20 de gener</w:t>
            </w:r>
          </w:p>
        </w:tc>
        <w:tc>
          <w:tcPr>
            <w:tcW w:w="5255" w:type="dxa"/>
            <w:tcBorders>
              <w:top w:val="single" w:sz="4" w:space="0" w:color="000000"/>
              <w:bottom w:val="single" w:sz="4" w:space="0" w:color="000000"/>
            </w:tcBorders>
            <w:shd w:val="clear" w:color="auto" w:fill="FFFFFF"/>
          </w:tcPr>
          <w:p w14:paraId="4C0C8F7A"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El President Morera i el Director de l'Agència Antifrau analitzen els avanços contra la corrupció i la recuperació del crèdit reputacional de les institucions valencianes</w:t>
            </w:r>
          </w:p>
        </w:tc>
        <w:tc>
          <w:tcPr>
            <w:tcW w:w="1984" w:type="dxa"/>
            <w:tcBorders>
              <w:top w:val="single" w:sz="4" w:space="0" w:color="000000"/>
              <w:bottom w:val="single" w:sz="4" w:space="0" w:color="000000"/>
            </w:tcBorders>
            <w:shd w:val="clear" w:color="auto" w:fill="FFFFFF"/>
          </w:tcPr>
          <w:p w14:paraId="18E906DA" w14:textId="77777777" w:rsidR="00C20DDE" w:rsidRPr="002D3252" w:rsidRDefault="00254AEC" w:rsidP="00C20DDE">
            <w:pPr>
              <w:jc w:val="center"/>
              <w:rPr>
                <w:rFonts w:ascii="Arial" w:hAnsi="Arial" w:cs="Arial"/>
                <w:sz w:val="18"/>
                <w:szCs w:val="18"/>
              </w:rPr>
            </w:pPr>
            <w:hyperlink r:id="rId141" w:history="1">
              <w:r w:rsidR="00C20DDE" w:rsidRPr="002D3252">
                <w:rPr>
                  <w:rFonts w:ascii="Arial" w:hAnsi="Arial" w:cs="Arial"/>
                  <w:color w:val="000080"/>
                  <w:sz w:val="18"/>
                  <w:szCs w:val="18"/>
                  <w:u w:val="single"/>
                </w:rPr>
                <w:t>https://bit.ly/3BZBwyp</w:t>
              </w:r>
            </w:hyperlink>
          </w:p>
          <w:p w14:paraId="3EB89045" w14:textId="77777777" w:rsidR="00C20DDE" w:rsidRPr="002D3252" w:rsidRDefault="00C20DDE" w:rsidP="00C20DDE">
            <w:pPr>
              <w:jc w:val="center"/>
              <w:rPr>
                <w:rFonts w:ascii="Arial" w:eastAsia="Times New Roman" w:hAnsi="Arial" w:cs="Arial"/>
                <w:bCs/>
                <w:sz w:val="18"/>
                <w:szCs w:val="18"/>
              </w:rPr>
            </w:pPr>
          </w:p>
        </w:tc>
      </w:tr>
      <w:tr w:rsidR="00C20DDE" w:rsidRPr="002D3252" w14:paraId="77648C74" w14:textId="77777777" w:rsidTr="006A100C">
        <w:trPr>
          <w:jc w:val="right"/>
        </w:trPr>
        <w:tc>
          <w:tcPr>
            <w:tcW w:w="1266" w:type="dxa"/>
            <w:tcBorders>
              <w:top w:val="single" w:sz="4" w:space="0" w:color="000000"/>
              <w:bottom w:val="single" w:sz="4" w:space="0" w:color="000000"/>
            </w:tcBorders>
            <w:shd w:val="clear" w:color="auto" w:fill="FFFFFF"/>
          </w:tcPr>
          <w:p w14:paraId="521DD6AC"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29 de gener</w:t>
            </w:r>
          </w:p>
        </w:tc>
        <w:tc>
          <w:tcPr>
            <w:tcW w:w="5255" w:type="dxa"/>
            <w:tcBorders>
              <w:top w:val="single" w:sz="4" w:space="0" w:color="000000"/>
              <w:bottom w:val="single" w:sz="4" w:space="0" w:color="000000"/>
            </w:tcBorders>
            <w:shd w:val="clear" w:color="auto" w:fill="FFFFFF"/>
          </w:tcPr>
          <w:p w14:paraId="5DC164B1"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proposa una futura Agència Nacional Anticorrupció en el procés de consulta pública de la Directiva Europea Whistleblowers</w:t>
            </w:r>
          </w:p>
        </w:tc>
        <w:tc>
          <w:tcPr>
            <w:tcW w:w="1984" w:type="dxa"/>
            <w:tcBorders>
              <w:top w:val="single" w:sz="4" w:space="0" w:color="000000"/>
              <w:bottom w:val="single" w:sz="4" w:space="0" w:color="000000"/>
            </w:tcBorders>
            <w:shd w:val="clear" w:color="auto" w:fill="FFFFFF"/>
          </w:tcPr>
          <w:p w14:paraId="5F40BCD4" w14:textId="77777777" w:rsidR="00C20DDE" w:rsidRPr="002D3252" w:rsidRDefault="00254AEC" w:rsidP="00C20DDE">
            <w:pPr>
              <w:jc w:val="center"/>
              <w:rPr>
                <w:rFonts w:ascii="Arial" w:hAnsi="Arial" w:cs="Arial"/>
                <w:sz w:val="18"/>
                <w:szCs w:val="18"/>
              </w:rPr>
            </w:pPr>
            <w:hyperlink r:id="rId142" w:history="1">
              <w:r w:rsidR="00C20DDE" w:rsidRPr="002D3252">
                <w:rPr>
                  <w:rFonts w:ascii="Arial" w:hAnsi="Arial" w:cs="Arial"/>
                  <w:color w:val="000080"/>
                  <w:sz w:val="18"/>
                  <w:szCs w:val="18"/>
                  <w:u w:val="single"/>
                </w:rPr>
                <w:t>https://bit.ly/3vG3Ox5</w:t>
              </w:r>
            </w:hyperlink>
          </w:p>
          <w:p w14:paraId="51990BBF" w14:textId="77777777" w:rsidR="00C20DDE" w:rsidRPr="002D3252" w:rsidRDefault="00C20DDE" w:rsidP="00C20DDE">
            <w:pPr>
              <w:jc w:val="center"/>
              <w:rPr>
                <w:rFonts w:ascii="Arial" w:eastAsia="Times New Roman" w:hAnsi="Arial" w:cs="Arial"/>
                <w:bCs/>
                <w:sz w:val="18"/>
                <w:szCs w:val="18"/>
              </w:rPr>
            </w:pPr>
          </w:p>
        </w:tc>
      </w:tr>
      <w:tr w:rsidR="00C20DDE" w:rsidRPr="002D3252" w14:paraId="179CF1AE" w14:textId="77777777" w:rsidTr="006A100C">
        <w:trPr>
          <w:jc w:val="right"/>
        </w:trPr>
        <w:tc>
          <w:tcPr>
            <w:tcW w:w="1266" w:type="dxa"/>
            <w:tcBorders>
              <w:top w:val="single" w:sz="4" w:space="0" w:color="000000"/>
              <w:bottom w:val="single" w:sz="4" w:space="0" w:color="000000"/>
            </w:tcBorders>
            <w:shd w:val="clear" w:color="auto" w:fill="FFFFFF"/>
          </w:tcPr>
          <w:p w14:paraId="676D37D2"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9 de febrer</w:t>
            </w:r>
          </w:p>
        </w:tc>
        <w:tc>
          <w:tcPr>
            <w:tcW w:w="5255" w:type="dxa"/>
            <w:tcBorders>
              <w:top w:val="single" w:sz="4" w:space="0" w:color="000000"/>
              <w:bottom w:val="single" w:sz="4" w:space="0" w:color="000000"/>
            </w:tcBorders>
            <w:shd w:val="clear" w:color="auto" w:fill="FFFFFF"/>
          </w:tcPr>
          <w:p w14:paraId="640372E4"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publica totes les seues resolucions finals d'investigació en la seua pàgina web</w:t>
            </w:r>
          </w:p>
        </w:tc>
        <w:tc>
          <w:tcPr>
            <w:tcW w:w="1984" w:type="dxa"/>
            <w:tcBorders>
              <w:top w:val="single" w:sz="4" w:space="0" w:color="000000"/>
              <w:bottom w:val="single" w:sz="4" w:space="0" w:color="000000"/>
            </w:tcBorders>
            <w:shd w:val="clear" w:color="auto" w:fill="FFFFFF"/>
          </w:tcPr>
          <w:p w14:paraId="735B7B7A" w14:textId="77777777" w:rsidR="00C20DDE" w:rsidRPr="002D3252" w:rsidRDefault="00254AEC" w:rsidP="00C20DDE">
            <w:pPr>
              <w:jc w:val="center"/>
              <w:rPr>
                <w:rFonts w:ascii="Arial" w:hAnsi="Arial" w:cs="Arial"/>
                <w:sz w:val="18"/>
                <w:szCs w:val="18"/>
              </w:rPr>
            </w:pPr>
            <w:hyperlink r:id="rId143" w:history="1">
              <w:r w:rsidR="00C20DDE" w:rsidRPr="002D3252">
                <w:rPr>
                  <w:rFonts w:ascii="Arial" w:hAnsi="Arial" w:cs="Arial"/>
                  <w:color w:val="000080"/>
                  <w:sz w:val="18"/>
                  <w:szCs w:val="18"/>
                  <w:u w:val="single"/>
                </w:rPr>
                <w:t>https://bit.ly/3IvLhqG</w:t>
              </w:r>
            </w:hyperlink>
          </w:p>
        </w:tc>
      </w:tr>
      <w:tr w:rsidR="00C20DDE" w:rsidRPr="002D3252" w14:paraId="511BFE97" w14:textId="77777777" w:rsidTr="006A100C">
        <w:trPr>
          <w:jc w:val="right"/>
        </w:trPr>
        <w:tc>
          <w:tcPr>
            <w:tcW w:w="1266" w:type="dxa"/>
            <w:tcBorders>
              <w:top w:val="single" w:sz="4" w:space="0" w:color="000000"/>
              <w:bottom w:val="single" w:sz="4" w:space="0" w:color="000000"/>
            </w:tcBorders>
            <w:shd w:val="clear" w:color="auto" w:fill="FFFFFF"/>
          </w:tcPr>
          <w:p w14:paraId="7AF06B83"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23 de febrer</w:t>
            </w:r>
          </w:p>
        </w:tc>
        <w:tc>
          <w:tcPr>
            <w:tcW w:w="5255" w:type="dxa"/>
            <w:tcBorders>
              <w:top w:val="single" w:sz="4" w:space="0" w:color="000000"/>
              <w:bottom w:val="single" w:sz="4" w:space="0" w:color="000000"/>
            </w:tcBorders>
            <w:shd w:val="clear" w:color="auto" w:fill="FFFFFF"/>
          </w:tcPr>
          <w:p w14:paraId="74596F7B"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En 2020 es van presentar 226 denúncies davant l'Agència Valenciana Antifrau, un 34% més que en el 2019</w:t>
            </w:r>
          </w:p>
        </w:tc>
        <w:tc>
          <w:tcPr>
            <w:tcW w:w="1984" w:type="dxa"/>
            <w:tcBorders>
              <w:top w:val="single" w:sz="4" w:space="0" w:color="000000"/>
              <w:bottom w:val="single" w:sz="4" w:space="0" w:color="000000"/>
            </w:tcBorders>
            <w:shd w:val="clear" w:color="auto" w:fill="FFFFFF"/>
          </w:tcPr>
          <w:p w14:paraId="2616BB4B" w14:textId="77777777" w:rsidR="00C20DDE" w:rsidRPr="002D3252" w:rsidRDefault="00254AEC" w:rsidP="00C20DDE">
            <w:pPr>
              <w:jc w:val="center"/>
              <w:rPr>
                <w:rFonts w:ascii="Arial" w:hAnsi="Arial" w:cs="Arial"/>
                <w:sz w:val="18"/>
                <w:szCs w:val="18"/>
              </w:rPr>
            </w:pPr>
            <w:hyperlink r:id="rId144" w:history="1">
              <w:r w:rsidR="00C20DDE" w:rsidRPr="002D3252">
                <w:rPr>
                  <w:rFonts w:ascii="Arial" w:hAnsi="Arial" w:cs="Arial"/>
                  <w:color w:val="000080"/>
                  <w:sz w:val="18"/>
                  <w:szCs w:val="18"/>
                  <w:u w:val="single"/>
                </w:rPr>
                <w:t>https://bit.ly/3Iwtr70</w:t>
              </w:r>
            </w:hyperlink>
          </w:p>
        </w:tc>
      </w:tr>
      <w:tr w:rsidR="00C20DDE" w:rsidRPr="002D3252" w14:paraId="6593FFC2" w14:textId="77777777" w:rsidTr="006A100C">
        <w:trPr>
          <w:jc w:val="right"/>
        </w:trPr>
        <w:tc>
          <w:tcPr>
            <w:tcW w:w="1266" w:type="dxa"/>
            <w:tcBorders>
              <w:top w:val="single" w:sz="4" w:space="0" w:color="000000"/>
              <w:bottom w:val="single" w:sz="4" w:space="0" w:color="000000"/>
            </w:tcBorders>
            <w:shd w:val="clear" w:color="auto" w:fill="FFFFFF"/>
          </w:tcPr>
          <w:p w14:paraId="3A02D899"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4 de març</w:t>
            </w:r>
          </w:p>
        </w:tc>
        <w:tc>
          <w:tcPr>
            <w:tcW w:w="5255" w:type="dxa"/>
            <w:tcBorders>
              <w:top w:val="single" w:sz="4" w:space="0" w:color="000000"/>
              <w:bottom w:val="single" w:sz="4" w:space="0" w:color="000000"/>
            </w:tcBorders>
            <w:shd w:val="clear" w:color="auto" w:fill="FFFFFF"/>
          </w:tcPr>
          <w:p w14:paraId="1A3C3515"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presenta 11 esmenes a la nova Llei de Transparència i Bon Govern de la Comunitat Valenciana</w:t>
            </w:r>
          </w:p>
        </w:tc>
        <w:tc>
          <w:tcPr>
            <w:tcW w:w="1984" w:type="dxa"/>
            <w:tcBorders>
              <w:top w:val="single" w:sz="4" w:space="0" w:color="000000"/>
              <w:bottom w:val="single" w:sz="4" w:space="0" w:color="000000"/>
            </w:tcBorders>
            <w:shd w:val="clear" w:color="auto" w:fill="FFFFFF"/>
          </w:tcPr>
          <w:p w14:paraId="12CD35C2" w14:textId="77777777" w:rsidR="00C20DDE" w:rsidRPr="002D3252" w:rsidRDefault="00254AEC" w:rsidP="00C20DDE">
            <w:pPr>
              <w:jc w:val="center"/>
              <w:rPr>
                <w:rFonts w:ascii="Arial" w:hAnsi="Arial" w:cs="Arial"/>
                <w:sz w:val="18"/>
                <w:szCs w:val="18"/>
              </w:rPr>
            </w:pPr>
            <w:hyperlink r:id="rId145" w:history="1">
              <w:r w:rsidR="00C20DDE" w:rsidRPr="002D3252">
                <w:rPr>
                  <w:rFonts w:ascii="Arial" w:hAnsi="Arial" w:cs="Arial"/>
                  <w:color w:val="000080"/>
                  <w:sz w:val="18"/>
                  <w:szCs w:val="18"/>
                  <w:u w:val="single"/>
                </w:rPr>
                <w:t>https://bit.ly/3K3O8Y6</w:t>
              </w:r>
            </w:hyperlink>
          </w:p>
        </w:tc>
      </w:tr>
      <w:tr w:rsidR="00C20DDE" w:rsidRPr="002D3252" w14:paraId="1249C7A4"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79C79CB9"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11 de març</w:t>
            </w:r>
          </w:p>
        </w:tc>
        <w:tc>
          <w:tcPr>
            <w:tcW w:w="5255" w:type="dxa"/>
            <w:tcBorders>
              <w:top w:val="single" w:sz="4" w:space="0" w:color="000000"/>
              <w:bottom w:val="single" w:sz="4" w:space="0" w:color="000000"/>
            </w:tcBorders>
            <w:shd w:val="clear" w:color="auto" w:fill="FFFFFF"/>
            <w:tcMar>
              <w:bottom w:w="0" w:type="dxa"/>
            </w:tcMar>
          </w:tcPr>
          <w:p w14:paraId="79D470F2"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proposa atorgar la condició de testimoni protegit a les persones denunciants de corrupció en l'Avantprojecte de Llei d'Enjudiciament Criminal</w:t>
            </w:r>
          </w:p>
        </w:tc>
        <w:tc>
          <w:tcPr>
            <w:tcW w:w="1984" w:type="dxa"/>
            <w:tcBorders>
              <w:top w:val="single" w:sz="4" w:space="0" w:color="000000"/>
              <w:bottom w:val="single" w:sz="4" w:space="0" w:color="000000"/>
            </w:tcBorders>
            <w:shd w:val="clear" w:color="auto" w:fill="FFFFFF"/>
          </w:tcPr>
          <w:p w14:paraId="65FDEAF9" w14:textId="77777777" w:rsidR="00C20DDE" w:rsidRPr="002D3252" w:rsidRDefault="00254AEC" w:rsidP="00C20DDE">
            <w:pPr>
              <w:jc w:val="center"/>
              <w:rPr>
                <w:rFonts w:ascii="Arial" w:hAnsi="Arial" w:cs="Arial"/>
                <w:sz w:val="18"/>
                <w:szCs w:val="18"/>
              </w:rPr>
            </w:pPr>
            <w:hyperlink r:id="rId146" w:history="1">
              <w:r w:rsidR="00C20DDE" w:rsidRPr="002D3252">
                <w:rPr>
                  <w:rFonts w:ascii="Arial" w:hAnsi="Arial" w:cs="Arial"/>
                  <w:color w:val="000080"/>
                  <w:sz w:val="18"/>
                  <w:szCs w:val="18"/>
                  <w:u w:val="single"/>
                </w:rPr>
                <w:t>https://bit.ly/3K03ywH</w:t>
              </w:r>
            </w:hyperlink>
          </w:p>
          <w:p w14:paraId="592C446C" w14:textId="77777777" w:rsidR="00C20DDE" w:rsidRPr="002D3252" w:rsidRDefault="00C20DDE" w:rsidP="00C20DDE">
            <w:pPr>
              <w:jc w:val="center"/>
              <w:rPr>
                <w:rFonts w:ascii="Arial" w:eastAsia="Times New Roman" w:hAnsi="Arial" w:cs="Arial"/>
                <w:bCs/>
                <w:sz w:val="18"/>
                <w:szCs w:val="18"/>
              </w:rPr>
            </w:pPr>
          </w:p>
        </w:tc>
      </w:tr>
      <w:tr w:rsidR="00C20DDE" w:rsidRPr="002D3252" w14:paraId="5410EF3D"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337CA157"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lastRenderedPageBreak/>
              <w:t>25 de març</w:t>
            </w:r>
          </w:p>
        </w:tc>
        <w:tc>
          <w:tcPr>
            <w:tcW w:w="5255" w:type="dxa"/>
            <w:tcBorders>
              <w:top w:val="single" w:sz="4" w:space="0" w:color="000000"/>
              <w:bottom w:val="single" w:sz="4" w:space="0" w:color="000000"/>
            </w:tcBorders>
            <w:shd w:val="clear" w:color="auto" w:fill="FFFFFF"/>
            <w:tcMar>
              <w:bottom w:w="0" w:type="dxa"/>
            </w:tcMar>
          </w:tcPr>
          <w:p w14:paraId="4F465A60"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126 persones participen en la jornada sobre enriquiment injust organitzada per Cosital València i l'Agència Valenciana Antifrau</w:t>
            </w:r>
          </w:p>
        </w:tc>
        <w:tc>
          <w:tcPr>
            <w:tcW w:w="1984" w:type="dxa"/>
            <w:tcBorders>
              <w:top w:val="single" w:sz="4" w:space="0" w:color="000000"/>
              <w:bottom w:val="single" w:sz="4" w:space="0" w:color="000000"/>
            </w:tcBorders>
            <w:shd w:val="clear" w:color="auto" w:fill="FFFFFF"/>
          </w:tcPr>
          <w:p w14:paraId="5905F18F" w14:textId="77777777" w:rsidR="00C20DDE" w:rsidRPr="002D3252" w:rsidRDefault="00254AEC" w:rsidP="00C20DDE">
            <w:pPr>
              <w:jc w:val="center"/>
              <w:rPr>
                <w:rFonts w:ascii="Arial" w:hAnsi="Arial" w:cs="Arial"/>
                <w:sz w:val="18"/>
                <w:szCs w:val="18"/>
              </w:rPr>
            </w:pPr>
            <w:hyperlink r:id="rId147" w:history="1">
              <w:r w:rsidR="00C20DDE" w:rsidRPr="002D3252">
                <w:rPr>
                  <w:rFonts w:ascii="Arial" w:hAnsi="Arial" w:cs="Arial"/>
                  <w:color w:val="000080"/>
                  <w:sz w:val="18"/>
                  <w:szCs w:val="18"/>
                  <w:u w:val="single"/>
                </w:rPr>
                <w:t>https://bit.ly/36OF9Mi</w:t>
              </w:r>
            </w:hyperlink>
          </w:p>
        </w:tc>
      </w:tr>
      <w:tr w:rsidR="00C20DDE" w:rsidRPr="002D3252" w14:paraId="19B846DF"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28B6CD68"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30 de març</w:t>
            </w:r>
          </w:p>
        </w:tc>
        <w:tc>
          <w:tcPr>
            <w:tcW w:w="5255" w:type="dxa"/>
            <w:tcBorders>
              <w:top w:val="single" w:sz="4" w:space="0" w:color="000000"/>
              <w:bottom w:val="single" w:sz="4" w:space="0" w:color="000000"/>
            </w:tcBorders>
            <w:shd w:val="clear" w:color="auto" w:fill="FFFFFF"/>
            <w:tcMar>
              <w:bottom w:w="0" w:type="dxa"/>
            </w:tcMar>
          </w:tcPr>
          <w:p w14:paraId="07F2C4E2" w14:textId="7F23E50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 xml:space="preserve">L'Agència Valenciana Antifrau presenta a </w:t>
            </w:r>
            <w:r w:rsidR="00B6627C">
              <w:rPr>
                <w:rFonts w:ascii="Arial" w:hAnsi="Arial" w:cs="Arial"/>
                <w:bCs/>
                <w:sz w:val="18"/>
                <w:szCs w:val="18"/>
              </w:rPr>
              <w:t>l</w:t>
            </w:r>
            <w:r w:rsidRPr="002D3252">
              <w:rPr>
                <w:rFonts w:ascii="Arial" w:hAnsi="Arial" w:cs="Arial"/>
                <w:bCs/>
                <w:sz w:val="18"/>
                <w:szCs w:val="18"/>
              </w:rPr>
              <w:t>es Corts la seua Memòria d'</w:t>
            </w:r>
            <w:r w:rsidR="00A0176E">
              <w:rPr>
                <w:rFonts w:ascii="Arial" w:hAnsi="Arial" w:cs="Arial"/>
                <w:bCs/>
                <w:sz w:val="18"/>
                <w:szCs w:val="18"/>
              </w:rPr>
              <w:t>a</w:t>
            </w:r>
            <w:r w:rsidRPr="002D3252">
              <w:rPr>
                <w:rFonts w:ascii="Arial" w:hAnsi="Arial" w:cs="Arial"/>
                <w:bCs/>
                <w:sz w:val="18"/>
                <w:szCs w:val="18"/>
              </w:rPr>
              <w:t>ctivitat de l'any 2020</w:t>
            </w:r>
          </w:p>
        </w:tc>
        <w:tc>
          <w:tcPr>
            <w:tcW w:w="1984" w:type="dxa"/>
            <w:tcBorders>
              <w:top w:val="single" w:sz="4" w:space="0" w:color="000000"/>
              <w:bottom w:val="single" w:sz="4" w:space="0" w:color="000000"/>
            </w:tcBorders>
            <w:shd w:val="clear" w:color="auto" w:fill="FFFFFF"/>
          </w:tcPr>
          <w:p w14:paraId="0777CB20" w14:textId="77777777" w:rsidR="00C20DDE" w:rsidRPr="002D3252" w:rsidRDefault="00254AEC" w:rsidP="00C20DDE">
            <w:pPr>
              <w:jc w:val="center"/>
              <w:rPr>
                <w:rFonts w:ascii="Arial" w:hAnsi="Arial" w:cs="Arial"/>
                <w:sz w:val="18"/>
                <w:szCs w:val="18"/>
              </w:rPr>
            </w:pPr>
            <w:hyperlink r:id="rId148" w:history="1">
              <w:r w:rsidR="00C20DDE" w:rsidRPr="002D3252">
                <w:rPr>
                  <w:rFonts w:ascii="Arial" w:hAnsi="Arial" w:cs="Arial"/>
                  <w:color w:val="000080"/>
                  <w:sz w:val="18"/>
                  <w:szCs w:val="18"/>
                  <w:u w:val="single"/>
                </w:rPr>
                <w:t>https://bit.ly/3pl2kUY</w:t>
              </w:r>
            </w:hyperlink>
          </w:p>
        </w:tc>
      </w:tr>
      <w:tr w:rsidR="00C20DDE" w:rsidRPr="002D3252" w14:paraId="087DE61A"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4D838DFC"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9 d' abril</w:t>
            </w:r>
          </w:p>
        </w:tc>
        <w:tc>
          <w:tcPr>
            <w:tcW w:w="5255" w:type="dxa"/>
            <w:tcBorders>
              <w:top w:val="single" w:sz="4" w:space="0" w:color="000000"/>
              <w:bottom w:val="single" w:sz="4" w:space="0" w:color="000000"/>
            </w:tcBorders>
            <w:shd w:val="clear" w:color="auto" w:fill="FFFFFF"/>
            <w:tcMar>
              <w:bottom w:w="0" w:type="dxa"/>
            </w:tcMar>
          </w:tcPr>
          <w:p w14:paraId="4AEAE67F"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signa un conveni amb la Fundació Civio per al desenvolupament del projecte SceMaps</w:t>
            </w:r>
          </w:p>
        </w:tc>
        <w:tc>
          <w:tcPr>
            <w:tcW w:w="1984" w:type="dxa"/>
            <w:tcBorders>
              <w:top w:val="single" w:sz="4" w:space="0" w:color="000000"/>
              <w:bottom w:val="single" w:sz="4" w:space="0" w:color="000000"/>
            </w:tcBorders>
            <w:shd w:val="clear" w:color="auto" w:fill="FFFFFF"/>
          </w:tcPr>
          <w:p w14:paraId="309969D5" w14:textId="77777777" w:rsidR="00C20DDE" w:rsidRPr="002D3252" w:rsidRDefault="00254AEC" w:rsidP="00C20DDE">
            <w:pPr>
              <w:jc w:val="center"/>
              <w:rPr>
                <w:rFonts w:ascii="Arial" w:hAnsi="Arial" w:cs="Arial"/>
                <w:sz w:val="18"/>
                <w:szCs w:val="18"/>
              </w:rPr>
            </w:pPr>
            <w:hyperlink r:id="rId149" w:history="1">
              <w:r w:rsidR="00C20DDE" w:rsidRPr="002D3252">
                <w:rPr>
                  <w:rFonts w:ascii="Arial" w:hAnsi="Arial" w:cs="Arial"/>
                  <w:color w:val="000080"/>
                  <w:sz w:val="18"/>
                  <w:szCs w:val="18"/>
                  <w:u w:val="single"/>
                </w:rPr>
                <w:t>https://bit.ly/3MbT5QL</w:t>
              </w:r>
            </w:hyperlink>
          </w:p>
        </w:tc>
      </w:tr>
      <w:tr w:rsidR="00C20DDE" w:rsidRPr="002D3252" w14:paraId="0E068AFF"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60F11F20"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23 d' abril</w:t>
            </w:r>
          </w:p>
        </w:tc>
        <w:tc>
          <w:tcPr>
            <w:tcW w:w="5255" w:type="dxa"/>
            <w:tcBorders>
              <w:top w:val="single" w:sz="4" w:space="0" w:color="000000"/>
              <w:bottom w:val="single" w:sz="4" w:space="0" w:color="000000"/>
            </w:tcBorders>
            <w:shd w:val="clear" w:color="auto" w:fill="FFFFFF"/>
            <w:tcMar>
              <w:bottom w:w="0" w:type="dxa"/>
            </w:tcMar>
          </w:tcPr>
          <w:p w14:paraId="1D440ADC"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El TSJ té per preparat el recurs de cassació de l'Agència Valenciana Antifrau contra la petició d'expedients d'investigació en curs</w:t>
            </w:r>
          </w:p>
        </w:tc>
        <w:tc>
          <w:tcPr>
            <w:tcW w:w="1984" w:type="dxa"/>
            <w:tcBorders>
              <w:top w:val="single" w:sz="4" w:space="0" w:color="000000"/>
              <w:bottom w:val="single" w:sz="4" w:space="0" w:color="000000"/>
            </w:tcBorders>
            <w:shd w:val="clear" w:color="auto" w:fill="FFFFFF"/>
          </w:tcPr>
          <w:p w14:paraId="5661538A" w14:textId="77777777" w:rsidR="00C20DDE" w:rsidRPr="002D3252" w:rsidRDefault="00254AEC" w:rsidP="00C20DDE">
            <w:pPr>
              <w:jc w:val="center"/>
              <w:rPr>
                <w:rFonts w:ascii="Arial" w:hAnsi="Arial" w:cs="Arial"/>
                <w:sz w:val="18"/>
                <w:szCs w:val="18"/>
              </w:rPr>
            </w:pPr>
            <w:hyperlink r:id="rId150" w:history="1">
              <w:r w:rsidR="00C20DDE" w:rsidRPr="002D3252">
                <w:rPr>
                  <w:rFonts w:ascii="Arial" w:hAnsi="Arial" w:cs="Arial"/>
                  <w:color w:val="000080"/>
                  <w:sz w:val="18"/>
                  <w:szCs w:val="18"/>
                  <w:u w:val="single"/>
                </w:rPr>
                <w:t>https://bit.ly/3tnn67E</w:t>
              </w:r>
            </w:hyperlink>
          </w:p>
          <w:p w14:paraId="6ECEC91F" w14:textId="77777777" w:rsidR="00C20DDE" w:rsidRPr="002D3252" w:rsidRDefault="00C20DDE" w:rsidP="00C20DDE">
            <w:pPr>
              <w:jc w:val="center"/>
              <w:rPr>
                <w:rFonts w:ascii="Arial" w:hAnsi="Arial" w:cs="Arial"/>
                <w:sz w:val="18"/>
                <w:szCs w:val="18"/>
              </w:rPr>
            </w:pPr>
          </w:p>
        </w:tc>
      </w:tr>
      <w:tr w:rsidR="00C20DDE" w:rsidRPr="002D3252" w14:paraId="18265414"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2C0F1F4C"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29 d' abril</w:t>
            </w:r>
          </w:p>
        </w:tc>
        <w:tc>
          <w:tcPr>
            <w:tcW w:w="5255" w:type="dxa"/>
            <w:tcBorders>
              <w:top w:val="single" w:sz="4" w:space="0" w:color="000000"/>
              <w:bottom w:val="single" w:sz="4" w:space="0" w:color="000000"/>
            </w:tcBorders>
            <w:shd w:val="clear" w:color="auto" w:fill="FFFFFF"/>
            <w:tcMar>
              <w:bottom w:w="0" w:type="dxa"/>
            </w:tcMar>
          </w:tcPr>
          <w:p w14:paraId="5B306519"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a Benetússer</w:t>
            </w:r>
          </w:p>
        </w:tc>
        <w:tc>
          <w:tcPr>
            <w:tcW w:w="1984" w:type="dxa"/>
            <w:tcBorders>
              <w:top w:val="single" w:sz="4" w:space="0" w:color="000000"/>
              <w:bottom w:val="single" w:sz="4" w:space="0" w:color="000000"/>
            </w:tcBorders>
            <w:shd w:val="clear" w:color="auto" w:fill="FFFFFF"/>
          </w:tcPr>
          <w:p w14:paraId="6AA35CA7" w14:textId="77777777" w:rsidR="00C20DDE" w:rsidRPr="002D3252" w:rsidRDefault="00254AEC" w:rsidP="00C20DDE">
            <w:pPr>
              <w:jc w:val="center"/>
              <w:rPr>
                <w:rFonts w:ascii="Arial" w:hAnsi="Arial" w:cs="Arial"/>
                <w:sz w:val="18"/>
                <w:szCs w:val="18"/>
              </w:rPr>
            </w:pPr>
            <w:hyperlink r:id="rId151" w:history="1">
              <w:r w:rsidR="00C20DDE" w:rsidRPr="002D3252">
                <w:rPr>
                  <w:rFonts w:ascii="Arial" w:hAnsi="Arial" w:cs="Arial"/>
                  <w:color w:val="000080"/>
                  <w:sz w:val="18"/>
                  <w:szCs w:val="18"/>
                  <w:u w:val="single"/>
                </w:rPr>
                <w:t>https://bit.ly/3suL4OI</w:t>
              </w:r>
            </w:hyperlink>
          </w:p>
        </w:tc>
      </w:tr>
      <w:tr w:rsidR="00C20DDE" w:rsidRPr="002D3252" w14:paraId="5F160B19"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11743BD7"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29 d' abril</w:t>
            </w:r>
          </w:p>
        </w:tc>
        <w:tc>
          <w:tcPr>
            <w:tcW w:w="5255" w:type="dxa"/>
            <w:tcBorders>
              <w:top w:val="single" w:sz="4" w:space="0" w:color="000000"/>
              <w:bottom w:val="single" w:sz="4" w:space="0" w:color="000000"/>
            </w:tcBorders>
            <w:shd w:val="clear" w:color="auto" w:fill="FFFFFF"/>
            <w:tcMar>
              <w:bottom w:w="0" w:type="dxa"/>
            </w:tcMar>
          </w:tcPr>
          <w:p w14:paraId="33285FE7"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Quarta reunió del Consell de Participació de l'Agència Valenciana Antifrau</w:t>
            </w:r>
          </w:p>
        </w:tc>
        <w:tc>
          <w:tcPr>
            <w:tcW w:w="1984" w:type="dxa"/>
            <w:tcBorders>
              <w:top w:val="single" w:sz="4" w:space="0" w:color="000000"/>
              <w:bottom w:val="single" w:sz="4" w:space="0" w:color="000000"/>
            </w:tcBorders>
            <w:shd w:val="clear" w:color="auto" w:fill="FFFFFF"/>
          </w:tcPr>
          <w:p w14:paraId="2EF3EE9F" w14:textId="77777777" w:rsidR="00C20DDE" w:rsidRPr="002D3252" w:rsidRDefault="00254AEC" w:rsidP="00C20DDE">
            <w:pPr>
              <w:jc w:val="center"/>
              <w:rPr>
                <w:rFonts w:ascii="Arial" w:hAnsi="Arial" w:cs="Arial"/>
                <w:sz w:val="18"/>
                <w:szCs w:val="18"/>
              </w:rPr>
            </w:pPr>
            <w:hyperlink r:id="rId152" w:history="1">
              <w:r w:rsidR="00C20DDE" w:rsidRPr="002D3252">
                <w:rPr>
                  <w:rFonts w:ascii="Arial" w:hAnsi="Arial" w:cs="Arial"/>
                  <w:color w:val="000080"/>
                  <w:sz w:val="18"/>
                  <w:szCs w:val="18"/>
                  <w:u w:val="single"/>
                </w:rPr>
                <w:t>https://bit.ly/3BZaIOQ</w:t>
              </w:r>
            </w:hyperlink>
          </w:p>
        </w:tc>
      </w:tr>
      <w:tr w:rsidR="00C20DDE" w:rsidRPr="002D3252" w14:paraId="628CFB81"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6BB4A6E8"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5 de maig</w:t>
            </w:r>
          </w:p>
        </w:tc>
        <w:tc>
          <w:tcPr>
            <w:tcW w:w="5255" w:type="dxa"/>
            <w:tcBorders>
              <w:top w:val="single" w:sz="4" w:space="0" w:color="000000"/>
              <w:bottom w:val="single" w:sz="4" w:space="0" w:color="000000"/>
            </w:tcBorders>
            <w:shd w:val="clear" w:color="auto" w:fill="FFFFFF"/>
            <w:tcMar>
              <w:bottom w:w="0" w:type="dxa"/>
            </w:tcMar>
          </w:tcPr>
          <w:p w14:paraId="0C73F08B"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Més de 900 persones reben formació de l'Agència Valenciana Antifrau en ètica i integritat pública</w:t>
            </w:r>
          </w:p>
        </w:tc>
        <w:tc>
          <w:tcPr>
            <w:tcW w:w="1984" w:type="dxa"/>
            <w:tcBorders>
              <w:top w:val="single" w:sz="4" w:space="0" w:color="000000"/>
              <w:bottom w:val="single" w:sz="4" w:space="0" w:color="000000"/>
            </w:tcBorders>
            <w:shd w:val="clear" w:color="auto" w:fill="FFFFFF"/>
          </w:tcPr>
          <w:p w14:paraId="56DFCB74" w14:textId="77777777" w:rsidR="00C20DDE" w:rsidRPr="002D3252" w:rsidRDefault="00254AEC" w:rsidP="00C20DDE">
            <w:pPr>
              <w:jc w:val="center"/>
              <w:rPr>
                <w:rFonts w:ascii="Arial" w:eastAsia="Times New Roman" w:hAnsi="Arial" w:cs="Arial"/>
                <w:bCs/>
                <w:sz w:val="18"/>
                <w:szCs w:val="18"/>
              </w:rPr>
            </w:pPr>
            <w:hyperlink r:id="rId153" w:history="1">
              <w:r w:rsidR="00C20DDE" w:rsidRPr="002D3252">
                <w:rPr>
                  <w:rFonts w:ascii="Arial" w:hAnsi="Arial" w:cs="Arial"/>
                  <w:color w:val="000080"/>
                  <w:sz w:val="18"/>
                  <w:szCs w:val="18"/>
                  <w:u w:val="single"/>
                </w:rPr>
                <w:t>https://bit.ly/3K2BloZ</w:t>
              </w:r>
            </w:hyperlink>
          </w:p>
        </w:tc>
      </w:tr>
      <w:tr w:rsidR="00C20DDE" w:rsidRPr="002D3252" w14:paraId="61AE1646"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55995FF3"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14 de maig</w:t>
            </w:r>
          </w:p>
        </w:tc>
        <w:tc>
          <w:tcPr>
            <w:tcW w:w="5255" w:type="dxa"/>
            <w:tcBorders>
              <w:top w:val="single" w:sz="4" w:space="0" w:color="000000"/>
              <w:bottom w:val="single" w:sz="4" w:space="0" w:color="000000"/>
            </w:tcBorders>
            <w:shd w:val="clear" w:color="auto" w:fill="FFFFFF"/>
            <w:tcMar>
              <w:bottom w:w="0" w:type="dxa"/>
            </w:tcMar>
          </w:tcPr>
          <w:p w14:paraId="7802D02E"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va celebrar un nou webinar dedicat a la Bústia de Denúncies</w:t>
            </w:r>
          </w:p>
        </w:tc>
        <w:tc>
          <w:tcPr>
            <w:tcW w:w="1984" w:type="dxa"/>
            <w:tcBorders>
              <w:top w:val="single" w:sz="4" w:space="0" w:color="000000"/>
              <w:bottom w:val="single" w:sz="4" w:space="0" w:color="000000"/>
            </w:tcBorders>
            <w:shd w:val="clear" w:color="auto" w:fill="FFFFFF"/>
          </w:tcPr>
          <w:p w14:paraId="1EF96BED" w14:textId="77777777" w:rsidR="00C20DDE" w:rsidRPr="002D3252" w:rsidRDefault="00254AEC" w:rsidP="00C20DDE">
            <w:pPr>
              <w:jc w:val="center"/>
              <w:rPr>
                <w:rFonts w:ascii="Arial" w:eastAsia="Times New Roman" w:hAnsi="Arial" w:cs="Arial"/>
                <w:bCs/>
                <w:sz w:val="18"/>
                <w:szCs w:val="18"/>
              </w:rPr>
            </w:pPr>
            <w:hyperlink r:id="rId154" w:history="1">
              <w:r w:rsidR="00C20DDE" w:rsidRPr="002D3252">
                <w:rPr>
                  <w:rFonts w:ascii="Arial" w:hAnsi="Arial" w:cs="Arial"/>
                  <w:color w:val="000080"/>
                  <w:sz w:val="18"/>
                  <w:szCs w:val="18"/>
                  <w:u w:val="single"/>
                </w:rPr>
                <w:t>https://bit.ly/3pns3Mi</w:t>
              </w:r>
            </w:hyperlink>
          </w:p>
        </w:tc>
      </w:tr>
      <w:tr w:rsidR="00C20DDE" w:rsidRPr="002D3252" w14:paraId="33E9641B"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6E995797"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18 de maig</w:t>
            </w:r>
          </w:p>
        </w:tc>
        <w:tc>
          <w:tcPr>
            <w:tcW w:w="5255" w:type="dxa"/>
            <w:tcBorders>
              <w:top w:val="single" w:sz="4" w:space="0" w:color="000000"/>
              <w:bottom w:val="single" w:sz="4" w:space="0" w:color="000000"/>
            </w:tcBorders>
            <w:shd w:val="clear" w:color="auto" w:fill="FFFFFF"/>
            <w:tcMar>
              <w:bottom w:w="0" w:type="dxa"/>
            </w:tcMar>
          </w:tcPr>
          <w:p w14:paraId="0BC225BC"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"Covid-19, drets i responsabilitats", a debat l'impacte de la pandèmia en el sistema de drets civils, socials i polítics en la primera de les jornades UV- AVAF</w:t>
            </w:r>
          </w:p>
        </w:tc>
        <w:tc>
          <w:tcPr>
            <w:tcW w:w="1984" w:type="dxa"/>
            <w:tcBorders>
              <w:top w:val="single" w:sz="4" w:space="0" w:color="000000"/>
              <w:bottom w:val="single" w:sz="4" w:space="0" w:color="000000"/>
            </w:tcBorders>
            <w:shd w:val="clear" w:color="auto" w:fill="FFFFFF"/>
          </w:tcPr>
          <w:p w14:paraId="322E43BC" w14:textId="77777777" w:rsidR="00C20DDE" w:rsidRPr="002D3252" w:rsidRDefault="00254AEC" w:rsidP="00C20DDE">
            <w:pPr>
              <w:jc w:val="center"/>
              <w:rPr>
                <w:rFonts w:ascii="Arial" w:eastAsia="Times New Roman" w:hAnsi="Arial" w:cs="Arial"/>
                <w:bCs/>
                <w:sz w:val="18"/>
                <w:szCs w:val="18"/>
              </w:rPr>
            </w:pPr>
            <w:hyperlink r:id="rId155" w:history="1">
              <w:r w:rsidR="00C20DDE" w:rsidRPr="002D3252">
                <w:rPr>
                  <w:rFonts w:ascii="Arial" w:hAnsi="Arial" w:cs="Arial"/>
                  <w:color w:val="000080"/>
                  <w:sz w:val="18"/>
                  <w:szCs w:val="18"/>
                  <w:u w:val="single"/>
                </w:rPr>
                <w:t>https://bit.ly/3srB6ha</w:t>
              </w:r>
            </w:hyperlink>
          </w:p>
        </w:tc>
      </w:tr>
      <w:tr w:rsidR="00C20DDE" w:rsidRPr="002D3252" w14:paraId="4CA0AA97"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1BB22D5D"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25 de maig</w:t>
            </w:r>
          </w:p>
        </w:tc>
        <w:tc>
          <w:tcPr>
            <w:tcW w:w="5255" w:type="dxa"/>
            <w:tcBorders>
              <w:top w:val="single" w:sz="4" w:space="0" w:color="000000"/>
              <w:bottom w:val="single" w:sz="4" w:space="0" w:color="000000"/>
            </w:tcBorders>
            <w:shd w:val="clear" w:color="auto" w:fill="FFFFFF"/>
            <w:tcMar>
              <w:bottom w:w="0" w:type="dxa"/>
            </w:tcMar>
          </w:tcPr>
          <w:p w14:paraId="1D82FC30"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El 32% de les denúncies presentades en l'Agència Valenciana Antifrau durant l'any 2020 van ser sobre contractació pública</w:t>
            </w:r>
          </w:p>
        </w:tc>
        <w:tc>
          <w:tcPr>
            <w:tcW w:w="1984" w:type="dxa"/>
            <w:tcBorders>
              <w:top w:val="single" w:sz="4" w:space="0" w:color="000000"/>
              <w:bottom w:val="single" w:sz="4" w:space="0" w:color="000000"/>
            </w:tcBorders>
            <w:shd w:val="clear" w:color="auto" w:fill="FFFFFF"/>
          </w:tcPr>
          <w:p w14:paraId="45118824" w14:textId="77777777" w:rsidR="00C20DDE" w:rsidRPr="002D3252" w:rsidRDefault="00254AEC" w:rsidP="00C20DDE">
            <w:pPr>
              <w:jc w:val="center"/>
              <w:rPr>
                <w:rFonts w:ascii="Arial" w:eastAsia="Times New Roman" w:hAnsi="Arial" w:cs="Arial"/>
                <w:bCs/>
                <w:sz w:val="18"/>
                <w:szCs w:val="18"/>
              </w:rPr>
            </w:pPr>
            <w:hyperlink r:id="rId156" w:history="1">
              <w:r w:rsidR="00C20DDE" w:rsidRPr="002D3252">
                <w:rPr>
                  <w:rFonts w:ascii="Arial" w:hAnsi="Arial" w:cs="Arial"/>
                  <w:color w:val="000080"/>
                  <w:sz w:val="18"/>
                  <w:szCs w:val="18"/>
                  <w:u w:val="single"/>
                </w:rPr>
                <w:t>https://bit.ly/3po04fq</w:t>
              </w:r>
            </w:hyperlink>
          </w:p>
        </w:tc>
      </w:tr>
      <w:tr w:rsidR="00C20DDE" w:rsidRPr="002D3252" w14:paraId="724E5AA2"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4ABD30B5"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3 de juny</w:t>
            </w:r>
          </w:p>
        </w:tc>
        <w:tc>
          <w:tcPr>
            <w:tcW w:w="5255" w:type="dxa"/>
            <w:tcBorders>
              <w:top w:val="single" w:sz="4" w:space="0" w:color="000000"/>
              <w:bottom w:val="single" w:sz="4" w:space="0" w:color="000000"/>
            </w:tcBorders>
            <w:shd w:val="clear" w:color="auto" w:fill="FFFFFF"/>
            <w:tcMar>
              <w:bottom w:w="0" w:type="dxa"/>
            </w:tcMar>
          </w:tcPr>
          <w:p w14:paraId="57025F07"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Covid-19 i drets fonamentals, protagonistes a Unisocietat Alzira</w:t>
            </w:r>
          </w:p>
        </w:tc>
        <w:tc>
          <w:tcPr>
            <w:tcW w:w="1984" w:type="dxa"/>
            <w:tcBorders>
              <w:top w:val="single" w:sz="4" w:space="0" w:color="000000"/>
              <w:bottom w:val="single" w:sz="4" w:space="0" w:color="000000"/>
            </w:tcBorders>
            <w:shd w:val="clear" w:color="auto" w:fill="FFFFFF"/>
          </w:tcPr>
          <w:p w14:paraId="11047021" w14:textId="77777777" w:rsidR="00C20DDE" w:rsidRPr="002D3252" w:rsidRDefault="00254AEC" w:rsidP="00C20DDE">
            <w:pPr>
              <w:jc w:val="center"/>
              <w:rPr>
                <w:rFonts w:ascii="Arial" w:eastAsia="Times New Roman" w:hAnsi="Arial" w:cs="Arial"/>
                <w:bCs/>
                <w:sz w:val="18"/>
                <w:szCs w:val="18"/>
              </w:rPr>
            </w:pPr>
            <w:hyperlink r:id="rId157" w:history="1">
              <w:r w:rsidR="00C20DDE" w:rsidRPr="002D3252">
                <w:rPr>
                  <w:rFonts w:ascii="Arial" w:hAnsi="Arial" w:cs="Arial"/>
                  <w:color w:val="000080"/>
                  <w:sz w:val="18"/>
                  <w:szCs w:val="18"/>
                  <w:u w:val="single"/>
                </w:rPr>
                <w:t>https://bit.ly/3vp1YAl</w:t>
              </w:r>
            </w:hyperlink>
          </w:p>
        </w:tc>
      </w:tr>
      <w:tr w:rsidR="00C20DDE" w:rsidRPr="002D3252" w14:paraId="40AB6C34"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42F7DEFB"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3 de juny</w:t>
            </w:r>
          </w:p>
        </w:tc>
        <w:tc>
          <w:tcPr>
            <w:tcW w:w="5255" w:type="dxa"/>
            <w:tcBorders>
              <w:top w:val="single" w:sz="4" w:space="0" w:color="000000"/>
              <w:bottom w:val="single" w:sz="4" w:space="0" w:color="000000"/>
            </w:tcBorders>
            <w:shd w:val="clear" w:color="auto" w:fill="FFFFFF"/>
            <w:tcMar>
              <w:bottom w:w="0" w:type="dxa"/>
            </w:tcMar>
          </w:tcPr>
          <w:p w14:paraId="3A320CD7"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Els mecanismes de control públic dels Fons Europeus Next Generation</w:t>
            </w:r>
          </w:p>
        </w:tc>
        <w:tc>
          <w:tcPr>
            <w:tcW w:w="1984" w:type="dxa"/>
            <w:tcBorders>
              <w:top w:val="single" w:sz="4" w:space="0" w:color="000000"/>
              <w:bottom w:val="single" w:sz="4" w:space="0" w:color="000000"/>
            </w:tcBorders>
            <w:shd w:val="clear" w:color="auto" w:fill="FFFFFF"/>
          </w:tcPr>
          <w:p w14:paraId="2D235CCA" w14:textId="77777777" w:rsidR="00C20DDE" w:rsidRPr="002D3252" w:rsidRDefault="00254AEC" w:rsidP="00C20DDE">
            <w:pPr>
              <w:jc w:val="center"/>
              <w:rPr>
                <w:rFonts w:ascii="Arial" w:eastAsia="Times New Roman" w:hAnsi="Arial" w:cs="Arial"/>
                <w:bCs/>
                <w:sz w:val="18"/>
                <w:szCs w:val="18"/>
              </w:rPr>
            </w:pPr>
            <w:hyperlink r:id="rId158" w:history="1">
              <w:r w:rsidR="00C20DDE" w:rsidRPr="002D3252">
                <w:rPr>
                  <w:rFonts w:ascii="Arial" w:hAnsi="Arial" w:cs="Arial"/>
                  <w:color w:val="000080"/>
                  <w:sz w:val="18"/>
                  <w:szCs w:val="18"/>
                  <w:u w:val="single"/>
                </w:rPr>
                <w:t>https://bit.ly/3JZqk7O</w:t>
              </w:r>
            </w:hyperlink>
          </w:p>
        </w:tc>
      </w:tr>
      <w:tr w:rsidR="00C20DDE" w:rsidRPr="002D3252" w14:paraId="14E89C79"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0B62D0EC"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11 de juny</w:t>
            </w:r>
          </w:p>
        </w:tc>
        <w:tc>
          <w:tcPr>
            <w:tcW w:w="5255" w:type="dxa"/>
            <w:tcBorders>
              <w:top w:val="single" w:sz="4" w:space="0" w:color="000000"/>
              <w:bottom w:val="single" w:sz="4" w:space="0" w:color="000000"/>
            </w:tcBorders>
            <w:shd w:val="clear" w:color="auto" w:fill="FFFFFF"/>
            <w:tcMar>
              <w:bottom w:w="0" w:type="dxa"/>
            </w:tcMar>
          </w:tcPr>
          <w:p w14:paraId="68F5B2E4"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Agències i oficines antifrau demanen una Estratègia Estatal de Lluita contra la Corrupció</w:t>
            </w:r>
          </w:p>
        </w:tc>
        <w:tc>
          <w:tcPr>
            <w:tcW w:w="1984" w:type="dxa"/>
            <w:tcBorders>
              <w:top w:val="single" w:sz="4" w:space="0" w:color="000000"/>
              <w:bottom w:val="single" w:sz="4" w:space="0" w:color="000000"/>
            </w:tcBorders>
            <w:shd w:val="clear" w:color="auto" w:fill="FFFFFF"/>
          </w:tcPr>
          <w:p w14:paraId="34DCC7C5" w14:textId="77777777" w:rsidR="00C20DDE" w:rsidRPr="002D3252" w:rsidRDefault="00254AEC" w:rsidP="00C20DDE">
            <w:pPr>
              <w:jc w:val="center"/>
              <w:rPr>
                <w:rFonts w:ascii="Arial" w:eastAsia="Times New Roman" w:hAnsi="Arial" w:cs="Arial"/>
                <w:bCs/>
                <w:sz w:val="18"/>
                <w:szCs w:val="18"/>
              </w:rPr>
            </w:pPr>
            <w:hyperlink r:id="rId159" w:history="1">
              <w:r w:rsidR="00C20DDE" w:rsidRPr="002D3252">
                <w:rPr>
                  <w:rFonts w:ascii="Arial" w:hAnsi="Arial" w:cs="Arial"/>
                  <w:color w:val="000080"/>
                  <w:sz w:val="18"/>
                  <w:szCs w:val="18"/>
                  <w:u w:val="single"/>
                </w:rPr>
                <w:t>https://bit.ly/35blDt1</w:t>
              </w:r>
            </w:hyperlink>
          </w:p>
        </w:tc>
      </w:tr>
      <w:tr w:rsidR="00C20DDE" w:rsidRPr="002D3252" w14:paraId="3EFACAF9"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3AC78182"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14 de juny</w:t>
            </w:r>
          </w:p>
        </w:tc>
        <w:tc>
          <w:tcPr>
            <w:tcW w:w="5255" w:type="dxa"/>
            <w:tcBorders>
              <w:top w:val="single" w:sz="4" w:space="0" w:color="000000"/>
              <w:bottom w:val="single" w:sz="4" w:space="0" w:color="000000"/>
            </w:tcBorders>
            <w:shd w:val="clear" w:color="auto" w:fill="FFFFFF"/>
            <w:tcMar>
              <w:bottom w:w="0" w:type="dxa"/>
            </w:tcMar>
          </w:tcPr>
          <w:p w14:paraId="12C030DF"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El TSJ-CV acorda la inadmissió del recurs de l'Ajuntament d'Orihuela contra la resolució de l'AVAF</w:t>
            </w:r>
          </w:p>
        </w:tc>
        <w:tc>
          <w:tcPr>
            <w:tcW w:w="1984" w:type="dxa"/>
            <w:tcBorders>
              <w:top w:val="single" w:sz="4" w:space="0" w:color="000000"/>
              <w:bottom w:val="single" w:sz="4" w:space="0" w:color="000000"/>
            </w:tcBorders>
            <w:shd w:val="clear" w:color="auto" w:fill="FFFFFF"/>
          </w:tcPr>
          <w:p w14:paraId="721F89EA" w14:textId="77777777" w:rsidR="00C20DDE" w:rsidRPr="002D3252" w:rsidRDefault="00254AEC" w:rsidP="00C20DDE">
            <w:pPr>
              <w:jc w:val="center"/>
              <w:rPr>
                <w:rFonts w:ascii="Arial" w:eastAsia="Times New Roman" w:hAnsi="Arial" w:cs="Arial"/>
                <w:bCs/>
                <w:sz w:val="18"/>
                <w:szCs w:val="18"/>
              </w:rPr>
            </w:pPr>
            <w:hyperlink r:id="rId160" w:history="1">
              <w:r w:rsidR="00C20DDE" w:rsidRPr="002D3252">
                <w:rPr>
                  <w:rFonts w:ascii="Arial" w:hAnsi="Arial" w:cs="Arial"/>
                  <w:color w:val="000080"/>
                  <w:sz w:val="18"/>
                  <w:szCs w:val="18"/>
                  <w:u w:val="single"/>
                </w:rPr>
                <w:t>https://bit.ly/3vqhPPh</w:t>
              </w:r>
            </w:hyperlink>
          </w:p>
        </w:tc>
      </w:tr>
      <w:tr w:rsidR="00C20DDE" w:rsidRPr="002D3252" w14:paraId="0A1B09A4"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36497AC4"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17 de juny</w:t>
            </w:r>
          </w:p>
        </w:tc>
        <w:tc>
          <w:tcPr>
            <w:tcW w:w="5255" w:type="dxa"/>
            <w:tcBorders>
              <w:top w:val="single" w:sz="4" w:space="0" w:color="000000"/>
              <w:bottom w:val="single" w:sz="4" w:space="0" w:color="000000"/>
            </w:tcBorders>
            <w:shd w:val="clear" w:color="auto" w:fill="FFFFFF"/>
            <w:tcMar>
              <w:bottom w:w="0" w:type="dxa"/>
            </w:tcMar>
          </w:tcPr>
          <w:p w14:paraId="3BF76F8B"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L'AVAF participa en dos grups de treball de la Xarxa NEIWA</w:t>
            </w:r>
          </w:p>
        </w:tc>
        <w:tc>
          <w:tcPr>
            <w:tcW w:w="1984" w:type="dxa"/>
            <w:tcBorders>
              <w:top w:val="single" w:sz="4" w:space="0" w:color="000000"/>
              <w:bottom w:val="single" w:sz="4" w:space="0" w:color="000000"/>
            </w:tcBorders>
            <w:shd w:val="clear" w:color="auto" w:fill="FFFFFF"/>
          </w:tcPr>
          <w:p w14:paraId="1E7F0622" w14:textId="77777777" w:rsidR="00C20DDE" w:rsidRPr="002D3252" w:rsidRDefault="00254AEC" w:rsidP="00C20DDE">
            <w:pPr>
              <w:jc w:val="center"/>
              <w:rPr>
                <w:rFonts w:ascii="Arial" w:eastAsia="Times New Roman" w:hAnsi="Arial" w:cs="Arial"/>
                <w:bCs/>
                <w:sz w:val="18"/>
                <w:szCs w:val="18"/>
              </w:rPr>
            </w:pPr>
            <w:hyperlink r:id="rId161" w:history="1">
              <w:r w:rsidR="00C20DDE" w:rsidRPr="002D3252">
                <w:rPr>
                  <w:rFonts w:ascii="Arial" w:hAnsi="Arial" w:cs="Arial"/>
                  <w:color w:val="000080"/>
                  <w:sz w:val="18"/>
                  <w:szCs w:val="18"/>
                  <w:u w:val="single"/>
                </w:rPr>
                <w:t>https://bit.ly/35As2xq</w:t>
              </w:r>
            </w:hyperlink>
          </w:p>
        </w:tc>
      </w:tr>
      <w:tr w:rsidR="00C20DDE" w:rsidRPr="002D3252" w14:paraId="35F013A3"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4A4D9066"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17 de juny</w:t>
            </w:r>
          </w:p>
        </w:tc>
        <w:tc>
          <w:tcPr>
            <w:tcW w:w="5255" w:type="dxa"/>
            <w:tcBorders>
              <w:top w:val="single" w:sz="4" w:space="0" w:color="000000"/>
              <w:bottom w:val="single" w:sz="4" w:space="0" w:color="000000"/>
            </w:tcBorders>
            <w:shd w:val="clear" w:color="auto" w:fill="FFFFFF"/>
            <w:tcMar>
              <w:bottom w:w="0" w:type="dxa"/>
            </w:tcMar>
          </w:tcPr>
          <w:p w14:paraId="1CA97F42"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El TSJ-CV qüestiona al Síndic de Greuges que hagi examinat una queixa contra l'Agència Valenciana Antifrau quan està pendent de resolució judicial</w:t>
            </w:r>
          </w:p>
        </w:tc>
        <w:tc>
          <w:tcPr>
            <w:tcW w:w="1984" w:type="dxa"/>
            <w:tcBorders>
              <w:top w:val="single" w:sz="4" w:space="0" w:color="000000"/>
              <w:bottom w:val="single" w:sz="4" w:space="0" w:color="000000"/>
            </w:tcBorders>
            <w:shd w:val="clear" w:color="auto" w:fill="FFFFFF"/>
          </w:tcPr>
          <w:p w14:paraId="2D83D787" w14:textId="77777777" w:rsidR="00C20DDE" w:rsidRPr="002D3252" w:rsidRDefault="00254AEC" w:rsidP="00C20DDE">
            <w:pPr>
              <w:jc w:val="center"/>
              <w:rPr>
                <w:rFonts w:ascii="Arial" w:eastAsia="Times New Roman" w:hAnsi="Arial" w:cs="Arial"/>
                <w:bCs/>
                <w:sz w:val="18"/>
                <w:szCs w:val="18"/>
              </w:rPr>
            </w:pPr>
            <w:hyperlink r:id="rId162" w:history="1">
              <w:r w:rsidR="00C20DDE" w:rsidRPr="002D3252">
                <w:rPr>
                  <w:rFonts w:ascii="Arial" w:hAnsi="Arial" w:cs="Arial"/>
                  <w:color w:val="000080"/>
                  <w:sz w:val="18"/>
                  <w:szCs w:val="18"/>
                  <w:u w:val="single"/>
                </w:rPr>
                <w:t>https://bit.ly/3hngoJ0</w:t>
              </w:r>
            </w:hyperlink>
          </w:p>
        </w:tc>
      </w:tr>
      <w:tr w:rsidR="00C20DDE" w:rsidRPr="002D3252" w14:paraId="27122A19"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562E1387"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13 de juliol</w:t>
            </w:r>
          </w:p>
        </w:tc>
        <w:tc>
          <w:tcPr>
            <w:tcW w:w="5255" w:type="dxa"/>
            <w:tcBorders>
              <w:top w:val="single" w:sz="4" w:space="0" w:color="000000"/>
              <w:bottom w:val="single" w:sz="4" w:space="0" w:color="000000"/>
            </w:tcBorders>
            <w:shd w:val="clear" w:color="auto" w:fill="FFFFFF"/>
            <w:tcMar>
              <w:bottom w:w="0" w:type="dxa"/>
            </w:tcMar>
          </w:tcPr>
          <w:p w14:paraId="40B00E8A"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 UPV i l'Agència Valenciana Antifrau impulsen la formació i la investigació en l'àmbit de la lluita contra el frau</w:t>
            </w:r>
          </w:p>
        </w:tc>
        <w:tc>
          <w:tcPr>
            <w:tcW w:w="1984" w:type="dxa"/>
            <w:tcBorders>
              <w:top w:val="single" w:sz="4" w:space="0" w:color="000000"/>
              <w:bottom w:val="single" w:sz="4" w:space="0" w:color="000000"/>
            </w:tcBorders>
            <w:shd w:val="clear" w:color="auto" w:fill="FFFFFF"/>
          </w:tcPr>
          <w:p w14:paraId="3D2A9E92" w14:textId="77777777" w:rsidR="00C20DDE" w:rsidRPr="002D3252" w:rsidRDefault="00254AEC" w:rsidP="00C20DDE">
            <w:pPr>
              <w:jc w:val="center"/>
              <w:rPr>
                <w:rFonts w:ascii="Arial" w:eastAsia="Times New Roman" w:hAnsi="Arial" w:cs="Arial"/>
                <w:bCs/>
                <w:sz w:val="18"/>
                <w:szCs w:val="18"/>
              </w:rPr>
            </w:pPr>
            <w:hyperlink r:id="rId163" w:history="1">
              <w:r w:rsidR="00C20DDE" w:rsidRPr="002D3252">
                <w:rPr>
                  <w:rFonts w:ascii="Arial" w:hAnsi="Arial" w:cs="Arial"/>
                  <w:color w:val="000080"/>
                  <w:sz w:val="18"/>
                  <w:szCs w:val="18"/>
                  <w:u w:val="single"/>
                </w:rPr>
                <w:t>https://bit.ly/35zYiRA</w:t>
              </w:r>
            </w:hyperlink>
          </w:p>
        </w:tc>
      </w:tr>
      <w:tr w:rsidR="00C20DDE" w:rsidRPr="002D3252" w14:paraId="254327C7"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7EE5B980"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21 de juliol</w:t>
            </w:r>
          </w:p>
        </w:tc>
        <w:tc>
          <w:tcPr>
            <w:tcW w:w="5255" w:type="dxa"/>
            <w:tcBorders>
              <w:top w:val="single" w:sz="4" w:space="0" w:color="000000"/>
              <w:bottom w:val="single" w:sz="4" w:space="0" w:color="000000"/>
            </w:tcBorders>
            <w:shd w:val="clear" w:color="auto" w:fill="FFFFFF"/>
            <w:tcMar>
              <w:bottom w:w="0" w:type="dxa"/>
            </w:tcMar>
          </w:tcPr>
          <w:p w14:paraId="4E0A5B16"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signa la Declaració d'Utrecht al costat de 26 agències antifrau europees</w:t>
            </w:r>
          </w:p>
        </w:tc>
        <w:tc>
          <w:tcPr>
            <w:tcW w:w="1984" w:type="dxa"/>
            <w:tcBorders>
              <w:top w:val="single" w:sz="4" w:space="0" w:color="000000"/>
              <w:bottom w:val="single" w:sz="4" w:space="0" w:color="000000"/>
            </w:tcBorders>
            <w:shd w:val="clear" w:color="auto" w:fill="FFFFFF"/>
          </w:tcPr>
          <w:p w14:paraId="7E5530EE" w14:textId="77777777" w:rsidR="00C20DDE" w:rsidRPr="002D3252" w:rsidRDefault="00254AEC" w:rsidP="00C20DDE">
            <w:pPr>
              <w:jc w:val="center"/>
              <w:rPr>
                <w:rFonts w:ascii="Arial" w:eastAsia="Times New Roman" w:hAnsi="Arial" w:cs="Arial"/>
                <w:bCs/>
                <w:sz w:val="18"/>
                <w:szCs w:val="18"/>
              </w:rPr>
            </w:pPr>
            <w:hyperlink r:id="rId164" w:history="1">
              <w:r w:rsidR="00C20DDE" w:rsidRPr="002D3252">
                <w:rPr>
                  <w:rFonts w:ascii="Arial" w:hAnsi="Arial" w:cs="Arial"/>
                  <w:color w:val="000080"/>
                  <w:sz w:val="18"/>
                  <w:szCs w:val="18"/>
                  <w:u w:val="single"/>
                </w:rPr>
                <w:t>https://bit.ly/3Hu1Amr</w:t>
              </w:r>
            </w:hyperlink>
          </w:p>
        </w:tc>
      </w:tr>
      <w:tr w:rsidR="00C20DDE" w:rsidRPr="002D3252" w14:paraId="34A35378"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1C59C6F3"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8 de setembre</w:t>
            </w:r>
          </w:p>
        </w:tc>
        <w:tc>
          <w:tcPr>
            <w:tcW w:w="5255" w:type="dxa"/>
            <w:tcBorders>
              <w:top w:val="single" w:sz="4" w:space="0" w:color="000000"/>
              <w:bottom w:val="single" w:sz="4" w:space="0" w:color="000000"/>
            </w:tcBorders>
            <w:shd w:val="clear" w:color="auto" w:fill="FFFFFF"/>
            <w:tcMar>
              <w:bottom w:w="0" w:type="dxa"/>
            </w:tcMar>
          </w:tcPr>
          <w:p w14:paraId="3B3220F5"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participarà en el Congrés Internacional de Transparència 2021</w:t>
            </w:r>
          </w:p>
        </w:tc>
        <w:tc>
          <w:tcPr>
            <w:tcW w:w="1984" w:type="dxa"/>
            <w:tcBorders>
              <w:top w:val="single" w:sz="4" w:space="0" w:color="000000"/>
              <w:bottom w:val="single" w:sz="4" w:space="0" w:color="000000"/>
            </w:tcBorders>
            <w:shd w:val="clear" w:color="auto" w:fill="FFFFFF"/>
          </w:tcPr>
          <w:p w14:paraId="0D273830" w14:textId="77777777" w:rsidR="00C20DDE" w:rsidRPr="002D3252" w:rsidRDefault="00254AEC" w:rsidP="00C20DDE">
            <w:pPr>
              <w:jc w:val="center"/>
              <w:rPr>
                <w:rFonts w:ascii="Arial" w:eastAsia="Times New Roman" w:hAnsi="Arial" w:cs="Arial"/>
                <w:bCs/>
                <w:sz w:val="18"/>
                <w:szCs w:val="18"/>
              </w:rPr>
            </w:pPr>
            <w:hyperlink r:id="rId165" w:history="1">
              <w:r w:rsidR="00C20DDE" w:rsidRPr="002D3252">
                <w:rPr>
                  <w:rFonts w:ascii="Arial" w:hAnsi="Arial" w:cs="Arial"/>
                  <w:color w:val="000080"/>
                  <w:sz w:val="18"/>
                  <w:szCs w:val="18"/>
                  <w:u w:val="single"/>
                </w:rPr>
                <w:t>https://bit.ly/3M9hGpd</w:t>
              </w:r>
            </w:hyperlink>
          </w:p>
        </w:tc>
      </w:tr>
      <w:tr w:rsidR="00C20DDE" w:rsidRPr="002D3252" w14:paraId="147E298D"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78C5E7C0"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lastRenderedPageBreak/>
              <w:t>20 de setembre</w:t>
            </w:r>
          </w:p>
        </w:tc>
        <w:tc>
          <w:tcPr>
            <w:tcW w:w="5255" w:type="dxa"/>
            <w:tcBorders>
              <w:top w:val="single" w:sz="4" w:space="0" w:color="000000"/>
              <w:bottom w:val="single" w:sz="4" w:space="0" w:color="000000"/>
            </w:tcBorders>
            <w:shd w:val="clear" w:color="auto" w:fill="FFFFFF"/>
            <w:tcMar>
              <w:bottom w:w="0" w:type="dxa"/>
            </w:tcMar>
          </w:tcPr>
          <w:p w14:paraId="5B58A3B0"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rep 187 denúncies en el primer semestre de 2021, enfront de les 93 rebudes en el mateix període de 2020</w:t>
            </w:r>
          </w:p>
        </w:tc>
        <w:tc>
          <w:tcPr>
            <w:tcW w:w="1984" w:type="dxa"/>
            <w:tcBorders>
              <w:top w:val="single" w:sz="4" w:space="0" w:color="000000"/>
              <w:bottom w:val="single" w:sz="4" w:space="0" w:color="000000"/>
            </w:tcBorders>
            <w:shd w:val="clear" w:color="auto" w:fill="FFFFFF"/>
          </w:tcPr>
          <w:p w14:paraId="728C895A" w14:textId="77777777" w:rsidR="00C20DDE" w:rsidRPr="002D3252" w:rsidRDefault="00254AEC" w:rsidP="00C20DDE">
            <w:pPr>
              <w:jc w:val="center"/>
              <w:rPr>
                <w:rFonts w:ascii="Arial" w:eastAsia="Times New Roman" w:hAnsi="Arial" w:cs="Arial"/>
                <w:bCs/>
                <w:sz w:val="18"/>
                <w:szCs w:val="18"/>
              </w:rPr>
            </w:pPr>
            <w:hyperlink r:id="rId166" w:history="1">
              <w:r w:rsidR="00C20DDE" w:rsidRPr="002D3252">
                <w:rPr>
                  <w:rFonts w:ascii="Arial" w:hAnsi="Arial" w:cs="Arial"/>
                  <w:color w:val="000080"/>
                  <w:sz w:val="18"/>
                  <w:szCs w:val="18"/>
                  <w:u w:val="single"/>
                </w:rPr>
                <w:t>https://bit.ly/3thNXlq</w:t>
              </w:r>
            </w:hyperlink>
          </w:p>
        </w:tc>
      </w:tr>
      <w:tr w:rsidR="00C20DDE" w:rsidRPr="002D3252" w14:paraId="0412DAF5" w14:textId="77777777" w:rsidTr="006A100C">
        <w:trPr>
          <w:jc w:val="right"/>
        </w:trPr>
        <w:tc>
          <w:tcPr>
            <w:tcW w:w="1266" w:type="dxa"/>
            <w:tcBorders>
              <w:top w:val="single" w:sz="4" w:space="0" w:color="000000"/>
              <w:bottom w:val="single" w:sz="4" w:space="0" w:color="000000"/>
            </w:tcBorders>
            <w:shd w:val="clear" w:color="auto" w:fill="FFFFFF"/>
            <w:tcMar>
              <w:bottom w:w="0" w:type="dxa"/>
            </w:tcMar>
          </w:tcPr>
          <w:p w14:paraId="470CB068"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23 de setembre</w:t>
            </w:r>
          </w:p>
        </w:tc>
        <w:tc>
          <w:tcPr>
            <w:tcW w:w="5255" w:type="dxa"/>
            <w:tcBorders>
              <w:top w:val="single" w:sz="4" w:space="0" w:color="000000"/>
              <w:bottom w:val="single" w:sz="4" w:space="0" w:color="000000"/>
            </w:tcBorders>
            <w:shd w:val="clear" w:color="auto" w:fill="FFFFFF"/>
            <w:tcMar>
              <w:bottom w:w="0" w:type="dxa"/>
            </w:tcMar>
          </w:tcPr>
          <w:p w14:paraId="4CD869BC"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 Universitat de València i l'Agència Valenciana Antifrau presenten l'audiovisual de Docufòrum sobre els conflictes d'interés</w:t>
            </w:r>
          </w:p>
        </w:tc>
        <w:tc>
          <w:tcPr>
            <w:tcW w:w="1984" w:type="dxa"/>
            <w:tcBorders>
              <w:top w:val="single" w:sz="4" w:space="0" w:color="000000"/>
              <w:bottom w:val="single" w:sz="4" w:space="0" w:color="000000"/>
            </w:tcBorders>
            <w:shd w:val="clear" w:color="auto" w:fill="FFFFFF"/>
          </w:tcPr>
          <w:p w14:paraId="255D36FA" w14:textId="77777777" w:rsidR="00C20DDE" w:rsidRPr="002D3252" w:rsidRDefault="00254AEC" w:rsidP="00C20DDE">
            <w:pPr>
              <w:jc w:val="center"/>
              <w:rPr>
                <w:rFonts w:ascii="Arial" w:eastAsia="Times New Roman" w:hAnsi="Arial" w:cs="Arial"/>
                <w:bCs/>
                <w:sz w:val="18"/>
                <w:szCs w:val="18"/>
                <w:u w:val="single"/>
              </w:rPr>
            </w:pPr>
            <w:hyperlink r:id="rId167" w:history="1">
              <w:r w:rsidR="00C20DDE" w:rsidRPr="002D3252">
                <w:rPr>
                  <w:rFonts w:ascii="Arial" w:hAnsi="Arial" w:cs="Arial"/>
                  <w:color w:val="000080"/>
                  <w:sz w:val="18"/>
                  <w:szCs w:val="18"/>
                  <w:u w:val="single"/>
                </w:rPr>
                <w:t>https://bit.ly/3K2gYrR</w:t>
              </w:r>
            </w:hyperlink>
          </w:p>
        </w:tc>
      </w:tr>
      <w:tr w:rsidR="00C20DDE" w:rsidRPr="002D3252" w14:paraId="4431E3A0" w14:textId="77777777" w:rsidTr="006A100C">
        <w:trPr>
          <w:jc w:val="right"/>
        </w:trPr>
        <w:tc>
          <w:tcPr>
            <w:tcW w:w="1266" w:type="dxa"/>
            <w:tcBorders>
              <w:top w:val="single" w:sz="4" w:space="0" w:color="000000"/>
            </w:tcBorders>
            <w:shd w:val="clear" w:color="auto" w:fill="FFFFFF"/>
            <w:tcMar>
              <w:bottom w:w="0" w:type="dxa"/>
            </w:tcMar>
          </w:tcPr>
          <w:p w14:paraId="62669D14"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27 de setembre</w:t>
            </w:r>
          </w:p>
        </w:tc>
        <w:tc>
          <w:tcPr>
            <w:tcW w:w="5255" w:type="dxa"/>
            <w:tcBorders>
              <w:top w:val="single" w:sz="4" w:space="0" w:color="000000"/>
            </w:tcBorders>
            <w:shd w:val="clear" w:color="auto" w:fill="FFFFFF"/>
            <w:tcMar>
              <w:bottom w:w="0" w:type="dxa"/>
            </w:tcMar>
          </w:tcPr>
          <w:p w14:paraId="15A4EB53"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organitza 7 accions formatives durant el mes d'octubre per a estudiants, personal funcionari i ciutadania en general</w:t>
            </w:r>
          </w:p>
        </w:tc>
        <w:tc>
          <w:tcPr>
            <w:tcW w:w="1984" w:type="dxa"/>
            <w:tcBorders>
              <w:top w:val="single" w:sz="4" w:space="0" w:color="000000"/>
            </w:tcBorders>
            <w:shd w:val="clear" w:color="auto" w:fill="FFFFFF"/>
          </w:tcPr>
          <w:p w14:paraId="72E48792" w14:textId="77777777" w:rsidR="00C20DDE" w:rsidRPr="002D3252" w:rsidRDefault="00254AEC" w:rsidP="00C20DDE">
            <w:pPr>
              <w:jc w:val="center"/>
              <w:rPr>
                <w:rFonts w:ascii="Arial" w:eastAsia="Times New Roman" w:hAnsi="Arial" w:cs="Arial"/>
                <w:bCs/>
                <w:sz w:val="18"/>
                <w:szCs w:val="18"/>
                <w:u w:val="single"/>
              </w:rPr>
            </w:pPr>
            <w:hyperlink r:id="rId168" w:history="1">
              <w:r w:rsidR="00C20DDE" w:rsidRPr="002D3252">
                <w:rPr>
                  <w:rFonts w:ascii="Arial" w:hAnsi="Arial" w:cs="Arial"/>
                  <w:color w:val="000080"/>
                  <w:sz w:val="18"/>
                  <w:szCs w:val="18"/>
                  <w:u w:val="single"/>
                </w:rPr>
                <w:t>https://bit.ly/35cde8G</w:t>
              </w:r>
            </w:hyperlink>
          </w:p>
        </w:tc>
      </w:tr>
      <w:tr w:rsidR="00C20DDE" w:rsidRPr="002D3252" w14:paraId="5FA25FE1" w14:textId="77777777" w:rsidTr="006A100C">
        <w:trPr>
          <w:jc w:val="right"/>
        </w:trPr>
        <w:tc>
          <w:tcPr>
            <w:tcW w:w="1266" w:type="dxa"/>
            <w:tcBorders>
              <w:top w:val="single" w:sz="4" w:space="0" w:color="000000"/>
            </w:tcBorders>
            <w:shd w:val="clear" w:color="auto" w:fill="FFFFFF"/>
            <w:tcMar>
              <w:bottom w:w="0" w:type="dxa"/>
            </w:tcMar>
          </w:tcPr>
          <w:p w14:paraId="48F64711"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30 de setembre</w:t>
            </w:r>
          </w:p>
        </w:tc>
        <w:tc>
          <w:tcPr>
            <w:tcW w:w="5255" w:type="dxa"/>
            <w:tcBorders>
              <w:top w:val="single" w:sz="4" w:space="0" w:color="000000"/>
            </w:tcBorders>
            <w:shd w:val="clear" w:color="auto" w:fill="FFFFFF"/>
            <w:tcMar>
              <w:bottom w:w="0" w:type="dxa"/>
            </w:tcMar>
          </w:tcPr>
          <w:p w14:paraId="2B113E21"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Les Oficines i Agències Antifrau d'Espanya urgeixen a la transposició de la Directiva Europea de protecció de les persones denunciants</w:t>
            </w:r>
          </w:p>
        </w:tc>
        <w:tc>
          <w:tcPr>
            <w:tcW w:w="1984" w:type="dxa"/>
            <w:tcBorders>
              <w:top w:val="single" w:sz="4" w:space="0" w:color="000000"/>
            </w:tcBorders>
            <w:shd w:val="clear" w:color="auto" w:fill="FFFFFF"/>
          </w:tcPr>
          <w:p w14:paraId="4F89417E" w14:textId="77777777" w:rsidR="00C20DDE" w:rsidRPr="002D3252" w:rsidRDefault="00254AEC" w:rsidP="00C20DDE">
            <w:pPr>
              <w:jc w:val="center"/>
              <w:rPr>
                <w:rFonts w:ascii="Arial" w:eastAsia="Times New Roman" w:hAnsi="Arial" w:cs="Arial"/>
                <w:bCs/>
                <w:sz w:val="18"/>
                <w:szCs w:val="18"/>
                <w:u w:val="single"/>
              </w:rPr>
            </w:pPr>
            <w:hyperlink r:id="rId169" w:history="1">
              <w:r w:rsidR="00C20DDE" w:rsidRPr="002D3252">
                <w:rPr>
                  <w:rFonts w:ascii="Arial" w:hAnsi="Arial" w:cs="Arial"/>
                  <w:color w:val="000080"/>
                  <w:sz w:val="18"/>
                  <w:szCs w:val="18"/>
                  <w:u w:val="single"/>
                </w:rPr>
                <w:t>https://bit.ly/3pntqKW</w:t>
              </w:r>
            </w:hyperlink>
          </w:p>
        </w:tc>
      </w:tr>
      <w:tr w:rsidR="00C20DDE" w:rsidRPr="002D3252" w14:paraId="229D2C69" w14:textId="77777777" w:rsidTr="006A100C">
        <w:trPr>
          <w:jc w:val="right"/>
        </w:trPr>
        <w:tc>
          <w:tcPr>
            <w:tcW w:w="1266" w:type="dxa"/>
            <w:tcBorders>
              <w:top w:val="single" w:sz="4" w:space="0" w:color="000000"/>
            </w:tcBorders>
            <w:shd w:val="clear" w:color="auto" w:fill="FFFFFF"/>
            <w:tcMar>
              <w:bottom w:w="0" w:type="dxa"/>
            </w:tcMar>
          </w:tcPr>
          <w:p w14:paraId="73452429"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15 d' octubre</w:t>
            </w:r>
          </w:p>
        </w:tc>
        <w:tc>
          <w:tcPr>
            <w:tcW w:w="5255" w:type="dxa"/>
            <w:tcBorders>
              <w:top w:val="single" w:sz="4" w:space="0" w:color="000000"/>
            </w:tcBorders>
            <w:shd w:val="clear" w:color="auto" w:fill="FFFFFF"/>
            <w:tcMar>
              <w:bottom w:w="0" w:type="dxa"/>
            </w:tcMar>
          </w:tcPr>
          <w:p w14:paraId="3E89288A"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 Universitat de Salamanca i l'Agència Valenciana Antifrau signen un conveni de col·laboració que inclou estades d'investigació per a estudiants de doctorat</w:t>
            </w:r>
          </w:p>
        </w:tc>
        <w:tc>
          <w:tcPr>
            <w:tcW w:w="1984" w:type="dxa"/>
            <w:tcBorders>
              <w:top w:val="single" w:sz="4" w:space="0" w:color="000000"/>
            </w:tcBorders>
            <w:shd w:val="clear" w:color="auto" w:fill="FFFFFF"/>
          </w:tcPr>
          <w:p w14:paraId="2EE5027C" w14:textId="77777777" w:rsidR="00C20DDE" w:rsidRPr="002D3252" w:rsidRDefault="00254AEC" w:rsidP="00C20DDE">
            <w:pPr>
              <w:jc w:val="center"/>
              <w:rPr>
                <w:rFonts w:ascii="Arial" w:eastAsia="Times New Roman" w:hAnsi="Arial" w:cs="Arial"/>
                <w:bCs/>
                <w:sz w:val="18"/>
                <w:szCs w:val="18"/>
                <w:u w:val="single"/>
              </w:rPr>
            </w:pPr>
            <w:hyperlink r:id="rId170" w:history="1">
              <w:r w:rsidR="00C20DDE" w:rsidRPr="002D3252">
                <w:rPr>
                  <w:rFonts w:ascii="Arial" w:hAnsi="Arial" w:cs="Arial"/>
                  <w:color w:val="000080"/>
                  <w:sz w:val="18"/>
                  <w:szCs w:val="18"/>
                  <w:u w:val="single"/>
                </w:rPr>
                <w:t>https://bit.ly/3IwxYq2</w:t>
              </w:r>
            </w:hyperlink>
          </w:p>
        </w:tc>
      </w:tr>
      <w:tr w:rsidR="00C20DDE" w:rsidRPr="002D3252" w14:paraId="2B7DA65F" w14:textId="77777777" w:rsidTr="006A100C">
        <w:trPr>
          <w:jc w:val="right"/>
        </w:trPr>
        <w:tc>
          <w:tcPr>
            <w:tcW w:w="1266" w:type="dxa"/>
            <w:tcBorders>
              <w:top w:val="single" w:sz="4" w:space="0" w:color="000000"/>
            </w:tcBorders>
            <w:shd w:val="clear" w:color="auto" w:fill="FFFFFF"/>
            <w:tcMar>
              <w:bottom w:w="0" w:type="dxa"/>
            </w:tcMar>
          </w:tcPr>
          <w:p w14:paraId="02BD7810"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21 d' octubre</w:t>
            </w:r>
          </w:p>
        </w:tc>
        <w:tc>
          <w:tcPr>
            <w:tcW w:w="5255" w:type="dxa"/>
            <w:tcBorders>
              <w:top w:val="single" w:sz="4" w:space="0" w:color="000000"/>
            </w:tcBorders>
            <w:shd w:val="clear" w:color="auto" w:fill="FFFFFF"/>
            <w:tcMar>
              <w:bottom w:w="0" w:type="dxa"/>
            </w:tcMar>
          </w:tcPr>
          <w:p w14:paraId="39B3AEF7"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Reunió amb la presidenta de CSIF Comunitat Valenciana</w:t>
            </w:r>
          </w:p>
        </w:tc>
        <w:tc>
          <w:tcPr>
            <w:tcW w:w="1984" w:type="dxa"/>
            <w:tcBorders>
              <w:top w:val="single" w:sz="4" w:space="0" w:color="000000"/>
            </w:tcBorders>
            <w:shd w:val="clear" w:color="auto" w:fill="FFFFFF"/>
          </w:tcPr>
          <w:p w14:paraId="3D4C1991" w14:textId="77777777" w:rsidR="00C20DDE" w:rsidRPr="002D3252" w:rsidRDefault="00254AEC" w:rsidP="00C20DDE">
            <w:pPr>
              <w:jc w:val="center"/>
              <w:rPr>
                <w:rFonts w:ascii="Arial" w:eastAsia="Times New Roman" w:hAnsi="Arial" w:cs="Arial"/>
                <w:bCs/>
                <w:sz w:val="18"/>
                <w:szCs w:val="18"/>
                <w:u w:val="single"/>
              </w:rPr>
            </w:pPr>
            <w:hyperlink r:id="rId171" w:history="1">
              <w:r w:rsidR="00C20DDE" w:rsidRPr="002D3252">
                <w:rPr>
                  <w:rFonts w:ascii="Arial" w:hAnsi="Arial" w:cs="Arial"/>
                  <w:color w:val="000080"/>
                  <w:sz w:val="18"/>
                  <w:szCs w:val="18"/>
                  <w:u w:val="single"/>
                </w:rPr>
                <w:t>https://bit.ly/359N9qQ</w:t>
              </w:r>
            </w:hyperlink>
          </w:p>
        </w:tc>
      </w:tr>
      <w:tr w:rsidR="00C20DDE" w:rsidRPr="002D3252" w14:paraId="6D3C79F7" w14:textId="77777777" w:rsidTr="006A100C">
        <w:trPr>
          <w:jc w:val="right"/>
        </w:trPr>
        <w:tc>
          <w:tcPr>
            <w:tcW w:w="1266" w:type="dxa"/>
            <w:tcBorders>
              <w:top w:val="single" w:sz="4" w:space="0" w:color="000000"/>
            </w:tcBorders>
            <w:shd w:val="clear" w:color="auto" w:fill="FFFFFF"/>
            <w:tcMar>
              <w:bottom w:w="0" w:type="dxa"/>
            </w:tcMar>
          </w:tcPr>
          <w:p w14:paraId="0E64440F"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22 d' octubre</w:t>
            </w:r>
          </w:p>
        </w:tc>
        <w:tc>
          <w:tcPr>
            <w:tcW w:w="5255" w:type="dxa"/>
            <w:tcBorders>
              <w:top w:val="single" w:sz="4" w:space="0" w:color="000000"/>
            </w:tcBorders>
            <w:shd w:val="clear" w:color="auto" w:fill="FFFFFF"/>
            <w:tcMar>
              <w:bottom w:w="0" w:type="dxa"/>
            </w:tcMar>
          </w:tcPr>
          <w:p w14:paraId="3793BA1C"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Els ajuntaments i diputacions més transparents de la Comunitat Valenciana recullen en la CEU UCH els segells Infoparticipa 2020</w:t>
            </w:r>
          </w:p>
        </w:tc>
        <w:tc>
          <w:tcPr>
            <w:tcW w:w="1984" w:type="dxa"/>
            <w:tcBorders>
              <w:top w:val="single" w:sz="4" w:space="0" w:color="000000"/>
            </w:tcBorders>
            <w:shd w:val="clear" w:color="auto" w:fill="FFFFFF"/>
          </w:tcPr>
          <w:p w14:paraId="395782AA" w14:textId="77777777" w:rsidR="00C20DDE" w:rsidRPr="002D3252" w:rsidRDefault="00254AEC" w:rsidP="00C20DDE">
            <w:pPr>
              <w:jc w:val="center"/>
              <w:rPr>
                <w:rFonts w:ascii="Arial" w:eastAsia="Times New Roman" w:hAnsi="Arial" w:cs="Arial"/>
                <w:bCs/>
                <w:sz w:val="18"/>
                <w:szCs w:val="18"/>
                <w:u w:val="single"/>
              </w:rPr>
            </w:pPr>
            <w:hyperlink r:id="rId172" w:history="1">
              <w:r w:rsidR="00C20DDE" w:rsidRPr="002D3252">
                <w:rPr>
                  <w:rFonts w:ascii="Arial" w:hAnsi="Arial" w:cs="Arial"/>
                  <w:color w:val="000080"/>
                  <w:sz w:val="18"/>
                  <w:szCs w:val="18"/>
                  <w:u w:val="single"/>
                </w:rPr>
                <w:t>https://bit.ly/3ppKWy7</w:t>
              </w:r>
            </w:hyperlink>
          </w:p>
        </w:tc>
      </w:tr>
      <w:tr w:rsidR="00C20DDE" w:rsidRPr="002D3252" w14:paraId="3AC00CEF" w14:textId="77777777" w:rsidTr="006A100C">
        <w:trPr>
          <w:jc w:val="right"/>
        </w:trPr>
        <w:tc>
          <w:tcPr>
            <w:tcW w:w="1266" w:type="dxa"/>
            <w:tcBorders>
              <w:top w:val="single" w:sz="4" w:space="0" w:color="000000"/>
            </w:tcBorders>
            <w:shd w:val="clear" w:color="auto" w:fill="FFFFFF"/>
            <w:tcMar>
              <w:bottom w:w="0" w:type="dxa"/>
            </w:tcMar>
          </w:tcPr>
          <w:p w14:paraId="441FDA23"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26 d' octubre</w:t>
            </w:r>
          </w:p>
        </w:tc>
        <w:tc>
          <w:tcPr>
            <w:tcW w:w="5255" w:type="dxa"/>
            <w:tcBorders>
              <w:top w:val="single" w:sz="4" w:space="0" w:color="000000"/>
            </w:tcBorders>
            <w:shd w:val="clear" w:color="auto" w:fill="FFFFFF"/>
            <w:tcMar>
              <w:bottom w:w="0" w:type="dxa"/>
            </w:tcMar>
          </w:tcPr>
          <w:p w14:paraId="15004FA7"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Reunió amb Comissions Obreres</w:t>
            </w:r>
          </w:p>
        </w:tc>
        <w:tc>
          <w:tcPr>
            <w:tcW w:w="1984" w:type="dxa"/>
            <w:tcBorders>
              <w:top w:val="single" w:sz="4" w:space="0" w:color="000000"/>
            </w:tcBorders>
            <w:shd w:val="clear" w:color="auto" w:fill="FFFFFF"/>
          </w:tcPr>
          <w:p w14:paraId="47FC7277" w14:textId="77777777" w:rsidR="00C20DDE" w:rsidRPr="002D3252" w:rsidRDefault="00254AEC" w:rsidP="00C20DDE">
            <w:pPr>
              <w:jc w:val="center"/>
              <w:rPr>
                <w:rFonts w:ascii="Arial" w:eastAsia="Times New Roman" w:hAnsi="Arial" w:cs="Arial"/>
                <w:bCs/>
                <w:sz w:val="18"/>
                <w:szCs w:val="18"/>
                <w:u w:val="single"/>
              </w:rPr>
            </w:pPr>
            <w:hyperlink r:id="rId173" w:history="1">
              <w:r w:rsidR="00C20DDE" w:rsidRPr="002D3252">
                <w:rPr>
                  <w:rFonts w:ascii="Arial" w:hAnsi="Arial" w:cs="Arial"/>
                  <w:color w:val="000080"/>
                  <w:sz w:val="18"/>
                  <w:szCs w:val="18"/>
                  <w:u w:val="single"/>
                </w:rPr>
                <w:t>https://bit.ly/3K6Pm59</w:t>
              </w:r>
            </w:hyperlink>
          </w:p>
        </w:tc>
      </w:tr>
      <w:tr w:rsidR="00C20DDE" w:rsidRPr="002D3252" w14:paraId="0AB99A7D" w14:textId="77777777" w:rsidTr="006A100C">
        <w:trPr>
          <w:jc w:val="right"/>
        </w:trPr>
        <w:tc>
          <w:tcPr>
            <w:tcW w:w="1266" w:type="dxa"/>
            <w:tcBorders>
              <w:top w:val="single" w:sz="4" w:space="0" w:color="000000"/>
            </w:tcBorders>
            <w:shd w:val="clear" w:color="auto" w:fill="FFFFFF"/>
            <w:tcMar>
              <w:bottom w:w="0" w:type="dxa"/>
            </w:tcMar>
          </w:tcPr>
          <w:p w14:paraId="74BCEE29"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11 de novembre</w:t>
            </w:r>
          </w:p>
        </w:tc>
        <w:tc>
          <w:tcPr>
            <w:tcW w:w="5255" w:type="dxa"/>
            <w:tcBorders>
              <w:top w:val="single" w:sz="4" w:space="0" w:color="000000"/>
            </w:tcBorders>
            <w:shd w:val="clear" w:color="auto" w:fill="FFFFFF"/>
            <w:tcMar>
              <w:bottom w:w="0" w:type="dxa"/>
            </w:tcMar>
          </w:tcPr>
          <w:p w14:paraId="0F0983B9"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Reunió amb la Universitat d'Alacant</w:t>
            </w:r>
          </w:p>
        </w:tc>
        <w:tc>
          <w:tcPr>
            <w:tcW w:w="1984" w:type="dxa"/>
            <w:tcBorders>
              <w:top w:val="single" w:sz="4" w:space="0" w:color="000000"/>
            </w:tcBorders>
            <w:shd w:val="clear" w:color="auto" w:fill="FFFFFF"/>
          </w:tcPr>
          <w:p w14:paraId="7B0F082D" w14:textId="77777777" w:rsidR="00C20DDE" w:rsidRPr="002D3252" w:rsidRDefault="00254AEC" w:rsidP="00C20DDE">
            <w:pPr>
              <w:jc w:val="center"/>
              <w:rPr>
                <w:rFonts w:ascii="Arial" w:eastAsia="Times New Roman" w:hAnsi="Arial" w:cs="Arial"/>
                <w:bCs/>
                <w:sz w:val="18"/>
                <w:szCs w:val="18"/>
                <w:u w:val="single"/>
              </w:rPr>
            </w:pPr>
            <w:hyperlink r:id="rId174" w:history="1">
              <w:r w:rsidR="00C20DDE" w:rsidRPr="002D3252">
                <w:rPr>
                  <w:rFonts w:ascii="Arial" w:hAnsi="Arial" w:cs="Arial"/>
                  <w:color w:val="000080"/>
                  <w:sz w:val="18"/>
                  <w:szCs w:val="18"/>
                  <w:u w:val="single"/>
                </w:rPr>
                <w:t>https://bit.ly/3tjASrC</w:t>
              </w:r>
            </w:hyperlink>
          </w:p>
        </w:tc>
      </w:tr>
      <w:tr w:rsidR="00C20DDE" w:rsidRPr="002D3252" w14:paraId="3F7930E2" w14:textId="77777777" w:rsidTr="006A100C">
        <w:trPr>
          <w:jc w:val="right"/>
        </w:trPr>
        <w:tc>
          <w:tcPr>
            <w:tcW w:w="1266" w:type="dxa"/>
            <w:tcBorders>
              <w:top w:val="single" w:sz="4" w:space="0" w:color="000000"/>
            </w:tcBorders>
            <w:shd w:val="clear" w:color="auto" w:fill="FFFFFF"/>
            <w:tcMar>
              <w:bottom w:w="0" w:type="dxa"/>
            </w:tcMar>
          </w:tcPr>
          <w:p w14:paraId="0D6875DF"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19 de novembre</w:t>
            </w:r>
          </w:p>
        </w:tc>
        <w:tc>
          <w:tcPr>
            <w:tcW w:w="5255" w:type="dxa"/>
            <w:tcBorders>
              <w:top w:val="single" w:sz="4" w:space="0" w:color="000000"/>
            </w:tcBorders>
            <w:shd w:val="clear" w:color="auto" w:fill="FFFFFF"/>
            <w:tcMar>
              <w:bottom w:w="0" w:type="dxa"/>
            </w:tcMar>
          </w:tcPr>
          <w:p w14:paraId="7B7E91EC"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 "protecció dels alertadors" davant casos de frau i corrupció va protagonitzar la jornada UV- AVAF</w:t>
            </w:r>
          </w:p>
        </w:tc>
        <w:tc>
          <w:tcPr>
            <w:tcW w:w="1984" w:type="dxa"/>
            <w:tcBorders>
              <w:top w:val="single" w:sz="4" w:space="0" w:color="000000"/>
            </w:tcBorders>
            <w:shd w:val="clear" w:color="auto" w:fill="FFFFFF"/>
          </w:tcPr>
          <w:p w14:paraId="41B1077D" w14:textId="77777777" w:rsidR="00C20DDE" w:rsidRPr="002D3252" w:rsidRDefault="00254AEC" w:rsidP="00C20DDE">
            <w:pPr>
              <w:jc w:val="center"/>
              <w:rPr>
                <w:rFonts w:ascii="Arial" w:eastAsia="Times New Roman" w:hAnsi="Arial" w:cs="Arial"/>
                <w:bCs/>
                <w:sz w:val="18"/>
                <w:szCs w:val="18"/>
                <w:u w:val="single"/>
              </w:rPr>
            </w:pPr>
            <w:hyperlink r:id="rId175" w:history="1">
              <w:r w:rsidR="00C20DDE" w:rsidRPr="002D3252">
                <w:rPr>
                  <w:rFonts w:ascii="Arial" w:hAnsi="Arial" w:cs="Arial"/>
                  <w:color w:val="000080"/>
                  <w:sz w:val="18"/>
                  <w:szCs w:val="18"/>
                  <w:u w:val="single"/>
                </w:rPr>
                <w:t>https://bit.ly/3poItnJ</w:t>
              </w:r>
            </w:hyperlink>
          </w:p>
        </w:tc>
      </w:tr>
      <w:tr w:rsidR="00C20DDE" w:rsidRPr="002D3252" w14:paraId="15AC26DE" w14:textId="77777777" w:rsidTr="006A100C">
        <w:trPr>
          <w:jc w:val="right"/>
        </w:trPr>
        <w:tc>
          <w:tcPr>
            <w:tcW w:w="1266" w:type="dxa"/>
            <w:tcBorders>
              <w:top w:val="single" w:sz="4" w:space="0" w:color="000000"/>
            </w:tcBorders>
            <w:shd w:val="clear" w:color="auto" w:fill="FFFFFF"/>
            <w:tcMar>
              <w:bottom w:w="0" w:type="dxa"/>
            </w:tcMar>
          </w:tcPr>
          <w:p w14:paraId="27552C37"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19 de novembre</w:t>
            </w:r>
          </w:p>
        </w:tc>
        <w:tc>
          <w:tcPr>
            <w:tcW w:w="5255" w:type="dxa"/>
            <w:tcBorders>
              <w:top w:val="single" w:sz="4" w:space="0" w:color="000000"/>
            </w:tcBorders>
            <w:shd w:val="clear" w:color="auto" w:fill="FFFFFF"/>
            <w:tcMar>
              <w:bottom w:w="0" w:type="dxa"/>
            </w:tcMar>
          </w:tcPr>
          <w:p w14:paraId="098DF2DB"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L'Ajuntament de València és la primera institució pública valenciana que connectarà la seua web a la bústia de denúncies de l'Agència Valenciana Antifrau</w:t>
            </w:r>
          </w:p>
        </w:tc>
        <w:tc>
          <w:tcPr>
            <w:tcW w:w="1984" w:type="dxa"/>
            <w:tcBorders>
              <w:top w:val="single" w:sz="4" w:space="0" w:color="000000"/>
            </w:tcBorders>
            <w:shd w:val="clear" w:color="auto" w:fill="FFFFFF"/>
          </w:tcPr>
          <w:p w14:paraId="25AA69DE" w14:textId="77777777" w:rsidR="00C20DDE" w:rsidRPr="002D3252" w:rsidRDefault="00254AEC" w:rsidP="00C20DDE">
            <w:pPr>
              <w:jc w:val="center"/>
              <w:rPr>
                <w:rFonts w:ascii="Arial" w:eastAsia="Times New Roman" w:hAnsi="Arial" w:cs="Arial"/>
                <w:bCs/>
                <w:sz w:val="18"/>
                <w:szCs w:val="18"/>
                <w:u w:val="single"/>
              </w:rPr>
            </w:pPr>
            <w:hyperlink r:id="rId176" w:history="1">
              <w:r w:rsidR="00C20DDE" w:rsidRPr="002D3252">
                <w:rPr>
                  <w:rFonts w:ascii="Arial" w:hAnsi="Arial" w:cs="Arial"/>
                  <w:color w:val="000080"/>
                  <w:sz w:val="18"/>
                  <w:szCs w:val="18"/>
                  <w:u w:val="single"/>
                </w:rPr>
                <w:t>https://bit.ly/3spaA8e</w:t>
              </w:r>
            </w:hyperlink>
          </w:p>
        </w:tc>
      </w:tr>
      <w:tr w:rsidR="00C20DDE" w:rsidRPr="002D3252" w14:paraId="233D53CB" w14:textId="77777777" w:rsidTr="006A100C">
        <w:trPr>
          <w:jc w:val="right"/>
        </w:trPr>
        <w:tc>
          <w:tcPr>
            <w:tcW w:w="1266" w:type="dxa"/>
            <w:tcBorders>
              <w:top w:val="single" w:sz="4" w:space="0" w:color="000000"/>
            </w:tcBorders>
            <w:shd w:val="clear" w:color="auto" w:fill="FFFFFF"/>
            <w:tcMar>
              <w:bottom w:w="0" w:type="dxa"/>
            </w:tcMar>
          </w:tcPr>
          <w:p w14:paraId="085BD57D"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25 de novembre</w:t>
            </w:r>
          </w:p>
        </w:tc>
        <w:tc>
          <w:tcPr>
            <w:tcW w:w="5255" w:type="dxa"/>
            <w:tcBorders>
              <w:top w:val="single" w:sz="4" w:space="0" w:color="000000"/>
            </w:tcBorders>
            <w:shd w:val="clear" w:color="auto" w:fill="FFFFFF"/>
            <w:tcMar>
              <w:bottom w:w="0" w:type="dxa"/>
            </w:tcMar>
          </w:tcPr>
          <w:p w14:paraId="4619D0C9"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 Federació València de Municipis i Províncies i l'Agència Antifrau Valenciana col·laboraran per a ajudar els ajuntaments a elaborar els seus plans antifrau</w:t>
            </w:r>
          </w:p>
        </w:tc>
        <w:tc>
          <w:tcPr>
            <w:tcW w:w="1984" w:type="dxa"/>
            <w:tcBorders>
              <w:top w:val="single" w:sz="4" w:space="0" w:color="000000"/>
            </w:tcBorders>
            <w:shd w:val="clear" w:color="auto" w:fill="FFFFFF"/>
          </w:tcPr>
          <w:p w14:paraId="676B8795" w14:textId="77777777" w:rsidR="00C20DDE" w:rsidRPr="002D3252" w:rsidRDefault="00254AEC" w:rsidP="00C20DDE">
            <w:pPr>
              <w:jc w:val="center"/>
              <w:rPr>
                <w:rFonts w:ascii="Arial" w:eastAsia="Times New Roman" w:hAnsi="Arial" w:cs="Arial"/>
                <w:bCs/>
                <w:sz w:val="18"/>
                <w:szCs w:val="18"/>
                <w:u w:val="single"/>
              </w:rPr>
            </w:pPr>
            <w:hyperlink r:id="rId177" w:history="1">
              <w:r w:rsidR="00C20DDE" w:rsidRPr="002D3252">
                <w:rPr>
                  <w:rFonts w:ascii="Arial" w:hAnsi="Arial" w:cs="Arial"/>
                  <w:color w:val="000080"/>
                  <w:sz w:val="18"/>
                  <w:szCs w:val="18"/>
                  <w:u w:val="single"/>
                </w:rPr>
                <w:t>https://bit.ly/3Hts7QW</w:t>
              </w:r>
            </w:hyperlink>
          </w:p>
        </w:tc>
      </w:tr>
      <w:tr w:rsidR="00C20DDE" w:rsidRPr="002D3252" w14:paraId="2728DE46" w14:textId="77777777" w:rsidTr="006A100C">
        <w:trPr>
          <w:jc w:val="right"/>
        </w:trPr>
        <w:tc>
          <w:tcPr>
            <w:tcW w:w="1266" w:type="dxa"/>
            <w:tcBorders>
              <w:top w:val="single" w:sz="4" w:space="0" w:color="000000"/>
            </w:tcBorders>
            <w:shd w:val="clear" w:color="auto" w:fill="FFFFFF"/>
            <w:tcMar>
              <w:bottom w:w="0" w:type="dxa"/>
            </w:tcMar>
          </w:tcPr>
          <w:p w14:paraId="02C46579"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29 de novembre</w:t>
            </w:r>
          </w:p>
        </w:tc>
        <w:tc>
          <w:tcPr>
            <w:tcW w:w="5255" w:type="dxa"/>
            <w:tcBorders>
              <w:top w:val="single" w:sz="4" w:space="0" w:color="000000"/>
            </w:tcBorders>
            <w:shd w:val="clear" w:color="auto" w:fill="FFFFFF"/>
            <w:tcMar>
              <w:bottom w:w="0" w:type="dxa"/>
            </w:tcMar>
          </w:tcPr>
          <w:p w14:paraId="43757473"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L'Agència Valenciana Antifrau organitza un Seminari pel seu 5è aniversari i congrega a la classe política, experts, societat civil i agències anticorrupció de tota Espanya</w:t>
            </w:r>
          </w:p>
        </w:tc>
        <w:tc>
          <w:tcPr>
            <w:tcW w:w="1984" w:type="dxa"/>
            <w:tcBorders>
              <w:top w:val="single" w:sz="4" w:space="0" w:color="000000"/>
            </w:tcBorders>
            <w:shd w:val="clear" w:color="auto" w:fill="FFFFFF"/>
          </w:tcPr>
          <w:p w14:paraId="0C01410A" w14:textId="77777777" w:rsidR="00C20DDE" w:rsidRPr="002D3252" w:rsidRDefault="00254AEC" w:rsidP="00C20DDE">
            <w:pPr>
              <w:jc w:val="center"/>
              <w:rPr>
                <w:rFonts w:ascii="Arial" w:eastAsia="Times New Roman" w:hAnsi="Arial" w:cs="Arial"/>
                <w:bCs/>
                <w:sz w:val="18"/>
                <w:szCs w:val="18"/>
                <w:u w:val="single"/>
              </w:rPr>
            </w:pPr>
            <w:hyperlink r:id="rId178" w:history="1">
              <w:r w:rsidR="00C20DDE" w:rsidRPr="002D3252">
                <w:rPr>
                  <w:rFonts w:ascii="Arial" w:hAnsi="Arial" w:cs="Arial"/>
                  <w:color w:val="000080"/>
                  <w:sz w:val="18"/>
                  <w:szCs w:val="18"/>
                  <w:u w:val="single"/>
                </w:rPr>
                <w:t>https://bit.ly/3HyN5xD</w:t>
              </w:r>
            </w:hyperlink>
          </w:p>
        </w:tc>
      </w:tr>
      <w:tr w:rsidR="00C20DDE" w:rsidRPr="002D3252" w14:paraId="1AA07A60" w14:textId="77777777" w:rsidTr="00C20DDE">
        <w:trPr>
          <w:jc w:val="right"/>
        </w:trPr>
        <w:tc>
          <w:tcPr>
            <w:tcW w:w="1266" w:type="dxa"/>
            <w:tcBorders>
              <w:top w:val="single" w:sz="4" w:space="0" w:color="000000"/>
              <w:bottom w:val="single" w:sz="4" w:space="0" w:color="000000"/>
            </w:tcBorders>
            <w:shd w:val="clear" w:color="auto" w:fill="FFFFFF"/>
            <w:tcMar>
              <w:bottom w:w="0" w:type="dxa"/>
            </w:tcMar>
          </w:tcPr>
          <w:p w14:paraId="65E3DB66"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9 de desembre</w:t>
            </w:r>
          </w:p>
        </w:tc>
        <w:tc>
          <w:tcPr>
            <w:tcW w:w="5255" w:type="dxa"/>
            <w:tcBorders>
              <w:top w:val="single" w:sz="4" w:space="0" w:color="000000"/>
              <w:bottom w:val="single" w:sz="4" w:space="0" w:color="000000"/>
            </w:tcBorders>
            <w:shd w:val="clear" w:color="auto" w:fill="FFFFFF"/>
            <w:tcMar>
              <w:bottom w:w="0" w:type="dxa"/>
            </w:tcMar>
          </w:tcPr>
          <w:p w14:paraId="7164CC31"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Participació de Joan Llinares al podcast "Des de dins"</w:t>
            </w:r>
          </w:p>
        </w:tc>
        <w:tc>
          <w:tcPr>
            <w:tcW w:w="1984" w:type="dxa"/>
            <w:tcBorders>
              <w:top w:val="single" w:sz="4" w:space="0" w:color="000000"/>
              <w:bottom w:val="single" w:sz="4" w:space="0" w:color="000000"/>
            </w:tcBorders>
            <w:shd w:val="clear" w:color="auto" w:fill="FFFFFF"/>
          </w:tcPr>
          <w:p w14:paraId="42FA6278" w14:textId="77777777" w:rsidR="00C20DDE" w:rsidRPr="002D3252" w:rsidRDefault="00254AEC" w:rsidP="00C20DDE">
            <w:pPr>
              <w:jc w:val="center"/>
              <w:rPr>
                <w:rFonts w:ascii="Arial" w:eastAsia="Times New Roman" w:hAnsi="Arial" w:cs="Arial"/>
                <w:bCs/>
                <w:sz w:val="18"/>
                <w:szCs w:val="18"/>
                <w:u w:val="single"/>
              </w:rPr>
            </w:pPr>
            <w:hyperlink r:id="rId179" w:history="1">
              <w:r w:rsidR="00C20DDE" w:rsidRPr="002D3252">
                <w:rPr>
                  <w:rFonts w:ascii="Arial" w:hAnsi="Arial" w:cs="Arial"/>
                  <w:color w:val="000080"/>
                  <w:sz w:val="18"/>
                  <w:szCs w:val="18"/>
                  <w:u w:val="single"/>
                </w:rPr>
                <w:t>https://bit.ly/3thInPL</w:t>
              </w:r>
            </w:hyperlink>
          </w:p>
        </w:tc>
      </w:tr>
      <w:tr w:rsidR="00C20DDE" w:rsidRPr="002D3252" w14:paraId="3F3FC531" w14:textId="77777777" w:rsidTr="00C20DDE">
        <w:trPr>
          <w:jc w:val="right"/>
        </w:trPr>
        <w:tc>
          <w:tcPr>
            <w:tcW w:w="1266" w:type="dxa"/>
            <w:tcBorders>
              <w:top w:val="single" w:sz="4" w:space="0" w:color="000000"/>
              <w:bottom w:val="single" w:sz="4" w:space="0" w:color="auto"/>
            </w:tcBorders>
            <w:shd w:val="clear" w:color="auto" w:fill="FFFFFF"/>
            <w:tcMar>
              <w:bottom w:w="0" w:type="dxa"/>
            </w:tcMar>
          </w:tcPr>
          <w:p w14:paraId="1983741E" w14:textId="77777777" w:rsidR="00C20DDE" w:rsidRPr="002D3252" w:rsidRDefault="00C20DDE" w:rsidP="00C20DDE">
            <w:pPr>
              <w:rPr>
                <w:rFonts w:ascii="Arial" w:eastAsia="Times New Roman" w:hAnsi="Arial" w:cs="Arial"/>
                <w:bCs/>
                <w:sz w:val="18"/>
                <w:szCs w:val="18"/>
              </w:rPr>
            </w:pPr>
            <w:r w:rsidRPr="002D3252">
              <w:rPr>
                <w:rFonts w:ascii="Arial" w:hAnsi="Arial" w:cs="Arial"/>
                <w:bCs/>
                <w:sz w:val="18"/>
                <w:szCs w:val="18"/>
              </w:rPr>
              <w:t>17 de desembre</w:t>
            </w:r>
          </w:p>
        </w:tc>
        <w:tc>
          <w:tcPr>
            <w:tcW w:w="5255" w:type="dxa"/>
            <w:tcBorders>
              <w:top w:val="single" w:sz="4" w:space="0" w:color="000000"/>
              <w:bottom w:val="single" w:sz="4" w:space="0" w:color="auto"/>
            </w:tcBorders>
            <w:shd w:val="clear" w:color="auto" w:fill="FFFFFF"/>
            <w:tcMar>
              <w:bottom w:w="0" w:type="dxa"/>
            </w:tcMar>
          </w:tcPr>
          <w:p w14:paraId="630A6210" w14:textId="77777777" w:rsidR="00C20DDE" w:rsidRPr="002D3252" w:rsidRDefault="00C20DDE" w:rsidP="00C20DDE">
            <w:pPr>
              <w:jc w:val="both"/>
              <w:rPr>
                <w:rFonts w:ascii="Arial" w:eastAsia="Times New Roman" w:hAnsi="Arial" w:cs="Arial"/>
                <w:bCs/>
                <w:sz w:val="18"/>
                <w:szCs w:val="18"/>
              </w:rPr>
            </w:pPr>
            <w:r w:rsidRPr="002D3252">
              <w:rPr>
                <w:rFonts w:ascii="Arial" w:hAnsi="Arial" w:cs="Arial"/>
                <w:bCs/>
                <w:sz w:val="18"/>
                <w:szCs w:val="18"/>
              </w:rPr>
              <w:t>Finalitza el termini de transposició de la Directiva Europea Whistleblower sense que el Govern d'Espanya hagi realitzat els treballs de transposició</w:t>
            </w:r>
          </w:p>
        </w:tc>
        <w:tc>
          <w:tcPr>
            <w:tcW w:w="1984" w:type="dxa"/>
            <w:tcBorders>
              <w:top w:val="single" w:sz="4" w:space="0" w:color="000000"/>
              <w:bottom w:val="single" w:sz="4" w:space="0" w:color="auto"/>
            </w:tcBorders>
            <w:shd w:val="clear" w:color="auto" w:fill="FFFFFF"/>
          </w:tcPr>
          <w:p w14:paraId="2060DE60" w14:textId="77777777" w:rsidR="00C20DDE" w:rsidRPr="002D3252" w:rsidRDefault="00254AEC" w:rsidP="00C20DDE">
            <w:pPr>
              <w:jc w:val="center"/>
              <w:rPr>
                <w:rFonts w:ascii="Arial" w:eastAsia="Times New Roman" w:hAnsi="Arial" w:cs="Arial"/>
                <w:bCs/>
                <w:sz w:val="18"/>
                <w:szCs w:val="18"/>
                <w:u w:val="single"/>
              </w:rPr>
            </w:pPr>
            <w:hyperlink r:id="rId180" w:history="1">
              <w:r w:rsidR="00C20DDE" w:rsidRPr="002D3252">
                <w:rPr>
                  <w:rFonts w:ascii="Arial" w:hAnsi="Arial" w:cs="Arial"/>
                  <w:color w:val="000080"/>
                  <w:sz w:val="18"/>
                  <w:szCs w:val="18"/>
                  <w:u w:val="single"/>
                </w:rPr>
                <w:t>https://bit.ly/3sreuxb</w:t>
              </w:r>
            </w:hyperlink>
          </w:p>
        </w:tc>
      </w:tr>
    </w:tbl>
    <w:p w14:paraId="047E93CD" w14:textId="06F8CA8F" w:rsidR="0012717F" w:rsidRPr="002D3252" w:rsidRDefault="0012717F" w:rsidP="00B15188">
      <w:pPr>
        <w:widowControl w:val="0"/>
        <w:suppressAutoHyphens/>
        <w:autoSpaceDN w:val="0"/>
        <w:spacing w:after="240" w:line="276" w:lineRule="auto"/>
        <w:jc w:val="both"/>
        <w:rPr>
          <w:rFonts w:ascii="Arial" w:eastAsia="Calibri" w:hAnsi="Arial" w:cs="Arial"/>
          <w:sz w:val="21"/>
        </w:rPr>
      </w:pPr>
    </w:p>
    <w:p w14:paraId="059A2BC1" w14:textId="77777777" w:rsidR="00C20DDE" w:rsidRPr="002D3252" w:rsidRDefault="00C20DDE" w:rsidP="00C20DDE">
      <w:pPr>
        <w:pStyle w:val="Prrafodelista"/>
        <w:keepNext/>
        <w:numPr>
          <w:ilvl w:val="1"/>
          <w:numId w:val="27"/>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62" w:name="_Toc95311214"/>
      <w:bookmarkStart w:id="63" w:name="_Toc99110686"/>
      <w:r w:rsidRPr="002D3252">
        <w:rPr>
          <w:rFonts w:ascii="Arial" w:eastAsia="Times New Roman" w:hAnsi="Arial" w:cs="Arial"/>
          <w:b/>
          <w:color w:val="9D2235"/>
          <w:sz w:val="32"/>
          <w:szCs w:val="32"/>
        </w:rPr>
        <w:lastRenderedPageBreak/>
        <w:t>Accions de comunicació</w:t>
      </w:r>
      <w:bookmarkEnd w:id="62"/>
      <w:bookmarkEnd w:id="63"/>
    </w:p>
    <w:p w14:paraId="068D42B7" w14:textId="77777777" w:rsidR="00C20DDE" w:rsidRPr="002D3252" w:rsidRDefault="00C20DDE" w:rsidP="00C20DDE">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64" w:name="_Toc95311215"/>
      <w:bookmarkStart w:id="65" w:name="_Toc99110687"/>
      <w:r w:rsidRPr="002D3252">
        <w:rPr>
          <w:rFonts w:ascii="Arial" w:eastAsia="Times New Roman" w:hAnsi="Arial" w:cs="Arial"/>
          <w:b/>
          <w:color w:val="9D2235"/>
          <w:sz w:val="28"/>
          <w:szCs w:val="28"/>
        </w:rPr>
        <w:t>Grup de comunicació</w:t>
      </w:r>
      <w:bookmarkEnd w:id="64"/>
      <w:bookmarkEnd w:id="65"/>
    </w:p>
    <w:p w14:paraId="74451169" w14:textId="77777777" w:rsidR="00C20DDE" w:rsidRPr="002D3252" w:rsidRDefault="00C20DDE" w:rsidP="00C20DDE">
      <w:pPr>
        <w:spacing w:after="240" w:line="276" w:lineRule="auto"/>
        <w:jc w:val="both"/>
        <w:rPr>
          <w:rFonts w:ascii="Arial" w:eastAsia="Times New Roman" w:hAnsi="Arial" w:cs="Arial"/>
          <w:bCs/>
          <w:sz w:val="21"/>
          <w:szCs w:val="21"/>
        </w:rPr>
      </w:pPr>
      <w:r w:rsidRPr="002D3252">
        <w:rPr>
          <w:rFonts w:ascii="Arial" w:eastAsia="Times New Roman" w:hAnsi="Arial" w:cs="Arial"/>
          <w:bCs/>
          <w:sz w:val="21"/>
          <w:szCs w:val="21"/>
        </w:rPr>
        <w:t>Conscients de la importància que la comunicació té per a l'Agència, es va constituir durant l'any 2021 un grup de comunicació en el qual participa personal de l'Agència dels diferents departaments que la formen.</w:t>
      </w:r>
    </w:p>
    <w:p w14:paraId="117F9470" w14:textId="18B9EC6C" w:rsidR="0012717F" w:rsidRPr="002D3252" w:rsidRDefault="00C20DDE" w:rsidP="00C20DDE">
      <w:pPr>
        <w:widowControl w:val="0"/>
        <w:suppressAutoHyphens/>
        <w:autoSpaceDN w:val="0"/>
        <w:spacing w:after="240" w:line="276" w:lineRule="auto"/>
        <w:jc w:val="both"/>
        <w:rPr>
          <w:rFonts w:ascii="Arial" w:eastAsia="Calibri" w:hAnsi="Arial" w:cs="Arial"/>
          <w:sz w:val="21"/>
        </w:rPr>
      </w:pPr>
      <w:r w:rsidRPr="002D3252">
        <w:rPr>
          <w:rFonts w:ascii="Arial" w:eastAsia="Times New Roman" w:hAnsi="Arial" w:cs="Arial"/>
          <w:bCs/>
          <w:sz w:val="21"/>
          <w:szCs w:val="21"/>
        </w:rPr>
        <w:t>El grup es reuneix de forma periòdica i en ell es debaten i analitzen les accions de comunicació que es poden posar en marxa, així com la coordinació d' esdeveniments públics i altres qüestions que afecten tant la comunicació externa com interna de l' Agència. Durant el 2021 s'han realitzat set reunions del Grup de Comunicació.</w:t>
      </w:r>
    </w:p>
    <w:bookmarkStart w:id="66" w:name="_Toc95311216"/>
    <w:bookmarkStart w:id="67" w:name="_Toc99110688"/>
    <w:p w14:paraId="5C74DF1B" w14:textId="61D1DB78" w:rsidR="002F2E3B" w:rsidRPr="002D3252" w:rsidRDefault="002F2E3B" w:rsidP="002F2E3B">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r w:rsidRPr="002D3252">
        <w:rPr>
          <w:noProof/>
        </w:rPr>
        <mc:AlternateContent>
          <mc:Choice Requires="wps">
            <w:drawing>
              <wp:anchor distT="0" distB="0" distL="114300" distR="114300" simplePos="0" relativeHeight="252001280" behindDoc="0" locked="0" layoutInCell="1" allowOverlap="1" wp14:anchorId="4ADD82DA" wp14:editId="02F18623">
                <wp:simplePos x="0" y="0"/>
                <wp:positionH relativeFrom="column">
                  <wp:posOffset>5080</wp:posOffset>
                </wp:positionH>
                <wp:positionV relativeFrom="paragraph">
                  <wp:posOffset>1324610</wp:posOffset>
                </wp:positionV>
                <wp:extent cx="5394960" cy="635"/>
                <wp:effectExtent l="0" t="0" r="0" b="0"/>
                <wp:wrapTopAndBottom/>
                <wp:docPr id="27" name="Cuadro de texto 27"/>
                <wp:cNvGraphicFramePr/>
                <a:graphic xmlns:a="http://schemas.openxmlformats.org/drawingml/2006/main">
                  <a:graphicData uri="http://schemas.microsoft.com/office/word/2010/wordprocessingShape">
                    <wps:wsp>
                      <wps:cNvSpPr txBox="1"/>
                      <wps:spPr>
                        <a:xfrm>
                          <a:off x="0" y="0"/>
                          <a:ext cx="5394960" cy="635"/>
                        </a:xfrm>
                        <a:prstGeom prst="rect">
                          <a:avLst/>
                        </a:prstGeom>
                        <a:solidFill>
                          <a:prstClr val="white"/>
                        </a:solidFill>
                        <a:ln>
                          <a:noFill/>
                        </a:ln>
                      </wps:spPr>
                      <wps:txbx>
                        <w:txbxContent>
                          <w:p w14:paraId="44C745F2" w14:textId="63ACB432" w:rsidR="002F2E3B" w:rsidRPr="002F2E3B" w:rsidRDefault="002F2E3B" w:rsidP="002F2E3B">
                            <w:pPr>
                              <w:pStyle w:val="Descripcin"/>
                              <w:jc w:val="center"/>
                              <w:rPr>
                                <w:rFonts w:ascii="Arial" w:eastAsia="Times New Roman" w:hAnsi="Arial" w:cs="Arial"/>
                                <w:smallCaps w:val="0"/>
                                <w:noProof/>
                                <w:sz w:val="18"/>
                                <w:szCs w:val="18"/>
                                <w:lang w:val="ca-ES"/>
                              </w:rPr>
                            </w:pPr>
                            <w:bookmarkStart w:id="68" w:name="_Toc99110956"/>
                            <w:r w:rsidRPr="002F2E3B">
                              <w:rPr>
                                <w:rFonts w:ascii="Arial" w:hAnsi="Arial" w:cs="Arial"/>
                                <w:smallCaps w:val="0"/>
                                <w:color w:val="9D2235" w:themeColor="accent1"/>
                                <w:sz w:val="18"/>
                                <w:szCs w:val="18"/>
                              </w:rPr>
                              <w:t xml:space="preserve">Il·lustració </w:t>
                            </w:r>
                            <w:r w:rsidRPr="002F2E3B">
                              <w:rPr>
                                <w:rFonts w:ascii="Arial" w:hAnsi="Arial" w:cs="Arial"/>
                                <w:smallCaps w:val="0"/>
                                <w:color w:val="9D2235" w:themeColor="accent1"/>
                                <w:sz w:val="18"/>
                                <w:szCs w:val="18"/>
                              </w:rPr>
                              <w:fldChar w:fldCharType="begin"/>
                            </w:r>
                            <w:r w:rsidRPr="002F2E3B">
                              <w:rPr>
                                <w:rFonts w:ascii="Arial" w:hAnsi="Arial" w:cs="Arial"/>
                                <w:smallCaps w:val="0"/>
                                <w:color w:val="9D2235" w:themeColor="accent1"/>
                                <w:sz w:val="18"/>
                                <w:szCs w:val="18"/>
                              </w:rPr>
                              <w:instrText xml:space="preserve"> SEQ Il·lustració \* ARABIC </w:instrText>
                            </w:r>
                            <w:r w:rsidRPr="002F2E3B">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10</w:t>
                            </w:r>
                            <w:r w:rsidRPr="002F2E3B">
                              <w:rPr>
                                <w:rFonts w:ascii="Arial" w:hAnsi="Arial" w:cs="Arial"/>
                                <w:smallCaps w:val="0"/>
                                <w:color w:val="9D2235" w:themeColor="accent1"/>
                                <w:sz w:val="18"/>
                                <w:szCs w:val="18"/>
                              </w:rPr>
                              <w:fldChar w:fldCharType="end"/>
                            </w:r>
                            <w:r w:rsidRPr="002F2E3B">
                              <w:rPr>
                                <w:rFonts w:ascii="Arial" w:hAnsi="Arial" w:cs="Arial"/>
                                <w:smallCaps w:val="0"/>
                                <w:sz w:val="18"/>
                                <w:szCs w:val="18"/>
                              </w:rPr>
                              <w:t>. Campanya #Éslateuabústia</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DD82DA" id="Cuadro de texto 27" o:spid="_x0000_s1034" type="#_x0000_t202" style="position:absolute;left:0;text-align:left;margin-left:.4pt;margin-top:104.3pt;width:424.8pt;height:.0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" stroked="f">
                <v:textbox style="mso-fit-shape-to-text:t" inset="0,0,0,0">
                  <w:txbxContent>
                    <w:p w14:paraId="44C745F2" w14:textId="63ACB432" w:rsidR="002F2E3B" w:rsidRPr="002F2E3B" w:rsidRDefault="002F2E3B" w:rsidP="002F2E3B">
                      <w:pPr>
                        <w:pStyle w:val="Descripcin"/>
                        <w:jc w:val="center"/>
                        <w:rPr>
                          <w:rFonts w:ascii="Arial" w:eastAsia="Times New Roman" w:hAnsi="Arial" w:cs="Arial"/>
                          <w:smallCaps w:val="0"/>
                          <w:noProof/>
                          <w:sz w:val="18"/>
                          <w:szCs w:val="18"/>
                          <w:lang w:val="ca-ES"/>
                        </w:rPr>
                      </w:pPr>
                      <w:bookmarkStart w:id="77" w:name="_Toc99110956"/>
                      <w:r w:rsidRPr="002F2E3B">
                        <w:rPr>
                          <w:rFonts w:ascii="Arial" w:hAnsi="Arial" w:cs="Arial"/>
                          <w:smallCaps w:val="0"/>
                          <w:color w:val="9D2235" w:themeColor="accent1"/>
                          <w:sz w:val="18"/>
                          <w:szCs w:val="18"/>
                        </w:rPr>
                        <w:t xml:space="preserve">Il·lustració </w:t>
                      </w:r>
                      <w:r w:rsidRPr="002F2E3B">
                        <w:rPr>
                          <w:rFonts w:ascii="Arial" w:hAnsi="Arial" w:cs="Arial"/>
                          <w:smallCaps w:val="0"/>
                          <w:color w:val="9D2235" w:themeColor="accent1"/>
                          <w:sz w:val="18"/>
                          <w:szCs w:val="18"/>
                        </w:rPr>
                        <w:fldChar w:fldCharType="begin"/>
                      </w:r>
                      <w:r w:rsidRPr="002F2E3B">
                        <w:rPr>
                          <w:rFonts w:ascii="Arial" w:hAnsi="Arial" w:cs="Arial"/>
                          <w:smallCaps w:val="0"/>
                          <w:color w:val="9D2235" w:themeColor="accent1"/>
                          <w:sz w:val="18"/>
                          <w:szCs w:val="18"/>
                        </w:rPr>
                        <w:instrText xml:space="preserve"> SEQ Il·lustració \* ARABIC </w:instrText>
                      </w:r>
                      <w:r w:rsidRPr="002F2E3B">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10</w:t>
                      </w:r>
                      <w:r w:rsidRPr="002F2E3B">
                        <w:rPr>
                          <w:rFonts w:ascii="Arial" w:hAnsi="Arial" w:cs="Arial"/>
                          <w:smallCaps w:val="0"/>
                          <w:color w:val="9D2235" w:themeColor="accent1"/>
                          <w:sz w:val="18"/>
                          <w:szCs w:val="18"/>
                        </w:rPr>
                        <w:fldChar w:fldCharType="end"/>
                      </w:r>
                      <w:r w:rsidRPr="002F2E3B">
                        <w:rPr>
                          <w:rFonts w:ascii="Arial" w:hAnsi="Arial" w:cs="Arial"/>
                          <w:smallCaps w:val="0"/>
                          <w:sz w:val="18"/>
                          <w:szCs w:val="18"/>
                        </w:rPr>
                        <w:t>. Campanya #Éslateuabústia</w:t>
                      </w:r>
                      <w:bookmarkEnd w:id="77"/>
                    </w:p>
                  </w:txbxContent>
                </v:textbox>
                <w10:wrap type="topAndBottom"/>
              </v:shape>
            </w:pict>
          </mc:Fallback>
        </mc:AlternateContent>
      </w:r>
      <w:r w:rsidRPr="002D3252">
        <w:rPr>
          <w:rFonts w:ascii="Arial" w:eastAsia="Times New Roman" w:hAnsi="Arial" w:cs="Times New Roman"/>
          <w:noProof/>
          <w:sz w:val="21"/>
          <w:szCs w:val="20"/>
        </w:rPr>
        <w:drawing>
          <wp:anchor distT="0" distB="0" distL="114300" distR="114300" simplePos="0" relativeHeight="251999232" behindDoc="0" locked="0" layoutInCell="1" allowOverlap="1" wp14:anchorId="0A9FEB93" wp14:editId="341D14EF">
            <wp:simplePos x="0" y="0"/>
            <wp:positionH relativeFrom="margin">
              <wp:align>right</wp:align>
            </wp:positionH>
            <wp:positionV relativeFrom="paragraph">
              <wp:posOffset>508000</wp:posOffset>
            </wp:positionV>
            <wp:extent cx="5394960" cy="759460"/>
            <wp:effectExtent l="0" t="0" r="0" b="2540"/>
            <wp:wrapTopAndBottom/>
            <wp:docPr id="10" name="Imagen 10"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Logotipo, nombre de la empresa&#10;&#10;Descripción generada automáticament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394960" cy="759460"/>
                    </a:xfrm>
                    <a:prstGeom prst="rect">
                      <a:avLst/>
                    </a:prstGeom>
                  </pic:spPr>
                </pic:pic>
              </a:graphicData>
            </a:graphic>
            <wp14:sizeRelV relativeFrom="margin">
              <wp14:pctHeight>0</wp14:pctHeight>
            </wp14:sizeRelV>
          </wp:anchor>
        </w:drawing>
      </w:r>
      <w:r w:rsidRPr="002D3252">
        <w:rPr>
          <w:rFonts w:ascii="Arial" w:eastAsia="Times New Roman" w:hAnsi="Arial" w:cs="Arial"/>
          <w:b/>
          <w:color w:val="9D2235"/>
          <w:sz w:val="28"/>
          <w:szCs w:val="28"/>
        </w:rPr>
        <w:t>Campanya #Éslateuabústia</w:t>
      </w:r>
      <w:bookmarkEnd w:id="66"/>
      <w:bookmarkEnd w:id="67"/>
    </w:p>
    <w:p w14:paraId="2EBD1BA3" w14:textId="27DA12C2" w:rsidR="0012717F" w:rsidRPr="002D3252" w:rsidRDefault="0012717F" w:rsidP="00B15188">
      <w:pPr>
        <w:widowControl w:val="0"/>
        <w:suppressAutoHyphens/>
        <w:autoSpaceDN w:val="0"/>
        <w:spacing w:after="240" w:line="276" w:lineRule="auto"/>
        <w:jc w:val="both"/>
        <w:rPr>
          <w:rFonts w:ascii="Arial" w:eastAsia="Calibri" w:hAnsi="Arial" w:cs="Arial"/>
          <w:sz w:val="21"/>
        </w:rPr>
      </w:pPr>
    </w:p>
    <w:p w14:paraId="1177E277" w14:textId="77777777" w:rsidR="002F2E3B" w:rsidRPr="002D3252" w:rsidRDefault="002F2E3B" w:rsidP="002F2E3B">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En l'últim trimestre de l'any, l'Agència Valenciana Antifrau ha realitzat la seua primera campanya de comunicació directa dirigida als empleats de les administracions públiques de la Comunitat Valenciana. </w:t>
      </w:r>
    </w:p>
    <w:p w14:paraId="3F37B42A" w14:textId="18491D2E" w:rsidR="002F2E3B" w:rsidRPr="002D3252" w:rsidRDefault="002F2E3B" w:rsidP="002F2E3B">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S'han realitzat més 600 enviaments a tots els ajuntaments i altres institucions públiques, amb una carta del director de l'</w:t>
      </w:r>
      <w:r w:rsidR="00F3776F">
        <w:rPr>
          <w:rFonts w:ascii="Arial" w:eastAsia="Calibri" w:hAnsi="Arial" w:cs="Arial"/>
          <w:sz w:val="21"/>
        </w:rPr>
        <w:t>A</w:t>
      </w:r>
      <w:r w:rsidRPr="002D3252">
        <w:rPr>
          <w:rFonts w:ascii="Arial" w:eastAsia="Calibri" w:hAnsi="Arial" w:cs="Arial"/>
          <w:sz w:val="21"/>
        </w:rPr>
        <w:t>gència per informar, que el passat 17 de desembre de 2021, va finalitzar el termini per a la transposició a l'ordenament jurídic espanyol de la Directiva Europea 1937/2019 de protecció de les persones alertadores, coneguda com a Directiva Whistleblower,  que obliga totes les institucions públiques a comptar amb bústies de denúncia tant interns com externs.</w:t>
      </w:r>
    </w:p>
    <w:p w14:paraId="740E6E72" w14:textId="57078D4B" w:rsidR="0012717F" w:rsidRPr="002D3252" w:rsidRDefault="002F2E3B" w:rsidP="002F2E3B">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A aquesta carta s'adjuntaven calendaris de mesa de l'any 2022, acció de difusió de l'existència de la bústia de denúncies de l'Agència Valenciana Antifrau.</w:t>
      </w:r>
    </w:p>
    <w:p w14:paraId="5B6796F8" w14:textId="77777777" w:rsidR="00947838" w:rsidRPr="002D3252" w:rsidRDefault="00947838" w:rsidP="00947838">
      <w:pPr>
        <w:pStyle w:val="Prrafodelista"/>
        <w:keepNext/>
        <w:numPr>
          <w:ilvl w:val="1"/>
          <w:numId w:val="27"/>
        </w:numPr>
        <w:spacing w:before="360" w:line="276" w:lineRule="auto"/>
        <w:ind w:left="851" w:hanging="851"/>
        <w:contextualSpacing w:val="0"/>
        <w:jc w:val="both"/>
        <w:outlineLvl w:val="1"/>
        <w:rPr>
          <w:rFonts w:ascii="Arial" w:eastAsia="Times New Roman" w:hAnsi="Arial" w:cs="Arial"/>
          <w:b/>
          <w:color w:val="9D2235"/>
          <w:sz w:val="32"/>
          <w:szCs w:val="32"/>
        </w:rPr>
      </w:pPr>
      <w:bookmarkStart w:id="69" w:name="_Toc99110689"/>
      <w:r w:rsidRPr="002D3252">
        <w:rPr>
          <w:rFonts w:ascii="Arial" w:eastAsia="Times New Roman" w:hAnsi="Arial" w:cs="Arial"/>
          <w:b/>
          <w:color w:val="9D2235"/>
          <w:sz w:val="32"/>
          <w:szCs w:val="32"/>
        </w:rPr>
        <w:t>Relacions amb les Corts Valencianes</w:t>
      </w:r>
      <w:bookmarkEnd w:id="69"/>
    </w:p>
    <w:p w14:paraId="30179ABC" w14:textId="34B8A9C9" w:rsidR="00947838" w:rsidRPr="002D3252" w:rsidRDefault="00947838" w:rsidP="00947838">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D'acord amb l'article 5.4 de la Llei 11/2016 de la Generalitat, de creació de l'Agència, “L'agència es relaciona amb </w:t>
      </w:r>
      <w:r w:rsidR="00B6627C">
        <w:rPr>
          <w:rFonts w:ascii="Arial" w:eastAsia="Calibri" w:hAnsi="Arial" w:cs="Arial"/>
          <w:sz w:val="21"/>
        </w:rPr>
        <w:t>l</w:t>
      </w:r>
      <w:r w:rsidRPr="002D3252">
        <w:rPr>
          <w:rFonts w:ascii="Arial" w:eastAsia="Calibri" w:hAnsi="Arial" w:cs="Arial"/>
          <w:sz w:val="21"/>
        </w:rPr>
        <w:t xml:space="preserve">es Corts mitjançant la comissió parlamentària que s'establisca. A aquesta comissió li correspon el control d'actuació de l'agència i la comprovació dels requisits exigits al candidat o candidata a director o directora abans de l'elecció pel Ple de les Corts. L'Agència, sempre que siga requerida, cooperarà amb les comissions parlamentàries d'investigació en l'elaboració de dictàmens sobre assumptes del seu àmbit d'actuació. Així mateix, el director o directora de l'Agència acudirà a les comissions </w:t>
      </w:r>
      <w:r w:rsidRPr="002D3252">
        <w:rPr>
          <w:rFonts w:ascii="Arial" w:eastAsia="Calibri" w:hAnsi="Arial" w:cs="Arial"/>
          <w:sz w:val="21"/>
        </w:rPr>
        <w:lastRenderedPageBreak/>
        <w:t>parlamentàries a les quals siga convocat per a informar de l'estat de les seues actuacions i podrà sol·licitar, quan el crega convenient, comparéixer.”</w:t>
      </w:r>
    </w:p>
    <w:p w14:paraId="1497F4B1"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sz w:val="21"/>
        </w:rPr>
        <w:t>Els articles 23 i 24 de la Llei 11/2016 de la Generalitat, d'altra banda, es refereixen a l'elaboració i presentació, quan concórreguen circumstàncies especials, d'informes especials i extraordinaris, els quals, juntament amb la memòria anual, seran publicats en el Butlletí Oficial de les Corts i en el Portal de Transparència de la web de l'Agència. També podrà elaborar l'Agència recomanacions i dictàmens no vinculants sobre assumptes de la seua competència.</w:t>
      </w:r>
    </w:p>
    <w:p w14:paraId="2492EE56" w14:textId="77777777" w:rsidR="00947838" w:rsidRPr="002D3252" w:rsidRDefault="00947838" w:rsidP="00947838">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70" w:name="_Toc95311218"/>
      <w:bookmarkStart w:id="71" w:name="_Toc99110690"/>
      <w:r w:rsidRPr="002D3252">
        <w:rPr>
          <w:rFonts w:ascii="Arial" w:eastAsia="Times New Roman" w:hAnsi="Arial" w:cs="Arial"/>
          <w:b/>
          <w:color w:val="9D2235"/>
          <w:sz w:val="28"/>
          <w:szCs w:val="28"/>
        </w:rPr>
        <w:t>Entrega de la Memòria 2020</w:t>
      </w:r>
      <w:bookmarkEnd w:id="70"/>
      <w:bookmarkEnd w:id="71"/>
    </w:p>
    <w:p w14:paraId="33CE3063" w14:textId="77777777" w:rsidR="00947838" w:rsidRPr="002D3252" w:rsidRDefault="00947838" w:rsidP="00947838">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La Memòria d'activitats de l'exercici 2020, es va entregar en un acte protocol·lari en les Corts el 30 de març, en compliment de l'article 22.3 de la Llei 11/2016, en presència del president i dels síndics i síndiques dels grups parlamentaris.</w:t>
      </w:r>
    </w:p>
    <w:p w14:paraId="082302F6" w14:textId="20D03EB0" w:rsidR="00947838" w:rsidRPr="002D3252" w:rsidRDefault="00947838" w:rsidP="00947838">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Nota de premsa: </w:t>
      </w:r>
      <w:hyperlink r:id="rId182" w:history="1">
        <w:r w:rsidRPr="002D3252">
          <w:rPr>
            <w:rStyle w:val="Hipervnculo"/>
            <w:rFonts w:ascii="Arial" w:eastAsia="Calibri" w:hAnsi="Arial" w:cs="Arial"/>
            <w:sz w:val="21"/>
          </w:rPr>
          <w:t>https://www.antifraucv.es/va/lagencia-valenciana-antifrau-presenta-a-les-corts-la-seua-memoria-dactivitat-de-lany-2020/</w:t>
        </w:r>
      </w:hyperlink>
      <w:r w:rsidRPr="002D3252">
        <w:rPr>
          <w:rFonts w:ascii="Arial" w:eastAsia="Calibri" w:hAnsi="Arial" w:cs="Arial"/>
          <w:sz w:val="21"/>
        </w:rPr>
        <w:t xml:space="preserve"> </w:t>
      </w:r>
    </w:p>
    <w:p w14:paraId="4235454C" w14:textId="77777777" w:rsidR="00947838" w:rsidRPr="002D3252" w:rsidRDefault="00947838" w:rsidP="00947838">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72" w:name="_Toc99110691"/>
      <w:r w:rsidRPr="002D3252">
        <w:rPr>
          <w:rFonts w:ascii="Arial" w:eastAsia="Times New Roman" w:hAnsi="Arial" w:cs="Arial"/>
          <w:b/>
          <w:color w:val="9D2235"/>
          <w:sz w:val="28"/>
          <w:szCs w:val="28"/>
        </w:rPr>
        <w:t>Compareixences del director davant Comissions parlamentàries</w:t>
      </w:r>
      <w:bookmarkEnd w:id="72"/>
    </w:p>
    <w:p w14:paraId="10B05BB7" w14:textId="77777777" w:rsidR="00947838" w:rsidRPr="002D3252" w:rsidRDefault="00947838" w:rsidP="00947838">
      <w:pPr>
        <w:widowControl w:val="0"/>
        <w:suppressAutoHyphens/>
        <w:autoSpaceDN w:val="0"/>
        <w:spacing w:after="240" w:line="276" w:lineRule="auto"/>
        <w:jc w:val="both"/>
        <w:rPr>
          <w:rFonts w:ascii="Arial" w:eastAsia="Calibri" w:hAnsi="Arial" w:cs="Arial"/>
          <w:b/>
          <w:bCs/>
          <w:iCs/>
          <w:sz w:val="21"/>
        </w:rPr>
      </w:pPr>
      <w:r w:rsidRPr="002D3252">
        <w:rPr>
          <w:rFonts w:ascii="Arial" w:eastAsia="Calibri" w:hAnsi="Arial" w:cs="Arial"/>
          <w:b/>
          <w:bCs/>
          <w:iCs/>
          <w:sz w:val="21"/>
        </w:rPr>
        <w:t>Presentació de la Memòria 2019</w:t>
      </w:r>
    </w:p>
    <w:p w14:paraId="58BB2C8F"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 xml:space="preserve">El 9 de febrer, en compliment de l'article 22 de la Llei 11/2016, de 28 novembre, de la Generalitat, el director de l'Agència va presentar la Memòria anual d'activitat corresponent a l'any 2019 que, a causa de les restriccions imposades per la pandèmia provocada pel COVID-19, no es va poder presentar en l'exercici corresponent davant la Comissió d'Economia, Pressupostos i Hisenda. </w:t>
      </w:r>
    </w:p>
    <w:p w14:paraId="1FA942D1"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 xml:space="preserve">El vídeo íntegre de la compareixença pot veure's ací: </w:t>
      </w:r>
      <w:hyperlink r:id="rId183" w:history="1">
        <w:r w:rsidRPr="002D3252">
          <w:rPr>
            <w:rStyle w:val="Hipervnculo"/>
            <w:rFonts w:ascii="Arial" w:eastAsia="Calibri" w:hAnsi="Arial" w:cs="Arial"/>
            <w:bCs/>
            <w:sz w:val="21"/>
          </w:rPr>
          <w:t>https://www.youtube.com/watch?v=YZeXawhmMqQ</w:t>
        </w:r>
      </w:hyperlink>
      <w:r w:rsidRPr="002D3252">
        <w:rPr>
          <w:rFonts w:ascii="Arial" w:eastAsia="Calibri" w:hAnsi="Arial" w:cs="Arial"/>
          <w:bCs/>
          <w:sz w:val="21"/>
        </w:rPr>
        <w:t xml:space="preserve"> </w:t>
      </w:r>
    </w:p>
    <w:p w14:paraId="3B750FBD" w14:textId="77777777" w:rsidR="00947838" w:rsidRPr="002D3252" w:rsidRDefault="00947838" w:rsidP="00947838">
      <w:pPr>
        <w:widowControl w:val="0"/>
        <w:suppressAutoHyphens/>
        <w:autoSpaceDN w:val="0"/>
        <w:spacing w:after="240" w:line="276" w:lineRule="auto"/>
        <w:jc w:val="both"/>
        <w:rPr>
          <w:rFonts w:ascii="Arial" w:eastAsia="Calibri" w:hAnsi="Arial" w:cs="Arial"/>
          <w:b/>
          <w:bCs/>
          <w:iCs/>
          <w:sz w:val="21"/>
        </w:rPr>
      </w:pPr>
      <w:r w:rsidRPr="002D3252">
        <w:rPr>
          <w:rFonts w:ascii="Arial" w:eastAsia="Calibri" w:hAnsi="Arial" w:cs="Arial"/>
          <w:b/>
          <w:bCs/>
          <w:iCs/>
          <w:sz w:val="21"/>
        </w:rPr>
        <w:t>Compareixença respecte a la Proposició de Llei de Transparència i Bon Govern de la Comunitat Valenciana</w:t>
      </w:r>
    </w:p>
    <w:p w14:paraId="14E987E6"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 xml:space="preserve">En virtut del que es disposa en l'article 5.4 de la Llei 11/2016, de 28 de novembre, de la Generalitat, i l'article 188 del Reglament de les Corts Valencianes, el director de l'Agència va sol·licitar la seua compareixença respecte a la Proposició de Llei de Transparència i Bon Govern de la Comunitat Valenciana </w:t>
      </w:r>
      <w:hyperlink r:id="rId184" w:history="1">
        <w:r w:rsidRPr="002D3252">
          <w:rPr>
            <w:rStyle w:val="Hipervnculo"/>
            <w:rFonts w:ascii="Arial" w:eastAsia="Calibri" w:hAnsi="Arial" w:cs="Arial"/>
            <w:bCs/>
            <w:sz w:val="21"/>
          </w:rPr>
          <w:t>https://www.cortsvalencianes.es/ca-va/parlament-obert/participa/iniciative/proposicio-de-llei-de-transparencia-i-bon-govern-de-comunitat</w:t>
        </w:r>
      </w:hyperlink>
    </w:p>
    <w:p w14:paraId="5E0F4BE8"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Les Corts Valencianes, a través del seu president, Sr. Enric Morera i Català, d'acord amb la Resolució de Presidència de caràcter general 5/IX, que regula el procediment de participació ciutadana en el procés legislatiu, va convidar al director de l'Agència a comparéixer davant la Comissió de Coordinació, Organització i Règim de les Institucions de la Generalitat el 12 de maig.</w:t>
      </w:r>
    </w:p>
    <w:p w14:paraId="0BDFFCD2" w14:textId="77777777" w:rsidR="00947838" w:rsidRPr="002D3252" w:rsidRDefault="00947838" w:rsidP="00732E55">
      <w:pPr>
        <w:widowControl w:val="0"/>
        <w:suppressAutoHyphens/>
        <w:autoSpaceDN w:val="0"/>
        <w:spacing w:after="120" w:line="276" w:lineRule="auto"/>
        <w:jc w:val="both"/>
        <w:rPr>
          <w:rFonts w:ascii="Arial" w:eastAsia="Calibri" w:hAnsi="Arial" w:cs="Arial"/>
          <w:bCs/>
          <w:sz w:val="21"/>
        </w:rPr>
      </w:pPr>
      <w:r w:rsidRPr="002D3252">
        <w:rPr>
          <w:rFonts w:ascii="Arial" w:eastAsia="Calibri" w:hAnsi="Arial" w:cs="Arial"/>
          <w:bCs/>
          <w:sz w:val="21"/>
        </w:rPr>
        <w:lastRenderedPageBreak/>
        <w:t>Davant aquesta comissió, el director va exposar les al·legacions al Projecte de llei formulades per l'Agència:</w:t>
      </w:r>
    </w:p>
    <w:p w14:paraId="2AF2A93B" w14:textId="7FF612B1" w:rsidR="00947838" w:rsidRPr="002D3252" w:rsidRDefault="00947838" w:rsidP="00E0155F">
      <w:pPr>
        <w:widowControl w:val="0"/>
        <w:numPr>
          <w:ilvl w:val="0"/>
          <w:numId w:val="37"/>
        </w:numPr>
        <w:suppressAutoHyphens/>
        <w:autoSpaceDN w:val="0"/>
        <w:spacing w:after="120" w:line="276" w:lineRule="auto"/>
        <w:ind w:left="714" w:hanging="357"/>
        <w:jc w:val="both"/>
        <w:rPr>
          <w:rFonts w:ascii="Arial" w:eastAsia="Calibri" w:hAnsi="Arial" w:cs="Arial"/>
          <w:bCs/>
          <w:sz w:val="21"/>
        </w:rPr>
      </w:pPr>
      <w:r w:rsidRPr="002D3252">
        <w:rPr>
          <w:rFonts w:ascii="Arial" w:eastAsia="Calibri" w:hAnsi="Arial" w:cs="Arial"/>
          <w:bCs/>
          <w:sz w:val="21"/>
        </w:rPr>
        <w:t>Proposta d'onze esmenes a la Proposició de la Llei de Transparència i Bon Govern de la Comunitat Valenciana [RE núm</w:t>
      </w:r>
      <w:r w:rsidR="000827CD">
        <w:rPr>
          <w:rFonts w:ascii="Arial" w:eastAsia="Calibri" w:hAnsi="Arial" w:cs="Arial"/>
          <w:bCs/>
          <w:sz w:val="21"/>
        </w:rPr>
        <w:t>.</w:t>
      </w:r>
      <w:r w:rsidRPr="002D3252">
        <w:rPr>
          <w:rFonts w:ascii="Arial" w:eastAsia="Calibri" w:hAnsi="Arial" w:cs="Arial"/>
          <w:bCs/>
          <w:sz w:val="21"/>
        </w:rPr>
        <w:t xml:space="preserve"> 23.111] (26.02.2021). </w:t>
      </w:r>
      <w:hyperlink r:id="rId185" w:history="1">
        <w:r w:rsidRPr="002D3252">
          <w:rPr>
            <w:rStyle w:val="Hipervnculo"/>
            <w:rFonts w:ascii="Arial" w:eastAsia="Calibri" w:hAnsi="Arial" w:cs="Arial"/>
            <w:bCs/>
            <w:sz w:val="21"/>
          </w:rPr>
          <w:t>https://www.antifraucv.es/wp-content/uploads/2021/04/210225_resolucio_aprovacio_esmenes_castella_valencia-3_CSV.pdf</w:t>
        </w:r>
      </w:hyperlink>
      <w:r w:rsidRPr="002D3252">
        <w:rPr>
          <w:rFonts w:ascii="Arial" w:eastAsia="Calibri" w:hAnsi="Arial" w:cs="Arial"/>
          <w:bCs/>
          <w:sz w:val="21"/>
        </w:rPr>
        <w:t xml:space="preserve"> </w:t>
      </w:r>
    </w:p>
    <w:p w14:paraId="3A5304F7" w14:textId="6BFD9297" w:rsidR="00947838" w:rsidRPr="002D3252" w:rsidRDefault="00947838" w:rsidP="00E0155F">
      <w:pPr>
        <w:widowControl w:val="0"/>
        <w:numPr>
          <w:ilvl w:val="0"/>
          <w:numId w:val="37"/>
        </w:numPr>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Proposta de dues esmenes a la Proposició de la Llei de Transparència i Bon Govern de la Comunitat Valenciana, que s'addicionen a les onze presentades amb data 25 de febrer de 2012 [RE núm</w:t>
      </w:r>
      <w:r w:rsidR="000827CD">
        <w:rPr>
          <w:rFonts w:ascii="Arial" w:eastAsia="Calibri" w:hAnsi="Arial" w:cs="Arial"/>
          <w:bCs/>
          <w:sz w:val="21"/>
        </w:rPr>
        <w:t>.</w:t>
      </w:r>
      <w:r w:rsidRPr="002D3252">
        <w:rPr>
          <w:rFonts w:ascii="Arial" w:eastAsia="Calibri" w:hAnsi="Arial" w:cs="Arial"/>
          <w:bCs/>
          <w:sz w:val="21"/>
        </w:rPr>
        <w:t xml:space="preserve"> 23.111] (11.05.2021). </w:t>
      </w:r>
      <w:hyperlink r:id="rId186" w:history="1">
        <w:r w:rsidRPr="002D3252">
          <w:rPr>
            <w:rStyle w:val="Hipervnculo"/>
            <w:rFonts w:ascii="Arial" w:eastAsia="Calibri" w:hAnsi="Arial" w:cs="Arial"/>
            <w:bCs/>
            <w:sz w:val="21"/>
          </w:rPr>
          <w:t>https://www.antifraucv.es/wp-content/uploads/2021/04/210511_Oficios_y_Enmiendas_Ley_Transparencia_y_Buen_Gobierno_GVA_CAS.pdf</w:t>
        </w:r>
      </w:hyperlink>
      <w:r w:rsidRPr="002D3252">
        <w:rPr>
          <w:rFonts w:ascii="Arial" w:eastAsia="Calibri" w:hAnsi="Arial" w:cs="Arial"/>
          <w:bCs/>
          <w:sz w:val="21"/>
        </w:rPr>
        <w:t xml:space="preserve"> </w:t>
      </w:r>
    </w:p>
    <w:p w14:paraId="1DF24AFA"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 xml:space="preserve">Nota de premsa: </w:t>
      </w:r>
      <w:hyperlink r:id="rId187" w:history="1">
        <w:r w:rsidRPr="002D3252">
          <w:rPr>
            <w:rStyle w:val="Hipervnculo"/>
            <w:rFonts w:ascii="Arial" w:eastAsia="Calibri" w:hAnsi="Arial" w:cs="Arial"/>
            <w:sz w:val="21"/>
          </w:rPr>
          <w:t>https://www.antifraucv.es/va/lagencia-valenciana-antifrau-presenta-11-esmenes-a-la-nova-llei-de-transparencia-i-bon-govern-de-la-comunitat-valenciana/</w:t>
        </w:r>
      </w:hyperlink>
      <w:r w:rsidRPr="002D3252">
        <w:rPr>
          <w:rFonts w:ascii="Arial" w:eastAsia="Calibri" w:hAnsi="Arial" w:cs="Arial"/>
          <w:sz w:val="21"/>
        </w:rPr>
        <w:t xml:space="preserve"> </w:t>
      </w:r>
    </w:p>
    <w:p w14:paraId="73332B17" w14:textId="3333D0B8" w:rsidR="00947838" w:rsidRPr="002D3252" w:rsidRDefault="00947838" w:rsidP="00947838">
      <w:pPr>
        <w:widowControl w:val="0"/>
        <w:suppressAutoHyphens/>
        <w:autoSpaceDN w:val="0"/>
        <w:spacing w:after="240" w:line="276" w:lineRule="auto"/>
        <w:jc w:val="both"/>
        <w:rPr>
          <w:rFonts w:ascii="Arial" w:eastAsia="Calibri" w:hAnsi="Arial" w:cs="Arial"/>
          <w:b/>
          <w:bCs/>
          <w:iCs/>
          <w:sz w:val="21"/>
        </w:rPr>
      </w:pPr>
      <w:r w:rsidRPr="002D3252">
        <w:rPr>
          <w:rFonts w:ascii="Arial" w:eastAsia="Calibri" w:hAnsi="Arial" w:cs="Arial"/>
          <w:b/>
          <w:bCs/>
          <w:iCs/>
          <w:sz w:val="21"/>
        </w:rPr>
        <w:t>Presentació de la Memòria 2020</w:t>
      </w:r>
    </w:p>
    <w:p w14:paraId="0D08FC22"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El 13 de maig, en compliment de l'article 22 de la Llei 11/2016, de 28 novembre, de la Generalitat, el director de l'Agència va presentar la Memòria anual d'activitat corresponent a l'any 2020, davant la Comissió d'Economia, Pressupostos i Hisenda.</w:t>
      </w:r>
    </w:p>
    <w:p w14:paraId="2CBD51AF"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bCs/>
          <w:sz w:val="21"/>
        </w:rPr>
        <w:t xml:space="preserve">El vídeo íntegre de la compareixença pot veure's ací: </w:t>
      </w:r>
      <w:hyperlink r:id="rId188" w:history="1">
        <w:r w:rsidRPr="002D3252">
          <w:rPr>
            <w:rStyle w:val="Hipervnculo"/>
            <w:rFonts w:ascii="Arial" w:eastAsia="Calibri" w:hAnsi="Arial" w:cs="Arial"/>
            <w:bCs/>
            <w:sz w:val="21"/>
          </w:rPr>
          <w:t>https://www.youtube.com/watch?v=BWORDmZqsYQ</w:t>
        </w:r>
      </w:hyperlink>
    </w:p>
    <w:p w14:paraId="75F37C4A" w14:textId="77777777" w:rsidR="00947838" w:rsidRPr="002D3252" w:rsidRDefault="00947838" w:rsidP="00947838">
      <w:pPr>
        <w:pStyle w:val="Prrafodelista"/>
        <w:keepNext/>
        <w:numPr>
          <w:ilvl w:val="1"/>
          <w:numId w:val="27"/>
        </w:numPr>
        <w:spacing w:before="360" w:line="276" w:lineRule="auto"/>
        <w:ind w:left="851" w:hanging="851"/>
        <w:contextualSpacing w:val="0"/>
        <w:jc w:val="both"/>
        <w:outlineLvl w:val="1"/>
        <w:rPr>
          <w:rFonts w:ascii="Arial" w:eastAsia="Times New Roman" w:hAnsi="Arial" w:cs="Arial"/>
          <w:b/>
          <w:color w:val="9D2235"/>
          <w:sz w:val="32"/>
          <w:szCs w:val="32"/>
        </w:rPr>
      </w:pPr>
      <w:bookmarkStart w:id="73" w:name="_Toc95311220"/>
      <w:bookmarkStart w:id="74" w:name="_Toc99110692"/>
      <w:r w:rsidRPr="002D3252">
        <w:rPr>
          <w:rFonts w:ascii="Arial" w:eastAsia="Times New Roman" w:hAnsi="Arial" w:cs="Arial"/>
          <w:b/>
          <w:color w:val="9D2235"/>
          <w:sz w:val="32"/>
          <w:szCs w:val="32"/>
        </w:rPr>
        <w:t>Relacions amb altres institucions</w:t>
      </w:r>
      <w:bookmarkEnd w:id="73"/>
      <w:bookmarkEnd w:id="74"/>
    </w:p>
    <w:p w14:paraId="18F41B4C" w14:textId="77777777" w:rsidR="00947838" w:rsidRPr="002D3252" w:rsidRDefault="00947838" w:rsidP="00947838">
      <w:pPr>
        <w:pStyle w:val="Prrafodelista"/>
        <w:keepNext/>
        <w:numPr>
          <w:ilvl w:val="2"/>
          <w:numId w:val="27"/>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75" w:name="_Toc95311221"/>
      <w:bookmarkStart w:id="76" w:name="_Toc99110693"/>
      <w:r w:rsidRPr="002D3252">
        <w:rPr>
          <w:rFonts w:ascii="Arial" w:eastAsia="Times New Roman" w:hAnsi="Arial" w:cs="Arial"/>
          <w:b/>
          <w:color w:val="9D2235"/>
          <w:sz w:val="28"/>
          <w:szCs w:val="28"/>
        </w:rPr>
        <w:t>Eusko Legebitzarra / Parlament Vasc</w:t>
      </w:r>
      <w:bookmarkEnd w:id="75"/>
      <w:bookmarkEnd w:id="76"/>
    </w:p>
    <w:p w14:paraId="67C7E230" w14:textId="77777777" w:rsidR="00947838" w:rsidRPr="002D3252" w:rsidRDefault="00947838" w:rsidP="00947838">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 xml:space="preserve">El Parlament Basc, a requeriment Josu Estarrona Elizondo, parlamentari del grup EH Bildu, va cursar una invitació al director de l'Agència per a comparéixer davant de la Mesa de la Comissió d'Economia, Hisenda i Pressupostos l'1 de març de 2021 </w:t>
      </w:r>
      <w:hyperlink r:id="rId189" w:history="1">
        <w:r w:rsidRPr="002D3252">
          <w:rPr>
            <w:rStyle w:val="Hipervnculo"/>
            <w:rFonts w:ascii="Arial" w:eastAsia="Calibri" w:hAnsi="Arial" w:cs="Arial"/>
            <w:sz w:val="21"/>
          </w:rPr>
          <w:t>https://www.legebiltzarra.eus/ic2/restAPI/pvgune_descargar/default/5b981736-1434-465d-b718-5c98192330f7</w:t>
        </w:r>
      </w:hyperlink>
      <w:r w:rsidRPr="002D3252">
        <w:rPr>
          <w:rFonts w:ascii="Arial" w:eastAsia="Calibri" w:hAnsi="Arial" w:cs="Arial"/>
          <w:sz w:val="21"/>
        </w:rPr>
        <w:t xml:space="preserve">, amb l'objectiu de realitzar aportacions en relació amb les proposicions de llei de modificació de la Llei 1/1988, de 5 de febrer, del Tribunal Basc de Comptes Públics </w:t>
      </w:r>
      <w:hyperlink r:id="rId190" w:history="1">
        <w:r w:rsidRPr="002D3252">
          <w:rPr>
            <w:rStyle w:val="Hipervnculo"/>
            <w:rFonts w:ascii="Arial" w:eastAsia="Calibri" w:hAnsi="Arial" w:cs="Arial"/>
            <w:sz w:val="21"/>
          </w:rPr>
          <w:t>https://www.boe.es/eli/es-pv/l/1988/02/05/1/con</w:t>
        </w:r>
      </w:hyperlink>
      <w:r w:rsidRPr="002D3252">
        <w:rPr>
          <w:rFonts w:ascii="Arial" w:eastAsia="Calibri" w:hAnsi="Arial" w:cs="Arial"/>
          <w:sz w:val="21"/>
        </w:rPr>
        <w:t>.</w:t>
      </w:r>
    </w:p>
    <w:p w14:paraId="7A3D3263" w14:textId="77777777" w:rsidR="00947838" w:rsidRPr="002D3252" w:rsidRDefault="00947838" w:rsidP="00947838">
      <w:pPr>
        <w:widowControl w:val="0"/>
        <w:suppressAutoHyphens/>
        <w:autoSpaceDN w:val="0"/>
        <w:spacing w:after="240" w:line="276" w:lineRule="auto"/>
        <w:jc w:val="both"/>
        <w:rPr>
          <w:rFonts w:ascii="Arial" w:eastAsia="Calibri" w:hAnsi="Arial" w:cs="Arial"/>
          <w:bCs/>
          <w:sz w:val="21"/>
        </w:rPr>
      </w:pPr>
      <w:r w:rsidRPr="002D3252">
        <w:rPr>
          <w:rFonts w:ascii="Arial" w:eastAsia="Calibri" w:hAnsi="Arial" w:cs="Arial"/>
          <w:sz w:val="21"/>
        </w:rPr>
        <w:t>La compareixença es va realitzar per videoconferència, ja que no es va poder viatjar a causa de la situació sanitària provocada pel Covid-19.</w:t>
      </w:r>
    </w:p>
    <w:p w14:paraId="18C2EFD6" w14:textId="77777777" w:rsidR="00947838" w:rsidRPr="002D3252" w:rsidRDefault="00947838" w:rsidP="00947838">
      <w:pPr>
        <w:pStyle w:val="Prrafodelista"/>
        <w:keepNext/>
        <w:numPr>
          <w:ilvl w:val="1"/>
          <w:numId w:val="27"/>
        </w:numPr>
        <w:spacing w:before="360" w:line="276" w:lineRule="auto"/>
        <w:ind w:left="851" w:hanging="851"/>
        <w:contextualSpacing w:val="0"/>
        <w:jc w:val="both"/>
        <w:outlineLvl w:val="1"/>
        <w:rPr>
          <w:rFonts w:ascii="Arial" w:eastAsia="Times New Roman" w:hAnsi="Arial" w:cs="Arial"/>
          <w:b/>
          <w:color w:val="9D2235"/>
          <w:sz w:val="32"/>
          <w:szCs w:val="32"/>
        </w:rPr>
      </w:pPr>
      <w:bookmarkStart w:id="77" w:name="_Toc95311222"/>
      <w:bookmarkStart w:id="78" w:name="_Toc99110694"/>
      <w:r w:rsidRPr="002D3252">
        <w:rPr>
          <w:rFonts w:ascii="Arial" w:eastAsia="Times New Roman" w:hAnsi="Arial" w:cs="Arial"/>
          <w:b/>
          <w:color w:val="9D2235"/>
          <w:sz w:val="32"/>
          <w:szCs w:val="32"/>
        </w:rPr>
        <w:t>Publicacions en bolletins oficials</w:t>
      </w:r>
      <w:bookmarkEnd w:id="77"/>
      <w:bookmarkEnd w:id="78"/>
    </w:p>
    <w:p w14:paraId="4316D107" w14:textId="09779F91" w:rsidR="0012717F" w:rsidRPr="002D3252" w:rsidRDefault="00947838" w:rsidP="00947838">
      <w:pPr>
        <w:widowControl w:val="0"/>
        <w:suppressAutoHyphens/>
        <w:autoSpaceDN w:val="0"/>
        <w:spacing w:after="240" w:line="276" w:lineRule="auto"/>
        <w:jc w:val="both"/>
        <w:rPr>
          <w:rFonts w:ascii="Arial" w:eastAsia="Calibri" w:hAnsi="Arial" w:cs="Arial"/>
          <w:sz w:val="21"/>
        </w:rPr>
      </w:pPr>
      <w:r w:rsidRPr="002D3252">
        <w:rPr>
          <w:rFonts w:ascii="Arial" w:eastAsia="Calibri" w:hAnsi="Arial" w:cs="Arial"/>
          <w:sz w:val="21"/>
        </w:rPr>
        <w:t>Al llarg del 2021, es van efectuar les següents publicacions en butlletins oficials (Butlletí Oficial de les Corts Valencianes - BOCV, Diari Oficial de la Generalitat Valenciana - DOGV i Bolletí Oficial de l’Estat - BOE):</w:t>
      </w:r>
    </w:p>
    <w:p w14:paraId="1DFDEBD8" w14:textId="730B012A" w:rsidR="00732E55" w:rsidRPr="002D3252" w:rsidRDefault="00732E55" w:rsidP="00732E55">
      <w:pPr>
        <w:pStyle w:val="Descripcin"/>
        <w:keepNext/>
        <w:rPr>
          <w:rFonts w:ascii="Arial" w:hAnsi="Arial" w:cs="Arial"/>
          <w:smallCaps w:val="0"/>
          <w:sz w:val="18"/>
          <w:szCs w:val="18"/>
        </w:rPr>
      </w:pPr>
      <w:bookmarkStart w:id="79" w:name="_Toc99110850"/>
      <w:r w:rsidRPr="002D3252">
        <w:rPr>
          <w:rFonts w:ascii="Arial" w:hAnsi="Arial" w:cs="Arial"/>
          <w:smallCaps w:val="0"/>
          <w:color w:val="9D2235" w:themeColor="accent1"/>
          <w:sz w:val="18"/>
          <w:szCs w:val="18"/>
        </w:rPr>
        <w:lastRenderedPageBreak/>
        <w:t xml:space="preserve">Taula </w:t>
      </w:r>
      <w:r w:rsidRPr="002D3252">
        <w:rPr>
          <w:rFonts w:ascii="Arial" w:hAnsi="Arial" w:cs="Arial"/>
          <w:smallCaps w:val="0"/>
          <w:color w:val="9D2235" w:themeColor="accent1"/>
          <w:sz w:val="18"/>
          <w:szCs w:val="18"/>
        </w:rPr>
        <w:fldChar w:fldCharType="begin" w:fldLock="1"/>
      </w:r>
      <w:r w:rsidRPr="002D3252">
        <w:rPr>
          <w:rFonts w:ascii="Arial" w:hAnsi="Arial" w:cs="Arial"/>
          <w:smallCaps w:val="0"/>
          <w:color w:val="9D2235" w:themeColor="accent1"/>
          <w:sz w:val="18"/>
          <w:szCs w:val="18"/>
        </w:rPr>
        <w:instrText xml:space="preserve"> SEQ Taula \* ARABIC </w:instrText>
      </w:r>
      <w:r w:rsidRPr="002D3252">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5</w:t>
      </w:r>
      <w:r w:rsidRPr="002D3252">
        <w:rPr>
          <w:rFonts w:ascii="Arial" w:hAnsi="Arial" w:cs="Arial"/>
          <w:smallCaps w:val="0"/>
          <w:color w:val="9D2235" w:themeColor="accent1"/>
          <w:sz w:val="18"/>
          <w:szCs w:val="18"/>
        </w:rPr>
        <w:fldChar w:fldCharType="end"/>
      </w:r>
      <w:r w:rsidRPr="002D3252">
        <w:rPr>
          <w:rFonts w:ascii="Arial" w:hAnsi="Arial" w:cs="Arial"/>
          <w:smallCaps w:val="0"/>
          <w:color w:val="9D2235" w:themeColor="accent1"/>
          <w:sz w:val="18"/>
          <w:szCs w:val="18"/>
        </w:rPr>
        <w:t xml:space="preserve">. </w:t>
      </w:r>
      <w:r w:rsidRPr="002D3252">
        <w:rPr>
          <w:rFonts w:ascii="Arial" w:hAnsi="Arial" w:cs="Arial"/>
          <w:smallCaps w:val="0"/>
          <w:sz w:val="18"/>
          <w:szCs w:val="18"/>
        </w:rPr>
        <w:t>Publicacions en bolletins oficials any 2021</w:t>
      </w:r>
      <w:bookmarkEnd w:id="79"/>
    </w:p>
    <w:tbl>
      <w:tblPr>
        <w:tblW w:w="8812" w:type="dxa"/>
        <w:tblCellMar>
          <w:top w:w="55" w:type="dxa"/>
          <w:left w:w="55" w:type="dxa"/>
          <w:bottom w:w="55" w:type="dxa"/>
          <w:right w:w="55" w:type="dxa"/>
        </w:tblCellMar>
        <w:tblLook w:val="0000" w:firstRow="0" w:lastRow="0" w:firstColumn="0" w:lastColumn="0" w:noHBand="0" w:noVBand="0"/>
      </w:tblPr>
      <w:tblGrid>
        <w:gridCol w:w="5524"/>
        <w:gridCol w:w="1134"/>
        <w:gridCol w:w="1143"/>
        <w:gridCol w:w="1011"/>
      </w:tblGrid>
      <w:tr w:rsidR="00732E55" w:rsidRPr="002D3252" w14:paraId="2B522E7B" w14:textId="77777777" w:rsidTr="006A100C">
        <w:trPr>
          <w:tblHeader/>
        </w:trPr>
        <w:tc>
          <w:tcPr>
            <w:tcW w:w="5524" w:type="dxa"/>
            <w:tcBorders>
              <w:top w:val="single" w:sz="4" w:space="0" w:color="000000"/>
              <w:left w:val="single" w:sz="4" w:space="0" w:color="000000"/>
              <w:bottom w:val="single" w:sz="4" w:space="0" w:color="000000"/>
            </w:tcBorders>
            <w:shd w:val="clear" w:color="auto" w:fill="800000"/>
          </w:tcPr>
          <w:p w14:paraId="47B2D52C" w14:textId="77777777" w:rsidR="00732E55" w:rsidRPr="002D3252" w:rsidRDefault="00732E55" w:rsidP="00732E55">
            <w:pPr>
              <w:spacing w:after="0" w:line="276" w:lineRule="auto"/>
              <w:jc w:val="both"/>
              <w:rPr>
                <w:rFonts w:ascii="Arial" w:eastAsia="Calibri" w:hAnsi="Arial" w:cs="Arial"/>
                <w:b/>
                <w:bCs/>
                <w:sz w:val="20"/>
                <w:szCs w:val="20"/>
              </w:rPr>
            </w:pPr>
            <w:r w:rsidRPr="002D3252">
              <w:rPr>
                <w:rFonts w:ascii="Arial" w:eastAsia="Calibri" w:hAnsi="Arial" w:cs="Arial"/>
                <w:b/>
                <w:bCs/>
                <w:sz w:val="20"/>
                <w:szCs w:val="20"/>
              </w:rPr>
              <w:t>Assumpte</w:t>
            </w:r>
          </w:p>
        </w:tc>
        <w:tc>
          <w:tcPr>
            <w:tcW w:w="1134" w:type="dxa"/>
            <w:tcBorders>
              <w:top w:val="single" w:sz="4" w:space="0" w:color="000000"/>
              <w:left w:val="single" w:sz="4" w:space="0" w:color="000000"/>
              <w:bottom w:val="single" w:sz="4" w:space="0" w:color="000000"/>
            </w:tcBorders>
            <w:shd w:val="clear" w:color="auto" w:fill="800000"/>
          </w:tcPr>
          <w:p w14:paraId="32A8D1A0" w14:textId="77777777" w:rsidR="00732E55" w:rsidRPr="002D3252" w:rsidRDefault="00732E55" w:rsidP="00732E55">
            <w:pPr>
              <w:spacing w:after="0" w:line="276" w:lineRule="auto"/>
              <w:jc w:val="center"/>
              <w:rPr>
                <w:rFonts w:ascii="Arial" w:eastAsia="Calibri" w:hAnsi="Arial" w:cs="Arial"/>
                <w:b/>
                <w:bCs/>
                <w:sz w:val="20"/>
                <w:szCs w:val="20"/>
              </w:rPr>
            </w:pPr>
            <w:r w:rsidRPr="002D3252">
              <w:rPr>
                <w:rFonts w:ascii="Arial" w:eastAsia="Calibri" w:hAnsi="Arial" w:cs="Arial"/>
                <w:b/>
                <w:bCs/>
                <w:sz w:val="20"/>
                <w:szCs w:val="20"/>
              </w:rPr>
              <w:t>BOCV</w:t>
            </w:r>
          </w:p>
        </w:tc>
        <w:tc>
          <w:tcPr>
            <w:tcW w:w="1143" w:type="dxa"/>
            <w:tcBorders>
              <w:top w:val="single" w:sz="4" w:space="0" w:color="000000"/>
              <w:left w:val="single" w:sz="4" w:space="0" w:color="000000"/>
              <w:bottom w:val="single" w:sz="4" w:space="0" w:color="000000"/>
              <w:right w:val="single" w:sz="4" w:space="0" w:color="000000"/>
            </w:tcBorders>
            <w:shd w:val="clear" w:color="auto" w:fill="800000"/>
          </w:tcPr>
          <w:p w14:paraId="117EBC66" w14:textId="77777777" w:rsidR="00732E55" w:rsidRPr="002D3252" w:rsidRDefault="00732E55" w:rsidP="00732E55">
            <w:pPr>
              <w:spacing w:after="0" w:line="276" w:lineRule="auto"/>
              <w:jc w:val="center"/>
              <w:rPr>
                <w:rFonts w:ascii="Arial" w:eastAsia="Calibri" w:hAnsi="Arial" w:cs="Arial"/>
                <w:b/>
                <w:bCs/>
                <w:sz w:val="20"/>
                <w:szCs w:val="20"/>
              </w:rPr>
            </w:pPr>
            <w:r w:rsidRPr="002D3252">
              <w:rPr>
                <w:rFonts w:ascii="Arial" w:eastAsia="Calibri" w:hAnsi="Arial" w:cs="Arial"/>
                <w:b/>
                <w:bCs/>
                <w:sz w:val="20"/>
                <w:szCs w:val="20"/>
              </w:rPr>
              <w:t>DOGV</w:t>
            </w:r>
          </w:p>
        </w:tc>
        <w:tc>
          <w:tcPr>
            <w:tcW w:w="1011" w:type="dxa"/>
            <w:tcBorders>
              <w:top w:val="single" w:sz="4" w:space="0" w:color="000000"/>
              <w:left w:val="single" w:sz="4" w:space="0" w:color="000000"/>
              <w:bottom w:val="single" w:sz="4" w:space="0" w:color="000000"/>
              <w:right w:val="single" w:sz="4" w:space="0" w:color="000000"/>
            </w:tcBorders>
            <w:shd w:val="clear" w:color="auto" w:fill="800000"/>
          </w:tcPr>
          <w:p w14:paraId="460E3D4B" w14:textId="77777777" w:rsidR="00732E55" w:rsidRPr="002D3252" w:rsidRDefault="00732E55" w:rsidP="00732E55">
            <w:pPr>
              <w:spacing w:after="0" w:line="276" w:lineRule="auto"/>
              <w:jc w:val="center"/>
              <w:rPr>
                <w:rFonts w:ascii="Arial" w:eastAsia="Calibri" w:hAnsi="Arial" w:cs="Arial"/>
                <w:b/>
                <w:bCs/>
                <w:sz w:val="20"/>
                <w:szCs w:val="20"/>
              </w:rPr>
            </w:pPr>
            <w:r w:rsidRPr="002D3252">
              <w:rPr>
                <w:rFonts w:ascii="Arial" w:eastAsia="Calibri" w:hAnsi="Arial" w:cs="Arial"/>
                <w:b/>
                <w:bCs/>
                <w:sz w:val="20"/>
                <w:szCs w:val="20"/>
              </w:rPr>
              <w:t>BOE</w:t>
            </w:r>
          </w:p>
        </w:tc>
      </w:tr>
      <w:tr w:rsidR="00732E55" w:rsidRPr="002D3252" w14:paraId="0EA6065D" w14:textId="77777777" w:rsidTr="006A100C">
        <w:tc>
          <w:tcPr>
            <w:tcW w:w="5524" w:type="dxa"/>
            <w:tcBorders>
              <w:top w:val="single" w:sz="4" w:space="0" w:color="000000"/>
              <w:left w:val="single" w:sz="4" w:space="0" w:color="000000"/>
              <w:bottom w:val="single" w:sz="4" w:space="0" w:color="000000"/>
            </w:tcBorders>
            <w:shd w:val="clear" w:color="auto" w:fill="auto"/>
          </w:tcPr>
          <w:p w14:paraId="0ACDDC0F" w14:textId="33264CD7"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núm</w:t>
            </w:r>
            <w:r w:rsidR="00951EAD">
              <w:rPr>
                <w:rFonts w:ascii="Arial" w:eastAsia="Calibri" w:hAnsi="Arial" w:cs="Arial"/>
                <w:sz w:val="18"/>
                <w:szCs w:val="18"/>
              </w:rPr>
              <w:t>.</w:t>
            </w:r>
            <w:r w:rsidRPr="002D3252">
              <w:rPr>
                <w:rFonts w:ascii="Arial" w:eastAsia="Calibri" w:hAnsi="Arial" w:cs="Arial"/>
                <w:sz w:val="18"/>
                <w:szCs w:val="18"/>
              </w:rPr>
              <w:t xml:space="preserve"> 666/2020, de 29 de desembre, del director de l'Agència de Prevenció i Lluita contra el Frau i la Corrupció de la Comunitat Valenciana, per la qual es crea i regula el Registre d'Acords i Resolucions adoptats pel director o directora de l'Agència</w:t>
            </w:r>
          </w:p>
        </w:tc>
        <w:tc>
          <w:tcPr>
            <w:tcW w:w="1134" w:type="dxa"/>
            <w:tcBorders>
              <w:top w:val="single" w:sz="4" w:space="0" w:color="000000"/>
              <w:left w:val="single" w:sz="4" w:space="0" w:color="000000"/>
              <w:bottom w:val="single" w:sz="4" w:space="0" w:color="000000"/>
            </w:tcBorders>
            <w:shd w:val="clear" w:color="auto" w:fill="auto"/>
          </w:tcPr>
          <w:p w14:paraId="167FE7D8"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135 de 15.01.2021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43EE0C61"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8992 de 08.01.2021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1E5DC6F2"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7F21C16A" w14:textId="77777777" w:rsidTr="006A100C">
        <w:tc>
          <w:tcPr>
            <w:tcW w:w="5524" w:type="dxa"/>
            <w:tcBorders>
              <w:top w:val="single" w:sz="4" w:space="0" w:color="000000"/>
              <w:left w:val="single" w:sz="4" w:space="0" w:color="000000"/>
              <w:bottom w:val="single" w:sz="4" w:space="0" w:color="000000"/>
            </w:tcBorders>
            <w:shd w:val="clear" w:color="auto" w:fill="auto"/>
          </w:tcPr>
          <w:p w14:paraId="124EC61A" w14:textId="43C6F354" w:rsidR="00732E55" w:rsidRPr="002D3252" w:rsidRDefault="00732E55" w:rsidP="00732E55">
            <w:pPr>
              <w:spacing w:after="0" w:line="276" w:lineRule="auto"/>
              <w:jc w:val="both"/>
              <w:rPr>
                <w:rFonts w:ascii="Arial" w:eastAsia="Calibri" w:hAnsi="Arial" w:cs="Arial"/>
                <w:b/>
                <w:sz w:val="18"/>
                <w:szCs w:val="18"/>
              </w:rPr>
            </w:pPr>
            <w:r w:rsidRPr="002D3252">
              <w:rPr>
                <w:rFonts w:ascii="Arial" w:eastAsia="Calibri" w:hAnsi="Arial" w:cs="Arial"/>
                <w:b/>
                <w:sz w:val="18"/>
                <w:szCs w:val="18"/>
              </w:rPr>
              <w:t xml:space="preserve">ANUNCI </w:t>
            </w:r>
            <w:r w:rsidRPr="002D3252">
              <w:rPr>
                <w:rFonts w:ascii="Arial" w:eastAsia="Calibri" w:hAnsi="Arial" w:cs="Arial"/>
                <w:sz w:val="18"/>
                <w:szCs w:val="18"/>
              </w:rPr>
              <w:t xml:space="preserve">pel qual es publica la Resolució </w:t>
            </w:r>
            <w:r w:rsidR="00951EAD">
              <w:rPr>
                <w:rFonts w:ascii="Arial" w:eastAsia="Calibri" w:hAnsi="Arial" w:cs="Arial"/>
                <w:sz w:val="18"/>
                <w:szCs w:val="18"/>
              </w:rPr>
              <w:t xml:space="preserve">núm. </w:t>
            </w:r>
            <w:r w:rsidRPr="002D3252">
              <w:rPr>
                <w:rFonts w:ascii="Arial" w:eastAsia="Calibri" w:hAnsi="Arial" w:cs="Arial"/>
                <w:sz w:val="18"/>
                <w:szCs w:val="18"/>
              </w:rPr>
              <w:t xml:space="preserve">466/2020, de 26 d'octubre, del director de l'Agència de Prevenció i Lluita contra el Frau i la Corrupció, per la qual s'aprova el projecte de pressupostos generals de l'Agència per a l'any 2021 (correcció d'errors en virtut de la Resolució </w:t>
            </w:r>
            <w:r w:rsidR="00951EAD">
              <w:rPr>
                <w:rFonts w:ascii="Arial" w:eastAsia="Calibri" w:hAnsi="Arial" w:cs="Arial"/>
                <w:sz w:val="18"/>
                <w:szCs w:val="18"/>
              </w:rPr>
              <w:t xml:space="preserve">núm. </w:t>
            </w:r>
            <w:r w:rsidRPr="002D3252">
              <w:rPr>
                <w:rFonts w:ascii="Arial" w:eastAsia="Calibri" w:hAnsi="Arial" w:cs="Arial"/>
                <w:sz w:val="18"/>
                <w:szCs w:val="18"/>
              </w:rPr>
              <w:t>498/2020, de 3 de novembre, del director de l'Agència)</w:t>
            </w:r>
          </w:p>
        </w:tc>
        <w:tc>
          <w:tcPr>
            <w:tcW w:w="1134" w:type="dxa"/>
            <w:tcBorders>
              <w:top w:val="single" w:sz="4" w:space="0" w:color="000000"/>
              <w:left w:val="single" w:sz="4" w:space="0" w:color="000000"/>
              <w:bottom w:val="single" w:sz="4" w:space="0" w:color="000000"/>
            </w:tcBorders>
            <w:shd w:val="clear" w:color="auto" w:fill="auto"/>
          </w:tcPr>
          <w:p w14:paraId="73127C47"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136 de 21.01.2021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2736AFC6"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7801FBB2"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77A1063C" w14:textId="77777777" w:rsidTr="006A100C">
        <w:tc>
          <w:tcPr>
            <w:tcW w:w="5524" w:type="dxa"/>
            <w:tcBorders>
              <w:top w:val="single" w:sz="4" w:space="0" w:color="000000"/>
              <w:left w:val="single" w:sz="4" w:space="0" w:color="000000"/>
              <w:bottom w:val="single" w:sz="4" w:space="0" w:color="000000"/>
            </w:tcBorders>
            <w:shd w:val="clear" w:color="auto" w:fill="auto"/>
          </w:tcPr>
          <w:p w14:paraId="4D05F31F" w14:textId="77777777"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del director de l'Agència de Prevenció i Lluita contra el Frau i la Corrupció de la Comunitat Valenciana per la qual s'acorda la publicació del text íntegre del conveni marc entre l'Agència de Prevenció i Lluita contra el Frau i la Corrupció de la Comunitat Valenciana i la World Compliance Association per a establir un canal permanent de comunicació i col·laboració per a millorar l'eficàcia en el compliment d'objectius d'interés comú.</w:t>
            </w:r>
          </w:p>
        </w:tc>
        <w:tc>
          <w:tcPr>
            <w:tcW w:w="1134" w:type="dxa"/>
            <w:tcBorders>
              <w:top w:val="single" w:sz="4" w:space="0" w:color="000000"/>
              <w:left w:val="single" w:sz="4" w:space="0" w:color="000000"/>
              <w:bottom w:val="single" w:sz="4" w:space="0" w:color="000000"/>
            </w:tcBorders>
            <w:shd w:val="clear" w:color="auto" w:fill="auto"/>
          </w:tcPr>
          <w:p w14:paraId="784CD096"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136 de 21.01.2021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35EB1303"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16453222"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1D1010BF" w14:textId="77777777" w:rsidTr="006A100C">
        <w:tc>
          <w:tcPr>
            <w:tcW w:w="5524" w:type="dxa"/>
            <w:tcBorders>
              <w:top w:val="single" w:sz="4" w:space="0" w:color="000000"/>
              <w:left w:val="single" w:sz="4" w:space="0" w:color="000000"/>
              <w:bottom w:val="single" w:sz="4" w:space="0" w:color="000000"/>
            </w:tcBorders>
            <w:shd w:val="clear" w:color="auto" w:fill="auto"/>
          </w:tcPr>
          <w:p w14:paraId="77791B5D" w14:textId="779E0C72"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núm.</w:t>
            </w:r>
            <w:r w:rsidR="00951EAD">
              <w:rPr>
                <w:rFonts w:ascii="Arial" w:eastAsia="Calibri" w:hAnsi="Arial" w:cs="Arial"/>
                <w:b/>
                <w:sz w:val="18"/>
                <w:szCs w:val="18"/>
              </w:rPr>
              <w:t xml:space="preserve"> </w:t>
            </w:r>
            <w:r w:rsidRPr="002D3252">
              <w:rPr>
                <w:rFonts w:ascii="Arial" w:eastAsia="Calibri" w:hAnsi="Arial" w:cs="Arial"/>
                <w:sz w:val="18"/>
                <w:szCs w:val="18"/>
              </w:rPr>
              <w:t>32/2021, de 26 de gener, del director de l'Agència de Prevenció i Lluita contra el Frau i la Corrupció de la Comunitat Valenciana, per la qual es convoca la provisió temporal de diferents llocs de treball vacants de naturalesa funcionarial de l'Agència, per funcionaris i funcionàries de carrera de les diferents administracions públiques.</w:t>
            </w:r>
          </w:p>
        </w:tc>
        <w:tc>
          <w:tcPr>
            <w:tcW w:w="1134" w:type="dxa"/>
            <w:tcBorders>
              <w:top w:val="single" w:sz="4" w:space="0" w:color="000000"/>
              <w:left w:val="single" w:sz="4" w:space="0" w:color="000000"/>
              <w:bottom w:val="single" w:sz="4" w:space="0" w:color="000000"/>
            </w:tcBorders>
            <w:shd w:val="clear" w:color="auto" w:fill="auto"/>
          </w:tcPr>
          <w:p w14:paraId="7C1BAA74" w14:textId="77777777" w:rsidR="00732E55" w:rsidRPr="002D3252" w:rsidRDefault="00732E55" w:rsidP="00732E55">
            <w:pPr>
              <w:spacing w:after="0" w:line="276" w:lineRule="auto"/>
              <w:jc w:val="center"/>
              <w:rPr>
                <w:rFonts w:ascii="Arial" w:eastAsia="Calibri" w:hAnsi="Arial" w:cs="Arial"/>
                <w:sz w:val="18"/>
                <w:szCs w:val="18"/>
              </w:rPr>
            </w:pP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4C672517"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9012 de 03.02.2021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2C06D46C"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204ED203" w14:textId="77777777" w:rsidTr="006A100C">
        <w:tc>
          <w:tcPr>
            <w:tcW w:w="5524" w:type="dxa"/>
            <w:tcBorders>
              <w:top w:val="single" w:sz="4" w:space="0" w:color="000000"/>
              <w:left w:val="single" w:sz="4" w:space="0" w:color="000000"/>
              <w:bottom w:val="single" w:sz="4" w:space="0" w:color="000000"/>
            </w:tcBorders>
            <w:shd w:val="clear" w:color="auto" w:fill="auto"/>
          </w:tcPr>
          <w:p w14:paraId="0C5F3D3E" w14:textId="77777777" w:rsidR="00732E55" w:rsidRPr="002D3252" w:rsidRDefault="00732E55" w:rsidP="00732E55">
            <w:pPr>
              <w:spacing w:after="0" w:line="276" w:lineRule="auto"/>
              <w:jc w:val="both"/>
              <w:rPr>
                <w:rFonts w:ascii="Arial" w:eastAsia="Calibri" w:hAnsi="Arial" w:cs="Arial"/>
                <w:b/>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del director de l'Agència de Prevenció i Lluita contra el Frau i la Corrupció de la Comunitat Valenciana per la qual s'acorda la publicació del text íntegre del conveni de cooperació educativa entre l'Agència de Prevenció i Lluita contra el Frau i la Corrupció de la Comunitat Valenciana i la Universitat CEU Cardenal Herrera, per a la realització de pràctiques formatives per estudiants universitaris</w:t>
            </w:r>
          </w:p>
        </w:tc>
        <w:tc>
          <w:tcPr>
            <w:tcW w:w="1134" w:type="dxa"/>
            <w:tcBorders>
              <w:top w:val="single" w:sz="4" w:space="0" w:color="000000"/>
              <w:left w:val="single" w:sz="4" w:space="0" w:color="000000"/>
              <w:bottom w:val="single" w:sz="4" w:space="0" w:color="000000"/>
            </w:tcBorders>
            <w:shd w:val="clear" w:color="auto" w:fill="auto"/>
          </w:tcPr>
          <w:p w14:paraId="3CBD1C6F"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145 de 24.02.2021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3DF8AEE8"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085AD94B"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5DBDB9EE" w14:textId="77777777" w:rsidTr="006A100C">
        <w:tc>
          <w:tcPr>
            <w:tcW w:w="5524" w:type="dxa"/>
            <w:tcBorders>
              <w:top w:val="single" w:sz="4" w:space="0" w:color="000000"/>
              <w:left w:val="single" w:sz="4" w:space="0" w:color="000000"/>
              <w:bottom w:val="single" w:sz="4" w:space="0" w:color="000000"/>
            </w:tcBorders>
            <w:shd w:val="clear" w:color="auto" w:fill="auto"/>
          </w:tcPr>
          <w:p w14:paraId="0ADB86AC" w14:textId="4D32CF46"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núm</w:t>
            </w:r>
            <w:r w:rsidR="00951EAD">
              <w:rPr>
                <w:rFonts w:ascii="Arial" w:eastAsia="Calibri" w:hAnsi="Arial" w:cs="Arial"/>
                <w:sz w:val="18"/>
                <w:szCs w:val="18"/>
              </w:rPr>
              <w:t>.</w:t>
            </w:r>
            <w:r w:rsidRPr="002D3252">
              <w:rPr>
                <w:rFonts w:ascii="Arial" w:eastAsia="Calibri" w:hAnsi="Arial" w:cs="Arial"/>
                <w:sz w:val="18"/>
                <w:szCs w:val="18"/>
              </w:rPr>
              <w:t xml:space="preserve"> 152/2021, de 10 de març, del director de l'Agència de Prevenció i Lluita contra el Frau i la Corrupció de la Comunitat Valenciana, per la qual es declara deserta la convocatòria del procediment de provisió, pel sistema de lliure designació, del lloc de treball número 9 de la relació de llocs de treball de l'Agència, cap/a de Servei de Sistemes d'Informació. (Expedient LD 4/2020)</w:t>
            </w:r>
          </w:p>
        </w:tc>
        <w:tc>
          <w:tcPr>
            <w:tcW w:w="1134" w:type="dxa"/>
            <w:tcBorders>
              <w:top w:val="single" w:sz="4" w:space="0" w:color="000000"/>
              <w:left w:val="single" w:sz="4" w:space="0" w:color="000000"/>
              <w:bottom w:val="single" w:sz="4" w:space="0" w:color="000000"/>
            </w:tcBorders>
            <w:shd w:val="clear" w:color="auto" w:fill="auto"/>
          </w:tcPr>
          <w:p w14:paraId="22CA3633"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154 de 26.03.2021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428E0178"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9043 de 17.03.2021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5CDB223F"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245E03E0" w14:textId="77777777" w:rsidTr="006A100C">
        <w:tc>
          <w:tcPr>
            <w:tcW w:w="5524" w:type="dxa"/>
            <w:tcBorders>
              <w:top w:val="single" w:sz="4" w:space="0" w:color="000000"/>
              <w:left w:val="single" w:sz="4" w:space="0" w:color="000000"/>
              <w:bottom w:val="single" w:sz="4" w:space="0" w:color="000000"/>
            </w:tcBorders>
            <w:shd w:val="clear" w:color="auto" w:fill="auto"/>
          </w:tcPr>
          <w:p w14:paraId="5292C0A4" w14:textId="77777777"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del director de l'Agència de Prevenció i Lluita contra el Frau i la Corrupció de la Comunitat Valenciana per la qual s'acorda la publicació del text íntegre del conveni de col·laboració entre l'agència i la Fundació Ciutadana Civio per al desenvolupament del projecte SceMap</w:t>
            </w:r>
          </w:p>
        </w:tc>
        <w:tc>
          <w:tcPr>
            <w:tcW w:w="1134" w:type="dxa"/>
            <w:tcBorders>
              <w:top w:val="single" w:sz="4" w:space="0" w:color="000000"/>
              <w:left w:val="single" w:sz="4" w:space="0" w:color="000000"/>
              <w:bottom w:val="single" w:sz="4" w:space="0" w:color="000000"/>
            </w:tcBorders>
            <w:shd w:val="clear" w:color="auto" w:fill="auto"/>
          </w:tcPr>
          <w:p w14:paraId="62F543F8"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158 de 21.04.2021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763D6C9D"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2D7CB5FA"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7DC853AC" w14:textId="77777777" w:rsidTr="006A100C">
        <w:tc>
          <w:tcPr>
            <w:tcW w:w="5524" w:type="dxa"/>
            <w:tcBorders>
              <w:top w:val="single" w:sz="4" w:space="0" w:color="000000"/>
              <w:left w:val="single" w:sz="4" w:space="0" w:color="000000"/>
              <w:bottom w:val="single" w:sz="4" w:space="0" w:color="000000"/>
            </w:tcBorders>
            <w:shd w:val="clear" w:color="auto" w:fill="auto"/>
          </w:tcPr>
          <w:p w14:paraId="45C769DD" w14:textId="5383AFAD"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 xml:space="preserve">núm. </w:t>
            </w:r>
            <w:r w:rsidRPr="00951EAD">
              <w:rPr>
                <w:rFonts w:ascii="Arial" w:eastAsia="Calibri" w:hAnsi="Arial" w:cs="Arial"/>
                <w:bCs/>
                <w:sz w:val="18"/>
                <w:szCs w:val="18"/>
              </w:rPr>
              <w:t>317/2021,</w:t>
            </w:r>
            <w:r w:rsidRPr="002D3252">
              <w:rPr>
                <w:rFonts w:ascii="Arial" w:eastAsia="Calibri" w:hAnsi="Arial" w:cs="Arial"/>
                <w:b/>
                <w:sz w:val="18"/>
                <w:szCs w:val="18"/>
              </w:rPr>
              <w:t xml:space="preserve"> </w:t>
            </w:r>
            <w:r w:rsidRPr="002D3252">
              <w:rPr>
                <w:rFonts w:ascii="Arial" w:eastAsia="Calibri" w:hAnsi="Arial" w:cs="Arial"/>
                <w:sz w:val="18"/>
                <w:szCs w:val="18"/>
              </w:rPr>
              <w:t>de 7 de maig, del director de l'Agència de Prevenció i Lluita contra el Frau i la Corrupció de la Comunitat Valenciana, per la qual es convoca la provisió, pel sistema de lliure designació, del lloc de treball de naturalesa funcionarial número 9, cap o cap del Servei de Sistemes d'Informació, i s'aproven les bases que regeixen la convocatòria. Convocatòria LD 2/2021</w:t>
            </w:r>
          </w:p>
        </w:tc>
        <w:tc>
          <w:tcPr>
            <w:tcW w:w="1134" w:type="dxa"/>
            <w:tcBorders>
              <w:top w:val="single" w:sz="4" w:space="0" w:color="000000"/>
              <w:left w:val="single" w:sz="4" w:space="0" w:color="000000"/>
              <w:bottom w:val="single" w:sz="4" w:space="0" w:color="000000"/>
            </w:tcBorders>
            <w:shd w:val="clear" w:color="auto" w:fill="auto"/>
          </w:tcPr>
          <w:p w14:paraId="0E3513B0"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167 de 21.05.2021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2540F698"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9084 de 14.05.2021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840ECC6"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116 de 15.05.2021</w:t>
            </w:r>
          </w:p>
        </w:tc>
      </w:tr>
      <w:tr w:rsidR="00732E55" w:rsidRPr="002D3252" w14:paraId="33B84B3A" w14:textId="77777777" w:rsidTr="006A100C">
        <w:tc>
          <w:tcPr>
            <w:tcW w:w="5524" w:type="dxa"/>
            <w:tcBorders>
              <w:top w:val="single" w:sz="4" w:space="0" w:color="000000"/>
              <w:left w:val="single" w:sz="4" w:space="0" w:color="000000"/>
              <w:bottom w:val="single" w:sz="4" w:space="0" w:color="000000"/>
            </w:tcBorders>
            <w:shd w:val="clear" w:color="auto" w:fill="auto"/>
          </w:tcPr>
          <w:p w14:paraId="093EF555" w14:textId="7188452E"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núm.</w:t>
            </w:r>
            <w:r w:rsidR="00951EAD">
              <w:rPr>
                <w:rFonts w:ascii="Arial" w:eastAsia="Calibri" w:hAnsi="Arial" w:cs="Arial"/>
                <w:b/>
                <w:sz w:val="18"/>
                <w:szCs w:val="18"/>
              </w:rPr>
              <w:t xml:space="preserve"> </w:t>
            </w:r>
            <w:r w:rsidRPr="002D3252">
              <w:rPr>
                <w:rFonts w:ascii="Arial" w:eastAsia="Calibri" w:hAnsi="Arial" w:cs="Arial"/>
                <w:sz w:val="18"/>
                <w:szCs w:val="18"/>
              </w:rPr>
              <w:t xml:space="preserve">318/2021, de 7 de maig, del director de l'Agència de Prevenció i Lluita contra el Frau i la Corrupció de la Comunitat </w:t>
            </w:r>
            <w:r w:rsidRPr="002D3252">
              <w:rPr>
                <w:rFonts w:ascii="Arial" w:eastAsia="Calibri" w:hAnsi="Arial" w:cs="Arial"/>
                <w:sz w:val="18"/>
                <w:szCs w:val="18"/>
              </w:rPr>
              <w:lastRenderedPageBreak/>
              <w:t>Valenciana, per la qual es convoca la provisió, pel sistema de lliure designació, del lloc de treball de naturalesa funcionarial número 15, cap o cap de la Unitat d'Anàlisi i Investigació II, i s'aproven les bases que regeixen la convocatòria. Convocatòria LD 1/2021</w:t>
            </w:r>
          </w:p>
        </w:tc>
        <w:tc>
          <w:tcPr>
            <w:tcW w:w="1134" w:type="dxa"/>
            <w:tcBorders>
              <w:top w:val="single" w:sz="4" w:space="0" w:color="000000"/>
              <w:left w:val="single" w:sz="4" w:space="0" w:color="000000"/>
              <w:bottom w:val="single" w:sz="4" w:space="0" w:color="000000"/>
            </w:tcBorders>
            <w:shd w:val="clear" w:color="auto" w:fill="auto"/>
          </w:tcPr>
          <w:p w14:paraId="4F567D7E"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lastRenderedPageBreak/>
              <w:t>N.º 167 de 21.05.2021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44192CC8"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9084 de 14.05.2021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14D7BE9D"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116 de 15.05.2021</w:t>
            </w:r>
          </w:p>
        </w:tc>
      </w:tr>
      <w:tr w:rsidR="00732E55" w:rsidRPr="002D3252" w14:paraId="1B79420E" w14:textId="77777777" w:rsidTr="006A100C">
        <w:tc>
          <w:tcPr>
            <w:tcW w:w="5524" w:type="dxa"/>
            <w:tcBorders>
              <w:top w:val="single" w:sz="4" w:space="0" w:color="000000"/>
              <w:left w:val="single" w:sz="4" w:space="0" w:color="000000"/>
              <w:bottom w:val="single" w:sz="4" w:space="0" w:color="000000"/>
            </w:tcBorders>
            <w:shd w:val="clear" w:color="auto" w:fill="auto"/>
          </w:tcPr>
          <w:p w14:paraId="402AC0C5" w14:textId="12635670"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núm</w:t>
            </w:r>
            <w:r w:rsidR="00951EAD">
              <w:rPr>
                <w:rFonts w:ascii="Arial" w:eastAsia="Calibri" w:hAnsi="Arial" w:cs="Arial"/>
                <w:sz w:val="18"/>
                <w:szCs w:val="18"/>
              </w:rPr>
              <w:t>.</w:t>
            </w:r>
            <w:r w:rsidRPr="002D3252">
              <w:rPr>
                <w:rFonts w:ascii="Arial" w:eastAsia="Calibri" w:hAnsi="Arial" w:cs="Arial"/>
                <w:sz w:val="18"/>
                <w:szCs w:val="18"/>
              </w:rPr>
              <w:t xml:space="preserve"> 419/2021, de 10 de juny, del director de l'Agència de Prevenció i Lluita contra el Frau i la Corrupció de la Comunitat Valenciana, per la qual es proveeix, pel sistema de lliure designació, el lloc de treball de naturalesa funcionarial número 15, cap/a d'Unitat d'Anàlisi i Investigació II. (Convocatòria LD 1/2021).</w:t>
            </w:r>
          </w:p>
        </w:tc>
        <w:tc>
          <w:tcPr>
            <w:tcW w:w="1134" w:type="dxa"/>
            <w:tcBorders>
              <w:top w:val="single" w:sz="4" w:space="0" w:color="000000"/>
              <w:left w:val="single" w:sz="4" w:space="0" w:color="000000"/>
              <w:bottom w:val="single" w:sz="4" w:space="0" w:color="000000"/>
            </w:tcBorders>
            <w:shd w:val="clear" w:color="auto" w:fill="auto"/>
          </w:tcPr>
          <w:p w14:paraId="43321118"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176 de 23.06.2021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72C6A327"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9107 de 15.06.2021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96DFC6A"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61B55742" w14:textId="77777777" w:rsidTr="006A100C">
        <w:tc>
          <w:tcPr>
            <w:tcW w:w="5524" w:type="dxa"/>
            <w:tcBorders>
              <w:top w:val="single" w:sz="4" w:space="0" w:color="000000"/>
              <w:left w:val="single" w:sz="4" w:space="0" w:color="000000"/>
              <w:bottom w:val="single" w:sz="4" w:space="0" w:color="000000"/>
            </w:tcBorders>
            <w:shd w:val="clear" w:color="auto" w:fill="auto"/>
          </w:tcPr>
          <w:p w14:paraId="15E7DADF" w14:textId="4CC0EBF0"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núm.</w:t>
            </w:r>
            <w:r w:rsidR="00951EAD">
              <w:rPr>
                <w:rFonts w:ascii="Arial" w:eastAsia="Calibri" w:hAnsi="Arial" w:cs="Arial"/>
                <w:b/>
                <w:sz w:val="18"/>
                <w:szCs w:val="18"/>
              </w:rPr>
              <w:t xml:space="preserve"> </w:t>
            </w:r>
            <w:r w:rsidRPr="002D3252">
              <w:rPr>
                <w:rFonts w:ascii="Arial" w:eastAsia="Calibri" w:hAnsi="Arial" w:cs="Arial"/>
                <w:sz w:val="18"/>
                <w:szCs w:val="18"/>
              </w:rPr>
              <w:t>522/2021, de 8 de juliol, del director de l'Agència de Prevenció i Lluita contra el Frau i la Corrupció de la Comunitat Valenciana per la qual es proveeix, pel sistema de lliure designació, el lloc de treball vacant de naturalesa funcionarial número 9, cap o cap del Servei de Sistemes d'Informació (convocatòria LD 2/2021)</w:t>
            </w:r>
          </w:p>
        </w:tc>
        <w:tc>
          <w:tcPr>
            <w:tcW w:w="1134" w:type="dxa"/>
            <w:tcBorders>
              <w:top w:val="single" w:sz="4" w:space="0" w:color="000000"/>
              <w:left w:val="single" w:sz="4" w:space="0" w:color="000000"/>
              <w:bottom w:val="single" w:sz="4" w:space="0" w:color="000000"/>
            </w:tcBorders>
            <w:shd w:val="clear" w:color="auto" w:fill="auto"/>
          </w:tcPr>
          <w:p w14:paraId="7AC450EF"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183 de 23.07.2021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5861DC4E"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9139 de 30.07.2021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3D4D835D"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780D3DF9" w14:textId="77777777" w:rsidTr="006A100C">
        <w:tc>
          <w:tcPr>
            <w:tcW w:w="5524" w:type="dxa"/>
            <w:tcBorders>
              <w:top w:val="single" w:sz="4" w:space="0" w:color="000000"/>
              <w:left w:val="single" w:sz="4" w:space="0" w:color="000000"/>
              <w:bottom w:val="single" w:sz="4" w:space="0" w:color="000000"/>
            </w:tcBorders>
            <w:shd w:val="clear" w:color="auto" w:fill="auto"/>
          </w:tcPr>
          <w:p w14:paraId="04E15BF7" w14:textId="076B773A"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núm</w:t>
            </w:r>
            <w:r w:rsidR="00951EAD">
              <w:rPr>
                <w:rFonts w:ascii="Arial" w:eastAsia="Calibri" w:hAnsi="Arial" w:cs="Arial"/>
                <w:sz w:val="18"/>
                <w:szCs w:val="18"/>
              </w:rPr>
              <w:t>.</w:t>
            </w:r>
            <w:r w:rsidRPr="002D3252">
              <w:rPr>
                <w:rFonts w:ascii="Arial" w:eastAsia="Calibri" w:hAnsi="Arial" w:cs="Arial"/>
                <w:sz w:val="18"/>
                <w:szCs w:val="18"/>
              </w:rPr>
              <w:t xml:space="preserve"> 530, de 15 de juliol, del director de l'Agència de Prevenció i Lluita contra el Frau i la Corrupció de la Comunitat Valenciana, per la qual s'acorda la publicació del text íntegre del Conveni marc entre la Universitat Politècnica de València i l'Agència de Prevenció i Lluita contra el Frau i la Corrupció de la Comunitat Valenciana per a la col·laboració cultural, educativa i científica</w:t>
            </w:r>
          </w:p>
        </w:tc>
        <w:tc>
          <w:tcPr>
            <w:tcW w:w="1134" w:type="dxa"/>
            <w:tcBorders>
              <w:top w:val="single" w:sz="4" w:space="0" w:color="000000"/>
              <w:left w:val="single" w:sz="4" w:space="0" w:color="000000"/>
              <w:bottom w:val="single" w:sz="4" w:space="0" w:color="000000"/>
            </w:tcBorders>
            <w:shd w:val="clear" w:color="auto" w:fill="auto"/>
          </w:tcPr>
          <w:p w14:paraId="5491D62A"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183 de 23.07.2021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79D1F560"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06BF6834"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4D183CA7" w14:textId="77777777" w:rsidTr="006A100C">
        <w:tc>
          <w:tcPr>
            <w:tcW w:w="5524" w:type="dxa"/>
            <w:tcBorders>
              <w:top w:val="single" w:sz="4" w:space="0" w:color="000000"/>
              <w:left w:val="single" w:sz="4" w:space="0" w:color="000000"/>
              <w:bottom w:val="single" w:sz="4" w:space="0" w:color="000000"/>
            </w:tcBorders>
            <w:shd w:val="clear" w:color="auto" w:fill="auto"/>
          </w:tcPr>
          <w:p w14:paraId="2F0F644E" w14:textId="56457C86"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núm</w:t>
            </w:r>
            <w:r w:rsidR="00951EAD">
              <w:rPr>
                <w:rFonts w:ascii="Arial" w:eastAsia="Calibri" w:hAnsi="Arial" w:cs="Arial"/>
                <w:sz w:val="18"/>
                <w:szCs w:val="18"/>
              </w:rPr>
              <w:t>.</w:t>
            </w:r>
            <w:r w:rsidRPr="002D3252">
              <w:rPr>
                <w:rFonts w:ascii="Arial" w:eastAsia="Calibri" w:hAnsi="Arial" w:cs="Arial"/>
                <w:sz w:val="18"/>
                <w:szCs w:val="18"/>
              </w:rPr>
              <w:t xml:space="preserve"> 565/2021, de 29 de juliol, del director de l'Agència de Prevenció i Lluita contra el Frau i la Corrupció de la Comunitat Valenciana per la qual s'aproven les bases generals per a la provisió dels llocs de treball de l'Agència de Prevenció i Lluita contra el Frau i la Corrupció de la Comunitat Valenciana, el sistema de provisió de la qual és el concurs específic i barem de mèrits</w:t>
            </w:r>
          </w:p>
        </w:tc>
        <w:tc>
          <w:tcPr>
            <w:tcW w:w="1134" w:type="dxa"/>
            <w:tcBorders>
              <w:top w:val="single" w:sz="4" w:space="0" w:color="000000"/>
              <w:left w:val="single" w:sz="4" w:space="0" w:color="000000"/>
              <w:bottom w:val="single" w:sz="4" w:space="0" w:color="000000"/>
            </w:tcBorders>
            <w:shd w:val="clear" w:color="auto" w:fill="auto"/>
          </w:tcPr>
          <w:p w14:paraId="7C87DF12"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185 de 22.09.2021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385B479"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9147 de 10.08.2021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3B692E0B"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2E1CBC9C" w14:textId="77777777" w:rsidTr="006A100C">
        <w:tc>
          <w:tcPr>
            <w:tcW w:w="5524" w:type="dxa"/>
            <w:tcBorders>
              <w:top w:val="single" w:sz="4" w:space="0" w:color="000000"/>
              <w:left w:val="single" w:sz="4" w:space="0" w:color="000000"/>
              <w:bottom w:val="single" w:sz="4" w:space="0" w:color="000000"/>
            </w:tcBorders>
            <w:shd w:val="clear" w:color="auto" w:fill="auto"/>
          </w:tcPr>
          <w:p w14:paraId="35DBB8A5" w14:textId="77777777"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ANUNCI </w:t>
            </w:r>
            <w:r w:rsidRPr="002D3252">
              <w:rPr>
                <w:rFonts w:ascii="Arial" w:eastAsia="Calibri" w:hAnsi="Arial" w:cs="Arial"/>
                <w:sz w:val="18"/>
                <w:szCs w:val="18"/>
              </w:rPr>
              <w:t>del director de l'Agència de Prevenció i Lluita contra el Frau i la Corrupció de la Comunitat Valenciana relatiu a la modificació puntual de les bases generals per a la provisió dels llocs de treball de l'agència el sistema de provisió de la qual és el concurs específic</w:t>
            </w:r>
          </w:p>
        </w:tc>
        <w:tc>
          <w:tcPr>
            <w:tcW w:w="1134" w:type="dxa"/>
            <w:tcBorders>
              <w:top w:val="single" w:sz="4" w:space="0" w:color="000000"/>
              <w:left w:val="single" w:sz="4" w:space="0" w:color="000000"/>
              <w:bottom w:val="single" w:sz="4" w:space="0" w:color="000000"/>
            </w:tcBorders>
            <w:shd w:val="clear" w:color="auto" w:fill="auto"/>
          </w:tcPr>
          <w:p w14:paraId="494773F3"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202 de 08.11.2021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5537FB3B"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9207 de 03.11.2021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5FADEAFC"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56FC252B" w14:textId="77777777" w:rsidTr="006A100C">
        <w:tc>
          <w:tcPr>
            <w:tcW w:w="5524" w:type="dxa"/>
            <w:tcBorders>
              <w:top w:val="single" w:sz="4" w:space="0" w:color="000000"/>
              <w:left w:val="single" w:sz="4" w:space="0" w:color="000000"/>
              <w:bottom w:val="single" w:sz="4" w:space="0" w:color="000000"/>
            </w:tcBorders>
            <w:shd w:val="clear" w:color="auto" w:fill="auto"/>
          </w:tcPr>
          <w:p w14:paraId="1F7C7834" w14:textId="482E2FE2"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núm</w:t>
            </w:r>
            <w:r w:rsidR="00951EAD">
              <w:rPr>
                <w:rFonts w:ascii="Arial" w:eastAsia="Calibri" w:hAnsi="Arial" w:cs="Arial"/>
                <w:sz w:val="18"/>
                <w:szCs w:val="18"/>
              </w:rPr>
              <w:t>.</w:t>
            </w:r>
            <w:r w:rsidRPr="002D3252">
              <w:rPr>
                <w:rFonts w:ascii="Arial" w:eastAsia="Calibri" w:hAnsi="Arial" w:cs="Arial"/>
                <w:sz w:val="18"/>
                <w:szCs w:val="18"/>
              </w:rPr>
              <w:t xml:space="preserve"> 736, de 21 d'octubre de 2021, del director de l'Agència de Prevenció i Lluita contra el Frau i la Corrupció de la Comunitat Valenciana, per la qual s'acorda la publicació del text íntegre del Conveni de col·laboració acadèmica, científica i cultural entre l'Agència de Prevenció i Lluita contra el Frau i la Corrupció de la Comunitat Valenciana i la Universitat de Salamanca</w:t>
            </w:r>
          </w:p>
        </w:tc>
        <w:tc>
          <w:tcPr>
            <w:tcW w:w="1134" w:type="dxa"/>
            <w:tcBorders>
              <w:top w:val="single" w:sz="4" w:space="0" w:color="000000"/>
              <w:left w:val="single" w:sz="4" w:space="0" w:color="000000"/>
              <w:bottom w:val="single" w:sz="4" w:space="0" w:color="000000"/>
            </w:tcBorders>
            <w:shd w:val="clear" w:color="auto" w:fill="auto"/>
          </w:tcPr>
          <w:p w14:paraId="051C19F8"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202 de 08.11.2021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221CDF9D"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8BB5D6E"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11AD3BD7" w14:textId="77777777" w:rsidTr="006A100C">
        <w:tc>
          <w:tcPr>
            <w:tcW w:w="5524" w:type="dxa"/>
            <w:tcBorders>
              <w:top w:val="single" w:sz="4" w:space="0" w:color="000000"/>
              <w:left w:val="single" w:sz="4" w:space="0" w:color="000000"/>
              <w:bottom w:val="single" w:sz="4" w:space="0" w:color="000000"/>
            </w:tcBorders>
            <w:shd w:val="clear" w:color="auto" w:fill="auto"/>
          </w:tcPr>
          <w:p w14:paraId="222AC527" w14:textId="0D78C7BF"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núm.</w:t>
            </w:r>
            <w:r w:rsidR="00951EAD">
              <w:rPr>
                <w:rFonts w:ascii="Arial" w:eastAsia="Calibri" w:hAnsi="Arial" w:cs="Arial"/>
                <w:b/>
                <w:sz w:val="18"/>
                <w:szCs w:val="18"/>
              </w:rPr>
              <w:t xml:space="preserve"> </w:t>
            </w:r>
            <w:r w:rsidRPr="002D3252">
              <w:rPr>
                <w:rFonts w:ascii="Arial" w:eastAsia="Calibri" w:hAnsi="Arial" w:cs="Arial"/>
                <w:sz w:val="18"/>
                <w:szCs w:val="18"/>
              </w:rPr>
              <w:t>771/2021, de 2 de novembre, del director de l'Agència de Prevenció i Lluita contra el Frau i la Corrupció de la Comunitat Valenciana per la qual es convoca la provisió, pel sistema de lliure designació, del lloc de treball de naturalesa funcionarial número 19, cap d'Unitat de Producció i Explotació dels Sistemes Informàtics, i s'aproven les bases que regeixen la convocatòria. Convocatòria LD 3/2021</w:t>
            </w:r>
          </w:p>
        </w:tc>
        <w:tc>
          <w:tcPr>
            <w:tcW w:w="1134" w:type="dxa"/>
            <w:tcBorders>
              <w:top w:val="single" w:sz="4" w:space="0" w:color="000000"/>
              <w:left w:val="single" w:sz="4" w:space="0" w:color="000000"/>
              <w:bottom w:val="single" w:sz="4" w:space="0" w:color="000000"/>
            </w:tcBorders>
            <w:shd w:val="clear" w:color="auto" w:fill="auto"/>
          </w:tcPr>
          <w:p w14:paraId="5DDA3D89"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205 de 17.11.2021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18779ED8"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9216 de 16.11.2021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015716D"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340D1184" w14:textId="77777777" w:rsidTr="006A100C">
        <w:tc>
          <w:tcPr>
            <w:tcW w:w="5524" w:type="dxa"/>
            <w:tcBorders>
              <w:top w:val="single" w:sz="4" w:space="0" w:color="000000"/>
              <w:left w:val="single" w:sz="4" w:space="0" w:color="000000"/>
              <w:bottom w:val="single" w:sz="4" w:space="0" w:color="000000"/>
            </w:tcBorders>
            <w:shd w:val="clear" w:color="auto" w:fill="auto"/>
          </w:tcPr>
          <w:p w14:paraId="3DDD6765" w14:textId="07E30870"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ANUNCI </w:t>
            </w:r>
            <w:r w:rsidRPr="002D3252">
              <w:rPr>
                <w:rFonts w:ascii="Arial" w:eastAsia="Calibri" w:hAnsi="Arial" w:cs="Arial"/>
                <w:sz w:val="18"/>
                <w:szCs w:val="18"/>
              </w:rPr>
              <w:t>pel qual es publica la Resolució núm</w:t>
            </w:r>
            <w:r w:rsidR="00951EAD">
              <w:rPr>
                <w:rFonts w:ascii="Arial" w:eastAsia="Calibri" w:hAnsi="Arial" w:cs="Arial"/>
                <w:sz w:val="18"/>
                <w:szCs w:val="18"/>
              </w:rPr>
              <w:t>.</w:t>
            </w:r>
            <w:r w:rsidRPr="002D3252">
              <w:rPr>
                <w:rFonts w:ascii="Arial" w:eastAsia="Calibri" w:hAnsi="Arial" w:cs="Arial"/>
                <w:sz w:val="18"/>
                <w:szCs w:val="18"/>
              </w:rPr>
              <w:t xml:space="preserve"> 717/2021, de 15 d'octubre de 2021, del director de l'Agència de Prevenció i Lluita contra el Frau i la Corrupció de la Comunitat Valenciana, per la qual s'aprova el projecte de pressupostos generals de l'Agència per a l'any 2022 i l'addenda aprovada mitjançant la Resolució núm</w:t>
            </w:r>
            <w:r w:rsidR="00951EAD">
              <w:rPr>
                <w:rFonts w:ascii="Arial" w:eastAsia="Calibri" w:hAnsi="Arial" w:cs="Arial"/>
                <w:sz w:val="18"/>
                <w:szCs w:val="18"/>
              </w:rPr>
              <w:t>.</w:t>
            </w:r>
            <w:r w:rsidRPr="002D3252">
              <w:rPr>
                <w:rFonts w:ascii="Arial" w:eastAsia="Calibri" w:hAnsi="Arial" w:cs="Arial"/>
                <w:sz w:val="18"/>
                <w:szCs w:val="18"/>
              </w:rPr>
              <w:t xml:space="preserve"> 729/2021, de 19 d'octubre, del director</w:t>
            </w:r>
          </w:p>
        </w:tc>
        <w:tc>
          <w:tcPr>
            <w:tcW w:w="1134" w:type="dxa"/>
            <w:tcBorders>
              <w:top w:val="single" w:sz="4" w:space="0" w:color="000000"/>
              <w:left w:val="single" w:sz="4" w:space="0" w:color="000000"/>
              <w:bottom w:val="single" w:sz="4" w:space="0" w:color="000000"/>
            </w:tcBorders>
            <w:shd w:val="clear" w:color="auto" w:fill="auto"/>
          </w:tcPr>
          <w:p w14:paraId="71D461AF"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206 de 19.11.2021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7BB4682A"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530CFB2F"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7CA15505" w14:textId="77777777" w:rsidTr="006A100C">
        <w:tc>
          <w:tcPr>
            <w:tcW w:w="5524" w:type="dxa"/>
            <w:tcBorders>
              <w:top w:val="single" w:sz="4" w:space="0" w:color="000000"/>
              <w:left w:val="single" w:sz="4" w:space="0" w:color="000000"/>
              <w:bottom w:val="single" w:sz="4" w:space="0" w:color="000000"/>
            </w:tcBorders>
            <w:shd w:val="clear" w:color="auto" w:fill="auto"/>
          </w:tcPr>
          <w:p w14:paraId="7465CDD1" w14:textId="5C2EA2FD"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lastRenderedPageBreak/>
              <w:t>RESOLUCIÓ</w:t>
            </w:r>
            <w:r w:rsidRPr="002D3252">
              <w:rPr>
                <w:rFonts w:ascii="Arial" w:eastAsia="Calibri" w:hAnsi="Arial" w:cs="Arial"/>
                <w:sz w:val="18"/>
                <w:szCs w:val="18"/>
              </w:rPr>
              <w:t xml:space="preserve"> </w:t>
            </w:r>
            <w:r w:rsidR="00951EAD">
              <w:rPr>
                <w:rFonts w:ascii="Arial" w:eastAsia="Calibri" w:hAnsi="Arial" w:cs="Arial"/>
                <w:sz w:val="18"/>
                <w:szCs w:val="18"/>
              </w:rPr>
              <w:t xml:space="preserve">núm. </w:t>
            </w:r>
            <w:r w:rsidRPr="002D3252">
              <w:rPr>
                <w:rFonts w:ascii="Arial" w:eastAsia="Calibri" w:hAnsi="Arial" w:cs="Arial"/>
                <w:sz w:val="18"/>
                <w:szCs w:val="18"/>
              </w:rPr>
              <w:t>772/2021, de 2 de novembre, del director de l'Agència de Prevenció i Lluita contra el Frau i la Corrupció de la Comunitat Valenciana per la qual es convoca la provisió, pel sistema de lliure designació, del lloc de treball de naturalesa funcionarial número 13, cap d'Unitat de Gestió Econòmica, i s'aproven les bases que regeixen la convocatòria. Convocatòria LD 4/2021</w:t>
            </w:r>
          </w:p>
        </w:tc>
        <w:tc>
          <w:tcPr>
            <w:tcW w:w="1134" w:type="dxa"/>
            <w:tcBorders>
              <w:top w:val="single" w:sz="4" w:space="0" w:color="000000"/>
              <w:left w:val="single" w:sz="4" w:space="0" w:color="000000"/>
              <w:bottom w:val="single" w:sz="4" w:space="0" w:color="000000"/>
            </w:tcBorders>
            <w:shd w:val="clear" w:color="auto" w:fill="auto"/>
          </w:tcPr>
          <w:p w14:paraId="0095B51A"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207 de 24.11.2021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A5168C3"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9220 de 22.11.2021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702CAACC"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140AD1F0" w14:textId="77777777" w:rsidTr="006A100C">
        <w:tc>
          <w:tcPr>
            <w:tcW w:w="5524" w:type="dxa"/>
            <w:tcBorders>
              <w:top w:val="single" w:sz="4" w:space="0" w:color="000000"/>
              <w:left w:val="single" w:sz="4" w:space="0" w:color="000000"/>
              <w:bottom w:val="single" w:sz="4" w:space="0" w:color="000000"/>
            </w:tcBorders>
            <w:shd w:val="clear" w:color="auto" w:fill="auto"/>
          </w:tcPr>
          <w:p w14:paraId="5447A19E" w14:textId="5D03C707"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núm.</w:t>
            </w:r>
            <w:r w:rsidR="00951EAD">
              <w:rPr>
                <w:rFonts w:ascii="Arial" w:eastAsia="Calibri" w:hAnsi="Arial" w:cs="Arial"/>
                <w:b/>
                <w:sz w:val="18"/>
                <w:szCs w:val="18"/>
              </w:rPr>
              <w:t xml:space="preserve"> </w:t>
            </w:r>
            <w:r w:rsidRPr="002D3252">
              <w:rPr>
                <w:rFonts w:ascii="Arial" w:eastAsia="Calibri" w:hAnsi="Arial" w:cs="Arial"/>
                <w:sz w:val="18"/>
                <w:szCs w:val="18"/>
              </w:rPr>
              <w:t>854/2021, de 25 de novembre, del director de l'Agència de Prevenció i Lluita contra el Frau i la Corrupció de la Comunitat Valenciana per la qual s'acorda la publicació del text íntegre del protocol de col·laboració funcional entre l'Agència de Prevenció i Lluita contra el Frau i la Corrupció de la Comunitat Valenciana i l'Ajuntament de València</w:t>
            </w:r>
          </w:p>
        </w:tc>
        <w:tc>
          <w:tcPr>
            <w:tcW w:w="1134" w:type="dxa"/>
            <w:tcBorders>
              <w:top w:val="single" w:sz="4" w:space="0" w:color="000000"/>
              <w:left w:val="single" w:sz="4" w:space="0" w:color="000000"/>
              <w:bottom w:val="single" w:sz="4" w:space="0" w:color="000000"/>
            </w:tcBorders>
            <w:shd w:val="clear" w:color="auto" w:fill="auto"/>
          </w:tcPr>
          <w:p w14:paraId="5B100D87"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210 de 03.12.2021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11E3D9CC"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6D273435"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3C720980" w14:textId="77777777" w:rsidTr="006A100C">
        <w:tc>
          <w:tcPr>
            <w:tcW w:w="5524" w:type="dxa"/>
            <w:tcBorders>
              <w:top w:val="single" w:sz="4" w:space="0" w:color="000000"/>
              <w:left w:val="single" w:sz="4" w:space="0" w:color="000000"/>
              <w:bottom w:val="single" w:sz="4" w:space="0" w:color="000000"/>
            </w:tcBorders>
            <w:shd w:val="clear" w:color="auto" w:fill="auto"/>
          </w:tcPr>
          <w:p w14:paraId="7E24A140" w14:textId="438E7BBC"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núm.</w:t>
            </w:r>
            <w:r w:rsidR="00951EAD">
              <w:rPr>
                <w:rFonts w:ascii="Arial" w:eastAsia="Calibri" w:hAnsi="Arial" w:cs="Arial"/>
                <w:b/>
                <w:sz w:val="18"/>
                <w:szCs w:val="18"/>
              </w:rPr>
              <w:t xml:space="preserve"> </w:t>
            </w:r>
            <w:r w:rsidRPr="002D3252">
              <w:rPr>
                <w:rFonts w:ascii="Arial" w:eastAsia="Calibri" w:hAnsi="Arial" w:cs="Arial"/>
                <w:sz w:val="18"/>
                <w:szCs w:val="18"/>
              </w:rPr>
              <w:t>786/2021, de 8 de novembre, del director de l'Agència de Prevenció i Lluita contra el Frau i la Corrupció de la Comunitat Valenciana, per la qual es convoca la provisió, pel sistema de lliure designació, del lloc de treball de naturalesa funcionarial número 2, cap o cap de l'Àrea d'Administració, Recursos Humans i Gestió Econòmica, i s'aproven les bases que regeixen la convocatòria. Convocatòria LD 5/2021</w:t>
            </w:r>
          </w:p>
        </w:tc>
        <w:tc>
          <w:tcPr>
            <w:tcW w:w="1134" w:type="dxa"/>
            <w:tcBorders>
              <w:top w:val="single" w:sz="4" w:space="0" w:color="000000"/>
              <w:left w:val="single" w:sz="4" w:space="0" w:color="000000"/>
              <w:bottom w:val="single" w:sz="4" w:space="0" w:color="000000"/>
            </w:tcBorders>
            <w:shd w:val="clear" w:color="auto" w:fill="auto"/>
          </w:tcPr>
          <w:p w14:paraId="5E4B15E0"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214 de 23.12.2021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1931582"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02ACDB9F"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68700660" w14:textId="77777777" w:rsidTr="006A100C">
        <w:tc>
          <w:tcPr>
            <w:tcW w:w="5524" w:type="dxa"/>
            <w:tcBorders>
              <w:top w:val="single" w:sz="4" w:space="0" w:color="000000"/>
              <w:left w:val="single" w:sz="4" w:space="0" w:color="000000"/>
              <w:bottom w:val="single" w:sz="4" w:space="0" w:color="000000"/>
            </w:tcBorders>
            <w:shd w:val="clear" w:color="auto" w:fill="auto"/>
          </w:tcPr>
          <w:p w14:paraId="7DE35550" w14:textId="585B63F1"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 xml:space="preserve">núm. </w:t>
            </w:r>
            <w:r w:rsidRPr="00951EAD">
              <w:rPr>
                <w:rFonts w:ascii="Arial" w:eastAsia="Calibri" w:hAnsi="Arial" w:cs="Arial"/>
                <w:bCs/>
                <w:sz w:val="18"/>
                <w:szCs w:val="18"/>
              </w:rPr>
              <w:t>863</w:t>
            </w:r>
            <w:r w:rsidRPr="002D3252">
              <w:rPr>
                <w:rFonts w:ascii="Arial" w:eastAsia="Calibri" w:hAnsi="Arial" w:cs="Arial"/>
                <w:sz w:val="18"/>
                <w:szCs w:val="18"/>
              </w:rPr>
              <w:t>/2021, de 30 de novembre, del director de l'Agència de Prevenció i Lluita contra el Frau i la Corrupció de la Comunitat Valenciana, per la qual es convoca un concurs específic per a la provisió del lloc de treball número 23, tècnic o tècnica superior de gestió administrativa, i s'aproven les bases que regeixen la convocatòria</w:t>
            </w:r>
          </w:p>
        </w:tc>
        <w:tc>
          <w:tcPr>
            <w:tcW w:w="1134" w:type="dxa"/>
            <w:tcBorders>
              <w:top w:val="single" w:sz="4" w:space="0" w:color="000000"/>
              <w:left w:val="single" w:sz="4" w:space="0" w:color="000000"/>
              <w:bottom w:val="single" w:sz="4" w:space="0" w:color="000000"/>
            </w:tcBorders>
            <w:shd w:val="clear" w:color="auto" w:fill="auto"/>
          </w:tcPr>
          <w:p w14:paraId="154CDF8B"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214 de 23.12.2021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4128862D"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AB04C68"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4EBB2FC1" w14:textId="77777777" w:rsidTr="006A100C">
        <w:tc>
          <w:tcPr>
            <w:tcW w:w="5524" w:type="dxa"/>
            <w:tcBorders>
              <w:top w:val="single" w:sz="4" w:space="0" w:color="000000"/>
              <w:left w:val="single" w:sz="4" w:space="0" w:color="000000"/>
              <w:bottom w:val="single" w:sz="4" w:space="0" w:color="000000"/>
            </w:tcBorders>
            <w:shd w:val="clear" w:color="auto" w:fill="auto"/>
          </w:tcPr>
          <w:p w14:paraId="2CB16D7D" w14:textId="0063DE29"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00951EAD" w:rsidRPr="00951EAD">
              <w:rPr>
                <w:rFonts w:ascii="Arial" w:eastAsia="Calibri" w:hAnsi="Arial" w:cs="Arial"/>
                <w:bCs/>
                <w:sz w:val="18"/>
                <w:szCs w:val="18"/>
              </w:rPr>
              <w:t>núm.</w:t>
            </w:r>
            <w:r w:rsidR="00951EAD">
              <w:rPr>
                <w:rFonts w:ascii="Arial" w:eastAsia="Calibri" w:hAnsi="Arial" w:cs="Arial"/>
                <w:b/>
                <w:sz w:val="18"/>
                <w:szCs w:val="18"/>
              </w:rPr>
              <w:t xml:space="preserve"> </w:t>
            </w:r>
            <w:r w:rsidRPr="002D3252">
              <w:rPr>
                <w:rFonts w:ascii="Arial" w:eastAsia="Calibri" w:hAnsi="Arial" w:cs="Arial"/>
                <w:sz w:val="18"/>
                <w:szCs w:val="18"/>
              </w:rPr>
              <w:t>875/2021, de 3 de desembre, del director de l'Agència de Prevenció i Lluita contra el Frau i la Corrupció de la Comunitat Valenciana, per la qual s'acorda la publicació del text íntegre del Protocol de col·laboració funcional entre l'Agència de Prevenció i Lluita contra el Frau i la Corrupció de la Comunitat Valenciana i la Diputació Provincial de Castelló</w:t>
            </w:r>
          </w:p>
        </w:tc>
        <w:tc>
          <w:tcPr>
            <w:tcW w:w="1134" w:type="dxa"/>
            <w:tcBorders>
              <w:top w:val="single" w:sz="4" w:space="0" w:color="000000"/>
              <w:left w:val="single" w:sz="4" w:space="0" w:color="000000"/>
              <w:bottom w:val="single" w:sz="4" w:space="0" w:color="000000"/>
            </w:tcBorders>
            <w:shd w:val="clear" w:color="auto" w:fill="auto"/>
          </w:tcPr>
          <w:p w14:paraId="2DC21B5E"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214 de 23.12.2021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AA0BF84"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53DFE0AD" w14:textId="77777777" w:rsidR="00732E55" w:rsidRPr="002D3252" w:rsidRDefault="00732E55" w:rsidP="00732E55">
            <w:pPr>
              <w:spacing w:after="0" w:line="276" w:lineRule="auto"/>
              <w:jc w:val="center"/>
              <w:rPr>
                <w:rFonts w:ascii="Arial" w:eastAsia="Calibri" w:hAnsi="Arial" w:cs="Arial"/>
                <w:sz w:val="18"/>
                <w:szCs w:val="18"/>
              </w:rPr>
            </w:pPr>
          </w:p>
        </w:tc>
      </w:tr>
      <w:tr w:rsidR="00732E55" w:rsidRPr="002D3252" w14:paraId="418A7967" w14:textId="77777777" w:rsidTr="006A100C">
        <w:tc>
          <w:tcPr>
            <w:tcW w:w="5524" w:type="dxa"/>
            <w:tcBorders>
              <w:top w:val="single" w:sz="4" w:space="0" w:color="000000"/>
              <w:left w:val="single" w:sz="4" w:space="0" w:color="000000"/>
              <w:bottom w:val="single" w:sz="4" w:space="0" w:color="auto"/>
            </w:tcBorders>
            <w:shd w:val="clear" w:color="auto" w:fill="auto"/>
          </w:tcPr>
          <w:p w14:paraId="7E23CFF5" w14:textId="14E7694C" w:rsidR="00732E55" w:rsidRPr="002D3252" w:rsidRDefault="00732E55" w:rsidP="00732E55">
            <w:pPr>
              <w:spacing w:after="0" w:line="276" w:lineRule="auto"/>
              <w:jc w:val="both"/>
              <w:rPr>
                <w:rFonts w:ascii="Arial" w:eastAsia="Calibri" w:hAnsi="Arial" w:cs="Arial"/>
                <w:sz w:val="18"/>
                <w:szCs w:val="18"/>
              </w:rPr>
            </w:pPr>
            <w:r w:rsidRPr="002D3252">
              <w:rPr>
                <w:rFonts w:ascii="Arial" w:eastAsia="Calibri" w:hAnsi="Arial" w:cs="Arial"/>
                <w:b/>
                <w:sz w:val="18"/>
                <w:szCs w:val="18"/>
              </w:rPr>
              <w:t xml:space="preserve">RESOLUCIÓ </w:t>
            </w:r>
            <w:r w:rsidRPr="002D3252">
              <w:rPr>
                <w:rFonts w:ascii="Arial" w:eastAsia="Calibri" w:hAnsi="Arial" w:cs="Arial"/>
                <w:sz w:val="18"/>
                <w:szCs w:val="18"/>
              </w:rPr>
              <w:t>núm</w:t>
            </w:r>
            <w:r w:rsidR="00951EAD">
              <w:rPr>
                <w:rFonts w:ascii="Arial" w:eastAsia="Calibri" w:hAnsi="Arial" w:cs="Arial"/>
                <w:sz w:val="18"/>
                <w:szCs w:val="18"/>
              </w:rPr>
              <w:t>.</w:t>
            </w:r>
            <w:r w:rsidRPr="002D3252">
              <w:rPr>
                <w:rFonts w:ascii="Arial" w:eastAsia="Calibri" w:hAnsi="Arial" w:cs="Arial"/>
                <w:sz w:val="18"/>
                <w:szCs w:val="18"/>
              </w:rPr>
              <w:t xml:space="preserve"> 917/2021, de 16 de desembre, del director de l'Agència de Prevenció i Lluita contra el Frau i la Corrupció de la Comunitat Valenciana, per la qual s'aprova una modificació puntual del reglament de funcionament i règim interior referida a l'organització interna d'aquesta agència</w:t>
            </w:r>
          </w:p>
        </w:tc>
        <w:tc>
          <w:tcPr>
            <w:tcW w:w="1134" w:type="dxa"/>
            <w:tcBorders>
              <w:top w:val="single" w:sz="4" w:space="0" w:color="000000"/>
              <w:left w:val="single" w:sz="4" w:space="0" w:color="000000"/>
              <w:bottom w:val="single" w:sz="4" w:space="0" w:color="auto"/>
            </w:tcBorders>
            <w:shd w:val="clear" w:color="auto" w:fill="auto"/>
          </w:tcPr>
          <w:p w14:paraId="3EEDE9D5" w14:textId="77777777" w:rsidR="00732E55" w:rsidRPr="002D3252" w:rsidRDefault="00732E55" w:rsidP="00732E55">
            <w:pPr>
              <w:spacing w:after="0" w:line="276" w:lineRule="auto"/>
              <w:jc w:val="center"/>
              <w:rPr>
                <w:rFonts w:ascii="Arial" w:eastAsia="Calibri" w:hAnsi="Arial" w:cs="Arial"/>
                <w:sz w:val="18"/>
                <w:szCs w:val="18"/>
              </w:rPr>
            </w:pPr>
            <w:r w:rsidRPr="002D3252">
              <w:rPr>
                <w:rFonts w:ascii="Arial" w:eastAsia="Calibri" w:hAnsi="Arial" w:cs="Arial"/>
                <w:sz w:val="18"/>
                <w:szCs w:val="18"/>
              </w:rPr>
              <w:t>N.º 214 de 23.12.2021</w:t>
            </w:r>
          </w:p>
        </w:tc>
        <w:tc>
          <w:tcPr>
            <w:tcW w:w="1143" w:type="dxa"/>
            <w:tcBorders>
              <w:top w:val="single" w:sz="4" w:space="0" w:color="000000"/>
              <w:left w:val="single" w:sz="4" w:space="0" w:color="000000"/>
              <w:bottom w:val="single" w:sz="4" w:space="0" w:color="auto"/>
              <w:right w:val="single" w:sz="4" w:space="0" w:color="000000"/>
            </w:tcBorders>
            <w:shd w:val="clear" w:color="auto" w:fill="auto"/>
          </w:tcPr>
          <w:p w14:paraId="483065B9" w14:textId="77777777" w:rsidR="00732E55" w:rsidRPr="002D3252" w:rsidRDefault="00732E55" w:rsidP="00732E55">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auto"/>
              <w:right w:val="single" w:sz="4" w:space="0" w:color="000000"/>
            </w:tcBorders>
            <w:shd w:val="clear" w:color="auto" w:fill="auto"/>
          </w:tcPr>
          <w:p w14:paraId="03BB3FC7" w14:textId="77777777" w:rsidR="00732E55" w:rsidRPr="002D3252" w:rsidRDefault="00732E55" w:rsidP="00732E55">
            <w:pPr>
              <w:spacing w:after="0" w:line="276" w:lineRule="auto"/>
              <w:jc w:val="center"/>
              <w:rPr>
                <w:rFonts w:ascii="Arial" w:eastAsia="Calibri" w:hAnsi="Arial" w:cs="Arial"/>
                <w:sz w:val="18"/>
                <w:szCs w:val="18"/>
              </w:rPr>
            </w:pPr>
          </w:p>
        </w:tc>
      </w:tr>
    </w:tbl>
    <w:p w14:paraId="78604286" w14:textId="41A7B43C" w:rsidR="00732E55" w:rsidRPr="002D3252" w:rsidRDefault="00732E55" w:rsidP="00732E55">
      <w:pPr>
        <w:spacing w:after="240" w:line="276" w:lineRule="auto"/>
        <w:jc w:val="both"/>
        <w:rPr>
          <w:rFonts w:ascii="Arial" w:eastAsia="Calibri" w:hAnsi="Arial" w:cs="Arial"/>
          <w:sz w:val="21"/>
          <w:highlight w:val="yellow"/>
        </w:rPr>
      </w:pPr>
    </w:p>
    <w:p w14:paraId="787F7EFB" w14:textId="77777777" w:rsidR="00732E55" w:rsidRPr="002D3252" w:rsidRDefault="00732E55" w:rsidP="00732E55">
      <w:pPr>
        <w:spacing w:after="240" w:line="276" w:lineRule="auto"/>
        <w:jc w:val="both"/>
        <w:rPr>
          <w:rFonts w:ascii="Arial" w:eastAsia="Calibri" w:hAnsi="Arial" w:cs="Arial"/>
          <w:sz w:val="21"/>
          <w:highlight w:val="yellow"/>
        </w:rPr>
      </w:pPr>
    </w:p>
    <w:p w14:paraId="49B33168" w14:textId="77777777" w:rsidR="00A5262F" w:rsidRPr="002D3252" w:rsidRDefault="00A5262F" w:rsidP="002A313A">
      <w:pPr>
        <w:rPr>
          <w:rFonts w:ascii="Arial" w:hAnsi="Arial"/>
          <w:sz w:val="21"/>
        </w:rPr>
      </w:pPr>
      <w:r w:rsidRPr="002D3252">
        <w:rPr>
          <w:rFonts w:ascii="Arial" w:hAnsi="Arial"/>
          <w:sz w:val="21"/>
        </w:rPr>
        <w:br w:type="page"/>
      </w:r>
    </w:p>
    <w:p w14:paraId="7FD283C1" w14:textId="6AF8B546" w:rsidR="009568B0" w:rsidRPr="002D3252" w:rsidRDefault="009568B0" w:rsidP="002A313A">
      <w:pPr>
        <w:spacing w:after="0" w:line="276" w:lineRule="auto"/>
        <w:rPr>
          <w:rFonts w:ascii="Arial" w:eastAsia="NSimSun" w:hAnsi="Arial" w:cs="Arial"/>
          <w:color w:val="000000"/>
          <w:kern w:val="2"/>
          <w:sz w:val="20"/>
          <w:szCs w:val="20"/>
          <w:lang w:eastAsia="zh-CN" w:bidi="hi-IN"/>
        </w:rPr>
      </w:pPr>
    </w:p>
    <w:p w14:paraId="7E3A9DD3" w14:textId="0B38DA11" w:rsidR="00241843" w:rsidRPr="002D3252" w:rsidRDefault="00241843" w:rsidP="002A313A">
      <w:pPr>
        <w:spacing w:after="0" w:line="276" w:lineRule="auto"/>
        <w:jc w:val="both"/>
        <w:rPr>
          <w:rFonts w:ascii="Arial" w:hAnsi="Arial"/>
          <w:b/>
          <w:sz w:val="21"/>
        </w:rPr>
      </w:pPr>
    </w:p>
    <w:p w14:paraId="1F126AE9" w14:textId="77777777" w:rsidR="00422D40" w:rsidRPr="002D3252" w:rsidRDefault="00422D40" w:rsidP="002A313A">
      <w:pPr>
        <w:spacing w:line="276" w:lineRule="auto"/>
        <w:jc w:val="both"/>
        <w:rPr>
          <w:rFonts w:ascii="Arial" w:hAnsi="Arial"/>
          <w:b/>
          <w:sz w:val="21"/>
        </w:rPr>
      </w:pPr>
    </w:p>
    <w:p w14:paraId="698CC7D5" w14:textId="38284414" w:rsidR="00826227" w:rsidRPr="002D3252" w:rsidRDefault="00241843" w:rsidP="00EB4ECF">
      <w:pPr>
        <w:pStyle w:val="Prrafodelista"/>
        <w:keepNext/>
        <w:numPr>
          <w:ilvl w:val="0"/>
          <w:numId w:val="16"/>
        </w:numPr>
        <w:suppressAutoHyphens/>
        <w:spacing w:before="360" w:after="240" w:line="240" w:lineRule="auto"/>
        <w:ind w:left="0" w:firstLine="0"/>
        <w:contextualSpacing w:val="0"/>
        <w:outlineLvl w:val="0"/>
        <w:rPr>
          <w:rFonts w:ascii="Arial" w:eastAsia="Times New Roman" w:hAnsi="Arial" w:cs="Arial"/>
          <w:b/>
          <w:color w:val="9D2235"/>
          <w:sz w:val="80"/>
          <w:szCs w:val="80"/>
        </w:rPr>
      </w:pPr>
      <w:bookmarkStart w:id="80" w:name="_Toc65759433"/>
      <w:r w:rsidRPr="002D3252">
        <w:rPr>
          <w:rFonts w:ascii="Arial" w:eastAsia="Times New Roman" w:hAnsi="Arial" w:cs="Arial"/>
          <w:b/>
          <w:bCs/>
          <w:color w:val="9D2235"/>
          <w:spacing w:val="-24"/>
          <w:kern w:val="2"/>
          <w:sz w:val="80"/>
          <w:szCs w:val="80"/>
          <w:lang w:eastAsia="es-ES" w:bidi="hi-IN"/>
        </w:rPr>
        <w:br/>
      </w:r>
      <w:bookmarkStart w:id="81" w:name="_Toc99110695"/>
      <w:bookmarkEnd w:id="80"/>
      <w:r w:rsidR="003C2B2D" w:rsidRPr="002D3252">
        <w:rPr>
          <w:rFonts w:ascii="Arial" w:eastAsia="Times New Roman" w:hAnsi="Arial" w:cs="Arial"/>
          <w:b/>
          <w:bCs/>
          <w:color w:val="9D2235"/>
          <w:spacing w:val="-24"/>
          <w:kern w:val="2"/>
          <w:sz w:val="80"/>
          <w:szCs w:val="80"/>
          <w:lang w:eastAsia="es-ES" w:bidi="hi-IN"/>
        </w:rPr>
        <w:t xml:space="preserve">Marc normatiu, </w:t>
      </w:r>
      <w:r w:rsidR="00F54486">
        <w:rPr>
          <w:rFonts w:ascii="Arial" w:eastAsia="Times New Roman" w:hAnsi="Arial" w:cs="Arial"/>
          <w:b/>
          <w:bCs/>
          <w:color w:val="9D2235"/>
          <w:spacing w:val="-24"/>
          <w:kern w:val="2"/>
          <w:sz w:val="80"/>
          <w:szCs w:val="80"/>
          <w:lang w:eastAsia="es-ES" w:bidi="hi-IN"/>
        </w:rPr>
        <w:t>p</w:t>
      </w:r>
      <w:r w:rsidR="003C2B2D" w:rsidRPr="002D3252">
        <w:rPr>
          <w:rFonts w:ascii="Arial" w:eastAsia="Times New Roman" w:hAnsi="Arial" w:cs="Arial"/>
          <w:b/>
          <w:bCs/>
          <w:color w:val="9D2235"/>
          <w:spacing w:val="-24"/>
          <w:kern w:val="2"/>
          <w:sz w:val="80"/>
          <w:szCs w:val="80"/>
          <w:lang w:eastAsia="es-ES" w:bidi="hi-IN"/>
        </w:rPr>
        <w:t xml:space="preserve">rotecció de les </w:t>
      </w:r>
      <w:r w:rsidR="00F54486">
        <w:rPr>
          <w:rFonts w:ascii="Arial" w:eastAsia="Times New Roman" w:hAnsi="Arial" w:cs="Arial"/>
          <w:b/>
          <w:bCs/>
          <w:color w:val="9D2235"/>
          <w:spacing w:val="-24"/>
          <w:kern w:val="2"/>
          <w:sz w:val="80"/>
          <w:szCs w:val="80"/>
          <w:lang w:eastAsia="es-ES" w:bidi="hi-IN"/>
        </w:rPr>
        <w:t>p</w:t>
      </w:r>
      <w:r w:rsidR="003C2B2D" w:rsidRPr="002D3252">
        <w:rPr>
          <w:rFonts w:ascii="Arial" w:eastAsia="Times New Roman" w:hAnsi="Arial" w:cs="Arial"/>
          <w:b/>
          <w:bCs/>
          <w:color w:val="9D2235"/>
          <w:spacing w:val="-24"/>
          <w:kern w:val="2"/>
          <w:sz w:val="80"/>
          <w:szCs w:val="80"/>
          <w:lang w:eastAsia="es-ES" w:bidi="hi-IN"/>
        </w:rPr>
        <w:t xml:space="preserve">ersones </w:t>
      </w:r>
      <w:r w:rsidR="00F54486">
        <w:rPr>
          <w:rFonts w:ascii="Arial" w:eastAsia="Times New Roman" w:hAnsi="Arial" w:cs="Arial"/>
          <w:b/>
          <w:bCs/>
          <w:color w:val="9D2235"/>
          <w:spacing w:val="-24"/>
          <w:kern w:val="2"/>
          <w:sz w:val="80"/>
          <w:szCs w:val="80"/>
          <w:lang w:eastAsia="es-ES" w:bidi="hi-IN"/>
        </w:rPr>
        <w:t>d</w:t>
      </w:r>
      <w:r w:rsidR="003C2B2D" w:rsidRPr="002D3252">
        <w:rPr>
          <w:rFonts w:ascii="Arial" w:eastAsia="Times New Roman" w:hAnsi="Arial" w:cs="Arial"/>
          <w:b/>
          <w:bCs/>
          <w:color w:val="9D2235"/>
          <w:spacing w:val="-24"/>
          <w:kern w:val="2"/>
          <w:sz w:val="80"/>
          <w:szCs w:val="80"/>
          <w:lang w:eastAsia="es-ES" w:bidi="hi-IN"/>
        </w:rPr>
        <w:t xml:space="preserve">enunciants i </w:t>
      </w:r>
      <w:r w:rsidR="00F54486">
        <w:rPr>
          <w:rFonts w:ascii="Arial" w:eastAsia="Times New Roman" w:hAnsi="Arial" w:cs="Arial"/>
          <w:b/>
          <w:bCs/>
          <w:color w:val="9D2235"/>
          <w:spacing w:val="-24"/>
          <w:kern w:val="2"/>
          <w:sz w:val="80"/>
          <w:szCs w:val="80"/>
          <w:lang w:eastAsia="es-ES" w:bidi="hi-IN"/>
        </w:rPr>
        <w:t>a</w:t>
      </w:r>
      <w:r w:rsidR="007B7DF3" w:rsidRPr="002D3252">
        <w:rPr>
          <w:rFonts w:ascii="Arial" w:eastAsia="Times New Roman" w:hAnsi="Arial" w:cs="Arial"/>
          <w:b/>
          <w:bCs/>
          <w:color w:val="9D2235"/>
          <w:spacing w:val="-24"/>
          <w:kern w:val="2"/>
          <w:sz w:val="80"/>
          <w:szCs w:val="80"/>
          <w:lang w:eastAsia="es-ES" w:bidi="hi-IN"/>
        </w:rPr>
        <w:t xml:space="preserve">ssumptes </w:t>
      </w:r>
      <w:r w:rsidR="00F54486">
        <w:rPr>
          <w:rFonts w:ascii="Arial" w:eastAsia="Times New Roman" w:hAnsi="Arial" w:cs="Arial"/>
          <w:b/>
          <w:bCs/>
          <w:color w:val="9D2235"/>
          <w:spacing w:val="-24"/>
          <w:kern w:val="2"/>
          <w:sz w:val="80"/>
          <w:szCs w:val="80"/>
          <w:lang w:eastAsia="es-ES" w:bidi="hi-IN"/>
        </w:rPr>
        <w:t>j</w:t>
      </w:r>
      <w:r w:rsidR="007B7DF3" w:rsidRPr="002D3252">
        <w:rPr>
          <w:rFonts w:ascii="Arial" w:eastAsia="Times New Roman" w:hAnsi="Arial" w:cs="Arial"/>
          <w:b/>
          <w:bCs/>
          <w:color w:val="9D2235"/>
          <w:spacing w:val="-24"/>
          <w:kern w:val="2"/>
          <w:sz w:val="80"/>
          <w:szCs w:val="80"/>
          <w:lang w:eastAsia="es-ES" w:bidi="hi-IN"/>
        </w:rPr>
        <w:t>urídics</w:t>
      </w:r>
      <w:bookmarkEnd w:id="81"/>
      <w:r w:rsidR="00826227" w:rsidRPr="002D3252">
        <w:rPr>
          <w:rFonts w:ascii="Arial" w:eastAsia="Times New Roman" w:hAnsi="Arial" w:cs="Arial"/>
          <w:b/>
          <w:bCs/>
          <w:color w:val="9D2235"/>
          <w:spacing w:val="-24"/>
          <w:kern w:val="2"/>
          <w:sz w:val="80"/>
          <w:szCs w:val="80"/>
          <w:lang w:eastAsia="es-ES" w:bidi="hi-IN"/>
        </w:rPr>
        <w:br/>
      </w:r>
    </w:p>
    <w:p w14:paraId="225A1CB1" w14:textId="34C28689" w:rsidR="00241843" w:rsidRPr="002D3252" w:rsidRDefault="00291191" w:rsidP="00EB4ECF">
      <w:pPr>
        <w:pStyle w:val="Prrafodelista"/>
        <w:keepNext/>
        <w:numPr>
          <w:ilvl w:val="1"/>
          <w:numId w:val="16"/>
        </w:numPr>
        <w:suppressAutoHyphens/>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82" w:name="_Toc99110696"/>
      <w:r w:rsidRPr="002D3252">
        <w:rPr>
          <w:rFonts w:ascii="Arial" w:eastAsia="Times New Roman" w:hAnsi="Arial" w:cs="Arial"/>
          <w:b/>
          <w:color w:val="9D2235"/>
          <w:sz w:val="32"/>
          <w:szCs w:val="32"/>
        </w:rPr>
        <w:t>Funcions</w:t>
      </w:r>
      <w:bookmarkEnd w:id="82"/>
    </w:p>
    <w:p w14:paraId="0F5FA16E" w14:textId="77777777" w:rsidR="00291191" w:rsidRPr="002D3252" w:rsidRDefault="00291191" w:rsidP="00291191">
      <w:pPr>
        <w:spacing w:after="240" w:line="276" w:lineRule="auto"/>
        <w:jc w:val="both"/>
        <w:rPr>
          <w:rFonts w:ascii="Arial" w:eastAsia="Times New Roman" w:hAnsi="Arial" w:cs="Times New Roman"/>
          <w:sz w:val="21"/>
          <w:szCs w:val="21"/>
        </w:rPr>
      </w:pPr>
      <w:r w:rsidRPr="002D3252">
        <w:rPr>
          <w:rFonts w:ascii="Arial" w:eastAsia="Times New Roman" w:hAnsi="Arial" w:cs="Times New Roman"/>
          <w:sz w:val="21"/>
          <w:szCs w:val="21"/>
        </w:rPr>
        <w:t xml:space="preserve">El </w:t>
      </w:r>
      <w:hyperlink r:id="rId191" w:history="1">
        <w:r w:rsidRPr="002D3252">
          <w:rPr>
            <w:rFonts w:ascii="Arial" w:eastAsia="Times New Roman" w:hAnsi="Arial" w:cs="Times New Roman"/>
            <w:b/>
            <w:bCs/>
            <w:color w:val="000080"/>
            <w:sz w:val="21"/>
            <w:szCs w:val="21"/>
            <w:u w:val="single"/>
          </w:rPr>
          <w:t>Reglament de funcionament i règim interior de 27 de juny de 2019 de l'Agència</w:t>
        </w:r>
      </w:hyperlink>
      <w:r w:rsidRPr="002D3252">
        <w:rPr>
          <w:rFonts w:ascii="Arial" w:eastAsia="Times New Roman" w:hAnsi="Arial" w:cs="Times New Roman"/>
          <w:sz w:val="21"/>
          <w:szCs w:val="21"/>
        </w:rPr>
        <w:t xml:space="preserve"> recull en el seu article 21 les funcions encomanades a la unitat administrativa denominada </w:t>
      </w:r>
      <w:r w:rsidRPr="002D3252">
        <w:rPr>
          <w:rFonts w:ascii="Arial" w:eastAsia="Times New Roman" w:hAnsi="Arial" w:cs="Times New Roman"/>
          <w:b/>
          <w:bCs/>
          <w:i/>
          <w:iCs/>
          <w:sz w:val="21"/>
          <w:szCs w:val="21"/>
        </w:rPr>
        <w:t>Direcció d'Assumptes Jurídics</w:t>
      </w:r>
      <w:r w:rsidRPr="002D3252">
        <w:rPr>
          <w:rFonts w:ascii="Arial" w:eastAsia="Times New Roman" w:hAnsi="Arial" w:cs="Times New Roman"/>
          <w:i/>
          <w:iCs/>
          <w:sz w:val="21"/>
          <w:szCs w:val="21"/>
        </w:rPr>
        <w:t xml:space="preserve">, </w:t>
      </w:r>
      <w:r w:rsidRPr="002D3252">
        <w:rPr>
          <w:rFonts w:ascii="Arial" w:eastAsia="Times New Roman" w:hAnsi="Arial" w:cs="Times New Roman"/>
          <w:sz w:val="21"/>
          <w:szCs w:val="21"/>
        </w:rPr>
        <w:t>enumerades</w:t>
      </w:r>
      <w:r w:rsidRPr="002D3252">
        <w:rPr>
          <w:rFonts w:ascii="Arial" w:eastAsia="Times New Roman" w:hAnsi="Arial" w:cs="Times New Roman"/>
          <w:i/>
          <w:iCs/>
          <w:sz w:val="21"/>
          <w:szCs w:val="21"/>
        </w:rPr>
        <w:t xml:space="preserve"> </w:t>
      </w:r>
      <w:r w:rsidRPr="002D3252">
        <w:rPr>
          <w:rFonts w:ascii="Arial" w:eastAsia="Times New Roman" w:hAnsi="Arial" w:cs="Times New Roman"/>
          <w:sz w:val="21"/>
          <w:szCs w:val="21"/>
        </w:rPr>
        <w:t>amb el següent tenor literal:</w:t>
      </w:r>
    </w:p>
    <w:p w14:paraId="62C0B607"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Dirigir, coordinar i supervisar el funcionament i l'organització de les unitats dependents.</w:t>
      </w:r>
    </w:p>
    <w:p w14:paraId="161405CF"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Efectuar les tasques corresponents a l'assessorament jurídic de l'Agència, així com emetre els informes jurídics preceptius i aquells altres que se sol·liciten per la Direcció de l'Agència.</w:t>
      </w:r>
    </w:p>
    <w:p w14:paraId="192F92D2"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Prestar assessoria legal a la persona denunciant sobre els fets relacionats amb la denúncia, així com sobre els procediments que s'interposen en contra seua amb motiu d'aquesta.</w:t>
      </w:r>
    </w:p>
    <w:p w14:paraId="512033BE"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Vetlar per la protecció de les persones denunciants, informants i alertadoras, proposar l'adopció de mesures que garantisquen la seua protecció, i en particular preservar la seua indemnitat personal i professional.</w:t>
      </w:r>
    </w:p>
    <w:p w14:paraId="5B6DD55E"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Efectuar les propostes d'atorgament de l'estatut de la persona denunciant i de resolució de qualsevol incidència que puga sorgir en relació amb aquest.</w:t>
      </w:r>
    </w:p>
    <w:p w14:paraId="1F9F4CB8"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Elaborar i proposar les modificacions legislatives i reglamentàries que afecten o es referisquen a l'Agència.</w:t>
      </w:r>
    </w:p>
    <w:p w14:paraId="3D4EF2F4"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Complir amb la funció certificadora de les actuacions generades per l'Agència i de secretària general.</w:t>
      </w:r>
    </w:p>
    <w:p w14:paraId="18CB58C1"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Tramitar els convenis a subscriure per l'Agència, sense perjudici de l'elaboració de propostes, impuls i seguiment per la unitat administrativa que corresponga.</w:t>
      </w:r>
    </w:p>
    <w:p w14:paraId="4C189CFC"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Instruir i tramitar els expedients relatius a la imposició de les sancions previstes en la Llei 11/2016, de 28 de novembre, de la Generalitat.</w:t>
      </w:r>
    </w:p>
    <w:p w14:paraId="674B4437"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Exercir la representació i defensa en judici de l'Agència.</w:t>
      </w:r>
    </w:p>
    <w:p w14:paraId="4D84D58F"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Tramitar i proposar la resolució de les peticions d'accés a la informació pública que es formulen.</w:t>
      </w:r>
    </w:p>
    <w:p w14:paraId="7C01B825"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Tramitar els procediments de responsabilitat patrimonial.</w:t>
      </w:r>
    </w:p>
    <w:p w14:paraId="6902648A" w14:textId="77777777" w:rsidR="00291191" w:rsidRPr="002D3252" w:rsidRDefault="00291191" w:rsidP="00EB4ECF">
      <w:pPr>
        <w:numPr>
          <w:ilvl w:val="0"/>
          <w:numId w:val="23"/>
        </w:numPr>
        <w:spacing w:after="8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Instruir i tramitar els expedients disciplinaris del personal de l'Agència.</w:t>
      </w:r>
    </w:p>
    <w:p w14:paraId="1BD80124" w14:textId="77777777" w:rsidR="00291191" w:rsidRPr="002D3252" w:rsidRDefault="00291191" w:rsidP="00EB4ECF">
      <w:pPr>
        <w:numPr>
          <w:ilvl w:val="0"/>
          <w:numId w:val="23"/>
        </w:numPr>
        <w:spacing w:after="240" w:line="276" w:lineRule="auto"/>
        <w:ind w:left="714" w:hanging="357"/>
        <w:jc w:val="both"/>
        <w:rPr>
          <w:rFonts w:ascii="Arial" w:eastAsia="Times New Roman" w:hAnsi="Arial" w:cs="Times New Roman"/>
          <w:sz w:val="21"/>
          <w:szCs w:val="21"/>
        </w:rPr>
      </w:pPr>
      <w:r w:rsidRPr="002D3252">
        <w:rPr>
          <w:rFonts w:ascii="Arial" w:eastAsia="Times New Roman" w:hAnsi="Arial" w:cs="Times New Roman"/>
          <w:sz w:val="21"/>
          <w:szCs w:val="21"/>
        </w:rPr>
        <w:t>Aquelles altres que se li assignen pel director o directora de l'Agència.</w:t>
      </w:r>
    </w:p>
    <w:p w14:paraId="48B070FC" w14:textId="77777777" w:rsidR="00291191" w:rsidRPr="002D3252" w:rsidRDefault="00291191" w:rsidP="00291191">
      <w:pPr>
        <w:spacing w:after="240" w:line="276" w:lineRule="auto"/>
        <w:jc w:val="both"/>
        <w:rPr>
          <w:rFonts w:ascii="Arial" w:eastAsia="Times New Roman" w:hAnsi="Arial" w:cs="Times New Roman"/>
          <w:sz w:val="21"/>
          <w:szCs w:val="21"/>
        </w:rPr>
      </w:pPr>
      <w:r w:rsidRPr="002D3252">
        <w:rPr>
          <w:rFonts w:ascii="Arial" w:eastAsia="Times New Roman" w:hAnsi="Arial" w:cs="Times New Roman"/>
          <w:sz w:val="21"/>
          <w:szCs w:val="21"/>
        </w:rPr>
        <w:t>En desenvolupament de la citada lletra g), referida a “la funció certificadora de les actuacions generades per l'Agència i de secretaria general”, correspon a aquesta unitat administrativa participar com a membre de fet i de dret en les taules tècniques i de negociació de les condicions de treball del personal al servei de l'Agència, a l'efecte de la qual fa les tasques ordinàries de secretaria i elaboració de les actes de les seues reunions, així com l'assessorament jurídic que corresponga en cada cas.</w:t>
      </w:r>
    </w:p>
    <w:p w14:paraId="33EB4226" w14:textId="77777777" w:rsidR="00291191" w:rsidRPr="002D3252" w:rsidRDefault="00291191" w:rsidP="00291191">
      <w:pPr>
        <w:spacing w:after="240" w:line="276" w:lineRule="auto"/>
        <w:jc w:val="both"/>
        <w:rPr>
          <w:rFonts w:ascii="Arial" w:eastAsia="Times New Roman" w:hAnsi="Arial" w:cs="Times New Roman"/>
          <w:sz w:val="21"/>
          <w:szCs w:val="21"/>
        </w:rPr>
      </w:pPr>
      <w:r w:rsidRPr="002D3252">
        <w:rPr>
          <w:rFonts w:ascii="Arial" w:eastAsia="Times New Roman" w:hAnsi="Arial" w:cs="Times New Roman"/>
          <w:sz w:val="21"/>
          <w:szCs w:val="21"/>
        </w:rPr>
        <w:t xml:space="preserve">Igualment, en virtut del que es preveu en el 25.1 del Reglament de funcionament i règim interior, li correspon a la Direcció d'Assumptes Jurídics exercir la secretaria del Consell de Participació de l'Agència. </w:t>
      </w:r>
    </w:p>
    <w:p w14:paraId="63557409" w14:textId="77777777" w:rsidR="00291191" w:rsidRPr="002D3252" w:rsidRDefault="00291191" w:rsidP="00291191">
      <w:pPr>
        <w:spacing w:after="240" w:line="276" w:lineRule="auto"/>
        <w:jc w:val="both"/>
        <w:rPr>
          <w:rFonts w:ascii="Arial" w:eastAsia="Times New Roman" w:hAnsi="Arial" w:cs="Times New Roman"/>
          <w:sz w:val="21"/>
          <w:szCs w:val="21"/>
        </w:rPr>
      </w:pPr>
      <w:r w:rsidRPr="002D3252">
        <w:rPr>
          <w:rFonts w:ascii="Arial" w:eastAsia="Times New Roman" w:hAnsi="Arial" w:cs="Times New Roman"/>
          <w:sz w:val="21"/>
          <w:szCs w:val="21"/>
        </w:rPr>
        <w:t>Unes altres de les seues funcions és la relativa a la gestió del Registre d'acords i resolucions de la Direcció de l'Agència, tal com disposa l'article 89 del Reglament, així com les tasques relacionades amb el Registre de convenis propi de l'Agència, a què es refereix l'article 87 del Reglament.</w:t>
      </w:r>
    </w:p>
    <w:p w14:paraId="60515B01" w14:textId="77777777" w:rsidR="00291191" w:rsidRPr="002D3252" w:rsidRDefault="00291191" w:rsidP="00291191">
      <w:pPr>
        <w:spacing w:after="240" w:line="276" w:lineRule="auto"/>
        <w:jc w:val="both"/>
        <w:rPr>
          <w:rFonts w:ascii="Arial" w:eastAsia="Times New Roman" w:hAnsi="Arial" w:cs="Times New Roman"/>
          <w:sz w:val="21"/>
          <w:szCs w:val="21"/>
        </w:rPr>
      </w:pPr>
      <w:r w:rsidRPr="002D3252">
        <w:rPr>
          <w:rFonts w:ascii="Arial" w:eastAsia="Times New Roman" w:hAnsi="Arial" w:cs="Times New Roman"/>
          <w:sz w:val="21"/>
          <w:szCs w:val="21"/>
        </w:rPr>
        <w:t xml:space="preserve">Com a novetat de finals d'aquest exercici 2021, s'ha produït una modificació puntual del Reglament de funcionament i règim interior de l'Agència, a la qual més endavant es farà referència de manera detallada, per la qual es crea una </w:t>
      </w:r>
      <w:r w:rsidRPr="002D3252">
        <w:rPr>
          <w:rFonts w:ascii="Arial" w:eastAsia="Times New Roman" w:hAnsi="Arial" w:cs="Times New Roman"/>
          <w:b/>
          <w:bCs/>
          <w:i/>
          <w:iCs/>
          <w:sz w:val="21"/>
          <w:szCs w:val="21"/>
        </w:rPr>
        <w:t xml:space="preserve">Direcció Adjunta </w:t>
      </w:r>
      <w:r w:rsidRPr="002D3252">
        <w:rPr>
          <w:rFonts w:ascii="Arial" w:eastAsia="Times New Roman" w:hAnsi="Arial" w:cs="Times New Roman"/>
          <w:sz w:val="21"/>
          <w:szCs w:val="21"/>
        </w:rPr>
        <w:t xml:space="preserve">a la Direcció de l'Agència les funcions de la qual s'acumulen a aquesta Direcció d'Assumptes Jurídics. </w:t>
      </w:r>
    </w:p>
    <w:p w14:paraId="2C1D181F" w14:textId="77777777" w:rsidR="00291191" w:rsidRPr="002D3252" w:rsidRDefault="00291191" w:rsidP="00291191">
      <w:pPr>
        <w:spacing w:after="240" w:line="276" w:lineRule="auto"/>
        <w:jc w:val="both"/>
        <w:rPr>
          <w:rFonts w:ascii="Arial" w:eastAsia="Times New Roman" w:hAnsi="Arial" w:cs="Times New Roman"/>
          <w:sz w:val="21"/>
          <w:szCs w:val="21"/>
        </w:rPr>
      </w:pPr>
      <w:r w:rsidRPr="002D3252">
        <w:rPr>
          <w:rFonts w:ascii="Arial" w:eastAsia="Times New Roman" w:hAnsi="Arial" w:cs="Times New Roman"/>
          <w:sz w:val="21"/>
          <w:szCs w:val="21"/>
        </w:rPr>
        <w:t>Són funcions de la Direcció Adjunta de l'Agència la de donar suport tècnic i assistència a la Direcció de l'Agència, a l'efecte de la qual impulsa, coordina i supervisa l'exercici de les funcions de la resta d'unitats administratives, així com fer les tasques que la Direcció de l'Agència li encomane o delegue.</w:t>
      </w:r>
    </w:p>
    <w:p w14:paraId="7128F746" w14:textId="7333202B" w:rsidR="00F959CE" w:rsidRPr="002D3252" w:rsidRDefault="00291191" w:rsidP="00291191">
      <w:pPr>
        <w:spacing w:after="240" w:line="276" w:lineRule="auto"/>
        <w:jc w:val="both"/>
        <w:rPr>
          <w:rFonts w:ascii="Arial" w:hAnsi="Arial"/>
          <w:sz w:val="21"/>
        </w:rPr>
      </w:pPr>
      <w:r w:rsidRPr="002D3252">
        <w:rPr>
          <w:rFonts w:ascii="Arial" w:eastAsia="Times New Roman" w:hAnsi="Arial" w:cs="Times New Roman"/>
          <w:sz w:val="21"/>
          <w:szCs w:val="21"/>
        </w:rPr>
        <w:t>Així mateix, la Direcció Adjunta podrà signar les resolucions i actes administratius que, de manera excepcional, expressa i motivada, li delegue la persona titular de la Direcció de l'Agència. També li correspon assumir la suplència de la Direcció de l’AVAF, de manera interina i transitòriament, en cas de vacant, absència o malaltia, així com en els casos en què haja sigut declarada l'abstenció o recusació del seu director.</w:t>
      </w:r>
    </w:p>
    <w:p w14:paraId="620A102B" w14:textId="77777777" w:rsidR="00DB0C0E" w:rsidRPr="00DB0C0E" w:rsidRDefault="00DB0C0E" w:rsidP="009B36F6">
      <w:pPr>
        <w:pStyle w:val="Prrafodelista"/>
        <w:keepNext/>
        <w:numPr>
          <w:ilvl w:val="1"/>
          <w:numId w:val="16"/>
        </w:numPr>
        <w:suppressAutoHyphens/>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83" w:name="_Toc99110697"/>
      <w:r w:rsidRPr="00DB0C0E">
        <w:rPr>
          <w:rFonts w:ascii="Arial" w:eastAsia="Times New Roman" w:hAnsi="Arial" w:cs="Arial"/>
          <w:b/>
          <w:color w:val="9D2235"/>
          <w:sz w:val="32"/>
          <w:szCs w:val="32"/>
        </w:rPr>
        <w:t>Marc normatiu</w:t>
      </w:r>
      <w:bookmarkEnd w:id="83"/>
    </w:p>
    <w:p w14:paraId="28B6BB73" w14:textId="75EDED97" w:rsidR="00DB0C0E" w:rsidRPr="00DB0C0E" w:rsidRDefault="00DB0C0E" w:rsidP="009B36F6">
      <w:pPr>
        <w:pStyle w:val="Prrafodelista"/>
        <w:keepNext/>
        <w:numPr>
          <w:ilvl w:val="2"/>
          <w:numId w:val="16"/>
        </w:numPr>
        <w:suppressAutoHyphens/>
        <w:spacing w:before="360" w:after="240" w:line="276" w:lineRule="auto"/>
        <w:ind w:left="1134" w:hanging="1134"/>
        <w:jc w:val="both"/>
        <w:outlineLvl w:val="2"/>
        <w:rPr>
          <w:rFonts w:ascii="Arial" w:eastAsia="Times New Roman" w:hAnsi="Arial" w:cs="Arial"/>
          <w:b/>
          <w:color w:val="9D2235"/>
          <w:sz w:val="28"/>
          <w:szCs w:val="28"/>
        </w:rPr>
      </w:pPr>
      <w:bookmarkStart w:id="84" w:name="_Toc67646241"/>
      <w:bookmarkStart w:id="85" w:name="_Toc99110698"/>
      <w:r w:rsidRPr="00DB0C0E">
        <w:rPr>
          <w:rFonts w:ascii="Arial" w:eastAsia="Times New Roman" w:hAnsi="Arial" w:cs="Arial"/>
          <w:b/>
          <w:color w:val="9D2235"/>
          <w:sz w:val="28"/>
          <w:szCs w:val="28"/>
        </w:rPr>
        <w:t>Normativa d'aplicació</w:t>
      </w:r>
      <w:bookmarkEnd w:id="84"/>
      <w:bookmarkEnd w:id="85"/>
    </w:p>
    <w:p w14:paraId="4E3CAFA7" w14:textId="7DBF6FFC"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Amb la creació de l'Agència de Prevenció i Lluita contra el Frau i la Corrupció de la Comunitat Valenciana (Agència o AVAF) es acompleix en la Comunitat Valenciana a la Resolució </w:t>
      </w:r>
      <w:r w:rsidR="00951EAD">
        <w:rPr>
          <w:rFonts w:ascii="Arial" w:hAnsi="Arial"/>
          <w:sz w:val="21"/>
        </w:rPr>
        <w:t xml:space="preserve">núm. </w:t>
      </w:r>
      <w:r w:rsidRPr="00DB0C0E">
        <w:rPr>
          <w:rFonts w:ascii="Arial" w:hAnsi="Arial"/>
          <w:sz w:val="21"/>
        </w:rPr>
        <w:t xml:space="preserve">58/4 de l'Assemblea General de Nacions Unides, per la qual s'aprova </w:t>
      </w:r>
      <w:hyperlink r:id="rId192" w:history="1">
        <w:r w:rsidRPr="00DB0C0E">
          <w:rPr>
            <w:rStyle w:val="Hipervnculo"/>
            <w:rFonts w:ascii="Arial" w:hAnsi="Arial"/>
            <w:sz w:val="21"/>
          </w:rPr>
          <w:t>la Convenció de les Nacions Unides contra la corrupció</w:t>
        </w:r>
      </w:hyperlink>
      <w:r w:rsidRPr="00DB0C0E">
        <w:rPr>
          <w:rFonts w:ascii="Arial" w:hAnsi="Arial"/>
          <w:sz w:val="21"/>
        </w:rPr>
        <w:t xml:space="preserve">, feta a Nova York el 31 d'octubre de 2003, l'entrada en vigor del qual  a Espanya es va produir mitjançant instrument de ratificació publicat en el Boletín Oficial del Estado núm. 171 de 19 de juliol de 2006. Aquesta Convenció forma part, per tant, de l'ordenament jurídic intern conforme al qual es preveu en l'article 96 de la </w:t>
      </w:r>
      <w:hyperlink r:id="rId193" w:history="1">
        <w:r w:rsidRPr="00DB0C0E">
          <w:rPr>
            <w:rStyle w:val="Hipervnculo"/>
            <w:rFonts w:ascii="Arial" w:hAnsi="Arial"/>
            <w:sz w:val="21"/>
          </w:rPr>
          <w:t>Constitució Espanyola</w:t>
        </w:r>
      </w:hyperlink>
      <w:r w:rsidRPr="00DB0C0E">
        <w:rPr>
          <w:rFonts w:ascii="Arial" w:hAnsi="Arial"/>
          <w:sz w:val="21"/>
        </w:rPr>
        <w:t xml:space="preserve"> i obliga a tots els poders públics.</w:t>
      </w:r>
    </w:p>
    <w:p w14:paraId="616B85DF" w14:textId="77777777" w:rsidR="00DB0C0E" w:rsidRPr="00DB0C0E" w:rsidRDefault="00DB0C0E" w:rsidP="009B36F6">
      <w:pPr>
        <w:spacing w:after="120" w:line="276" w:lineRule="auto"/>
        <w:jc w:val="both"/>
        <w:rPr>
          <w:rFonts w:ascii="Arial" w:hAnsi="Arial"/>
          <w:sz w:val="21"/>
        </w:rPr>
      </w:pPr>
      <w:r w:rsidRPr="00DB0C0E">
        <w:rPr>
          <w:rFonts w:ascii="Arial" w:hAnsi="Arial"/>
          <w:sz w:val="21"/>
        </w:rPr>
        <w:t>La Convenció de les Nacions Unides contra la corrupció estableix, entre altres, les següents exigències als Estats Part:</w:t>
      </w:r>
    </w:p>
    <w:p w14:paraId="77FA80F4" w14:textId="77777777" w:rsidR="00DB0C0E" w:rsidRPr="00DB0C0E" w:rsidRDefault="00DB0C0E" w:rsidP="00E0155F">
      <w:pPr>
        <w:numPr>
          <w:ilvl w:val="0"/>
          <w:numId w:val="38"/>
        </w:numPr>
        <w:spacing w:after="80" w:line="276" w:lineRule="auto"/>
        <w:ind w:left="714" w:hanging="357"/>
        <w:jc w:val="both"/>
        <w:rPr>
          <w:rFonts w:ascii="Arial" w:hAnsi="Arial"/>
          <w:sz w:val="21"/>
        </w:rPr>
      </w:pPr>
      <w:r w:rsidRPr="00DB0C0E">
        <w:rPr>
          <w:rFonts w:ascii="Arial" w:hAnsi="Arial"/>
          <w:sz w:val="21"/>
        </w:rPr>
        <w:t>Creació d'òrgans independents encarregats de previndre la corrupció, dotats dels recursos materials que siguen necessaris i de personal especialitzat i capacitats per a l'acompliment de les seues funcions (articles 6 i 36).</w:t>
      </w:r>
    </w:p>
    <w:p w14:paraId="6031F99D" w14:textId="77777777" w:rsidR="00DB0C0E" w:rsidRPr="00DB0C0E" w:rsidRDefault="00DB0C0E" w:rsidP="00E0155F">
      <w:pPr>
        <w:numPr>
          <w:ilvl w:val="0"/>
          <w:numId w:val="38"/>
        </w:numPr>
        <w:spacing w:after="80" w:line="276" w:lineRule="auto"/>
        <w:ind w:left="714" w:hanging="357"/>
        <w:jc w:val="both"/>
        <w:rPr>
          <w:rFonts w:ascii="Arial" w:hAnsi="Arial"/>
          <w:sz w:val="21"/>
        </w:rPr>
      </w:pPr>
      <w:r w:rsidRPr="00DB0C0E">
        <w:rPr>
          <w:rFonts w:ascii="Arial" w:hAnsi="Arial"/>
          <w:sz w:val="21"/>
        </w:rPr>
        <w:t>Establiment de mesures i sistemes per a facilitar que els funcionaris públics denuncien tot acte de corrupció a les autoritats competents quan tinguen coneixement d'això en l'exercici de les seues funcions (article 8.4).</w:t>
      </w:r>
    </w:p>
    <w:p w14:paraId="7841E84E" w14:textId="77777777" w:rsidR="00DB0C0E" w:rsidRPr="00DB0C0E" w:rsidRDefault="00DB0C0E" w:rsidP="00E0155F">
      <w:pPr>
        <w:numPr>
          <w:ilvl w:val="0"/>
          <w:numId w:val="38"/>
        </w:numPr>
        <w:spacing w:after="80" w:line="276" w:lineRule="auto"/>
        <w:ind w:left="714" w:hanging="357"/>
        <w:jc w:val="both"/>
        <w:rPr>
          <w:rFonts w:ascii="Arial" w:hAnsi="Arial"/>
          <w:sz w:val="21"/>
        </w:rPr>
      </w:pPr>
      <w:r w:rsidRPr="00DB0C0E">
        <w:rPr>
          <w:rFonts w:ascii="Arial" w:hAnsi="Arial"/>
          <w:sz w:val="21"/>
        </w:rPr>
        <w:t>Accés als òrgans de lluita contra la corrupció perquè el públic denuncie, fins i tot de manera anònima, incidents de corrupció (article 13.2).</w:t>
      </w:r>
    </w:p>
    <w:p w14:paraId="1379E43C" w14:textId="77777777" w:rsidR="00DB0C0E" w:rsidRPr="00DB0C0E" w:rsidRDefault="00DB0C0E" w:rsidP="00E0155F">
      <w:pPr>
        <w:numPr>
          <w:ilvl w:val="0"/>
          <w:numId w:val="38"/>
        </w:numPr>
        <w:spacing w:after="80" w:line="276" w:lineRule="auto"/>
        <w:ind w:left="714" w:hanging="357"/>
        <w:jc w:val="both"/>
        <w:rPr>
          <w:rFonts w:ascii="Arial" w:hAnsi="Arial"/>
          <w:sz w:val="21"/>
        </w:rPr>
      </w:pPr>
      <w:r w:rsidRPr="00DB0C0E">
        <w:rPr>
          <w:rFonts w:ascii="Arial" w:hAnsi="Arial"/>
          <w:sz w:val="21"/>
        </w:rPr>
        <w:t>Adopció de les mesures necessàries per a protegir de manera eficaç contra actes de represàlia o intimidació als testimonis i perits que presten testimoniatge sobre delictes tipificats conformement a la Convenció (article 32).</w:t>
      </w:r>
    </w:p>
    <w:p w14:paraId="46359ADA" w14:textId="77777777" w:rsidR="00DB0C0E" w:rsidRPr="00DB0C0E" w:rsidRDefault="00DB0C0E" w:rsidP="00E0155F">
      <w:pPr>
        <w:numPr>
          <w:ilvl w:val="0"/>
          <w:numId w:val="38"/>
        </w:numPr>
        <w:spacing w:after="80" w:line="276" w:lineRule="auto"/>
        <w:ind w:left="714" w:hanging="357"/>
        <w:jc w:val="both"/>
        <w:rPr>
          <w:rFonts w:ascii="Arial" w:hAnsi="Arial"/>
          <w:sz w:val="21"/>
        </w:rPr>
      </w:pPr>
      <w:r w:rsidRPr="00DB0C0E">
        <w:rPr>
          <w:rFonts w:ascii="Arial" w:hAnsi="Arial"/>
          <w:sz w:val="21"/>
        </w:rPr>
        <w:t>Protecció contra tot tracte injustificat a les persones que denuncien davant les autoritats competents, de bona fe i amb motius raonables (articles 33).</w:t>
      </w:r>
    </w:p>
    <w:p w14:paraId="11827ADC" w14:textId="77777777" w:rsidR="00DB0C0E" w:rsidRPr="00DB0C0E" w:rsidRDefault="00DB0C0E" w:rsidP="00E0155F">
      <w:pPr>
        <w:numPr>
          <w:ilvl w:val="0"/>
          <w:numId w:val="38"/>
        </w:numPr>
        <w:spacing w:after="240" w:line="276" w:lineRule="auto"/>
        <w:jc w:val="both"/>
        <w:rPr>
          <w:rFonts w:ascii="Arial" w:hAnsi="Arial"/>
          <w:sz w:val="21"/>
        </w:rPr>
      </w:pPr>
      <w:r w:rsidRPr="00DB0C0E">
        <w:rPr>
          <w:rFonts w:ascii="Arial" w:hAnsi="Arial"/>
          <w:sz w:val="21"/>
        </w:rPr>
        <w:t>Foment de la cooperació entre els organismes públics, els funcionaris públics i els organismes encarregats d'investigar i enjudiciar delictes (article 38).</w:t>
      </w:r>
    </w:p>
    <w:p w14:paraId="5BE3C05D" w14:textId="77777777" w:rsidR="00DB0C0E" w:rsidRPr="00DB0C0E" w:rsidRDefault="00DB0C0E" w:rsidP="009B36F6">
      <w:pPr>
        <w:spacing w:after="120" w:line="276" w:lineRule="auto"/>
        <w:jc w:val="both"/>
        <w:rPr>
          <w:rFonts w:ascii="Arial" w:hAnsi="Arial"/>
          <w:sz w:val="21"/>
        </w:rPr>
      </w:pPr>
      <w:r w:rsidRPr="00DB0C0E">
        <w:rPr>
          <w:rFonts w:ascii="Arial" w:hAnsi="Arial"/>
          <w:sz w:val="21"/>
        </w:rPr>
        <w:t xml:space="preserve">Per part seua, </w:t>
      </w:r>
      <w:r w:rsidRPr="00DB0C0E">
        <w:rPr>
          <w:rFonts w:ascii="Arial" w:hAnsi="Arial"/>
          <w:b/>
          <w:bCs/>
          <w:sz w:val="21"/>
        </w:rPr>
        <w:t>en l'àmbit de la Unió Europea i del Consell d'Europa</w:t>
      </w:r>
      <w:r w:rsidRPr="00DB0C0E">
        <w:rPr>
          <w:rFonts w:ascii="Arial" w:hAnsi="Arial"/>
          <w:sz w:val="21"/>
        </w:rPr>
        <w:t>, són normes i instruments que serveixen de guia de les actuacions d'aquesta Agència els següents:</w:t>
      </w:r>
    </w:p>
    <w:p w14:paraId="796703DC" w14:textId="77777777" w:rsidR="00DB0C0E" w:rsidRPr="00DB0C0E" w:rsidRDefault="00DB0C0E" w:rsidP="00E0155F">
      <w:pPr>
        <w:numPr>
          <w:ilvl w:val="0"/>
          <w:numId w:val="39"/>
        </w:numPr>
        <w:spacing w:after="80" w:line="276" w:lineRule="auto"/>
        <w:ind w:left="714" w:hanging="357"/>
        <w:jc w:val="both"/>
        <w:rPr>
          <w:rFonts w:ascii="Arial" w:hAnsi="Arial"/>
          <w:sz w:val="21"/>
        </w:rPr>
      </w:pPr>
      <w:r w:rsidRPr="00DB0C0E">
        <w:rPr>
          <w:rFonts w:ascii="Arial" w:hAnsi="Arial"/>
          <w:sz w:val="21"/>
        </w:rPr>
        <w:t xml:space="preserve">Article 325 del </w:t>
      </w:r>
      <w:hyperlink r:id="rId194" w:history="1">
        <w:r w:rsidRPr="00DB0C0E">
          <w:rPr>
            <w:rStyle w:val="Hipervnculo"/>
            <w:rFonts w:ascii="Arial" w:hAnsi="Arial"/>
            <w:sz w:val="21"/>
          </w:rPr>
          <w:t>Tractat de Funcionament de la Unió Europea</w:t>
        </w:r>
      </w:hyperlink>
      <w:r w:rsidRPr="00DB0C0E">
        <w:rPr>
          <w:rFonts w:ascii="Arial" w:hAnsi="Arial"/>
          <w:sz w:val="21"/>
        </w:rPr>
        <w:t>, que imposa a la Comissió i als Estats membres l'obligació de combatre el frau i qualssevol activitats il·legals que perjudiquen els seus interessos financers, amb efecte dissuasiu i capacitat per a prestar una protecció eficaç.</w:t>
      </w:r>
    </w:p>
    <w:p w14:paraId="000C1892" w14:textId="38B4583D" w:rsidR="00DB0C0E" w:rsidRPr="00DB0C0E" w:rsidRDefault="00254AEC" w:rsidP="00E0155F">
      <w:pPr>
        <w:numPr>
          <w:ilvl w:val="0"/>
          <w:numId w:val="39"/>
        </w:numPr>
        <w:spacing w:after="80" w:line="276" w:lineRule="auto"/>
        <w:ind w:left="714" w:hanging="357"/>
        <w:jc w:val="both"/>
        <w:rPr>
          <w:rFonts w:ascii="Arial" w:hAnsi="Arial"/>
          <w:sz w:val="21"/>
        </w:rPr>
      </w:pPr>
      <w:hyperlink r:id="rId195" w:history="1">
        <w:r w:rsidR="00DB0C0E" w:rsidRPr="00DB0C0E">
          <w:rPr>
            <w:rStyle w:val="Hipervnculo"/>
            <w:rFonts w:ascii="Arial" w:hAnsi="Arial"/>
            <w:sz w:val="21"/>
          </w:rPr>
          <w:t xml:space="preserve">Resolució </w:t>
        </w:r>
        <w:r w:rsidR="00951EAD">
          <w:rPr>
            <w:rStyle w:val="Hipervnculo"/>
            <w:rFonts w:ascii="Arial" w:hAnsi="Arial"/>
            <w:sz w:val="21"/>
          </w:rPr>
          <w:t xml:space="preserve">núm. </w:t>
        </w:r>
        <w:r w:rsidR="00DB0C0E" w:rsidRPr="00DB0C0E">
          <w:rPr>
            <w:rStyle w:val="Hipervnculo"/>
            <w:rFonts w:ascii="Arial" w:hAnsi="Arial"/>
            <w:sz w:val="21"/>
          </w:rPr>
          <w:t>24/97 del Consell d'Europa sobre els vint principis rectors de la lluita contra la corrupció</w:t>
        </w:r>
      </w:hyperlink>
      <w:r w:rsidR="00DB0C0E" w:rsidRPr="00DB0C0E">
        <w:rPr>
          <w:rFonts w:ascii="Arial" w:hAnsi="Arial"/>
          <w:sz w:val="21"/>
          <w:u w:val="single"/>
        </w:rPr>
        <w:t>.</w:t>
      </w:r>
    </w:p>
    <w:p w14:paraId="6B174013" w14:textId="77777777" w:rsidR="00DB0C0E" w:rsidRPr="00DB0C0E" w:rsidRDefault="00254AEC" w:rsidP="00E0155F">
      <w:pPr>
        <w:numPr>
          <w:ilvl w:val="0"/>
          <w:numId w:val="39"/>
        </w:numPr>
        <w:spacing w:after="80" w:line="276" w:lineRule="auto"/>
        <w:ind w:left="714" w:hanging="357"/>
        <w:jc w:val="both"/>
        <w:rPr>
          <w:rFonts w:ascii="Arial" w:hAnsi="Arial"/>
          <w:sz w:val="21"/>
        </w:rPr>
      </w:pPr>
      <w:hyperlink r:id="rId196" w:history="1">
        <w:r w:rsidR="00DB0C0E" w:rsidRPr="00DB0C0E">
          <w:rPr>
            <w:rStyle w:val="Hipervnculo"/>
            <w:rFonts w:ascii="Arial" w:hAnsi="Arial"/>
            <w:sz w:val="21"/>
          </w:rPr>
          <w:t>Decisió 1999/352/CE, per la qual es crea l'Oficina Europea de Lluita contra el Frau</w:t>
        </w:r>
      </w:hyperlink>
      <w:r w:rsidR="00DB0C0E" w:rsidRPr="00DB0C0E">
        <w:rPr>
          <w:rFonts w:ascii="Arial" w:hAnsi="Arial"/>
          <w:sz w:val="21"/>
        </w:rPr>
        <w:t xml:space="preserve"> (OLAF).</w:t>
      </w:r>
    </w:p>
    <w:p w14:paraId="76020B17" w14:textId="77777777" w:rsidR="00DB0C0E" w:rsidRPr="00DB0C0E" w:rsidRDefault="00254AEC" w:rsidP="00E0155F">
      <w:pPr>
        <w:numPr>
          <w:ilvl w:val="0"/>
          <w:numId w:val="39"/>
        </w:numPr>
        <w:spacing w:after="80" w:line="276" w:lineRule="auto"/>
        <w:ind w:left="714" w:hanging="357"/>
        <w:jc w:val="both"/>
        <w:rPr>
          <w:rFonts w:ascii="Arial" w:hAnsi="Arial"/>
          <w:sz w:val="21"/>
        </w:rPr>
      </w:pPr>
      <w:hyperlink r:id="rId197" w:history="1">
        <w:r w:rsidR="00DB0C0E" w:rsidRPr="00DB0C0E">
          <w:rPr>
            <w:rStyle w:val="Hipervnculo"/>
            <w:rFonts w:ascii="Arial" w:hAnsi="Arial"/>
            <w:sz w:val="21"/>
          </w:rPr>
          <w:t>Conveni Civil sobre la Corrupció del Consell d'Europa de 4 de novembre de 1999</w:t>
        </w:r>
      </w:hyperlink>
      <w:r w:rsidR="00DB0C0E" w:rsidRPr="00DB0C0E">
        <w:rPr>
          <w:rFonts w:ascii="Arial" w:hAnsi="Arial"/>
          <w:sz w:val="21"/>
          <w:u w:val="single"/>
        </w:rPr>
        <w:t>.</w:t>
      </w:r>
    </w:p>
    <w:p w14:paraId="47707873" w14:textId="77777777" w:rsidR="00DB0C0E" w:rsidRPr="00DB0C0E" w:rsidRDefault="00254AEC" w:rsidP="00E0155F">
      <w:pPr>
        <w:numPr>
          <w:ilvl w:val="0"/>
          <w:numId w:val="39"/>
        </w:numPr>
        <w:spacing w:after="80" w:line="276" w:lineRule="auto"/>
        <w:ind w:left="714" w:hanging="357"/>
        <w:jc w:val="both"/>
        <w:rPr>
          <w:rFonts w:ascii="Arial" w:hAnsi="Arial"/>
          <w:sz w:val="21"/>
        </w:rPr>
      </w:pPr>
      <w:hyperlink r:id="rId198" w:history="1">
        <w:r w:rsidR="00DB0C0E" w:rsidRPr="00DB0C0E">
          <w:rPr>
            <w:rStyle w:val="Hipervnculo"/>
            <w:rFonts w:ascii="Arial" w:hAnsi="Arial"/>
            <w:sz w:val="21"/>
          </w:rPr>
          <w:t>Recomanació R (2000) 10, del Comité de ministres dels Estats membres sobre codis de conducta per als funcionaris públics, adoptada l'11 de maig de 2000</w:t>
        </w:r>
      </w:hyperlink>
      <w:r w:rsidR="00DB0C0E" w:rsidRPr="00DB0C0E">
        <w:rPr>
          <w:rFonts w:ascii="Arial" w:hAnsi="Arial"/>
          <w:sz w:val="21"/>
        </w:rPr>
        <w:t xml:space="preserve">. </w:t>
      </w:r>
    </w:p>
    <w:p w14:paraId="40C9C0CC" w14:textId="77777777" w:rsidR="00DB0C0E" w:rsidRPr="00DB0C0E" w:rsidRDefault="00254AEC" w:rsidP="00E0155F">
      <w:pPr>
        <w:numPr>
          <w:ilvl w:val="0"/>
          <w:numId w:val="39"/>
        </w:numPr>
        <w:spacing w:after="80" w:line="276" w:lineRule="auto"/>
        <w:ind w:left="714" w:hanging="357"/>
        <w:jc w:val="both"/>
        <w:rPr>
          <w:rFonts w:ascii="Arial" w:hAnsi="Arial"/>
          <w:sz w:val="21"/>
        </w:rPr>
      </w:pPr>
      <w:hyperlink r:id="rId199" w:history="1">
        <w:r w:rsidR="00DB0C0E" w:rsidRPr="00DB0C0E">
          <w:rPr>
            <w:rStyle w:val="Hipervnculo"/>
            <w:rFonts w:ascii="Arial" w:hAnsi="Arial"/>
            <w:sz w:val="21"/>
          </w:rPr>
          <w:t>Conveni de Lluita contra la Corrupció d'Agents Públics Estrangers en les Transaccions Comercials Internacionals</w:t>
        </w:r>
      </w:hyperlink>
      <w:r w:rsidR="00DB0C0E" w:rsidRPr="00DB0C0E">
        <w:rPr>
          <w:rFonts w:ascii="Arial" w:hAnsi="Arial"/>
          <w:sz w:val="21"/>
        </w:rPr>
        <w:t xml:space="preserve"> (BOE núm.46, de 22 de febrer de 2002).</w:t>
      </w:r>
    </w:p>
    <w:p w14:paraId="16F636F7" w14:textId="77777777" w:rsidR="00DB0C0E" w:rsidRPr="00DB0C0E" w:rsidRDefault="00254AEC" w:rsidP="00E0155F">
      <w:pPr>
        <w:numPr>
          <w:ilvl w:val="0"/>
          <w:numId w:val="39"/>
        </w:numPr>
        <w:spacing w:after="80" w:line="276" w:lineRule="auto"/>
        <w:ind w:left="714" w:hanging="357"/>
        <w:jc w:val="both"/>
        <w:rPr>
          <w:rFonts w:ascii="Arial" w:hAnsi="Arial"/>
          <w:sz w:val="21"/>
        </w:rPr>
      </w:pPr>
      <w:hyperlink r:id="rId200" w:history="1">
        <w:r w:rsidR="00DB0C0E" w:rsidRPr="00DB0C0E">
          <w:rPr>
            <w:rStyle w:val="Hipervnculo"/>
            <w:rFonts w:ascii="Arial" w:hAnsi="Arial"/>
            <w:sz w:val="21"/>
          </w:rPr>
          <w:t>Recomanació R (2003) 4, del Comité de ministres dels Estats membres relativa a les regles comunes contra la corrupció en el finançament de partits polítics i campanyes electorals, adoptada el 8 d'abril de 2003.</w:t>
        </w:r>
      </w:hyperlink>
    </w:p>
    <w:p w14:paraId="7EA767EF" w14:textId="77777777" w:rsidR="00DB0C0E" w:rsidRPr="00DB0C0E" w:rsidRDefault="00254AEC" w:rsidP="00E0155F">
      <w:pPr>
        <w:numPr>
          <w:ilvl w:val="0"/>
          <w:numId w:val="39"/>
        </w:numPr>
        <w:spacing w:after="80" w:line="276" w:lineRule="auto"/>
        <w:ind w:left="714" w:hanging="357"/>
        <w:jc w:val="both"/>
        <w:rPr>
          <w:rFonts w:ascii="Arial" w:hAnsi="Arial"/>
          <w:sz w:val="21"/>
        </w:rPr>
      </w:pPr>
      <w:hyperlink r:id="rId201" w:history="1">
        <w:r w:rsidR="00DB0C0E" w:rsidRPr="00DB0C0E">
          <w:rPr>
            <w:rStyle w:val="Hipervnculo"/>
            <w:rFonts w:ascii="Arial" w:hAnsi="Arial"/>
            <w:sz w:val="21"/>
          </w:rPr>
          <w:t>Conveni Penal sobre la Corrupció</w:t>
        </w:r>
      </w:hyperlink>
      <w:r w:rsidR="00DB0C0E" w:rsidRPr="00DB0C0E">
        <w:rPr>
          <w:rFonts w:ascii="Arial" w:hAnsi="Arial"/>
          <w:sz w:val="21"/>
        </w:rPr>
        <w:t xml:space="preserve"> (BOE núm.182, de 28 de juliol de 2010).</w:t>
      </w:r>
    </w:p>
    <w:p w14:paraId="774B4397" w14:textId="77777777" w:rsidR="00DB0C0E" w:rsidRPr="00DB0C0E" w:rsidRDefault="00254AEC" w:rsidP="00E0155F">
      <w:pPr>
        <w:numPr>
          <w:ilvl w:val="0"/>
          <w:numId w:val="39"/>
        </w:numPr>
        <w:spacing w:after="240" w:line="276" w:lineRule="auto"/>
        <w:jc w:val="both"/>
        <w:rPr>
          <w:rFonts w:ascii="Arial" w:hAnsi="Arial"/>
          <w:sz w:val="21"/>
        </w:rPr>
      </w:pPr>
      <w:hyperlink r:id="rId202" w:history="1">
        <w:r w:rsidR="00DB0C0E" w:rsidRPr="00DB0C0E">
          <w:rPr>
            <w:rStyle w:val="Hipervnculo"/>
            <w:rFonts w:ascii="Arial" w:hAnsi="Arial"/>
            <w:sz w:val="21"/>
          </w:rPr>
          <w:t>Conveni Civil sobre la Corrupció</w:t>
        </w:r>
      </w:hyperlink>
      <w:r w:rsidR="00DB0C0E" w:rsidRPr="00DB0C0E">
        <w:rPr>
          <w:rFonts w:ascii="Arial" w:hAnsi="Arial"/>
          <w:sz w:val="21"/>
        </w:rPr>
        <w:t xml:space="preserve"> (BOE núm.78, de 31 de 2010).</w:t>
      </w:r>
    </w:p>
    <w:p w14:paraId="7938A066" w14:textId="77777777"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Esment a part mereix la </w:t>
      </w:r>
      <w:hyperlink r:id="rId203" w:history="1">
        <w:r w:rsidR="00254AEC">
          <w:rPr>
            <w:rStyle w:val="Hipervnculo"/>
          </w:rPr>
          <w:t>https://www.boe.es/doue/2019/305/L00017-00056.pdf</w:t>
        </w:r>
      </w:hyperlink>
      <w:hyperlink r:id="rId204" w:history="1">
        <w:r w:rsidRPr="00DB0C0E">
          <w:rPr>
            <w:rStyle w:val="Hipervnculo"/>
            <w:rFonts w:ascii="Arial" w:hAnsi="Arial"/>
            <w:sz w:val="21"/>
          </w:rPr>
          <w:t>Directiva</w:t>
        </w:r>
      </w:hyperlink>
      <w:hyperlink r:id="rId205" w:history="1">
        <w:r w:rsidRPr="00DB0C0E">
          <w:rPr>
            <w:rStyle w:val="Hipervnculo"/>
            <w:rFonts w:ascii="Arial" w:hAnsi="Arial"/>
            <w:sz w:val="21"/>
          </w:rPr>
          <w:t xml:space="preserve"> (UE) 2019/1937 </w:t>
        </w:r>
      </w:hyperlink>
      <w:hyperlink r:id="rId206" w:history="1">
        <w:r w:rsidRPr="00DB0C0E">
          <w:rPr>
            <w:rStyle w:val="Hipervnculo"/>
            <w:rFonts w:ascii="Arial" w:hAnsi="Arial"/>
            <w:sz w:val="21"/>
          </w:rPr>
          <w:t xml:space="preserve">del Parlament Europeu i del Consell </w:t>
        </w:r>
      </w:hyperlink>
      <w:hyperlink r:id="rId207" w:history="1">
        <w:r w:rsidRPr="00DB0C0E">
          <w:rPr>
            <w:rStyle w:val="Hipervnculo"/>
            <w:rFonts w:ascii="Arial" w:hAnsi="Arial"/>
            <w:sz w:val="21"/>
          </w:rPr>
          <w:t>de 23 d'octubre de 2019 relativa a la protecció de les persones que informen sobre infraccions del Dret de la Unió.</w:t>
        </w:r>
      </w:hyperlink>
      <w:r w:rsidRPr="00DB0C0E">
        <w:rPr>
          <w:rFonts w:ascii="Arial" w:hAnsi="Arial"/>
          <w:sz w:val="21"/>
        </w:rPr>
        <w:t xml:space="preserve"> L'apartat 3.2.3. d'aquesta Memòria es dedica íntegrament a aquesta important i transcendent norma europea, el període de transposició de la qual a Espanya va véncer el passat 17 de desembre de 2021, de manera que les obligacions derivades de la mateixa produeixen en el nostre territori, des d'aquella data, d'acord amb la jurisprudència del Tribunal de Justícia Europeu, efectes directes i vinculen a tots els poders públics.</w:t>
      </w:r>
    </w:p>
    <w:p w14:paraId="020283BA" w14:textId="5CA4C7C7" w:rsidR="00DB0C0E" w:rsidRPr="00DB0C0E" w:rsidRDefault="00DB0C0E" w:rsidP="00DB0C0E">
      <w:pPr>
        <w:spacing w:after="240" w:line="276" w:lineRule="auto"/>
        <w:jc w:val="both"/>
        <w:rPr>
          <w:rFonts w:ascii="Arial" w:hAnsi="Arial"/>
          <w:sz w:val="21"/>
        </w:rPr>
      </w:pPr>
      <w:r w:rsidRPr="00DB0C0E">
        <w:rPr>
          <w:rFonts w:ascii="Arial" w:hAnsi="Arial"/>
          <w:b/>
          <w:bCs/>
          <w:sz w:val="21"/>
        </w:rPr>
        <w:t>Quant a la normativa pròpia de l'Agència</w:t>
      </w:r>
      <w:r w:rsidRPr="00DB0C0E">
        <w:rPr>
          <w:rFonts w:ascii="Arial" w:hAnsi="Arial"/>
          <w:sz w:val="21"/>
        </w:rPr>
        <w:t xml:space="preserve">, en primer lloc, hem de referir-nos, a la seua Llei fundacional, </w:t>
      </w:r>
      <w:hyperlink r:id="rId208" w:history="1">
        <w:r w:rsidRPr="00DB0C0E">
          <w:rPr>
            <w:rStyle w:val="Hipervnculo"/>
            <w:rFonts w:ascii="Arial" w:hAnsi="Arial"/>
            <w:sz w:val="21"/>
          </w:rPr>
          <w:t>Llei 11/2016, de 28 de novembre, de la Generalitat,</w:t>
        </w:r>
      </w:hyperlink>
      <w:r w:rsidRPr="00DB0C0E">
        <w:rPr>
          <w:rFonts w:ascii="Arial" w:hAnsi="Arial"/>
          <w:sz w:val="21"/>
          <w:u w:val="single"/>
        </w:rPr>
        <w:t xml:space="preserve"> </w:t>
      </w:r>
      <w:r w:rsidRPr="00DB0C0E">
        <w:rPr>
          <w:rFonts w:ascii="Arial" w:hAnsi="Arial"/>
          <w:sz w:val="21"/>
        </w:rPr>
        <w:t>mitjançant la qual es crea l'Agència com un organisme especialitzat dins del territori valencià, amb la missió i funcions de previndre i erradicar el frau i la corrupció de les institucions públiques valencianes i per a l'impuls de la integritat i l'ètica pública, a més del foment d'una cultura de bones pràctiques i de rebuig del frau i la corrupció en el disseny, l'execució i l'avaluació de polítiques públiques i en la gestió de recursos públics.</w:t>
      </w:r>
    </w:p>
    <w:p w14:paraId="28F20FAF" w14:textId="77777777"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Després de la seua posada en marxa, l'Agència va aprovar la </w:t>
      </w:r>
      <w:hyperlink r:id="rId209" w:history="1">
        <w:r w:rsidRPr="00DB0C0E">
          <w:rPr>
            <w:rStyle w:val="Hipervnculo"/>
            <w:rFonts w:ascii="Arial" w:hAnsi="Arial"/>
            <w:sz w:val="21"/>
          </w:rPr>
          <w:t>Resolució de 25 d'abril de 2018, per la qual es crea la Bústia de denúncies i es regula el seu funcionament</w:t>
        </w:r>
      </w:hyperlink>
      <w:r w:rsidRPr="00DB0C0E">
        <w:rPr>
          <w:rFonts w:ascii="Arial" w:hAnsi="Arial"/>
          <w:sz w:val="21"/>
        </w:rPr>
        <w:t>, amb la finalitat de garantir l'existència d'un canal segur i accessible per a la recepció de denúncies i dur a terme amb plenes garanties i confidencialitat els seus fins específics.</w:t>
      </w:r>
    </w:p>
    <w:p w14:paraId="4EDFFD99" w14:textId="10E3B4B2"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Més tard, segons s'intensifica la seua activitat i en llaures a millorar la seua organització interna s'aprova la </w:t>
      </w:r>
      <w:hyperlink r:id="rId210" w:anchor="boc/iniciativa/clau/189589285650202" w:history="1">
        <w:r w:rsidRPr="00410512">
          <w:rPr>
            <w:rStyle w:val="Hipervnculo"/>
            <w:rFonts w:ascii="Arial" w:hAnsi="Arial"/>
            <w:sz w:val="21"/>
          </w:rPr>
          <w:t>Resolució de 7 de gener de 2019, per la qual es crea el Consell de Direcció de l'Agència de Prevenció i Lluita contra el Frau i la Corrupció de la Comunitat Valenciana</w:t>
        </w:r>
      </w:hyperlink>
      <w:r w:rsidRPr="00DB0C0E">
        <w:rPr>
          <w:rFonts w:ascii="Arial" w:hAnsi="Arial"/>
          <w:sz w:val="21"/>
          <w:u w:val="single"/>
        </w:rPr>
        <w:t>.</w:t>
      </w:r>
      <w:r w:rsidRPr="00DB0C0E">
        <w:rPr>
          <w:rFonts w:ascii="Arial" w:hAnsi="Arial"/>
          <w:sz w:val="21"/>
        </w:rPr>
        <w:t xml:space="preserve"> Aquest Consell de Direcció es constitueix com a òrgan col·legiat d'assessorament i assistència al director de l'Agència per a la deliberació, proposta i coordinació de les funcions i actuacions pròpies d'aquesta.</w:t>
      </w:r>
    </w:p>
    <w:p w14:paraId="53EE40AF" w14:textId="1BCA4213" w:rsidR="00DB0C0E" w:rsidRPr="00DB0C0E" w:rsidRDefault="00DB0C0E" w:rsidP="00DB0C0E">
      <w:pPr>
        <w:spacing w:after="240" w:line="276" w:lineRule="auto"/>
        <w:jc w:val="both"/>
        <w:rPr>
          <w:rFonts w:ascii="Arial" w:hAnsi="Arial"/>
          <w:sz w:val="21"/>
          <w:u w:val="single"/>
        </w:rPr>
      </w:pPr>
      <w:r w:rsidRPr="00DB0C0E">
        <w:rPr>
          <w:rFonts w:ascii="Arial" w:hAnsi="Arial"/>
          <w:sz w:val="21"/>
        </w:rPr>
        <w:t xml:space="preserve">Així mateix, en compliment del que es preveu en l'apartat segon de la disposició transitòria primera de la Llei 11/2016, de 28 de novembre, de la Generalitat, i com a desenvolupament reglamentari de la mateixa s'aprova el </w:t>
      </w:r>
      <w:hyperlink r:id="rId211" w:history="1">
        <w:r w:rsidRPr="00DB0C0E">
          <w:rPr>
            <w:rStyle w:val="Hipervnculo"/>
            <w:rFonts w:ascii="Arial" w:hAnsi="Arial"/>
            <w:sz w:val="21"/>
          </w:rPr>
          <w:t>Reglament de funcionament i règim interior de 27 de juny de 2019 de l'Agència (DOGV núm. 8582, de 2. 07.2019)</w:t>
        </w:r>
      </w:hyperlink>
      <w:r w:rsidRPr="00DB0C0E">
        <w:rPr>
          <w:rFonts w:ascii="Arial" w:hAnsi="Arial"/>
          <w:sz w:val="21"/>
          <w:u w:val="single"/>
        </w:rPr>
        <w:t>.</w:t>
      </w:r>
    </w:p>
    <w:p w14:paraId="50FAEBF9" w14:textId="27C87719"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També, en compliment de l'article 25 de la citada Llei 11/2016, </w:t>
      </w:r>
      <w:bookmarkStart w:id="86" w:name="_Hlk95296232"/>
      <w:r w:rsidRPr="00DB0C0E">
        <w:rPr>
          <w:rFonts w:ascii="Arial" w:hAnsi="Arial"/>
          <w:sz w:val="21"/>
        </w:rPr>
        <w:t xml:space="preserve">mitjançant </w:t>
      </w:r>
      <w:hyperlink r:id="rId212" w:history="1">
        <w:r w:rsidRPr="001C787F">
          <w:rPr>
            <w:rStyle w:val="Hipervnculo"/>
            <w:rFonts w:ascii="Arial" w:hAnsi="Arial"/>
            <w:sz w:val="21"/>
          </w:rPr>
          <w:t>Resolució de 12 de febrer de 2019 es crea el Consell de Participació de l'Agència i s'obri termini dirigit a les organitzacions cíviques interessades per a la presentació de candidatures (DOGV núm. 8492, de 22.02.2019)</w:t>
        </w:r>
      </w:hyperlink>
      <w:r w:rsidRPr="00DB0C0E">
        <w:rPr>
          <w:rFonts w:ascii="Arial" w:hAnsi="Arial"/>
          <w:sz w:val="21"/>
        </w:rPr>
        <w:t>,</w:t>
      </w:r>
      <w:r w:rsidRPr="00DB0C0E">
        <w:rPr>
          <w:rFonts w:ascii="Arial" w:hAnsi="Arial"/>
          <w:b/>
          <w:bCs/>
          <w:sz w:val="21"/>
        </w:rPr>
        <w:t xml:space="preserve"> </w:t>
      </w:r>
      <w:r w:rsidRPr="00DB0C0E">
        <w:rPr>
          <w:rFonts w:ascii="Arial" w:hAnsi="Arial"/>
          <w:sz w:val="21"/>
        </w:rPr>
        <w:t>i a través de la</w:t>
      </w:r>
      <w:r w:rsidRPr="00DB0C0E">
        <w:rPr>
          <w:rFonts w:ascii="Arial" w:hAnsi="Arial"/>
          <w:b/>
          <w:bCs/>
          <w:sz w:val="21"/>
        </w:rPr>
        <w:t xml:space="preserve"> </w:t>
      </w:r>
      <w:hyperlink r:id="rId213" w:history="1">
        <w:r w:rsidRPr="00DB0C0E">
          <w:rPr>
            <w:rStyle w:val="Hipervnculo"/>
            <w:rFonts w:ascii="Arial" w:hAnsi="Arial"/>
            <w:sz w:val="21"/>
          </w:rPr>
          <w:t xml:space="preserve">Resolució de 15 d'octubre de 2019 es determina la seua composició </w:t>
        </w:r>
        <w:bookmarkEnd w:id="86"/>
        <w:r w:rsidRPr="00DB0C0E">
          <w:rPr>
            <w:rStyle w:val="Hipervnculo"/>
            <w:rFonts w:ascii="Arial" w:hAnsi="Arial"/>
            <w:sz w:val="21"/>
          </w:rPr>
          <w:t>(DOGV núm. 8665, de 28.10.2019).</w:t>
        </w:r>
      </w:hyperlink>
      <w:r w:rsidRPr="00DB0C0E">
        <w:rPr>
          <w:rFonts w:ascii="Arial" w:hAnsi="Arial"/>
          <w:sz w:val="21"/>
        </w:rPr>
        <w:t xml:space="preserve"> Per mitjà d'aquest Consell de Participació, l'Agència rendeix comptes de la seua gestió a la ciutadania i impulsa la seua vinculació amb la societat civil. </w:t>
      </w:r>
    </w:p>
    <w:p w14:paraId="1B7E92B6" w14:textId="77777777" w:rsidR="00DB0C0E" w:rsidRPr="00DB0C0E" w:rsidRDefault="00DB0C0E" w:rsidP="00DB0C0E">
      <w:pPr>
        <w:spacing w:after="240" w:line="276" w:lineRule="auto"/>
        <w:jc w:val="both"/>
        <w:rPr>
          <w:rFonts w:ascii="Arial" w:hAnsi="Arial"/>
          <w:sz w:val="21"/>
        </w:rPr>
      </w:pPr>
      <w:r w:rsidRPr="00DB0C0E">
        <w:rPr>
          <w:rFonts w:ascii="Arial" w:hAnsi="Arial"/>
          <w:sz w:val="21"/>
        </w:rPr>
        <w:t>El Consell de Participació de l'Agència es troba compost per una presidència, exercida pel  director de l'Agència; una vicepresidència, triada d'entre les organitzacions cíviques de caràcter social que treballen contra el frau i la corrupció en la Comunitat Valenciana; dotze vocalies, integrades per representants de cadascuna de les organitzacions cíviques de caràcter social que treballen contra el frau i la corrupció en la Comunitat Valenciana; i quatre vocalies, que són persones que s'han destacat pel seu compromís en defensa de l'ètica, la lluita contra el frau i la corrupció, expertes i independents de reconegut prestigi i la trajectòria o l'activitat del qual, jurídica, acadèmica, social o de qualsevol altra índole, està relacionada amb les matèries i funcions de l'Agència. A més, participen en el Consell les persones titulars de la Direcció de Prevenció, Formació i Documentació, de la Direcció d'Anàlisi i Investigació i de la Prefectura de Gabinet de Relacions Institucionals, Comunicació i Participació de l'Agència, exercint la secretaria del Consell, la persona titular de la Direcció d'Assumptes Jurídics.</w:t>
      </w:r>
    </w:p>
    <w:p w14:paraId="5E762821" w14:textId="77777777"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Totes aquestes disposicions, que formen parteix del marc normatiu de la AVAF, es troben incorporades al </w:t>
      </w:r>
      <w:hyperlink r:id="rId214" w:history="1">
        <w:r w:rsidRPr="00DB0C0E">
          <w:rPr>
            <w:rStyle w:val="Hipervnculo"/>
            <w:rFonts w:ascii="Arial" w:hAnsi="Arial"/>
            <w:sz w:val="21"/>
          </w:rPr>
          <w:t>Codi de Lluita contra el Frau i la Corrupció</w:t>
        </w:r>
      </w:hyperlink>
      <w:r w:rsidRPr="00DB0C0E">
        <w:rPr>
          <w:rFonts w:ascii="Arial" w:hAnsi="Arial"/>
          <w:sz w:val="21"/>
        </w:rPr>
        <w:t>, el qual pot visualitzar-se en la pàgina web del Boletín Oficial del Estado.</w:t>
      </w:r>
    </w:p>
    <w:p w14:paraId="5631D9BC" w14:textId="77777777"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A més, resulta necessari destacar, a l'efecte de l'aplicació de la Llei 11/2016, de 28 de novembre, de la Generalitat, i del seu Reglament de funcionament i règim interior de 27 de juny de 2019, l'aprovació de la </w:t>
      </w:r>
      <w:hyperlink r:id="rId215" w:history="1">
        <w:r w:rsidRPr="00DB0C0E">
          <w:rPr>
            <w:rStyle w:val="Hipervnculo"/>
            <w:rFonts w:ascii="Arial" w:hAnsi="Arial"/>
            <w:sz w:val="21"/>
          </w:rPr>
          <w:t>Resolució de 5 d'octubre de 2020, per la qual es concreta l'àmbit d'actuació material de l’AVAF</w:t>
        </w:r>
      </w:hyperlink>
      <w:r w:rsidRPr="00DB0C0E">
        <w:rPr>
          <w:rFonts w:ascii="Arial" w:hAnsi="Arial"/>
          <w:sz w:val="21"/>
        </w:rPr>
        <w:t>, en la qual es delimiten els conceptes de corrupció, frau, irregularitats administratives i comportaments constitutius d'infracció administrativa o disciplinària, així com conductes i activitats reprotxables, tots ells fets i conductes en els quals l’AVAF intervé des de les seues diferents Direccions funcionals.</w:t>
      </w:r>
    </w:p>
    <w:p w14:paraId="71ED971B" w14:textId="3F824C7F" w:rsidR="00DB0C0E" w:rsidRPr="00DB0C0E" w:rsidRDefault="00DB0C0E" w:rsidP="00DB0C0E">
      <w:pPr>
        <w:spacing w:after="120" w:line="276" w:lineRule="auto"/>
        <w:jc w:val="both"/>
        <w:rPr>
          <w:rFonts w:ascii="Arial" w:hAnsi="Arial"/>
          <w:sz w:val="21"/>
        </w:rPr>
      </w:pPr>
      <w:r w:rsidRPr="00DB0C0E">
        <w:rPr>
          <w:rFonts w:ascii="Arial" w:hAnsi="Arial"/>
          <w:sz w:val="21"/>
        </w:rPr>
        <w:t xml:space="preserve">Finalment, convé esmentar que el Ple de les Corts Valencianes en la sessió de 27 de maig de 2021 va aprovar la </w:t>
      </w:r>
      <w:hyperlink r:id="rId216" w:history="1">
        <w:r w:rsidRPr="00DB0C0E">
          <w:rPr>
            <w:rStyle w:val="Hipervnculo"/>
            <w:rFonts w:ascii="Arial" w:hAnsi="Arial"/>
            <w:sz w:val="21"/>
          </w:rPr>
          <w:t xml:space="preserve">Resolució </w:t>
        </w:r>
        <w:r w:rsidR="00951EAD">
          <w:rPr>
            <w:rStyle w:val="Hipervnculo"/>
            <w:rFonts w:ascii="Arial" w:hAnsi="Arial"/>
            <w:sz w:val="21"/>
          </w:rPr>
          <w:t xml:space="preserve">núm. </w:t>
        </w:r>
        <w:r w:rsidRPr="00DB0C0E">
          <w:rPr>
            <w:rStyle w:val="Hipervnculo"/>
            <w:rFonts w:ascii="Arial" w:hAnsi="Arial"/>
            <w:sz w:val="21"/>
          </w:rPr>
          <w:t>350/X, sobre suport al treball de recerca de la corrupció i prevenció del frau de l'Agència Valenciana Antifrau</w:t>
        </w:r>
      </w:hyperlink>
      <w:r w:rsidRPr="00DB0C0E">
        <w:rPr>
          <w:rFonts w:ascii="Arial" w:hAnsi="Arial"/>
          <w:sz w:val="21"/>
        </w:rPr>
        <w:t xml:space="preserve"> (BOCV núm. 170 de 2.06.2021), la part dispositiva del qual recull, de manera literal, el següent:</w:t>
      </w:r>
    </w:p>
    <w:p w14:paraId="7DB3E855" w14:textId="77777777" w:rsidR="00DB0C0E" w:rsidRPr="00CA3AC1" w:rsidRDefault="00DB0C0E" w:rsidP="00CA3AC1">
      <w:pPr>
        <w:spacing w:after="240" w:line="276" w:lineRule="auto"/>
        <w:ind w:left="567"/>
        <w:contextualSpacing/>
        <w:jc w:val="both"/>
        <w:rPr>
          <w:rFonts w:ascii="Arial" w:hAnsi="Arial"/>
          <w:sz w:val="20"/>
          <w:szCs w:val="20"/>
        </w:rPr>
      </w:pPr>
      <w:r w:rsidRPr="00CA3AC1">
        <w:rPr>
          <w:rFonts w:ascii="Arial" w:hAnsi="Arial"/>
          <w:sz w:val="20"/>
          <w:szCs w:val="20"/>
        </w:rPr>
        <w:t>“Les Corts Valencianes declaren:</w:t>
      </w:r>
    </w:p>
    <w:p w14:paraId="79E502C1" w14:textId="77777777" w:rsidR="00DB0C0E" w:rsidRPr="00CA3AC1" w:rsidRDefault="00DB0C0E" w:rsidP="00CA3AC1">
      <w:pPr>
        <w:spacing w:after="240" w:line="276" w:lineRule="auto"/>
        <w:ind w:left="567"/>
        <w:contextualSpacing/>
        <w:jc w:val="both"/>
        <w:rPr>
          <w:rFonts w:ascii="Arial" w:hAnsi="Arial"/>
          <w:sz w:val="20"/>
          <w:szCs w:val="20"/>
        </w:rPr>
      </w:pPr>
      <w:r w:rsidRPr="00CA3AC1">
        <w:rPr>
          <w:rFonts w:ascii="Arial" w:hAnsi="Arial"/>
          <w:sz w:val="20"/>
          <w:szCs w:val="20"/>
        </w:rPr>
        <w:t>1. La condemna a la corrupció i el frau en la Comunitat Valenciana.</w:t>
      </w:r>
    </w:p>
    <w:p w14:paraId="61A7AC4F" w14:textId="77777777" w:rsidR="00DB0C0E" w:rsidRPr="00CA3AC1" w:rsidRDefault="00DB0C0E" w:rsidP="00CA3AC1">
      <w:pPr>
        <w:spacing w:after="240" w:line="276" w:lineRule="auto"/>
        <w:ind w:left="567"/>
        <w:contextualSpacing/>
        <w:jc w:val="both"/>
        <w:rPr>
          <w:rFonts w:ascii="Arial" w:hAnsi="Arial"/>
          <w:sz w:val="20"/>
          <w:szCs w:val="20"/>
        </w:rPr>
      </w:pPr>
      <w:r w:rsidRPr="00CA3AC1">
        <w:rPr>
          <w:rFonts w:ascii="Arial" w:hAnsi="Arial"/>
          <w:sz w:val="20"/>
          <w:szCs w:val="20"/>
        </w:rPr>
        <w:t>2. El suport ferm al treball de recerca de l'Agència Valenciana Antifrau en la seua lluita contra el frau i la corrupció.</w:t>
      </w:r>
    </w:p>
    <w:p w14:paraId="788A38D3" w14:textId="77777777" w:rsidR="00DB0C0E" w:rsidRPr="00CA3AC1" w:rsidRDefault="00DB0C0E" w:rsidP="00CA3AC1">
      <w:pPr>
        <w:spacing w:after="240" w:line="276" w:lineRule="auto"/>
        <w:ind w:left="567"/>
        <w:contextualSpacing/>
        <w:jc w:val="both"/>
        <w:rPr>
          <w:rFonts w:ascii="Arial" w:hAnsi="Arial"/>
          <w:sz w:val="20"/>
          <w:szCs w:val="20"/>
        </w:rPr>
      </w:pPr>
      <w:r w:rsidRPr="00CA3AC1">
        <w:rPr>
          <w:rFonts w:ascii="Arial" w:hAnsi="Arial"/>
          <w:sz w:val="20"/>
          <w:szCs w:val="20"/>
        </w:rPr>
        <w:t>3. La necessitat de garantir la independència i confidencialitat del treball que duu a terme l'Agència Valenciana Antifrau, com a òrgan independent adscrit únicament a les Corts Valencianes.</w:t>
      </w:r>
    </w:p>
    <w:p w14:paraId="69B2E698" w14:textId="77777777" w:rsidR="00DB0C0E" w:rsidRPr="00DB0C0E" w:rsidRDefault="00DB0C0E" w:rsidP="00CA3AC1">
      <w:pPr>
        <w:spacing w:after="240" w:line="276" w:lineRule="auto"/>
        <w:ind w:left="567"/>
        <w:jc w:val="both"/>
        <w:rPr>
          <w:rFonts w:ascii="Arial" w:hAnsi="Arial"/>
          <w:sz w:val="21"/>
        </w:rPr>
      </w:pPr>
      <w:r w:rsidRPr="00CA3AC1">
        <w:rPr>
          <w:rFonts w:ascii="Arial" w:hAnsi="Arial"/>
          <w:sz w:val="20"/>
          <w:szCs w:val="20"/>
        </w:rPr>
        <w:t>4. El compromís de tots els grups parlamentaris a respectar aquesta confidencialitat i a permetre el treball de recerca en els expedients que requerisquen aquesta confidencialitat en la lluita contra el frau i la corrupció.”</w:t>
      </w:r>
    </w:p>
    <w:p w14:paraId="6E530B4A" w14:textId="04BD82ED"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Aquesta Resolució de les Corts es produeix després de reiterades sol·licituds d'accés a la informació sobre expedients d'investigació en tràmit obertes en l'Agència que, amb base en   </w:t>
      </w:r>
      <w:hyperlink r:id="rId217" w:history="1">
        <w:r w:rsidRPr="00DB0C0E">
          <w:rPr>
            <w:rStyle w:val="Hipervnculo"/>
            <w:rFonts w:ascii="Arial" w:hAnsi="Arial"/>
            <w:sz w:val="21"/>
          </w:rPr>
          <w:t>l'article 12 del Reglament de les Corts</w:t>
        </w:r>
      </w:hyperlink>
      <w:r w:rsidRPr="00DB0C0E">
        <w:rPr>
          <w:rFonts w:ascii="Arial" w:hAnsi="Arial"/>
          <w:sz w:val="21"/>
        </w:rPr>
        <w:t>, han anat realitzant alguns Grups Parlamentaris, i sobre les quals es va posar en relleu la seua col·lisió amb la necessària confidencialitat de les actuacions de l’AVAF, especialment, mentre no haja finalitzat la investigació.</w:t>
      </w:r>
    </w:p>
    <w:p w14:paraId="25E405E7" w14:textId="77777777" w:rsidR="00DB0C0E" w:rsidRPr="00DB0C0E" w:rsidRDefault="00DB0C0E" w:rsidP="00DB0C0E">
      <w:pPr>
        <w:spacing w:after="240" w:line="276" w:lineRule="auto"/>
        <w:jc w:val="both"/>
        <w:rPr>
          <w:rFonts w:ascii="Arial" w:hAnsi="Arial"/>
          <w:b/>
          <w:bCs/>
          <w:sz w:val="21"/>
        </w:rPr>
      </w:pPr>
      <w:r w:rsidRPr="00DB0C0E">
        <w:rPr>
          <w:rFonts w:ascii="Arial" w:hAnsi="Arial"/>
          <w:sz w:val="21"/>
        </w:rPr>
        <w:t>Sobre aquest tema, l'Agència ha defensat que el propi Reglament de les Corts reconeix l'existència de raons jurídiques, per tal ha d'entendre's el terme “fundades en dret”, en el mateix article 12, que impedeixen facilitar la documentació sol·licitada pels parlamentaris i parlamentàries.</w:t>
      </w:r>
      <w:r w:rsidRPr="00DB0C0E">
        <w:rPr>
          <w:rFonts w:ascii="Arial" w:hAnsi="Arial"/>
          <w:b/>
          <w:bCs/>
          <w:sz w:val="21"/>
        </w:rPr>
        <w:t xml:space="preserve"> </w:t>
      </w:r>
    </w:p>
    <w:p w14:paraId="552238D2" w14:textId="77777777" w:rsidR="00DB0C0E" w:rsidRPr="00DB0C0E" w:rsidRDefault="00DB0C0E" w:rsidP="00DB0C0E">
      <w:pPr>
        <w:spacing w:after="240" w:line="276" w:lineRule="auto"/>
        <w:jc w:val="both"/>
        <w:rPr>
          <w:rFonts w:ascii="Arial" w:hAnsi="Arial"/>
          <w:b/>
          <w:bCs/>
          <w:sz w:val="21"/>
        </w:rPr>
      </w:pPr>
      <w:r w:rsidRPr="00DB0C0E">
        <w:rPr>
          <w:rFonts w:ascii="Arial" w:hAnsi="Arial"/>
          <w:sz w:val="21"/>
        </w:rPr>
        <w:t xml:space="preserve">Així, es considera que aquestes raons fundades en dret són les previstes en aquest cas en una norma amb categoria de Llei, la pròpia </w:t>
      </w:r>
      <w:hyperlink r:id="rId218" w:history="1">
        <w:r w:rsidRPr="00DB0C0E">
          <w:rPr>
            <w:rStyle w:val="Hipervnculo"/>
            <w:rFonts w:ascii="Arial" w:hAnsi="Arial"/>
            <w:sz w:val="21"/>
          </w:rPr>
          <w:t>Llei 11/2016 i, en concret en el seu article 8</w:t>
        </w:r>
      </w:hyperlink>
      <w:r w:rsidRPr="00DB0C0E">
        <w:rPr>
          <w:rFonts w:ascii="Arial" w:hAnsi="Arial"/>
          <w:sz w:val="21"/>
        </w:rPr>
        <w:t>, com a salvaguarda de la bona fi de la investigació i de drets que són fonamentals. Així, entre altres, el dret a la defensa de l'investigat i a la presumpció d'innocència, o el dret a la indemnitat, entés en sentit ampli, que correspon als denunciants, testimonis i qualsevol persona que col·labora amb les investigacions.</w:t>
      </w:r>
    </w:p>
    <w:p w14:paraId="73762FAC" w14:textId="77777777" w:rsidR="00DB0C0E" w:rsidRPr="00DB0C0E" w:rsidRDefault="00DB0C0E" w:rsidP="00DB0C0E">
      <w:pPr>
        <w:spacing w:after="240" w:line="276" w:lineRule="auto"/>
        <w:jc w:val="both"/>
        <w:rPr>
          <w:rFonts w:ascii="Arial" w:hAnsi="Arial"/>
          <w:sz w:val="21"/>
        </w:rPr>
      </w:pPr>
      <w:r w:rsidRPr="00DB0C0E">
        <w:rPr>
          <w:rFonts w:ascii="Arial" w:hAnsi="Arial"/>
          <w:sz w:val="21"/>
        </w:rPr>
        <w:t xml:space="preserve">En aquest mateix sentit, la </w:t>
      </w:r>
      <w:hyperlink r:id="rId219" w:history="1">
        <w:r w:rsidRPr="00DB0C0E">
          <w:rPr>
            <w:rStyle w:val="Hipervnculo"/>
            <w:rFonts w:ascii="Arial" w:hAnsi="Arial"/>
            <w:sz w:val="21"/>
          </w:rPr>
          <w:t>Llei 2/2015, de 2 d'abril, de Transparència, Bon Govern i Participació Ciutadana de la Comunitat Valenciana en el seu article 12</w:t>
        </w:r>
      </w:hyperlink>
      <w:r w:rsidRPr="00DB0C0E">
        <w:rPr>
          <w:rFonts w:ascii="Arial" w:hAnsi="Arial"/>
          <w:b/>
          <w:bCs/>
          <w:sz w:val="21"/>
        </w:rPr>
        <w:t xml:space="preserve"> </w:t>
      </w:r>
      <w:r w:rsidRPr="00DB0C0E">
        <w:rPr>
          <w:rFonts w:ascii="Arial" w:hAnsi="Arial"/>
          <w:sz w:val="21"/>
        </w:rPr>
        <w:t xml:space="preserve">remet a </w:t>
      </w:r>
      <w:hyperlink r:id="rId220" w:history="1">
        <w:r w:rsidRPr="00DB0C0E">
          <w:rPr>
            <w:rStyle w:val="Hipervnculo"/>
            <w:rFonts w:ascii="Arial" w:hAnsi="Arial"/>
            <w:sz w:val="21"/>
          </w:rPr>
          <w:t>l'article 14 de la Llei 19/2013, de 9 de desembre, de Transparència, Accés a la Informació Pública i Bon Govern</w:t>
        </w:r>
      </w:hyperlink>
      <w:r w:rsidRPr="00DB0C0E">
        <w:rPr>
          <w:rFonts w:ascii="Arial" w:hAnsi="Arial"/>
          <w:sz w:val="21"/>
        </w:rPr>
        <w:t>, el qual estableix que el dret d'accés a la informació podrà ser limitat quan accedir a ella supose un perjudici, ja siga per a la investigació i sanció d'il·lícits penals, administratius o disciplinaris, ja siga per a les funcions administratives de vigilància, inspecció i control, així com per a la salvaguarda de la garantia de la confidencialitat o el secret requerit en els processos de presa de decisió.</w:t>
      </w:r>
    </w:p>
    <w:p w14:paraId="60D02380" w14:textId="318C98CB" w:rsidR="00F959CE" w:rsidRPr="002D3252" w:rsidRDefault="00DB0C0E" w:rsidP="00DB0C0E">
      <w:pPr>
        <w:spacing w:after="240" w:line="276" w:lineRule="auto"/>
        <w:jc w:val="both"/>
        <w:rPr>
          <w:rFonts w:ascii="Arial" w:hAnsi="Arial"/>
          <w:sz w:val="21"/>
        </w:rPr>
      </w:pPr>
      <w:r w:rsidRPr="002D3252">
        <w:rPr>
          <w:rFonts w:ascii="Arial" w:hAnsi="Arial"/>
          <w:sz w:val="21"/>
        </w:rPr>
        <w:t>En l'apartat 3.4.5. d'aquesta Memòria es recullen les sol·licituds que fins hui ha rebut aquesta Agència en relació amb l'accés a expedients d'investigació en tràmit per part de diferents Grups Parlamentaris de les Corts Valencianes.</w:t>
      </w:r>
    </w:p>
    <w:p w14:paraId="23B7AEAF" w14:textId="77777777" w:rsidR="009B36F6" w:rsidRPr="009B36F6" w:rsidRDefault="009B36F6" w:rsidP="009B36F6">
      <w:pPr>
        <w:pStyle w:val="Prrafodelista"/>
        <w:keepNext/>
        <w:numPr>
          <w:ilvl w:val="2"/>
          <w:numId w:val="16"/>
        </w:numPr>
        <w:suppressAutoHyphens/>
        <w:spacing w:before="360" w:after="240" w:line="276" w:lineRule="auto"/>
        <w:ind w:left="1134" w:hanging="1134"/>
        <w:jc w:val="both"/>
        <w:outlineLvl w:val="2"/>
        <w:rPr>
          <w:rFonts w:ascii="Arial" w:eastAsia="Times New Roman" w:hAnsi="Arial" w:cs="Arial"/>
          <w:b/>
          <w:color w:val="9D2235"/>
          <w:sz w:val="28"/>
          <w:szCs w:val="28"/>
        </w:rPr>
      </w:pPr>
      <w:bookmarkStart w:id="87" w:name="_Toc99110699"/>
      <w:bookmarkStart w:id="88" w:name="_Toc67646242"/>
      <w:bookmarkStart w:id="89" w:name="_Hlk95301437"/>
      <w:r w:rsidRPr="009B36F6">
        <w:rPr>
          <w:rFonts w:ascii="Arial" w:eastAsia="Times New Roman" w:hAnsi="Arial" w:cs="Arial"/>
          <w:b/>
          <w:color w:val="9D2235"/>
          <w:sz w:val="28"/>
          <w:szCs w:val="28"/>
        </w:rPr>
        <w:t>Pla anual normatiu AVAF</w:t>
      </w:r>
      <w:bookmarkEnd w:id="87"/>
      <w:r w:rsidRPr="009B36F6">
        <w:rPr>
          <w:rFonts w:ascii="Arial" w:eastAsia="Times New Roman" w:hAnsi="Arial" w:cs="Arial"/>
          <w:b/>
          <w:color w:val="9D2235"/>
          <w:sz w:val="28"/>
          <w:szCs w:val="28"/>
        </w:rPr>
        <w:t xml:space="preserve"> </w:t>
      </w:r>
      <w:bookmarkEnd w:id="88"/>
    </w:p>
    <w:bookmarkEnd w:id="89"/>
    <w:p w14:paraId="3D136196" w14:textId="1601CEBF" w:rsidR="009B36F6" w:rsidRPr="009B36F6" w:rsidRDefault="009B36F6" w:rsidP="009B36F6">
      <w:pPr>
        <w:spacing w:after="240" w:line="276" w:lineRule="auto"/>
        <w:jc w:val="both"/>
        <w:rPr>
          <w:rFonts w:ascii="Arial" w:hAnsi="Arial"/>
          <w:sz w:val="21"/>
          <w:szCs w:val="21"/>
        </w:rPr>
      </w:pPr>
      <w:r w:rsidRPr="009B36F6">
        <w:rPr>
          <w:rFonts w:ascii="Arial" w:hAnsi="Arial"/>
          <w:sz w:val="21"/>
          <w:szCs w:val="21"/>
        </w:rPr>
        <w:t xml:space="preserve">A la fi de l'any 2020 i segons va quedar recollit en la Memòria d’activitats anterior a aquesta, l'Agència va aprovar, en compliment de l'article 132 de la Llei 39/2015, d'1 d'octubre, de Procediment Administratiu Comú de les Administracions Públiques, el seu Pla anual normatiu mitjançant </w:t>
      </w:r>
      <w:hyperlink r:id="rId221" w:history="1">
        <w:r w:rsidRPr="009B36F6">
          <w:rPr>
            <w:rStyle w:val="Hipervnculo"/>
            <w:rFonts w:ascii="Arial" w:hAnsi="Arial"/>
            <w:sz w:val="21"/>
            <w:szCs w:val="21"/>
          </w:rPr>
          <w:t>Resolució núm. 671/2020, de 30 de desembre, del director de l'Agència, per la qual s'aprova el Pla anual normatiu de l'Agència per a l'any 2021</w:t>
        </w:r>
      </w:hyperlink>
      <w:r w:rsidRPr="009B36F6">
        <w:rPr>
          <w:rFonts w:ascii="Arial" w:hAnsi="Arial"/>
          <w:sz w:val="21"/>
          <w:szCs w:val="21"/>
        </w:rPr>
        <w:t xml:space="preserve">, disponible en la seua pàgina web, en l'apartat “Plans Anuals Normatius de l’AVAF”, en </w:t>
      </w:r>
      <w:hyperlink r:id="rId222" w:history="1">
        <w:r w:rsidR="00061085">
          <w:rPr>
            <w:rStyle w:val="Hipervnculo"/>
            <w:rFonts w:ascii="Arial" w:hAnsi="Arial"/>
            <w:sz w:val="21"/>
            <w:szCs w:val="21"/>
          </w:rPr>
          <w:t>https://www.antifraucv.es/va/informacio-de-rellevancia-juridica/</w:t>
        </w:r>
      </w:hyperlink>
      <w:r w:rsidRPr="009B36F6">
        <w:rPr>
          <w:rFonts w:ascii="Arial" w:hAnsi="Arial"/>
          <w:sz w:val="21"/>
          <w:szCs w:val="21"/>
          <w:u w:val="single"/>
        </w:rPr>
        <w:t>.</w:t>
      </w:r>
    </w:p>
    <w:p w14:paraId="57101D7D" w14:textId="77777777" w:rsidR="009B36F6" w:rsidRPr="009B36F6" w:rsidRDefault="009B36F6" w:rsidP="009B36F6">
      <w:pPr>
        <w:spacing w:after="240" w:line="276" w:lineRule="auto"/>
        <w:jc w:val="both"/>
        <w:rPr>
          <w:rFonts w:ascii="Arial" w:hAnsi="Arial"/>
          <w:sz w:val="21"/>
          <w:szCs w:val="21"/>
        </w:rPr>
      </w:pPr>
      <w:r w:rsidRPr="009B36F6">
        <w:rPr>
          <w:rFonts w:ascii="Arial" w:hAnsi="Arial"/>
          <w:sz w:val="21"/>
          <w:szCs w:val="21"/>
        </w:rPr>
        <w:t xml:space="preserve">El citat Pla per a l'exercici 2021 contenia dues propostes de normes que al llarg del referit exercici van aconseguir diferents graus de tramitació. </w:t>
      </w:r>
    </w:p>
    <w:p w14:paraId="0D2FC739" w14:textId="77777777" w:rsidR="009B36F6" w:rsidRPr="009B36F6" w:rsidRDefault="009B36F6" w:rsidP="009B36F6">
      <w:pPr>
        <w:spacing w:after="240" w:line="276" w:lineRule="auto"/>
        <w:jc w:val="both"/>
        <w:rPr>
          <w:rFonts w:ascii="Arial" w:hAnsi="Arial"/>
          <w:sz w:val="21"/>
          <w:szCs w:val="21"/>
        </w:rPr>
      </w:pPr>
      <w:r w:rsidRPr="009B36F6">
        <w:rPr>
          <w:rFonts w:ascii="Arial" w:hAnsi="Arial"/>
          <w:sz w:val="21"/>
          <w:szCs w:val="21"/>
        </w:rPr>
        <w:t xml:space="preserve">Quant a la primera proposta de norma del Pla, aquesta era relativa a la </w:t>
      </w:r>
      <w:r w:rsidRPr="009B36F6">
        <w:rPr>
          <w:rFonts w:ascii="Arial" w:hAnsi="Arial"/>
          <w:b/>
          <w:bCs/>
          <w:sz w:val="21"/>
          <w:szCs w:val="21"/>
        </w:rPr>
        <w:t xml:space="preserve">modificació puntual del Reglament de funcionament i règim interior de l'Agència de 27 de juny de 2019, </w:t>
      </w:r>
      <w:r w:rsidRPr="009B36F6">
        <w:rPr>
          <w:rFonts w:ascii="Arial" w:hAnsi="Arial"/>
          <w:sz w:val="21"/>
          <w:szCs w:val="21"/>
        </w:rPr>
        <w:t>l'objecte del qual era crear la Direcció Adjunta a la Direcció de l'Agència, de naturalesa administrativa i funcionarial, a fi de millorar l'organització interna i enfortir la seua estructura.</w:t>
      </w:r>
    </w:p>
    <w:p w14:paraId="327C011A" w14:textId="77777777" w:rsidR="009B36F6" w:rsidRPr="009B36F6" w:rsidRDefault="009B36F6" w:rsidP="009B36F6">
      <w:pPr>
        <w:spacing w:after="240" w:line="276" w:lineRule="auto"/>
        <w:jc w:val="both"/>
        <w:rPr>
          <w:rFonts w:ascii="Arial" w:hAnsi="Arial"/>
          <w:sz w:val="21"/>
          <w:szCs w:val="21"/>
        </w:rPr>
      </w:pPr>
      <w:r w:rsidRPr="009B36F6">
        <w:rPr>
          <w:rFonts w:ascii="Arial" w:hAnsi="Arial"/>
          <w:sz w:val="21"/>
          <w:szCs w:val="21"/>
        </w:rPr>
        <w:t xml:space="preserve">Aquesta proposta de modificació del Reglament de l'Agència es va materialitzar, després de la realització dels tràmits legals oportuns, entre els quals destaca la conformitat a la mateixa donada pel seu Consell de Direcció i la presentació de la proposta de modificació en les Corts Valencianes, amb l'aprovació de la  </w:t>
      </w:r>
      <w:hyperlink r:id="rId223" w:history="1">
        <w:r w:rsidRPr="009B36F6">
          <w:rPr>
            <w:rStyle w:val="Hipervnculo"/>
            <w:rFonts w:ascii="Arial" w:hAnsi="Arial"/>
            <w:sz w:val="21"/>
            <w:szCs w:val="21"/>
          </w:rPr>
          <w:t>Resolució núm. 917/2021, de 16 de desembre, del director de l'Agència, per la qual s'aprova una modificació puntual del Reglament de funcionament i règim interior referida a l'organització interna d'aquesta Agència</w:t>
        </w:r>
      </w:hyperlink>
      <w:r w:rsidRPr="009B36F6">
        <w:rPr>
          <w:rFonts w:ascii="Arial" w:hAnsi="Arial"/>
          <w:sz w:val="21"/>
          <w:szCs w:val="21"/>
        </w:rPr>
        <w:t>, que es va publicar en el DOGV núm. 9250, de 5 de gener de 2022.</w:t>
      </w:r>
    </w:p>
    <w:p w14:paraId="587C1267" w14:textId="77777777" w:rsidR="009B36F6" w:rsidRPr="009B36F6" w:rsidRDefault="009B36F6" w:rsidP="009B36F6">
      <w:pPr>
        <w:spacing w:after="240" w:line="276" w:lineRule="auto"/>
        <w:jc w:val="both"/>
        <w:rPr>
          <w:rFonts w:ascii="Arial" w:hAnsi="Arial"/>
          <w:sz w:val="21"/>
          <w:szCs w:val="21"/>
        </w:rPr>
      </w:pPr>
      <w:r w:rsidRPr="009B36F6">
        <w:rPr>
          <w:rFonts w:ascii="Arial" w:hAnsi="Arial"/>
          <w:sz w:val="21"/>
          <w:szCs w:val="21"/>
        </w:rPr>
        <w:t xml:space="preserve">La segona proposta continguda en el Pla anual normatiu de l'Agència, per a l'exercici 2021, es referia a l'aprovació del </w:t>
      </w:r>
      <w:r w:rsidRPr="009B36F6">
        <w:rPr>
          <w:rFonts w:ascii="Arial" w:hAnsi="Arial"/>
          <w:b/>
          <w:bCs/>
          <w:sz w:val="21"/>
          <w:szCs w:val="21"/>
        </w:rPr>
        <w:t>Codi ètic i de conducta</w:t>
      </w:r>
      <w:r w:rsidRPr="009B36F6">
        <w:rPr>
          <w:rFonts w:ascii="Arial" w:hAnsi="Arial"/>
          <w:sz w:val="21"/>
          <w:szCs w:val="21"/>
        </w:rPr>
        <w:t>, aplicable a tot el seu personal i també al seu director, amb previsió de recollir els principis ètics i els valors de bon govern que han d'informar totes les seues actuacions, així com regular les normes de conducta que necessàriament han de ser observades en el desenvolupament d'aquestes.</w:t>
      </w:r>
    </w:p>
    <w:p w14:paraId="28491841" w14:textId="77777777" w:rsidR="009B36F6" w:rsidRPr="009B36F6" w:rsidRDefault="009B36F6" w:rsidP="009B36F6">
      <w:pPr>
        <w:spacing w:after="240" w:line="276" w:lineRule="auto"/>
        <w:jc w:val="both"/>
        <w:rPr>
          <w:rFonts w:ascii="Arial" w:hAnsi="Arial"/>
          <w:sz w:val="21"/>
          <w:szCs w:val="21"/>
        </w:rPr>
      </w:pPr>
      <w:r w:rsidRPr="009B36F6">
        <w:rPr>
          <w:rFonts w:ascii="Arial" w:hAnsi="Arial"/>
          <w:sz w:val="21"/>
          <w:szCs w:val="21"/>
        </w:rPr>
        <w:t xml:space="preserve">Durant 2021, la tramitació del Projecte del Codi ètic i de conducta de l'Agència es va avançar molt, si bé aquest no va arribar a aprovar-se abans de finalitzar l'any i, per això, va ser objecte d'inclusió en el Pla anual normatiu per a 2022, a fi de completar els tràmits que restaven, la qual cosa es va produir durant els mesos de gener i febrer de 2022. </w:t>
      </w:r>
    </w:p>
    <w:p w14:paraId="490792C8" w14:textId="28124CFA" w:rsidR="009B36F6" w:rsidRPr="009B36F6" w:rsidRDefault="009B36F6" w:rsidP="00E91DCD">
      <w:pPr>
        <w:spacing w:after="240" w:line="276" w:lineRule="auto"/>
        <w:jc w:val="both"/>
        <w:rPr>
          <w:rFonts w:ascii="Arial" w:hAnsi="Arial"/>
          <w:sz w:val="21"/>
          <w:szCs w:val="21"/>
        </w:rPr>
      </w:pPr>
      <w:r w:rsidRPr="009B36F6">
        <w:rPr>
          <w:rFonts w:ascii="Arial" w:hAnsi="Arial"/>
          <w:sz w:val="21"/>
          <w:szCs w:val="21"/>
        </w:rPr>
        <w:t xml:space="preserve">Així, els documents relatius a l'elaboració i tramitació d'aquest Codi, que s'ha dut a terme durant 2021 i principis de 2022, es troben disponibles en la pàgina web de l'Agència, en l'apartat “Codi ètic i de conducta”, </w:t>
      </w:r>
      <w:hyperlink r:id="rId224" w:history="1">
        <w:r w:rsidR="00E45DAF">
          <w:rPr>
            <w:rStyle w:val="Hipervnculo"/>
            <w:rFonts w:ascii="Arial" w:hAnsi="Arial"/>
            <w:sz w:val="21"/>
            <w:szCs w:val="21"/>
          </w:rPr>
          <w:t>https://www.antifraucv.es/va/informacio-de-rellevancia-juridica/</w:t>
        </w:r>
      </w:hyperlink>
      <w:r w:rsidRPr="009B36F6">
        <w:rPr>
          <w:rFonts w:ascii="Arial" w:hAnsi="Arial"/>
          <w:sz w:val="21"/>
          <w:szCs w:val="21"/>
        </w:rPr>
        <w:t>. Cal destacar, els següents:</w:t>
      </w:r>
    </w:p>
    <w:p w14:paraId="3B87ECCF"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 xml:space="preserve">18.02.2022 – </w:t>
      </w:r>
      <w:hyperlink r:id="rId225" w:history="1">
        <w:r w:rsidRPr="009961B6">
          <w:rPr>
            <w:rStyle w:val="Hipervnculo"/>
            <w:rFonts w:ascii="Arial" w:hAnsi="Arial"/>
            <w:sz w:val="20"/>
            <w:szCs w:val="20"/>
          </w:rPr>
          <w:t>Codi ètic i de conducta de l’AVAF</w:t>
        </w:r>
      </w:hyperlink>
      <w:r w:rsidRPr="009961B6">
        <w:rPr>
          <w:rFonts w:ascii="Arial" w:hAnsi="Arial"/>
          <w:sz w:val="20"/>
          <w:szCs w:val="20"/>
        </w:rPr>
        <w:t>.</w:t>
      </w:r>
    </w:p>
    <w:p w14:paraId="689499C3"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 xml:space="preserve">07.03.2022 – </w:t>
      </w:r>
      <w:hyperlink r:id="rId226" w:history="1">
        <w:r w:rsidRPr="009961B6">
          <w:rPr>
            <w:rStyle w:val="Hipervnculo"/>
            <w:rFonts w:ascii="Arial" w:hAnsi="Arial"/>
            <w:sz w:val="20"/>
            <w:szCs w:val="20"/>
          </w:rPr>
          <w:t>Designació del Comité d'ètica de l’AVAF</w:t>
        </w:r>
      </w:hyperlink>
      <w:r w:rsidRPr="009961B6">
        <w:rPr>
          <w:rFonts w:ascii="Arial" w:hAnsi="Arial"/>
          <w:sz w:val="20"/>
          <w:szCs w:val="20"/>
        </w:rPr>
        <w:t>.</w:t>
      </w:r>
    </w:p>
    <w:p w14:paraId="27DBC281" w14:textId="77777777" w:rsidR="009961B6" w:rsidRPr="009961B6" w:rsidRDefault="009961B6" w:rsidP="009961B6">
      <w:pPr>
        <w:spacing w:after="240" w:line="276" w:lineRule="auto"/>
        <w:ind w:left="709"/>
        <w:jc w:val="both"/>
        <w:rPr>
          <w:rFonts w:ascii="Arial" w:hAnsi="Arial"/>
          <w:b/>
          <w:bCs/>
          <w:sz w:val="20"/>
          <w:szCs w:val="20"/>
        </w:rPr>
      </w:pPr>
      <w:r w:rsidRPr="009961B6">
        <w:rPr>
          <w:rFonts w:ascii="Arial" w:hAnsi="Arial"/>
          <w:sz w:val="20"/>
          <w:szCs w:val="20"/>
        </w:rPr>
        <w:t xml:space="preserve">16.03.2022 – </w:t>
      </w:r>
      <w:hyperlink r:id="rId227" w:history="1">
        <w:r w:rsidRPr="009961B6">
          <w:rPr>
            <w:rStyle w:val="Hipervnculo"/>
            <w:rFonts w:ascii="Arial" w:hAnsi="Arial"/>
            <w:sz w:val="20"/>
            <w:szCs w:val="20"/>
          </w:rPr>
          <w:t>Condicions de funcionament de la Bústia interna de denúncies de l’AVAF</w:t>
        </w:r>
      </w:hyperlink>
      <w:r w:rsidRPr="009961B6">
        <w:rPr>
          <w:rFonts w:ascii="Arial" w:hAnsi="Arial"/>
          <w:b/>
          <w:bCs/>
          <w:sz w:val="20"/>
          <w:szCs w:val="20"/>
        </w:rPr>
        <w:t>.</w:t>
      </w:r>
    </w:p>
    <w:p w14:paraId="0360BF5A" w14:textId="77777777" w:rsidR="009961B6" w:rsidRPr="009961B6" w:rsidRDefault="009961B6" w:rsidP="009961B6">
      <w:pPr>
        <w:spacing w:after="120" w:line="276" w:lineRule="auto"/>
        <w:ind w:left="709"/>
        <w:jc w:val="both"/>
        <w:rPr>
          <w:rFonts w:ascii="Arial" w:hAnsi="Arial"/>
          <w:b/>
          <w:bCs/>
          <w:sz w:val="20"/>
          <w:szCs w:val="20"/>
        </w:rPr>
      </w:pPr>
      <w:r w:rsidRPr="009961B6">
        <w:rPr>
          <w:rFonts w:ascii="Arial" w:hAnsi="Arial"/>
          <w:b/>
          <w:bCs/>
          <w:sz w:val="20"/>
          <w:szCs w:val="20"/>
        </w:rPr>
        <w:t>Documents que integren l'expedient d'elaboració i aprovació del Codi ètic i de conducta</w:t>
      </w:r>
    </w:p>
    <w:p w14:paraId="31999A97"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07.02.2022 – Memòria econòmica.</w:t>
      </w:r>
    </w:p>
    <w:p w14:paraId="6CCC63DA"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04.02.2022 – Informe d'impacte de gènere.</w:t>
      </w:r>
    </w:p>
    <w:p w14:paraId="781F8998"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03.02.2022 – Acta de la Mesa de Negociació amb sindicats.</w:t>
      </w:r>
    </w:p>
    <w:p w14:paraId="6CEE7F88"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28.01.2022 – Convocatòria Mesa Negociació amb sindicats.</w:t>
      </w:r>
    </w:p>
    <w:p w14:paraId="149F733A"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28.01.2022 – Proposada Codi ètic i de conducta després d'al·legacions.</w:t>
      </w:r>
    </w:p>
    <w:p w14:paraId="4414446C"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24.01.2022 – Contestació al·legacions Codi ètic i de conducta.</w:t>
      </w:r>
    </w:p>
    <w:p w14:paraId="5891C098"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20.01.2022 – Recomanacions llenguatge inclusiu del grup de treball d'igualtat.</w:t>
      </w:r>
    </w:p>
    <w:p w14:paraId="6A966D7E"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28.12.2021 – Informe jurídic sobre el text adaptat després d'al·legacions.</w:t>
      </w:r>
    </w:p>
    <w:p w14:paraId="27F378A8"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27.12.2021 – Proposada Codi ètic i de conducta DAJ.</w:t>
      </w:r>
    </w:p>
    <w:p w14:paraId="42687E80"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18.10.2021 – Resolució estimació al·legacions i text adaptat.</w:t>
      </w:r>
    </w:p>
    <w:p w14:paraId="3DC9DA8E"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29.09.2021 – Informe primer tràmit audiència personal AVAF.</w:t>
      </w:r>
    </w:p>
    <w:p w14:paraId="03D23C34"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29.09.2021 – Resolució d'inici de tramitació del Codi ètic i de conducta.</w:t>
      </w:r>
    </w:p>
    <w:p w14:paraId="335C365D" w14:textId="77777777" w:rsidR="009961B6" w:rsidRPr="009961B6" w:rsidRDefault="009961B6" w:rsidP="009961B6">
      <w:pPr>
        <w:spacing w:after="240" w:line="276" w:lineRule="auto"/>
        <w:ind w:left="709"/>
        <w:contextualSpacing/>
        <w:jc w:val="both"/>
        <w:rPr>
          <w:rFonts w:ascii="Arial" w:hAnsi="Arial"/>
          <w:sz w:val="20"/>
          <w:szCs w:val="20"/>
        </w:rPr>
      </w:pPr>
      <w:r w:rsidRPr="009961B6">
        <w:rPr>
          <w:rFonts w:ascii="Arial" w:hAnsi="Arial"/>
          <w:sz w:val="20"/>
          <w:szCs w:val="20"/>
        </w:rPr>
        <w:t>15.07.2021 – Primer tràmit audiència personal AVAF.</w:t>
      </w:r>
    </w:p>
    <w:p w14:paraId="739E4C59" w14:textId="77777777" w:rsidR="009961B6" w:rsidRPr="009961B6" w:rsidRDefault="009961B6" w:rsidP="009961B6">
      <w:pPr>
        <w:spacing w:after="240" w:line="276" w:lineRule="auto"/>
        <w:ind w:left="709"/>
        <w:jc w:val="both"/>
        <w:rPr>
          <w:rFonts w:ascii="Arial" w:hAnsi="Arial"/>
          <w:sz w:val="21"/>
          <w:szCs w:val="21"/>
        </w:rPr>
      </w:pPr>
      <w:r w:rsidRPr="009961B6">
        <w:rPr>
          <w:rFonts w:ascii="Arial" w:hAnsi="Arial"/>
          <w:sz w:val="20"/>
          <w:szCs w:val="20"/>
        </w:rPr>
        <w:t>13.07.2021 – Text inicial Codi ètic i de conducta AVAF.</w:t>
      </w:r>
    </w:p>
    <w:p w14:paraId="33F67973" w14:textId="77777777" w:rsidR="009961B6" w:rsidRPr="009961B6" w:rsidRDefault="009961B6" w:rsidP="009961B6">
      <w:pPr>
        <w:spacing w:after="240" w:line="276" w:lineRule="auto"/>
        <w:jc w:val="both"/>
        <w:rPr>
          <w:rFonts w:ascii="Arial" w:hAnsi="Arial"/>
          <w:sz w:val="21"/>
          <w:szCs w:val="21"/>
        </w:rPr>
      </w:pPr>
      <w:r w:rsidRPr="009961B6">
        <w:rPr>
          <w:rFonts w:ascii="Arial" w:hAnsi="Arial"/>
          <w:sz w:val="21"/>
          <w:szCs w:val="21"/>
        </w:rPr>
        <w:t xml:space="preserve">Com a annex en aquesta Memòria es troba disponible el text íntegre del </w:t>
      </w:r>
      <w:hyperlink r:id="rId228" w:history="1">
        <w:r w:rsidRPr="009961B6">
          <w:rPr>
            <w:rStyle w:val="Hipervnculo"/>
            <w:rFonts w:ascii="Arial" w:hAnsi="Arial"/>
            <w:sz w:val="21"/>
            <w:szCs w:val="21"/>
          </w:rPr>
          <w:t>Codi ètic i de conducta de l’AVAF</w:t>
        </w:r>
      </w:hyperlink>
      <w:r w:rsidRPr="009961B6">
        <w:rPr>
          <w:rFonts w:ascii="Arial" w:hAnsi="Arial"/>
          <w:sz w:val="21"/>
          <w:szCs w:val="21"/>
        </w:rPr>
        <w:t xml:space="preserve">, que ha sigut aprovat per Resolució núm. 82/2022, de 10 de febrer, del director de l'Agència, i es troba publicat en el </w:t>
      </w:r>
      <w:r w:rsidRPr="009961B6">
        <w:rPr>
          <w:rFonts w:ascii="Arial" w:hAnsi="Arial"/>
          <w:i/>
          <w:iCs/>
          <w:sz w:val="21"/>
          <w:szCs w:val="21"/>
        </w:rPr>
        <w:t xml:space="preserve">Diari Oficial de la Generalitat Valenciana  </w:t>
      </w:r>
      <w:r w:rsidRPr="009961B6">
        <w:rPr>
          <w:rFonts w:ascii="Arial" w:hAnsi="Arial"/>
          <w:sz w:val="21"/>
          <w:szCs w:val="21"/>
        </w:rPr>
        <w:t xml:space="preserve"> núm. 9281, de 18.02.2022, i en el </w:t>
      </w:r>
      <w:r w:rsidRPr="009961B6">
        <w:rPr>
          <w:rFonts w:ascii="Arial" w:hAnsi="Arial"/>
          <w:i/>
          <w:iCs/>
          <w:sz w:val="21"/>
          <w:szCs w:val="21"/>
        </w:rPr>
        <w:t>Butlletí Oficial de Corts Valencianes</w:t>
      </w:r>
      <w:r w:rsidRPr="009961B6">
        <w:rPr>
          <w:rFonts w:ascii="Arial" w:hAnsi="Arial"/>
          <w:sz w:val="21"/>
          <w:szCs w:val="21"/>
        </w:rPr>
        <w:t xml:space="preserve"> núm. 229, de 2 de març de 2022. La seua data d'entrada en vigor s'ha produït el 21 de febrer de 2022.</w:t>
      </w:r>
    </w:p>
    <w:p w14:paraId="7432E1C9" w14:textId="77777777" w:rsidR="009961B6" w:rsidRPr="009961B6" w:rsidRDefault="009961B6" w:rsidP="009961B6">
      <w:pPr>
        <w:spacing w:after="240" w:line="276" w:lineRule="auto"/>
        <w:jc w:val="both"/>
        <w:rPr>
          <w:rFonts w:ascii="Arial" w:hAnsi="Arial"/>
          <w:sz w:val="21"/>
          <w:szCs w:val="21"/>
        </w:rPr>
      </w:pPr>
      <w:r w:rsidRPr="009961B6">
        <w:rPr>
          <w:rFonts w:ascii="Arial" w:hAnsi="Arial"/>
          <w:sz w:val="21"/>
          <w:szCs w:val="21"/>
        </w:rPr>
        <w:t xml:space="preserve">En data 7 de març de 2022 es van </w:t>
      </w:r>
      <w:hyperlink r:id="rId229" w:history="1">
        <w:r w:rsidRPr="009961B6">
          <w:rPr>
            <w:rStyle w:val="Hipervnculo"/>
            <w:rFonts w:ascii="Arial" w:hAnsi="Arial"/>
            <w:sz w:val="21"/>
            <w:szCs w:val="21"/>
          </w:rPr>
          <w:t>designar els membres del Comité d'ètica</w:t>
        </w:r>
      </w:hyperlink>
      <w:r w:rsidRPr="009961B6">
        <w:rPr>
          <w:rFonts w:ascii="Arial" w:hAnsi="Arial"/>
          <w:sz w:val="21"/>
          <w:szCs w:val="21"/>
        </w:rPr>
        <w:t>, a què es refereixen els articles 33 a 36 del citat Codi ètic, en els quals es regulen les seues funcions, la seua composició i mandat, i el règim de funcionament. Es tracta d'un òrgan col·legiat consultiu que garantirà l'efectivitat i vetlarà per l'adequada aplicació d'aquest Codi ètic i de conducta, i a l'efecte de la qual podrà emetre informes i recomanacions, al mateix temps que gestionarà el canal intern de denúncies de l'AVAF.</w:t>
      </w:r>
    </w:p>
    <w:p w14:paraId="0C5D9D64" w14:textId="59C9D9AD" w:rsidR="009961B6" w:rsidRPr="009961B6" w:rsidRDefault="009961B6" w:rsidP="009961B6">
      <w:pPr>
        <w:spacing w:after="240" w:line="276" w:lineRule="auto"/>
        <w:jc w:val="both"/>
        <w:rPr>
          <w:rFonts w:ascii="Arial" w:hAnsi="Arial"/>
          <w:sz w:val="21"/>
          <w:szCs w:val="21"/>
        </w:rPr>
      </w:pPr>
      <w:r w:rsidRPr="009961B6">
        <w:rPr>
          <w:rFonts w:ascii="Arial" w:hAnsi="Arial"/>
          <w:sz w:val="21"/>
          <w:szCs w:val="21"/>
        </w:rPr>
        <w:t xml:space="preserve">El Comité d'ètica està integrat per dues persones externes a l’AVAF, a proposta del seu Consell de Direcció, a saber, Antonio Penadés Chust, vocal del Consell de Participació, i Mª Luisa Cuerda Arnau, catedràtica de Dret penal especialista en drets fonamentals de la Universitat Jaume I de Castelló. A aquestes persones s'afig una tercera, triada d'entre i pel personal </w:t>
      </w:r>
      <w:r w:rsidR="003417D6">
        <w:rPr>
          <w:rFonts w:ascii="Arial" w:hAnsi="Arial"/>
          <w:sz w:val="21"/>
          <w:szCs w:val="21"/>
        </w:rPr>
        <w:t xml:space="preserve">funcionari </w:t>
      </w:r>
      <w:r w:rsidRPr="009961B6">
        <w:rPr>
          <w:rFonts w:ascii="Arial" w:hAnsi="Arial"/>
          <w:sz w:val="21"/>
          <w:szCs w:val="21"/>
        </w:rPr>
        <w:t>de l'Agència, Amparo Martí Puertes.</w:t>
      </w:r>
    </w:p>
    <w:p w14:paraId="5AE0648C" w14:textId="04CBB1F4" w:rsidR="009B36F6" w:rsidRPr="009961B6" w:rsidRDefault="009961B6" w:rsidP="009961B6">
      <w:pPr>
        <w:spacing w:after="240" w:line="276" w:lineRule="auto"/>
        <w:jc w:val="both"/>
        <w:rPr>
          <w:rFonts w:ascii="Arial" w:hAnsi="Arial"/>
          <w:sz w:val="21"/>
          <w:szCs w:val="21"/>
        </w:rPr>
      </w:pPr>
      <w:r w:rsidRPr="009961B6">
        <w:rPr>
          <w:rFonts w:ascii="Arial" w:hAnsi="Arial"/>
          <w:sz w:val="21"/>
          <w:szCs w:val="21"/>
        </w:rPr>
        <w:t xml:space="preserve">A més, el 16 de març de 2022 es van aprovar les </w:t>
      </w:r>
      <w:hyperlink r:id="rId230" w:history="1">
        <w:r w:rsidRPr="009961B6">
          <w:rPr>
            <w:rStyle w:val="Hipervnculo"/>
            <w:rFonts w:ascii="Arial" w:hAnsi="Arial"/>
            <w:sz w:val="21"/>
            <w:szCs w:val="21"/>
          </w:rPr>
          <w:t>condicions de funcionament de la Bústia interna de denúncies de l'AVAF</w:t>
        </w:r>
      </w:hyperlink>
      <w:r w:rsidRPr="009961B6">
        <w:rPr>
          <w:rFonts w:ascii="Arial" w:hAnsi="Arial"/>
          <w:sz w:val="21"/>
          <w:szCs w:val="21"/>
        </w:rPr>
        <w:t>, a través del que qualsevol servidor o servidora pública de l'AVAF podrà dirigir-se, fins i tot de manera anònima, al Comité d'ètica, per a comunicar qualsevol acció o omissió que puga suposar l'incompliment dels principis i normes de conducta, o realitzar consultes en relació amb l'aplicació o interpretació del Codi.</w:t>
      </w:r>
    </w:p>
    <w:p w14:paraId="1D959990" w14:textId="0AA05D71" w:rsidR="009B36F6" w:rsidRPr="009B36F6" w:rsidRDefault="009B36F6" w:rsidP="009B36F6">
      <w:pPr>
        <w:spacing w:after="240" w:line="276" w:lineRule="auto"/>
        <w:jc w:val="both"/>
        <w:rPr>
          <w:rFonts w:ascii="Arial" w:hAnsi="Arial"/>
          <w:b/>
          <w:bCs/>
          <w:sz w:val="21"/>
          <w:szCs w:val="21"/>
          <w:u w:val="single"/>
        </w:rPr>
      </w:pPr>
      <w:r w:rsidRPr="009B36F6">
        <w:rPr>
          <w:rFonts w:ascii="Arial" w:hAnsi="Arial"/>
          <w:sz w:val="21"/>
          <w:szCs w:val="21"/>
        </w:rPr>
        <w:t xml:space="preserve">D'altra banda, abans de finalitzar l'any 2021, l'Agència va aprovar el seu Pla anual normatiu per a l'exercici 2022, mitjançant </w:t>
      </w:r>
      <w:bookmarkStart w:id="90" w:name="_Hlk94702902"/>
      <w:r w:rsidR="00FB30A6">
        <w:rPr>
          <w:rFonts w:ascii="Arial" w:hAnsi="Arial"/>
          <w:sz w:val="21"/>
          <w:szCs w:val="21"/>
          <w:u w:val="single"/>
        </w:rPr>
        <w:fldChar w:fldCharType="begin" w:fldLock="1"/>
      </w:r>
      <w:r w:rsidR="00FB30A6">
        <w:rPr>
          <w:rFonts w:ascii="Arial" w:hAnsi="Arial"/>
          <w:sz w:val="21"/>
          <w:szCs w:val="21"/>
          <w:u w:val="single"/>
        </w:rPr>
        <w:instrText xml:space="preserve"> HYPERLINK "https://www.antifraucv.es/wp-content/uploads/2021/12/211230_RES_PLAN_NORMATIVO_AVAF_VAL-2022.pdf" </w:instrText>
      </w:r>
      <w:r w:rsidR="00FB30A6">
        <w:rPr>
          <w:rFonts w:ascii="Arial" w:hAnsi="Arial"/>
          <w:sz w:val="21"/>
          <w:szCs w:val="21"/>
          <w:u w:val="single"/>
        </w:rPr>
      </w:r>
      <w:r w:rsidR="00FB30A6">
        <w:rPr>
          <w:rFonts w:ascii="Arial" w:hAnsi="Arial"/>
          <w:sz w:val="21"/>
          <w:szCs w:val="21"/>
          <w:u w:val="single"/>
        </w:rPr>
        <w:fldChar w:fldCharType="separate"/>
      </w:r>
      <w:r w:rsidRPr="00FB30A6">
        <w:rPr>
          <w:rStyle w:val="Hipervnculo"/>
          <w:rFonts w:ascii="Arial" w:hAnsi="Arial"/>
          <w:sz w:val="21"/>
          <w:szCs w:val="21"/>
        </w:rPr>
        <w:t>Resolució núm. 1007/2021, de 30 de desembre, del director de l’AVAF</w:t>
      </w:r>
      <w:r w:rsidR="00FB30A6">
        <w:rPr>
          <w:rFonts w:ascii="Arial" w:hAnsi="Arial"/>
          <w:sz w:val="21"/>
          <w:szCs w:val="21"/>
          <w:u w:val="single"/>
        </w:rPr>
        <w:fldChar w:fldCharType="end"/>
      </w:r>
      <w:r w:rsidRPr="009B36F6">
        <w:rPr>
          <w:rFonts w:ascii="Arial" w:hAnsi="Arial"/>
          <w:sz w:val="21"/>
          <w:szCs w:val="21"/>
          <w:u w:val="single"/>
        </w:rPr>
        <w:t xml:space="preserve">. </w:t>
      </w:r>
    </w:p>
    <w:bookmarkEnd w:id="90"/>
    <w:p w14:paraId="611CFCD8" w14:textId="77777777" w:rsidR="009B36F6" w:rsidRPr="009B36F6" w:rsidRDefault="009B36F6" w:rsidP="009B36F6">
      <w:pPr>
        <w:spacing w:after="240" w:line="276" w:lineRule="auto"/>
        <w:jc w:val="both"/>
        <w:rPr>
          <w:rFonts w:ascii="Arial" w:hAnsi="Arial"/>
          <w:b/>
          <w:bCs/>
          <w:sz w:val="21"/>
          <w:szCs w:val="21"/>
        </w:rPr>
      </w:pPr>
      <w:r w:rsidRPr="009B36F6">
        <w:rPr>
          <w:rFonts w:ascii="Arial" w:hAnsi="Arial"/>
          <w:sz w:val="21"/>
          <w:szCs w:val="21"/>
        </w:rPr>
        <w:t xml:space="preserve">En el nou Pla s'inclouen dues propostes normatives, la primera, a mesura que s'ha avançat, comprenia la continuació de la tramitació per a l'aprovació del Codi ètic i de conducta de l’AVAF, i la segona es refereix a la </w:t>
      </w:r>
      <w:r w:rsidRPr="009B36F6">
        <w:rPr>
          <w:rFonts w:ascii="Arial" w:hAnsi="Arial"/>
          <w:b/>
          <w:bCs/>
          <w:sz w:val="21"/>
          <w:szCs w:val="21"/>
        </w:rPr>
        <w:t>necessària modificació de la Llei 11/2016, de 28 de novembre, de la Generalitat, de l'Agència de Prevenció i Lluita Contra el Frau i la Corrupció de la Comunitat Valenciana, per a la seua adaptació a la Directiva (UE) 2019/1937, del Parlament Europeu i del Consell de 23 d'octubre de 2019.</w:t>
      </w:r>
    </w:p>
    <w:p w14:paraId="033786E0" w14:textId="10FC3B72" w:rsidR="00F959CE" w:rsidRDefault="009B36F6" w:rsidP="009B36F6">
      <w:pPr>
        <w:spacing w:after="240" w:line="276" w:lineRule="auto"/>
        <w:jc w:val="both"/>
        <w:rPr>
          <w:rFonts w:ascii="Arial" w:hAnsi="Arial"/>
          <w:sz w:val="21"/>
          <w:szCs w:val="21"/>
        </w:rPr>
      </w:pPr>
      <w:r w:rsidRPr="002D3252">
        <w:rPr>
          <w:rFonts w:ascii="Arial" w:hAnsi="Arial"/>
          <w:sz w:val="21"/>
          <w:szCs w:val="21"/>
        </w:rPr>
        <w:t>La modificació proposada obeeix al fet que, tant la Llei 11/2016 reguladora d'aquesta Agència com la seua normativa de desenvolupament, encara que es van anticipar a la  regulació continguda en aquesta Directiva en molts dels seus aspectes (especialment, protecció de les persones denunciants i establiment d'un canal extern de denúncies, assegurança, accessible i confidencial), queden encara per abordar alguns altres que impliquen la necessària i urgent reforma de la nostra norma autonòmica, més encara quan, una vegada finalitzat el període de dos anys de transposició de la citada Directiva, no s'ha aprovat cap normativa estatal sobre aquest tema.</w:t>
      </w:r>
    </w:p>
    <w:p w14:paraId="3781356B" w14:textId="72EB1BC4" w:rsidR="00DA2C27" w:rsidRDefault="00DA2C27" w:rsidP="009B36F6">
      <w:pPr>
        <w:spacing w:after="240" w:line="276" w:lineRule="auto"/>
        <w:jc w:val="both"/>
        <w:rPr>
          <w:rFonts w:ascii="Arial" w:hAnsi="Arial"/>
          <w:sz w:val="21"/>
          <w:szCs w:val="21"/>
        </w:rPr>
      </w:pPr>
    </w:p>
    <w:p w14:paraId="40951C7F" w14:textId="30D1832C" w:rsidR="00DA2C27" w:rsidRDefault="00DA2C27" w:rsidP="009B36F6">
      <w:pPr>
        <w:spacing w:after="240" w:line="276" w:lineRule="auto"/>
        <w:jc w:val="both"/>
        <w:rPr>
          <w:rFonts w:ascii="Arial" w:hAnsi="Arial"/>
          <w:sz w:val="21"/>
          <w:szCs w:val="21"/>
        </w:rPr>
      </w:pPr>
    </w:p>
    <w:p w14:paraId="70A1F869" w14:textId="77777777" w:rsidR="00DA2C27" w:rsidRPr="002D3252" w:rsidRDefault="00DA2C27" w:rsidP="009B36F6">
      <w:pPr>
        <w:spacing w:after="240" w:line="276" w:lineRule="auto"/>
        <w:jc w:val="both"/>
        <w:rPr>
          <w:rFonts w:ascii="Arial" w:hAnsi="Arial"/>
          <w:sz w:val="21"/>
          <w:szCs w:val="21"/>
        </w:rPr>
      </w:pPr>
    </w:p>
    <w:p w14:paraId="11ED9040" w14:textId="65D6C28B" w:rsidR="004725D6" w:rsidRPr="004725D6" w:rsidRDefault="004725D6" w:rsidP="00E9447C">
      <w:pPr>
        <w:pStyle w:val="Prrafodelista"/>
        <w:keepNext/>
        <w:numPr>
          <w:ilvl w:val="2"/>
          <w:numId w:val="16"/>
        </w:numPr>
        <w:suppressAutoHyphens/>
        <w:spacing w:before="360" w:after="240" w:line="276" w:lineRule="auto"/>
        <w:ind w:left="1134" w:hanging="1134"/>
        <w:jc w:val="both"/>
        <w:outlineLvl w:val="2"/>
        <w:rPr>
          <w:rFonts w:ascii="Arial" w:eastAsia="Times New Roman" w:hAnsi="Arial" w:cs="Arial"/>
          <w:b/>
          <w:color w:val="9D2235"/>
          <w:sz w:val="28"/>
          <w:szCs w:val="28"/>
        </w:rPr>
      </w:pPr>
      <w:bookmarkStart w:id="91" w:name="_Toc67646243"/>
      <w:bookmarkStart w:id="92" w:name="_Toc99110700"/>
      <w:r w:rsidRPr="00C55F0E">
        <w:rPr>
          <w:rFonts w:ascii="Arial" w:eastAsia="Times New Roman" w:hAnsi="Arial" w:cs="Arial"/>
          <w:b/>
          <w:color w:val="9D2235"/>
          <w:sz w:val="28"/>
          <w:szCs w:val="28"/>
        </w:rPr>
        <w:t>D</w:t>
      </w:r>
      <w:bookmarkEnd w:id="91"/>
      <w:r w:rsidRPr="00C55F0E">
        <w:rPr>
          <w:rFonts w:ascii="Arial" w:eastAsia="Times New Roman" w:hAnsi="Arial" w:cs="Arial"/>
          <w:b/>
          <w:color w:val="9D2235"/>
          <w:sz w:val="28"/>
          <w:szCs w:val="28"/>
        </w:rPr>
        <w:t>irectiva (UE) 2019/1937 del Parlament Europeu i del Consell de 23 d'octubre de 2019, relativa</w:t>
      </w:r>
      <w:r w:rsidRPr="004725D6">
        <w:rPr>
          <w:rFonts w:ascii="Arial" w:eastAsia="Times New Roman" w:hAnsi="Arial" w:cs="Arial"/>
          <w:b/>
          <w:color w:val="9D2235"/>
          <w:sz w:val="28"/>
          <w:szCs w:val="28"/>
        </w:rPr>
        <w:t xml:space="preserve"> a la protecció de les persones que informen sobre infraccions del Dret de la Unió</w:t>
      </w:r>
      <w:bookmarkEnd w:id="92"/>
    </w:p>
    <w:p w14:paraId="73712401" w14:textId="77777777" w:rsidR="00E9447C" w:rsidRPr="00E9447C" w:rsidRDefault="00E9447C" w:rsidP="00E9447C">
      <w:pPr>
        <w:spacing w:after="240" w:line="276" w:lineRule="auto"/>
        <w:jc w:val="both"/>
        <w:rPr>
          <w:rFonts w:ascii="Arial" w:hAnsi="Arial"/>
          <w:sz w:val="21"/>
          <w:szCs w:val="21"/>
        </w:rPr>
      </w:pPr>
      <w:r w:rsidRPr="00E9447C">
        <w:rPr>
          <w:rFonts w:ascii="Arial" w:hAnsi="Arial"/>
          <w:sz w:val="21"/>
          <w:szCs w:val="21"/>
        </w:rPr>
        <w:t xml:space="preserve">El passat 17 de desembre de 2021 va finalitzar el termini per a la transposició a l'ordenament jurídic espanyol de la </w:t>
      </w:r>
      <w:hyperlink r:id="rId231" w:history="1">
        <w:r w:rsidRPr="00E9447C">
          <w:rPr>
            <w:rStyle w:val="Hipervnculo"/>
            <w:rFonts w:ascii="Arial" w:hAnsi="Arial"/>
            <w:sz w:val="21"/>
            <w:szCs w:val="21"/>
          </w:rPr>
          <w:t>Directiva (UE) 2019/1937 del Parlament Europeu i del Consell, de 23 d'octubre de 2019, relativa a la protecció de les persones que informen sobre infraccions del Dret de la Unió,</w:t>
        </w:r>
      </w:hyperlink>
      <w:r w:rsidRPr="00E9447C">
        <w:rPr>
          <w:rFonts w:ascii="Arial" w:hAnsi="Arial"/>
          <w:sz w:val="21"/>
          <w:szCs w:val="21"/>
        </w:rPr>
        <w:t xml:space="preserve"> publicada en el </w:t>
      </w:r>
      <w:r w:rsidRPr="00E9447C">
        <w:rPr>
          <w:rFonts w:ascii="Arial" w:hAnsi="Arial"/>
          <w:i/>
          <w:iCs/>
          <w:sz w:val="21"/>
          <w:szCs w:val="21"/>
        </w:rPr>
        <w:t>Diari Oficial de la Unió Europea</w:t>
      </w:r>
      <w:r w:rsidRPr="00E9447C">
        <w:rPr>
          <w:rFonts w:ascii="Arial" w:hAnsi="Arial"/>
          <w:sz w:val="21"/>
          <w:szCs w:val="21"/>
        </w:rPr>
        <w:t xml:space="preserve"> (DOUE) el 26 de novembre de 2019 i l'entrada en vigor del qual es va produir en data 17 de desembre de 2019.</w:t>
      </w:r>
    </w:p>
    <w:p w14:paraId="66C64326" w14:textId="77777777" w:rsidR="00E9447C" w:rsidRPr="00E9447C" w:rsidRDefault="00E9447C" w:rsidP="00E9447C">
      <w:pPr>
        <w:spacing w:after="240" w:line="276" w:lineRule="auto"/>
        <w:jc w:val="both"/>
        <w:rPr>
          <w:rFonts w:ascii="Arial" w:hAnsi="Arial"/>
          <w:sz w:val="21"/>
          <w:szCs w:val="21"/>
        </w:rPr>
      </w:pPr>
      <w:r w:rsidRPr="00E9447C">
        <w:rPr>
          <w:rFonts w:ascii="Arial" w:hAnsi="Arial"/>
          <w:sz w:val="21"/>
          <w:szCs w:val="21"/>
        </w:rPr>
        <w:t>La importància i transcendència d'aquesta Directiva deriva que amb la seua aprovació s'assisteix a l'aparició d'un nou marc europeu en matèria de protecció a persones que denuncien o alerten de fets o conductes contraris a l'interés públic.</w:t>
      </w:r>
    </w:p>
    <w:p w14:paraId="39C118C9" w14:textId="438B18BD" w:rsidR="004725D6" w:rsidRPr="00E9447C" w:rsidRDefault="00E9447C" w:rsidP="00E9447C">
      <w:pPr>
        <w:spacing w:after="240" w:line="276" w:lineRule="auto"/>
        <w:jc w:val="both"/>
        <w:rPr>
          <w:rFonts w:ascii="Arial" w:hAnsi="Arial"/>
          <w:sz w:val="21"/>
          <w:szCs w:val="21"/>
        </w:rPr>
      </w:pPr>
      <w:r w:rsidRPr="00E9447C">
        <w:rPr>
          <w:rFonts w:ascii="Arial" w:hAnsi="Arial"/>
          <w:sz w:val="21"/>
          <w:szCs w:val="21"/>
        </w:rPr>
        <w:t xml:space="preserve">En l'actualitat, la transposició de la Directiva (UE) 2019/1937 als països de la Unió Europea, es troba, segons fonts de </w:t>
      </w:r>
      <w:hyperlink r:id="rId232" w:history="1">
        <w:r w:rsidRPr="00E9447C">
          <w:rPr>
            <w:rStyle w:val="Hipervnculo"/>
            <w:rFonts w:ascii="Arial" w:hAnsi="Arial"/>
            <w:sz w:val="21"/>
            <w:szCs w:val="21"/>
          </w:rPr>
          <w:t>Transparència Internacional</w:t>
        </w:r>
      </w:hyperlink>
      <w:r w:rsidRPr="00E9447C">
        <w:rPr>
          <w:rFonts w:ascii="Arial" w:hAnsi="Arial"/>
          <w:sz w:val="21"/>
          <w:szCs w:val="21"/>
        </w:rPr>
        <w:t>, en el següent estat:</w:t>
      </w:r>
    </w:p>
    <w:p w14:paraId="7AB61A74" w14:textId="77777777" w:rsidR="004725D6" w:rsidRDefault="004725D6" w:rsidP="004725D6">
      <w:pPr>
        <w:keepNext/>
        <w:spacing w:after="240" w:line="276" w:lineRule="auto"/>
        <w:jc w:val="center"/>
      </w:pPr>
      <w:r w:rsidRPr="004725D6">
        <w:rPr>
          <w:rFonts w:ascii="Calibri" w:eastAsia="Calibri" w:hAnsi="Calibri" w:cs="Times New Roman"/>
          <w:noProof/>
          <w:lang w:val="es-ES"/>
        </w:rPr>
        <w:drawing>
          <wp:inline distT="0" distB="0" distL="0" distR="0" wp14:anchorId="503DCA52" wp14:editId="6D87943D">
            <wp:extent cx="3174889" cy="4520409"/>
            <wp:effectExtent l="0" t="0" r="6985" b="0"/>
            <wp:docPr id="8" name="Imagen 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Mapa&#10;&#10;Descripción generada automáticament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09498" cy="4569685"/>
                    </a:xfrm>
                    <a:prstGeom prst="rect">
                      <a:avLst/>
                    </a:prstGeom>
                    <a:noFill/>
                    <a:ln>
                      <a:noFill/>
                    </a:ln>
                  </pic:spPr>
                </pic:pic>
              </a:graphicData>
            </a:graphic>
          </wp:inline>
        </w:drawing>
      </w:r>
    </w:p>
    <w:p w14:paraId="0036998F" w14:textId="20B43E58" w:rsidR="00DB0C0E" w:rsidRPr="004725D6" w:rsidRDefault="004725D6" w:rsidP="004725D6">
      <w:pPr>
        <w:pStyle w:val="Descripcin"/>
        <w:jc w:val="center"/>
        <w:rPr>
          <w:rFonts w:ascii="Arial" w:hAnsi="Arial" w:cs="Arial"/>
          <w:smallCaps w:val="0"/>
          <w:sz w:val="18"/>
          <w:szCs w:val="18"/>
        </w:rPr>
      </w:pPr>
      <w:bookmarkStart w:id="93" w:name="_Toc99110892"/>
      <w:r w:rsidRPr="004725D6">
        <w:rPr>
          <w:rFonts w:ascii="Arial" w:hAnsi="Arial" w:cs="Arial"/>
          <w:smallCaps w:val="0"/>
          <w:color w:val="9D2235" w:themeColor="accent1"/>
          <w:sz w:val="18"/>
          <w:szCs w:val="18"/>
        </w:rPr>
        <w:t xml:space="preserve">Imatge </w:t>
      </w:r>
      <w:r w:rsidRPr="004725D6">
        <w:rPr>
          <w:rFonts w:ascii="Arial" w:hAnsi="Arial" w:cs="Arial"/>
          <w:smallCaps w:val="0"/>
          <w:color w:val="9D2235" w:themeColor="accent1"/>
          <w:sz w:val="18"/>
          <w:szCs w:val="18"/>
        </w:rPr>
        <w:fldChar w:fldCharType="begin" w:fldLock="1"/>
      </w:r>
      <w:r w:rsidRPr="004725D6">
        <w:rPr>
          <w:rFonts w:ascii="Arial" w:hAnsi="Arial" w:cs="Arial"/>
          <w:smallCaps w:val="0"/>
          <w:color w:val="9D2235" w:themeColor="accent1"/>
          <w:sz w:val="18"/>
          <w:szCs w:val="18"/>
        </w:rPr>
        <w:instrText xml:space="preserve"> SEQ Imatge \* ARABIC </w:instrText>
      </w:r>
      <w:r w:rsidRPr="004725D6">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3</w:t>
      </w:r>
      <w:r w:rsidRPr="004725D6">
        <w:rPr>
          <w:rFonts w:ascii="Arial" w:hAnsi="Arial" w:cs="Arial"/>
          <w:smallCaps w:val="0"/>
          <w:color w:val="9D2235" w:themeColor="accent1"/>
          <w:sz w:val="18"/>
          <w:szCs w:val="18"/>
        </w:rPr>
        <w:fldChar w:fldCharType="end"/>
      </w:r>
      <w:r w:rsidRPr="004725D6">
        <w:rPr>
          <w:rFonts w:ascii="Arial" w:hAnsi="Arial" w:cs="Arial"/>
          <w:smallCaps w:val="0"/>
          <w:color w:val="9D2235" w:themeColor="accent1"/>
          <w:sz w:val="18"/>
          <w:szCs w:val="18"/>
        </w:rPr>
        <w:t xml:space="preserve">. </w:t>
      </w:r>
      <w:r w:rsidRPr="004725D6">
        <w:rPr>
          <w:rFonts w:ascii="Arial" w:hAnsi="Arial" w:cs="Arial"/>
          <w:smallCaps w:val="0"/>
          <w:sz w:val="18"/>
          <w:szCs w:val="18"/>
        </w:rPr>
        <w:t>Infografia estat de la transposició mama Europa de Transparència Internacional</w:t>
      </w:r>
      <w:bookmarkEnd w:id="93"/>
    </w:p>
    <w:p w14:paraId="765060B0" w14:textId="77777777" w:rsidR="00E9447C" w:rsidRPr="00E9447C" w:rsidRDefault="00E9447C" w:rsidP="00E9447C">
      <w:pPr>
        <w:spacing w:after="240" w:line="276" w:lineRule="auto"/>
        <w:jc w:val="both"/>
        <w:rPr>
          <w:rFonts w:ascii="Arial" w:hAnsi="Arial"/>
          <w:sz w:val="21"/>
          <w:szCs w:val="21"/>
        </w:rPr>
      </w:pPr>
      <w:r w:rsidRPr="00E9447C">
        <w:rPr>
          <w:rFonts w:ascii="Arial" w:hAnsi="Arial"/>
          <w:sz w:val="21"/>
          <w:szCs w:val="21"/>
        </w:rPr>
        <w:t xml:space="preserve">De la informació recollida per </w:t>
      </w:r>
      <w:hyperlink r:id="rId234" w:history="1">
        <w:r w:rsidRPr="00E9447C">
          <w:rPr>
            <w:rStyle w:val="Hipervnculo"/>
            <w:rFonts w:ascii="Arial" w:hAnsi="Arial"/>
            <w:sz w:val="21"/>
            <w:szCs w:val="21"/>
          </w:rPr>
          <w:t>Transparència Internacional</w:t>
        </w:r>
      </w:hyperlink>
      <w:r w:rsidRPr="00E9447C">
        <w:rPr>
          <w:rFonts w:ascii="Arial" w:hAnsi="Arial"/>
          <w:sz w:val="21"/>
          <w:szCs w:val="21"/>
        </w:rPr>
        <w:t xml:space="preserve"> s'observa que, dels vint-i-set Estats membres de la Unió Europea, a data de redacció d'aquesta Memòria, només cinc països han adoptat una nova legislació de protecció de denunciants i transposició de la Directiva: Dinamarca (al juny 2021), Suècia (al setembre 2021), Portugal (al novembre 2021), Malta i Lituània (el gener de 2022). </w:t>
      </w:r>
    </w:p>
    <w:p w14:paraId="288525E7" w14:textId="77777777" w:rsidR="00E9447C" w:rsidRPr="00E9447C" w:rsidRDefault="00E9447C" w:rsidP="00E9447C">
      <w:pPr>
        <w:spacing w:after="240" w:line="276" w:lineRule="auto"/>
        <w:jc w:val="both"/>
        <w:rPr>
          <w:rFonts w:ascii="Arial" w:hAnsi="Arial"/>
          <w:sz w:val="21"/>
          <w:szCs w:val="21"/>
        </w:rPr>
      </w:pPr>
      <w:r w:rsidRPr="00E9447C">
        <w:rPr>
          <w:rFonts w:ascii="Arial" w:hAnsi="Arial"/>
          <w:sz w:val="21"/>
          <w:szCs w:val="21"/>
        </w:rPr>
        <w:t>Per part seua, es troben en seu parlamentària els projectes de llei de França, Països Baixos i Estònia. També altres onze països de la Unió tenen projectes de llei: Bèlgica (limitat al sector privat), Croàcia, República Txeca, Finlàndia, Irlanda, Letònia, Polònia, Romania, Eslovàquia i Eslovènia. En els nou països restants, els projectes de llei encara no s'han traslladat per al seu debat més enllà dels òrgans interns de govern.</w:t>
      </w:r>
    </w:p>
    <w:p w14:paraId="3ABCFC63" w14:textId="77777777" w:rsidR="00E9447C" w:rsidRPr="00E9447C" w:rsidRDefault="00E9447C" w:rsidP="00E9447C">
      <w:pPr>
        <w:spacing w:after="240" w:line="276" w:lineRule="auto"/>
        <w:jc w:val="both"/>
        <w:rPr>
          <w:rFonts w:ascii="Arial" w:hAnsi="Arial"/>
          <w:sz w:val="21"/>
          <w:szCs w:val="21"/>
        </w:rPr>
      </w:pPr>
      <w:r w:rsidRPr="00E9447C">
        <w:rPr>
          <w:rFonts w:ascii="Arial" w:hAnsi="Arial"/>
          <w:sz w:val="21"/>
          <w:szCs w:val="21"/>
        </w:rPr>
        <w:t xml:space="preserve">Quant als tràmits realitzats a Espanya en relació amb la transposició de la Directiva (UE) 2019/1937, ha d'esmentar-se l'aprovació pel Govern de l'IV </w:t>
      </w:r>
      <w:hyperlink r:id="rId235" w:history="1">
        <w:r w:rsidRPr="00E9447C">
          <w:rPr>
            <w:rStyle w:val="Hipervnculo"/>
            <w:rFonts w:ascii="Arial" w:hAnsi="Arial"/>
            <w:sz w:val="21"/>
            <w:szCs w:val="21"/>
          </w:rPr>
          <w:t>Pla de Govern Obert d'Espanya 2020-2024</w:t>
        </w:r>
      </w:hyperlink>
      <w:r w:rsidRPr="00E9447C">
        <w:rPr>
          <w:rFonts w:ascii="Arial" w:hAnsi="Arial"/>
          <w:sz w:val="21"/>
          <w:szCs w:val="21"/>
        </w:rPr>
        <w:t>, que recull els deu compromisos que assumeixen les Administracions públiques per a reforçar la transparència i la rendició de comptes, millorar la participació, establir sistemes d'integritat pública, i formar i sensibilitzar a la ciutadania i al personal empleat públic en matèria de govern obert, tots ells amb l'objectiu de contribuir a una societat més justa, pacífica i inclusiva.</w:t>
      </w:r>
    </w:p>
    <w:p w14:paraId="38F57BC2" w14:textId="40E58FB4" w:rsidR="00E9447C" w:rsidRPr="00E9447C" w:rsidRDefault="00E9447C" w:rsidP="00E9447C">
      <w:pPr>
        <w:spacing w:after="240" w:line="276" w:lineRule="auto"/>
        <w:jc w:val="both"/>
        <w:rPr>
          <w:rFonts w:ascii="Arial" w:hAnsi="Arial"/>
          <w:sz w:val="21"/>
          <w:szCs w:val="21"/>
        </w:rPr>
      </w:pPr>
      <w:r w:rsidRPr="00E9447C">
        <w:rPr>
          <w:rFonts w:ascii="Arial" w:hAnsi="Arial"/>
          <w:sz w:val="21"/>
          <w:szCs w:val="21"/>
        </w:rPr>
        <w:t xml:space="preserve">En concret, dins de l'eix </w:t>
      </w:r>
      <w:r w:rsidR="00CD7664" w:rsidRPr="00CD7664">
        <w:rPr>
          <w:rFonts w:ascii="Arial" w:hAnsi="Arial"/>
          <w:b/>
          <w:bCs/>
          <w:sz w:val="21"/>
          <w:szCs w:val="21"/>
        </w:rPr>
        <w:t>“</w:t>
      </w:r>
      <w:r w:rsidRPr="00E9447C">
        <w:rPr>
          <w:rFonts w:ascii="Arial" w:hAnsi="Arial"/>
          <w:b/>
          <w:bCs/>
          <w:sz w:val="21"/>
          <w:szCs w:val="21"/>
        </w:rPr>
        <w:t>d’Integritat”</w:t>
      </w:r>
      <w:r w:rsidRPr="00E9447C">
        <w:rPr>
          <w:rFonts w:ascii="Arial" w:hAnsi="Arial"/>
          <w:i/>
          <w:iCs/>
          <w:sz w:val="21"/>
          <w:szCs w:val="21"/>
        </w:rPr>
        <w:t xml:space="preserve"> </w:t>
      </w:r>
      <w:r w:rsidRPr="00E9447C">
        <w:rPr>
          <w:rFonts w:ascii="Arial" w:hAnsi="Arial"/>
          <w:sz w:val="21"/>
          <w:szCs w:val="21"/>
        </w:rPr>
        <w:t xml:space="preserve">d'aquest IV Pla de Govern Obert s'inclou, com a compromís número 6, el relatiu a la “Protecció de denunciants”, la finalitat de les quals incorpora, a més de la creació de la nova Autoritat Independent de Protecció del Denunciant, el següent: </w:t>
      </w:r>
    </w:p>
    <w:p w14:paraId="6B304C5F" w14:textId="77777777" w:rsidR="00E9447C" w:rsidRPr="00CA3AC1" w:rsidRDefault="00E9447C" w:rsidP="00E9447C">
      <w:pPr>
        <w:spacing w:after="240" w:line="276" w:lineRule="auto"/>
        <w:ind w:left="567"/>
        <w:jc w:val="both"/>
        <w:rPr>
          <w:rFonts w:ascii="Arial" w:hAnsi="Arial"/>
          <w:sz w:val="20"/>
          <w:szCs w:val="20"/>
        </w:rPr>
      </w:pPr>
      <w:r w:rsidRPr="00CA3AC1">
        <w:rPr>
          <w:rFonts w:ascii="Arial" w:hAnsi="Arial"/>
          <w:sz w:val="20"/>
          <w:szCs w:val="20"/>
        </w:rPr>
        <w:t>“Transposar a l'ordenament jurídic espanyol la Directiva (UE) 2019/1937 de 23 d'octubre de 2019, relativa a la protecció de les persones que informen sobre infraccions del dret de la UE. Aprovar un marc jurídic uniforme que garantisca la protecció de les persones que faciliten informació per a la detecció de delictes o infraccions legals en el si d'una organització, siga pública o privada, i contribuir d'aquesta manera a una millor implementació de la llei.”</w:t>
      </w:r>
    </w:p>
    <w:p w14:paraId="03337F49" w14:textId="77777777" w:rsidR="00E9447C" w:rsidRPr="00E9447C" w:rsidRDefault="00E9447C" w:rsidP="00E9447C">
      <w:pPr>
        <w:spacing w:after="240" w:line="276" w:lineRule="auto"/>
        <w:jc w:val="both"/>
        <w:rPr>
          <w:rFonts w:ascii="Arial" w:hAnsi="Arial"/>
          <w:sz w:val="21"/>
          <w:szCs w:val="21"/>
        </w:rPr>
      </w:pPr>
      <w:r w:rsidRPr="00E9447C">
        <w:rPr>
          <w:rFonts w:ascii="Arial" w:hAnsi="Arial"/>
          <w:sz w:val="21"/>
          <w:szCs w:val="21"/>
        </w:rPr>
        <w:t>Aquest compromís recollia un calendari durant 2021, amb indicació expressa dels tràmits a seguir, pel Grup de Treball constituït pel Ministeri de Justícia l'any 2020, en el si de la Secció de Dret Públic de la Comissió General de Codificació, encarregat de preparar la proposta de text articulat per a la transposició.</w:t>
      </w:r>
    </w:p>
    <w:p w14:paraId="3C63EAE0" w14:textId="77777777" w:rsidR="00E9447C" w:rsidRPr="00E9447C" w:rsidRDefault="00E9447C" w:rsidP="00E9447C">
      <w:pPr>
        <w:spacing w:after="240" w:line="276" w:lineRule="auto"/>
        <w:jc w:val="both"/>
        <w:rPr>
          <w:rFonts w:ascii="Arial" w:hAnsi="Arial"/>
          <w:sz w:val="21"/>
          <w:szCs w:val="21"/>
        </w:rPr>
      </w:pPr>
      <w:r w:rsidRPr="00E9447C">
        <w:rPr>
          <w:rFonts w:ascii="Arial" w:hAnsi="Arial"/>
          <w:sz w:val="21"/>
          <w:szCs w:val="21"/>
        </w:rPr>
        <w:t>A tals efectes, els objectius fixats pel Ministeri de Justícia per a la consecució del citat compromís són, literalment els següents:</w:t>
      </w:r>
    </w:p>
    <w:p w14:paraId="60366079" w14:textId="77777777" w:rsidR="00E9447C" w:rsidRPr="00CA3AC1" w:rsidRDefault="00E9447C" w:rsidP="00E9447C">
      <w:pPr>
        <w:spacing w:after="120" w:line="276" w:lineRule="auto"/>
        <w:ind w:left="567"/>
        <w:jc w:val="both"/>
        <w:rPr>
          <w:rFonts w:ascii="Arial" w:hAnsi="Arial"/>
          <w:sz w:val="20"/>
          <w:szCs w:val="20"/>
        </w:rPr>
      </w:pPr>
      <w:r w:rsidRPr="00CA3AC1">
        <w:rPr>
          <w:rFonts w:ascii="Arial" w:hAnsi="Arial"/>
          <w:sz w:val="20"/>
          <w:szCs w:val="20"/>
        </w:rPr>
        <w:t>“Establir una regulació per a protegir a totes les persones denunciants que informen sobre corrupció o fraus i violacions de les lleis dels països de la Unió Europea, mitjançant l'establiment de canals protegits de denúncies i la prohibició de represàlies contra els qui denuncien irregularitats en empreses privades i organismes públics.</w:t>
      </w:r>
    </w:p>
    <w:p w14:paraId="211FFEA4" w14:textId="77777777" w:rsidR="00E9447C" w:rsidRPr="00CA3AC1" w:rsidRDefault="00E9447C" w:rsidP="00E9447C">
      <w:pPr>
        <w:spacing w:after="120" w:line="276" w:lineRule="auto"/>
        <w:ind w:left="567"/>
        <w:jc w:val="both"/>
        <w:rPr>
          <w:rFonts w:ascii="Arial" w:hAnsi="Arial"/>
          <w:sz w:val="20"/>
          <w:szCs w:val="20"/>
        </w:rPr>
      </w:pPr>
      <w:r w:rsidRPr="00CA3AC1">
        <w:rPr>
          <w:rFonts w:ascii="Arial" w:hAnsi="Arial"/>
          <w:sz w:val="20"/>
          <w:szCs w:val="20"/>
        </w:rPr>
        <w:t xml:space="preserve">Poder explotar el potencial de protecció del qual denúncia per a reforçar l'aplicació i el compliment de la legislació en tots els àmbits. </w:t>
      </w:r>
    </w:p>
    <w:p w14:paraId="637896A5" w14:textId="77777777" w:rsidR="00E9447C" w:rsidRPr="00CA3AC1" w:rsidRDefault="00E9447C" w:rsidP="00E9447C">
      <w:pPr>
        <w:spacing w:after="120" w:line="276" w:lineRule="auto"/>
        <w:ind w:left="567"/>
        <w:jc w:val="both"/>
        <w:rPr>
          <w:rFonts w:ascii="Arial" w:hAnsi="Arial"/>
          <w:sz w:val="20"/>
          <w:szCs w:val="20"/>
        </w:rPr>
      </w:pPr>
      <w:r w:rsidRPr="00CA3AC1">
        <w:rPr>
          <w:rFonts w:ascii="Arial" w:hAnsi="Arial"/>
          <w:sz w:val="20"/>
          <w:szCs w:val="20"/>
        </w:rPr>
        <w:t>Reforçar l'exercici del dret a la llibertat d'expressió i informació.</w:t>
      </w:r>
    </w:p>
    <w:p w14:paraId="24381335" w14:textId="77777777" w:rsidR="00E9447C" w:rsidRPr="00E9447C" w:rsidRDefault="00E9447C" w:rsidP="00DA2C27">
      <w:pPr>
        <w:spacing w:after="360" w:line="276" w:lineRule="auto"/>
        <w:ind w:left="567"/>
        <w:jc w:val="both"/>
        <w:rPr>
          <w:rFonts w:ascii="Arial" w:hAnsi="Arial"/>
          <w:sz w:val="21"/>
          <w:szCs w:val="21"/>
        </w:rPr>
      </w:pPr>
      <w:r w:rsidRPr="00CA3AC1">
        <w:rPr>
          <w:rFonts w:ascii="Arial" w:hAnsi="Arial"/>
          <w:sz w:val="20"/>
          <w:szCs w:val="20"/>
        </w:rPr>
        <w:t>Tal com preveu la Directiva, establir un aparell institucional adequat per a garantir la protecció del denunciant a través de l'autoritat que designe l'Estat membre.”</w:t>
      </w:r>
    </w:p>
    <w:p w14:paraId="164594E0" w14:textId="77777777" w:rsidR="00E9447C" w:rsidRPr="00E9447C" w:rsidRDefault="00E9447C" w:rsidP="00DA2C27">
      <w:pPr>
        <w:spacing w:after="360" w:line="276" w:lineRule="auto"/>
        <w:jc w:val="both"/>
        <w:rPr>
          <w:rFonts w:ascii="Arial" w:hAnsi="Arial"/>
          <w:sz w:val="21"/>
          <w:szCs w:val="21"/>
        </w:rPr>
      </w:pPr>
      <w:r w:rsidRPr="00E9447C">
        <w:rPr>
          <w:rFonts w:ascii="Arial" w:hAnsi="Arial"/>
          <w:sz w:val="21"/>
          <w:szCs w:val="21"/>
        </w:rPr>
        <w:t>Es destaca a continuació com a compromís del Govern de la nació el següent:</w:t>
      </w:r>
    </w:p>
    <w:p w14:paraId="066D06D5" w14:textId="77777777" w:rsidR="00E9447C" w:rsidRPr="00CA3AC1" w:rsidRDefault="00E9447C" w:rsidP="00DA2C27">
      <w:pPr>
        <w:spacing w:after="360" w:line="276" w:lineRule="auto"/>
        <w:ind w:left="567"/>
        <w:jc w:val="both"/>
        <w:rPr>
          <w:rFonts w:ascii="Arial" w:hAnsi="Arial"/>
          <w:sz w:val="20"/>
          <w:szCs w:val="20"/>
        </w:rPr>
      </w:pPr>
      <w:r w:rsidRPr="00CA3AC1">
        <w:rPr>
          <w:rFonts w:ascii="Arial" w:hAnsi="Arial"/>
          <w:sz w:val="20"/>
          <w:szCs w:val="20"/>
        </w:rPr>
        <w:t>“La iniciativa ha de ser prioritària, ja que serà un instrument especialment útil en la lluita integral contra la corrupció, i la protecció de les persones que denuncien l'incompliment d'infraccions i violacions de la llei, tant en l'àmbit públic com en el privat”.</w:t>
      </w:r>
    </w:p>
    <w:p w14:paraId="1C3246FE" w14:textId="77777777" w:rsidR="00E9447C" w:rsidRPr="00E9447C" w:rsidRDefault="00E9447C" w:rsidP="00DA2C27">
      <w:pPr>
        <w:spacing w:after="360" w:line="276" w:lineRule="auto"/>
        <w:jc w:val="both"/>
        <w:rPr>
          <w:rFonts w:ascii="Arial" w:hAnsi="Arial"/>
          <w:sz w:val="21"/>
          <w:szCs w:val="21"/>
        </w:rPr>
      </w:pPr>
      <w:r w:rsidRPr="00E9447C">
        <w:rPr>
          <w:rFonts w:ascii="Arial" w:hAnsi="Arial"/>
          <w:sz w:val="21"/>
          <w:szCs w:val="21"/>
        </w:rPr>
        <w:t>El calendari per a la transposició de la Directiva, després de la consulta pública prèvia, incloïa les següents fites a realitzar durant el primer semestre de 2021: sotmetre el resultat de la consulta a Consell de Ministres, a fi de decidir els següents tràmits i, en particular, sobre les consultes, dictàmens i informes que resulten convenients; el tràmit d'audiència i informació pública; i la incorporació d'informes d'altres òrgans, com l'Oficina de Coordinació i Qualitat Normativa del Ministeri de la Presidència, Relacions amb les Corts i Memòria Democràtica, la Federació Espanyola de Municipis i Províncies, la Direcció General de Coordinació Autonòmica i Local del Ministeri de Política Territorial i Funció Pública, l'Agència Espanyola de Protecció de Dades i la Secretaria General Tècnica del Ministeri de Justícia.</w:t>
      </w:r>
    </w:p>
    <w:p w14:paraId="1B0EFB51" w14:textId="033187B7" w:rsidR="004725D6" w:rsidRDefault="00E9447C" w:rsidP="00E9447C">
      <w:pPr>
        <w:spacing w:after="240" w:line="276" w:lineRule="auto"/>
        <w:jc w:val="both"/>
        <w:rPr>
          <w:rFonts w:ascii="Arial" w:hAnsi="Arial"/>
          <w:sz w:val="21"/>
          <w:szCs w:val="21"/>
        </w:rPr>
      </w:pPr>
      <w:r w:rsidRPr="00E9447C">
        <w:rPr>
          <w:rFonts w:ascii="Arial" w:hAnsi="Arial"/>
          <w:sz w:val="21"/>
          <w:szCs w:val="21"/>
        </w:rPr>
        <w:t>Recordem que segons l'IV Pla de Govern Obert 2020-2024, les dates estimades ja haurien d'haver arribat al punt 5 de la tramitació. No obstant això, únicament ha finalitzat el punt 1 dedicat a la “Consulta pública prèvia”, i ni tan sols els resultats d'aquesta consulta s'han fet públics en el portal de transparència</w:t>
      </w:r>
      <w:r w:rsidRPr="00E9447C">
        <w:rPr>
          <w:rFonts w:ascii="Arial" w:hAnsi="Arial"/>
          <w:sz w:val="21"/>
          <w:szCs w:val="21"/>
          <w:lang w:val="es-ES"/>
        </w:rPr>
        <w:t>.</w:t>
      </w:r>
    </w:p>
    <w:p w14:paraId="1F36A2F8" w14:textId="77777777" w:rsidR="0041409E" w:rsidRDefault="0041409E" w:rsidP="0041409E">
      <w:pPr>
        <w:keepNext/>
        <w:spacing w:after="240" w:line="276" w:lineRule="auto"/>
        <w:jc w:val="center"/>
      </w:pPr>
      <w:r w:rsidRPr="0041409E">
        <w:rPr>
          <w:rFonts w:ascii="Calibri" w:eastAsia="Calibri" w:hAnsi="Calibri" w:cs="Times New Roman"/>
          <w:noProof/>
        </w:rPr>
        <w:drawing>
          <wp:inline distT="0" distB="0" distL="0" distR="0" wp14:anchorId="2A8DE141" wp14:editId="200742B2">
            <wp:extent cx="5001905" cy="4557239"/>
            <wp:effectExtent l="0" t="0" r="8255" b="0"/>
            <wp:docPr id="30" name="Imagen 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pic:cNvPicPr/>
                  </pic:nvPicPr>
                  <pic:blipFill>
                    <a:blip r:embed="rId236"/>
                    <a:stretch>
                      <a:fillRect/>
                    </a:stretch>
                  </pic:blipFill>
                  <pic:spPr>
                    <a:xfrm>
                      <a:off x="0" y="0"/>
                      <a:ext cx="5010065" cy="4564674"/>
                    </a:xfrm>
                    <a:prstGeom prst="rect">
                      <a:avLst/>
                    </a:prstGeom>
                  </pic:spPr>
                </pic:pic>
              </a:graphicData>
            </a:graphic>
          </wp:inline>
        </w:drawing>
      </w:r>
    </w:p>
    <w:p w14:paraId="26FD33A1" w14:textId="4E863DD9" w:rsidR="00DB0C0E" w:rsidRPr="002D3252" w:rsidRDefault="0041409E" w:rsidP="0041409E">
      <w:pPr>
        <w:pStyle w:val="Descripcin"/>
        <w:jc w:val="center"/>
        <w:rPr>
          <w:rFonts w:ascii="Arial" w:hAnsi="Arial"/>
          <w:sz w:val="21"/>
          <w:szCs w:val="21"/>
        </w:rPr>
      </w:pPr>
      <w:bookmarkStart w:id="94" w:name="_Toc99110893"/>
      <w:r w:rsidRPr="0041409E">
        <w:rPr>
          <w:rFonts w:ascii="Arial" w:hAnsi="Arial" w:cs="Arial"/>
          <w:smallCaps w:val="0"/>
          <w:color w:val="9D2235" w:themeColor="accent1"/>
          <w:sz w:val="18"/>
          <w:szCs w:val="18"/>
        </w:rPr>
        <w:t xml:space="preserve">Imatge </w:t>
      </w:r>
      <w:r w:rsidRPr="0041409E">
        <w:rPr>
          <w:rFonts w:ascii="Arial" w:hAnsi="Arial" w:cs="Arial"/>
          <w:smallCaps w:val="0"/>
          <w:color w:val="9D2235" w:themeColor="accent1"/>
          <w:sz w:val="18"/>
          <w:szCs w:val="18"/>
        </w:rPr>
        <w:fldChar w:fldCharType="begin" w:fldLock="1"/>
      </w:r>
      <w:r w:rsidRPr="0041409E">
        <w:rPr>
          <w:rFonts w:ascii="Arial" w:hAnsi="Arial" w:cs="Arial"/>
          <w:smallCaps w:val="0"/>
          <w:color w:val="9D2235" w:themeColor="accent1"/>
          <w:sz w:val="18"/>
          <w:szCs w:val="18"/>
        </w:rPr>
        <w:instrText xml:space="preserve"> SEQ Imatge \* ARABIC </w:instrText>
      </w:r>
      <w:r w:rsidRPr="0041409E">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4</w:t>
      </w:r>
      <w:r w:rsidRPr="0041409E">
        <w:rPr>
          <w:rFonts w:ascii="Arial" w:hAnsi="Arial" w:cs="Arial"/>
          <w:smallCaps w:val="0"/>
          <w:color w:val="9D2235" w:themeColor="accent1"/>
          <w:sz w:val="18"/>
          <w:szCs w:val="18"/>
        </w:rPr>
        <w:fldChar w:fldCharType="end"/>
      </w:r>
      <w:r w:rsidRPr="0041409E">
        <w:rPr>
          <w:rFonts w:ascii="Arial" w:hAnsi="Arial" w:cs="Arial"/>
          <w:smallCaps w:val="0"/>
          <w:sz w:val="18"/>
          <w:szCs w:val="18"/>
        </w:rPr>
        <w:t xml:space="preserve">. Infografia calendari transposició de la Directiva (UE) 2019/1937 </w:t>
      </w:r>
      <w:r w:rsidR="000B76FC">
        <w:rPr>
          <w:rFonts w:ascii="Arial" w:hAnsi="Arial" w:cs="Arial"/>
          <w:smallCaps w:val="0"/>
          <w:sz w:val="18"/>
          <w:szCs w:val="18"/>
        </w:rPr>
        <w:t>segons</w:t>
      </w:r>
      <w:r w:rsidRPr="0041409E">
        <w:rPr>
          <w:rFonts w:ascii="Arial" w:hAnsi="Arial" w:cs="Arial"/>
          <w:smallCaps w:val="0"/>
          <w:sz w:val="18"/>
          <w:szCs w:val="18"/>
        </w:rPr>
        <w:t xml:space="preserve"> l'IV Pla de Govern Obert </w:t>
      </w:r>
      <w:r w:rsidR="005A5339" w:rsidRPr="0041409E">
        <w:rPr>
          <w:rFonts w:ascii="Arial" w:hAnsi="Arial" w:cs="Arial"/>
          <w:smallCaps w:val="0"/>
          <w:sz w:val="18"/>
          <w:szCs w:val="18"/>
        </w:rPr>
        <w:t>d’Espanya</w:t>
      </w:r>
      <w:r w:rsidRPr="0041409E">
        <w:rPr>
          <w:rFonts w:ascii="Arial" w:hAnsi="Arial" w:cs="Arial"/>
          <w:smallCaps w:val="0"/>
          <w:sz w:val="18"/>
          <w:szCs w:val="18"/>
        </w:rPr>
        <w:t xml:space="preserve"> (2020 - 2024</w:t>
      </w:r>
      <w:r>
        <w:t>)</w:t>
      </w:r>
      <w:bookmarkEnd w:id="94"/>
    </w:p>
    <w:p w14:paraId="5A17A468"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El </w:t>
      </w:r>
      <w:hyperlink r:id="rId237" w:history="1">
        <w:r w:rsidRPr="00BF1D61">
          <w:rPr>
            <w:rStyle w:val="Hipervnculo"/>
            <w:rFonts w:ascii="Arial" w:hAnsi="Arial"/>
            <w:sz w:val="21"/>
            <w:szCs w:val="21"/>
          </w:rPr>
          <w:t>Pla normatiu del Govern d'Espanya per a 2021</w:t>
        </w:r>
      </w:hyperlink>
      <w:r w:rsidRPr="00BF1D61">
        <w:rPr>
          <w:rFonts w:ascii="Arial" w:hAnsi="Arial"/>
          <w:sz w:val="21"/>
          <w:szCs w:val="21"/>
        </w:rPr>
        <w:t xml:space="preserve"> recull tots aquells assumptes de naturalesa normativa que tenia previst aprovar el Consell de ministres en el segon semestre de l'any, des de 31 d'agost de 2021 fins a 31 de desembre de 2021. </w:t>
      </w:r>
    </w:p>
    <w:p w14:paraId="3A31F573" w14:textId="41C6B48C" w:rsidR="00BF1D61" w:rsidRDefault="00BF1D61" w:rsidP="00BF1D61">
      <w:pPr>
        <w:spacing w:after="240" w:line="276" w:lineRule="auto"/>
        <w:jc w:val="both"/>
        <w:rPr>
          <w:rFonts w:ascii="Arial" w:hAnsi="Arial"/>
          <w:sz w:val="21"/>
          <w:szCs w:val="21"/>
        </w:rPr>
      </w:pPr>
      <w:r w:rsidRPr="00BF1D61">
        <w:rPr>
          <w:rFonts w:ascii="Arial" w:hAnsi="Arial"/>
          <w:sz w:val="21"/>
          <w:szCs w:val="21"/>
        </w:rPr>
        <w:t>El citat Pla contenia cent quaranta-quatre iniciatives, entre lleis orgàniques (sis), lleis ordinàries (vint-i-huit) i reials decrets (cent deu). Del total d'iniciatives, trenta-set són incorporacions necessàries al nostre ordenament jurídic, procedents de mandats del Dret de la Unió Europea. Dins de les vint-i-huit lleis ordinàries previstes, es troba la relativa a la transposició de la Directiva 2019/1937 en l'apartat II: “JUSTÍCIA”. En concret, la transposició s'inclou dins dels nou projectes normatius que s'adscriuen al Ministeri de Justícia (quatre lleis orgàniques, tres lleis ordinàries i dos reals decrets).</w:t>
      </w:r>
    </w:p>
    <w:p w14:paraId="4B5E70A8"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Aquest Pla recollia dos annexos:</w:t>
      </w:r>
    </w:p>
    <w:p w14:paraId="10DB3028" w14:textId="77777777" w:rsidR="00BF1D61" w:rsidRPr="00BF1D61" w:rsidRDefault="00BF1D61" w:rsidP="00BF1D61">
      <w:pPr>
        <w:numPr>
          <w:ilvl w:val="0"/>
          <w:numId w:val="51"/>
        </w:numPr>
        <w:spacing w:after="120" w:line="276" w:lineRule="auto"/>
        <w:ind w:left="714" w:hanging="357"/>
        <w:jc w:val="both"/>
        <w:rPr>
          <w:rFonts w:ascii="Arial" w:hAnsi="Arial"/>
          <w:sz w:val="21"/>
          <w:szCs w:val="21"/>
        </w:rPr>
      </w:pPr>
      <w:r w:rsidRPr="00BF1D61">
        <w:rPr>
          <w:rFonts w:ascii="Arial" w:hAnsi="Arial"/>
          <w:sz w:val="21"/>
          <w:szCs w:val="21"/>
        </w:rPr>
        <w:t>Annex I, acció normativa desenvolupada pel Govern des de principi d'any, de manera que es relacionen, ordenades en aquest cas en funció del Ministeri proponent, aquelles normes o projectes normatius que han sigut aprovats pel Consell de ministres entre 1 de gener i 31 d'agost de 2021, abans de l'aprovació del Pla.</w:t>
      </w:r>
    </w:p>
    <w:p w14:paraId="14C40FCD" w14:textId="77777777" w:rsidR="00BF1D61" w:rsidRPr="00BF1D61" w:rsidRDefault="00BF1D61" w:rsidP="00BF1D61">
      <w:pPr>
        <w:numPr>
          <w:ilvl w:val="0"/>
          <w:numId w:val="51"/>
        </w:numPr>
        <w:spacing w:after="240" w:line="276" w:lineRule="auto"/>
        <w:jc w:val="both"/>
        <w:rPr>
          <w:rFonts w:ascii="Arial" w:hAnsi="Arial"/>
          <w:sz w:val="21"/>
          <w:szCs w:val="21"/>
        </w:rPr>
      </w:pPr>
      <w:r w:rsidRPr="00BF1D61">
        <w:rPr>
          <w:rFonts w:ascii="Arial" w:hAnsi="Arial"/>
          <w:sz w:val="21"/>
          <w:szCs w:val="21"/>
        </w:rPr>
        <w:t>Annex II, relacionat amb el Pla de Recuperació, Transformació i Resiliència, que recull tots aquells projectes normatius del Pla anual normatiu 2021 pendents d'aprovació a data 31 d'agost de 2021.</w:t>
      </w:r>
    </w:p>
    <w:p w14:paraId="2B4EB145"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La referència a la transposició de la Directiva 2019/1937 es troba en l'esmentat  Annex II, amb el número de "Component - PRTR C.27", que tracta del </w:t>
      </w:r>
      <w:hyperlink r:id="rId238" w:history="1">
        <w:r w:rsidRPr="00BF1D61">
          <w:rPr>
            <w:rStyle w:val="Hipervnculo"/>
            <w:rFonts w:ascii="Arial" w:hAnsi="Arial"/>
            <w:sz w:val="21"/>
            <w:szCs w:val="21"/>
          </w:rPr>
          <w:t>Pla de Recuperació, Transformació i Resiliència de l'economia espanyola</w:t>
        </w:r>
      </w:hyperlink>
      <w:r w:rsidRPr="00BF1D61">
        <w:rPr>
          <w:rFonts w:ascii="Arial" w:hAnsi="Arial"/>
          <w:b/>
          <w:bCs/>
          <w:sz w:val="21"/>
          <w:szCs w:val="21"/>
        </w:rPr>
        <w:t xml:space="preserve"> </w:t>
      </w:r>
      <w:r w:rsidRPr="00BF1D61">
        <w:rPr>
          <w:rFonts w:ascii="Arial" w:hAnsi="Arial"/>
          <w:sz w:val="21"/>
          <w:szCs w:val="21"/>
        </w:rPr>
        <w:t>(d'ara en avant, PRTR). El C.27 és el component 27, en el qual s'indica literalment: "27. Mesures i actuacions de prevenció i lluita contra el frau fiscal", on s'enquadra la transposició de la Directiva, sense cap referència en aquest cas a terminis per tràmits.</w:t>
      </w:r>
    </w:p>
    <w:p w14:paraId="0732D882"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El PRTR únicament cita a la Directiva 2019/1937 fent referència a l'IV Pla de Govern Obert 2020-2024, en el qual la transposició apareixia en el seu “Eix 6. Sistema de protecció de denunciants”, mitjançant la transposició de la Directiva (UE) 2019/1937 relativa a la protecció de les persones que informen sobre infraccions del Dret de la Unió Europea.</w:t>
      </w:r>
    </w:p>
    <w:p w14:paraId="13DC86E7"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D'altra banda, respecte a les iniciatives legislatives, durant l'any 2021, </w:t>
      </w:r>
      <w:r w:rsidRPr="00BF1D61">
        <w:rPr>
          <w:rFonts w:ascii="Arial" w:hAnsi="Arial"/>
          <w:b/>
          <w:bCs/>
          <w:sz w:val="21"/>
          <w:szCs w:val="21"/>
        </w:rPr>
        <w:t>en l'àmbit estatal,</w:t>
      </w:r>
      <w:r w:rsidRPr="00BF1D61">
        <w:rPr>
          <w:rFonts w:ascii="Arial" w:hAnsi="Arial"/>
          <w:sz w:val="21"/>
          <w:szCs w:val="21"/>
        </w:rPr>
        <w:t xml:space="preserve"> el Congrés dels Diputats, a diferència del que ha vingut ocorrent en exercicis anteriors, ha rebut una única iniciativa legislativa referida a mesures de lluita contra la corrupció i protecció de les persones denunciants, presentada per un grup polític. En concret, la iniciativa ha sigut la següent: </w:t>
      </w:r>
    </w:p>
    <w:p w14:paraId="652B976B" w14:textId="77777777" w:rsidR="00BF1D61" w:rsidRPr="00BF1D61" w:rsidRDefault="00BF1D61" w:rsidP="00BF1D61">
      <w:pPr>
        <w:numPr>
          <w:ilvl w:val="0"/>
          <w:numId w:val="50"/>
        </w:numPr>
        <w:spacing w:after="120" w:line="276" w:lineRule="auto"/>
        <w:ind w:left="714" w:hanging="357"/>
        <w:jc w:val="both"/>
        <w:rPr>
          <w:rFonts w:ascii="Arial" w:hAnsi="Arial"/>
          <w:sz w:val="21"/>
          <w:szCs w:val="21"/>
        </w:rPr>
      </w:pPr>
      <w:r w:rsidRPr="00BF1D61">
        <w:rPr>
          <w:rFonts w:ascii="Arial" w:hAnsi="Arial"/>
          <w:sz w:val="21"/>
          <w:szCs w:val="21"/>
        </w:rPr>
        <w:t xml:space="preserve">15 de gener de 2021 </w:t>
      </w:r>
      <w:hyperlink r:id="rId239" w:anchor="page=1" w:tgtFrame="_top" w:history="1">
        <w:r w:rsidRPr="00BF1D61">
          <w:rPr>
            <w:rStyle w:val="Hipervnculo"/>
            <w:rFonts w:ascii="Arial" w:hAnsi="Arial"/>
            <w:sz w:val="21"/>
            <w:szCs w:val="21"/>
          </w:rPr>
          <w:t>Proposició de Llei orgànica de mesures de lluita contra la corrupció i per a la protecció dels alertadors, pel Grup Parlamentari Ciutadans</w:t>
        </w:r>
      </w:hyperlink>
      <w:r w:rsidRPr="00BF1D61">
        <w:rPr>
          <w:rFonts w:ascii="Arial" w:hAnsi="Arial"/>
          <w:sz w:val="21"/>
          <w:szCs w:val="21"/>
          <w:u w:val="single"/>
        </w:rPr>
        <w:t>.</w:t>
      </w:r>
    </w:p>
    <w:p w14:paraId="078482A9" w14:textId="77777777" w:rsidR="00BF1D61" w:rsidRPr="00BF1D61" w:rsidRDefault="00BF1D61" w:rsidP="00BF1D61">
      <w:pPr>
        <w:spacing w:after="240" w:line="276" w:lineRule="auto"/>
        <w:ind w:left="709"/>
        <w:contextualSpacing/>
        <w:jc w:val="both"/>
        <w:rPr>
          <w:rFonts w:ascii="Arial" w:hAnsi="Arial"/>
          <w:sz w:val="21"/>
          <w:szCs w:val="21"/>
        </w:rPr>
      </w:pPr>
      <w:r w:rsidRPr="00BF1D61">
        <w:rPr>
          <w:rFonts w:ascii="Arial" w:hAnsi="Arial"/>
          <w:sz w:val="21"/>
          <w:szCs w:val="21"/>
        </w:rPr>
        <w:t>A data de redacció d'aquesta Memòria, aquesta proposició de Llei orgànica es troba, segons la pàgina web del Congrés de Diputats en “Ple Presa en consideració”.</w:t>
      </w:r>
    </w:p>
    <w:p w14:paraId="01953F4D" w14:textId="77777777" w:rsidR="00BF1D61" w:rsidRPr="00CA3AC1" w:rsidRDefault="00254AEC" w:rsidP="00BF1D61">
      <w:pPr>
        <w:spacing w:after="240" w:line="276" w:lineRule="auto"/>
        <w:ind w:left="709"/>
        <w:jc w:val="both"/>
        <w:rPr>
          <w:rFonts w:ascii="Arial" w:hAnsi="Arial"/>
          <w:sz w:val="21"/>
          <w:szCs w:val="21"/>
        </w:rPr>
      </w:pPr>
      <w:hyperlink r:id="rId240" w:history="1">
        <w:r w:rsidR="00BF1D61" w:rsidRPr="00CA3AC1">
          <w:rPr>
            <w:rStyle w:val="Hipervnculo"/>
            <w:rFonts w:ascii="Arial" w:hAnsi="Arial"/>
            <w:sz w:val="21"/>
            <w:szCs w:val="21"/>
          </w:rPr>
          <w:t>https://www.congreso.es/proposiciones-de-ley?p_p_id=iniciativas&amp;p_p_lifecycle=0&amp;p_p_state=normal&amp;p_p_mode=view&amp;_iniciatives_mode=mostrarDetalle&amp;_iniciatives_legislatura=XIV&amp;_iniciatives_aneu=122%2F000116</w:t>
        </w:r>
      </w:hyperlink>
    </w:p>
    <w:p w14:paraId="32D8C137" w14:textId="5112B235" w:rsidR="00E9447C" w:rsidRPr="00BF1D61" w:rsidRDefault="00BF1D61" w:rsidP="00BF1D61">
      <w:pPr>
        <w:spacing w:after="240" w:line="276" w:lineRule="auto"/>
        <w:jc w:val="both"/>
        <w:rPr>
          <w:rFonts w:ascii="Arial" w:hAnsi="Arial"/>
          <w:sz w:val="21"/>
          <w:szCs w:val="21"/>
        </w:rPr>
      </w:pPr>
      <w:r w:rsidRPr="00BF1D61">
        <w:rPr>
          <w:rFonts w:ascii="Arial" w:hAnsi="Arial"/>
          <w:sz w:val="21"/>
          <w:szCs w:val="21"/>
        </w:rPr>
        <w:t>A continuació, s'exposa una infografia sobre les iniciatives legislatives presentades en el Congrés de Diputats entre els anys 2019 a 2021 pels diferents grups parlamentaris, en relació amb la lluita contra la corrupció i la protecció de les persones denunciants o alertadors.</w:t>
      </w:r>
    </w:p>
    <w:p w14:paraId="6DC5CC12" w14:textId="77777777" w:rsidR="003C18B7" w:rsidRDefault="003C18B7" w:rsidP="003C18B7">
      <w:pPr>
        <w:keepNext/>
        <w:spacing w:after="240" w:line="276" w:lineRule="auto"/>
        <w:jc w:val="center"/>
      </w:pPr>
      <w:r w:rsidRPr="003C18B7">
        <w:rPr>
          <w:rFonts w:ascii="Calibri" w:eastAsia="Calibri" w:hAnsi="Calibri" w:cs="Times New Roman"/>
          <w:noProof/>
        </w:rPr>
        <w:drawing>
          <wp:inline distT="0" distB="0" distL="0" distR="0" wp14:anchorId="3EBA05C6" wp14:editId="3CD66C10">
            <wp:extent cx="5400040" cy="1971040"/>
            <wp:effectExtent l="0" t="0" r="0" b="0"/>
            <wp:docPr id="31" name="Imagen 3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Escala de tiempo&#10;&#10;Descripción generada automáticamente"/>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400040" cy="1971040"/>
                    </a:xfrm>
                    <a:prstGeom prst="rect">
                      <a:avLst/>
                    </a:prstGeom>
                    <a:noFill/>
                    <a:ln>
                      <a:noFill/>
                    </a:ln>
                  </pic:spPr>
                </pic:pic>
              </a:graphicData>
            </a:graphic>
          </wp:inline>
        </w:drawing>
      </w:r>
    </w:p>
    <w:p w14:paraId="08FF1465" w14:textId="00827888" w:rsidR="00DB0C0E" w:rsidRPr="002D3252" w:rsidRDefault="003C18B7" w:rsidP="003C18B7">
      <w:pPr>
        <w:pStyle w:val="Descripcin"/>
        <w:jc w:val="center"/>
        <w:rPr>
          <w:rFonts w:ascii="Arial" w:hAnsi="Arial"/>
          <w:sz w:val="21"/>
          <w:szCs w:val="21"/>
        </w:rPr>
      </w:pPr>
      <w:bookmarkStart w:id="95" w:name="_Toc99110894"/>
      <w:r w:rsidRPr="003C18B7">
        <w:rPr>
          <w:rFonts w:ascii="Arial" w:hAnsi="Arial" w:cs="Arial"/>
          <w:smallCaps w:val="0"/>
          <w:color w:val="9D2235" w:themeColor="accent1"/>
          <w:sz w:val="18"/>
          <w:szCs w:val="18"/>
        </w:rPr>
        <w:t xml:space="preserve">Imatge </w:t>
      </w:r>
      <w:r w:rsidRPr="003C18B7">
        <w:rPr>
          <w:rFonts w:ascii="Arial" w:hAnsi="Arial" w:cs="Arial"/>
          <w:smallCaps w:val="0"/>
          <w:color w:val="9D2235" w:themeColor="accent1"/>
          <w:sz w:val="18"/>
          <w:szCs w:val="18"/>
        </w:rPr>
        <w:fldChar w:fldCharType="begin" w:fldLock="1"/>
      </w:r>
      <w:r w:rsidRPr="003C18B7">
        <w:rPr>
          <w:rFonts w:ascii="Arial" w:hAnsi="Arial" w:cs="Arial"/>
          <w:smallCaps w:val="0"/>
          <w:color w:val="9D2235" w:themeColor="accent1"/>
          <w:sz w:val="18"/>
          <w:szCs w:val="18"/>
        </w:rPr>
        <w:instrText xml:space="preserve"> SEQ Imatge \* ARABIC </w:instrText>
      </w:r>
      <w:r w:rsidRPr="003C18B7">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5</w:t>
      </w:r>
      <w:r w:rsidRPr="003C18B7">
        <w:rPr>
          <w:rFonts w:ascii="Arial" w:hAnsi="Arial" w:cs="Arial"/>
          <w:smallCaps w:val="0"/>
          <w:color w:val="9D2235" w:themeColor="accent1"/>
          <w:sz w:val="18"/>
          <w:szCs w:val="18"/>
        </w:rPr>
        <w:fldChar w:fldCharType="end"/>
      </w:r>
      <w:r w:rsidRPr="003C18B7">
        <w:rPr>
          <w:rFonts w:ascii="Arial" w:hAnsi="Arial" w:cs="Arial"/>
          <w:smallCaps w:val="0"/>
          <w:sz w:val="18"/>
          <w:szCs w:val="18"/>
        </w:rPr>
        <w:t>. Infografia iniciatives legislatives en el Congrés dels Diputats (2019 - 2023</w:t>
      </w:r>
      <w:r>
        <w:t>)</w:t>
      </w:r>
      <w:bookmarkEnd w:id="95"/>
    </w:p>
    <w:p w14:paraId="412A8058"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Arribats a aquest punt, en el qual hem exposat el retard i incompliment per part del Govern d'Espanya en la transposició de la Directiva 2019/1937, cal recordar que les Directives són instruments d'harmonització de les legislacions internes dels països membres de la Unió Europea, que obliguen els Estats membres destinataris quant al resultat a aconseguir, però deixen a aquests la llibertat per a triar l'acte jurídic de conversió d'aquelles en normes de Dret intern. Així doncs, les Directives són normes comunitàries que responen a la necessitat d'implicar les instàncies nacionals en la conformació d'un ordenament jurídic que reposa, no en un repartiment de matèries sinó en una assignació de fins.</w:t>
      </w:r>
    </w:p>
    <w:p w14:paraId="59B65450"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L'incompliment per part dels Estats membres de la transposició de Directives en termini pot derivar en una sanció, segons estipula en l'article 260, apartat 3 del </w:t>
      </w:r>
      <w:hyperlink r:id="rId242" w:history="1">
        <w:r w:rsidRPr="00BF1D61">
          <w:rPr>
            <w:rStyle w:val="Hipervnculo"/>
            <w:rFonts w:ascii="Arial" w:hAnsi="Arial"/>
            <w:sz w:val="21"/>
            <w:szCs w:val="21"/>
          </w:rPr>
          <w:t>Tractat de Funcionament de la Unió Europea</w:t>
        </w:r>
      </w:hyperlink>
      <w:r w:rsidRPr="00BF1D61">
        <w:rPr>
          <w:rFonts w:ascii="Arial" w:hAnsi="Arial"/>
          <w:sz w:val="21"/>
          <w:szCs w:val="21"/>
        </w:rPr>
        <w:t>, el contingut literal de la qual assenyala:</w:t>
      </w:r>
    </w:p>
    <w:p w14:paraId="5CD16E52" w14:textId="77777777" w:rsidR="00BF1D61" w:rsidRPr="00BF1D61" w:rsidRDefault="00BF1D61" w:rsidP="00BF1D61">
      <w:pPr>
        <w:spacing w:after="240" w:line="276" w:lineRule="auto"/>
        <w:ind w:left="567"/>
        <w:jc w:val="both"/>
        <w:rPr>
          <w:rFonts w:ascii="Arial" w:hAnsi="Arial"/>
          <w:sz w:val="21"/>
          <w:szCs w:val="21"/>
        </w:rPr>
      </w:pPr>
      <w:r w:rsidRPr="00BF1D61">
        <w:rPr>
          <w:rFonts w:ascii="Arial" w:hAnsi="Arial"/>
          <w:sz w:val="21"/>
          <w:szCs w:val="21"/>
        </w:rPr>
        <w:t xml:space="preserve">“3. Quan la Comissió present un recurs davant el Tribunal de Justícia de la Unió Europea en virtut de l'article 258 </w:t>
      </w:r>
      <w:r w:rsidRPr="00BF1D61">
        <w:rPr>
          <w:rFonts w:ascii="Arial" w:hAnsi="Arial"/>
          <w:b/>
          <w:bCs/>
          <w:sz w:val="21"/>
          <w:szCs w:val="21"/>
        </w:rPr>
        <w:t>per considerar que l'Estat membre afectat ha incomplit l'obligació d'informar sobre les mesures de transposició d'una directiva adoptada conformement a un procediment legislatiu</w:t>
      </w:r>
      <w:r w:rsidRPr="00BF1D61">
        <w:rPr>
          <w:rFonts w:ascii="Arial" w:hAnsi="Arial"/>
          <w:sz w:val="21"/>
          <w:szCs w:val="21"/>
        </w:rPr>
        <w:t>, podrà, si ho considera oportú, indicar l'import de la suma a tant alçat o de la multa coercitiva que haja de ser pagada per aquest Estat i que considere adaptat a les circumstàncies.</w:t>
      </w:r>
    </w:p>
    <w:p w14:paraId="3F042853" w14:textId="77777777" w:rsidR="00BF1D61" w:rsidRPr="00BF1D61" w:rsidRDefault="00BF1D61" w:rsidP="00BF1D61">
      <w:pPr>
        <w:spacing w:after="240" w:line="276" w:lineRule="auto"/>
        <w:ind w:left="567"/>
        <w:jc w:val="both"/>
        <w:rPr>
          <w:rFonts w:ascii="Arial" w:hAnsi="Arial"/>
          <w:sz w:val="21"/>
          <w:szCs w:val="21"/>
        </w:rPr>
      </w:pPr>
      <w:r w:rsidRPr="00BF1D61">
        <w:rPr>
          <w:rFonts w:ascii="Arial" w:hAnsi="Arial"/>
          <w:sz w:val="21"/>
          <w:szCs w:val="21"/>
        </w:rPr>
        <w:t>Si el Tribunal comprova l'existència de l'incompliment, podrà imposar a l'Estat membre afectat el pagament d'una suma a tant alçat o d'una multa coercitiva dins del límit de l'import indicat per la Comissió. L'obligació de pagament farà efecte en la data fixada pel Tribunal en la sentència.”</w:t>
      </w:r>
    </w:p>
    <w:p w14:paraId="17C1B1EC"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A aquest efecte, se subratlla que, </w:t>
      </w:r>
      <w:r w:rsidRPr="00BF1D61">
        <w:rPr>
          <w:rFonts w:ascii="Arial" w:hAnsi="Arial"/>
          <w:b/>
          <w:bCs/>
          <w:sz w:val="21"/>
          <w:szCs w:val="21"/>
        </w:rPr>
        <w:t>amb data el 27 de gener de 2022,</w:t>
      </w:r>
      <w:r w:rsidRPr="00BF1D61">
        <w:rPr>
          <w:rFonts w:ascii="Arial" w:hAnsi="Arial"/>
          <w:sz w:val="21"/>
          <w:szCs w:val="21"/>
        </w:rPr>
        <w:t xml:space="preserve"> </w:t>
      </w:r>
      <w:r w:rsidRPr="00BF1D61">
        <w:rPr>
          <w:rFonts w:ascii="Arial" w:hAnsi="Arial"/>
          <w:b/>
          <w:bCs/>
          <w:sz w:val="21"/>
          <w:szCs w:val="21"/>
        </w:rPr>
        <w:t>la Comissió Europea ha iniciat el procediment de sanció a Espanya per la falta de transposició de la Directiva (UE) 2019/1937</w:t>
      </w:r>
      <w:r w:rsidRPr="00BF1D61">
        <w:rPr>
          <w:rFonts w:ascii="Arial" w:hAnsi="Arial"/>
          <w:sz w:val="21"/>
          <w:szCs w:val="21"/>
        </w:rPr>
        <w:t xml:space="preserve">. </w:t>
      </w:r>
    </w:p>
    <w:p w14:paraId="567590E5"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Així, la tramitació per a la imposició de la sanció s'ha incoat per mitjà de “Carta d'emplaçament article 258 TFUE - article 260, apartat 3, TFUE”, als següents països: Espanya, Alemanya, Finlàndia, Txèquia, Àustria, França, Dinamarca, Grècia, Letònia, Eslovàquia, Eslovènia, Polònia, Estònia, Itàlia, Irlanda, Hongria, Lituània, Luxemburg, Xipre, Romania, Croàcia, Bèlgica, Països Baixos, Bulgària. A tots ells se'ls ha concedit un termini de dos mesos per a presentar al·legacions.</w:t>
      </w:r>
    </w:p>
    <w:p w14:paraId="1D7AC22E" w14:textId="77777777" w:rsidR="00BF1D61" w:rsidRPr="00BF1D61" w:rsidRDefault="00BF1D61" w:rsidP="00BF1D61">
      <w:pPr>
        <w:spacing w:after="240" w:line="276" w:lineRule="auto"/>
        <w:contextualSpacing/>
        <w:jc w:val="both"/>
        <w:rPr>
          <w:rFonts w:ascii="Arial" w:hAnsi="Arial"/>
          <w:sz w:val="21"/>
          <w:szCs w:val="21"/>
        </w:rPr>
      </w:pPr>
      <w:r w:rsidRPr="00BF1D61">
        <w:rPr>
          <w:rFonts w:ascii="Arial" w:hAnsi="Arial"/>
          <w:sz w:val="21"/>
          <w:szCs w:val="21"/>
        </w:rPr>
        <w:t xml:space="preserve">Es pot consultar aquesta informació en: </w:t>
      </w:r>
    </w:p>
    <w:p w14:paraId="09781064" w14:textId="77777777" w:rsidR="00BF1D61" w:rsidRPr="00FC3867" w:rsidRDefault="00254AEC" w:rsidP="00BF1D61">
      <w:pPr>
        <w:spacing w:after="240" w:line="276" w:lineRule="auto"/>
        <w:jc w:val="both"/>
        <w:rPr>
          <w:rFonts w:ascii="Arial" w:hAnsi="Arial"/>
          <w:sz w:val="21"/>
          <w:szCs w:val="21"/>
        </w:rPr>
      </w:pPr>
      <w:hyperlink r:id="rId243" w:history="1">
        <w:r w:rsidR="00BF1D61" w:rsidRPr="00FC3867">
          <w:rPr>
            <w:rStyle w:val="Hipervnculo"/>
            <w:rFonts w:ascii="Arial" w:hAnsi="Arial"/>
            <w:sz w:val="21"/>
            <w:szCs w:val="21"/>
          </w:rPr>
          <w:t>https://ec.europa.eu/atwork/applying-eu-law/infringements-proceedings/infringement_decisions/index.cfm?lang_code=en&amp;typeOfSearch=false&amp;active_only=0&amp;noncom=0&amp;r_dossier=&amp;decision_dona't_from=&amp;decision_dona't_to=&amp;DG=JUST&amp;title=32019L1937&amp;submit=Search</w:t>
        </w:r>
      </w:hyperlink>
    </w:p>
    <w:p w14:paraId="15BE5730" w14:textId="5426AB0D"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En aquest ordre d'assumptes i com lamentablement ha ocorregut en anteriors ocasions, convé recordar que Espanya es pot enfrontar a una quantiosa sanció econòmica per la  falta de transposició d'una Directiva. Així per exemple, el passat 25 de febrer de 2021, el Tribunal de Justícia de la Unió Europea, mitjançant </w:t>
      </w:r>
      <w:hyperlink r:id="rId244" w:history="1">
        <w:r w:rsidRPr="00BF1D61">
          <w:rPr>
            <w:rStyle w:val="Hipervnculo"/>
            <w:rFonts w:ascii="Arial" w:hAnsi="Arial"/>
            <w:sz w:val="21"/>
            <w:szCs w:val="21"/>
          </w:rPr>
          <w:t>comunicat de premsa núm</w:t>
        </w:r>
        <w:r w:rsidR="00B97862">
          <w:rPr>
            <w:rStyle w:val="Hipervnculo"/>
            <w:rFonts w:ascii="Arial" w:hAnsi="Arial"/>
            <w:sz w:val="21"/>
            <w:szCs w:val="21"/>
          </w:rPr>
          <w:t>.</w:t>
        </w:r>
        <w:r w:rsidRPr="00BF1D61">
          <w:rPr>
            <w:rStyle w:val="Hipervnculo"/>
            <w:rFonts w:ascii="Arial" w:hAnsi="Arial"/>
            <w:sz w:val="21"/>
            <w:szCs w:val="21"/>
          </w:rPr>
          <w:t xml:space="preserve"> 22/21</w:t>
        </w:r>
      </w:hyperlink>
      <w:r w:rsidRPr="00BF1D61">
        <w:rPr>
          <w:rFonts w:ascii="Arial" w:hAnsi="Arial"/>
          <w:sz w:val="21"/>
          <w:szCs w:val="21"/>
        </w:rPr>
        <w:t>, va informar de la Sentència en l'assumpte C-658/19, per la qual es condemnava a Espanya a pagar una suma a tant alçat de 15.000.000 d'euros i una multa coercitiva diària de 89.000 euros, per no haver transposat encara la Directiva de protecció de dades personals en el marc de la prevenció i detecció d'infraccions penals, ni haver comunicat les mesures adoptades en relació amb la transposició d'aquesta. Aquestes quanties de sanció es computen a través de multes coercitives diàries per cada dia de retard a les quals s'afigen sumes a tant alçat.</w:t>
      </w:r>
    </w:p>
    <w:p w14:paraId="69984707"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A la vista de l'anterior, es fa necessari reclamar a l'Estat espanyol una àgil tramitació en la transposició de la Directiva </w:t>
      </w:r>
      <w:r w:rsidRPr="00BF1D61">
        <w:rPr>
          <w:rFonts w:ascii="Arial" w:hAnsi="Arial"/>
          <w:b/>
          <w:bCs/>
          <w:sz w:val="21"/>
          <w:szCs w:val="21"/>
        </w:rPr>
        <w:t>(UE) 2019/1937</w:t>
      </w:r>
      <w:r w:rsidRPr="00BF1D61">
        <w:rPr>
          <w:rFonts w:ascii="Arial" w:hAnsi="Arial"/>
          <w:sz w:val="21"/>
          <w:szCs w:val="21"/>
        </w:rPr>
        <w:t>, no únicament per a evitar la possible imposició d'una sanció de quanties molt elevades a suportar per les arques públiques, sinó especialment, per l'apressant necessitat d'aprovar  una regulació estatal en matèria de protecció efectiva a les persones que denuncien i alerten fets que puguen ser constitutius de frau o corrupció i l'establiment de canals segurs, accessibles i confidencials de denúncies.</w:t>
      </w:r>
    </w:p>
    <w:p w14:paraId="5051CB3A"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Per a finalitzar aquest epígraf, es fa referència a les iniciatives legislatives que, </w:t>
      </w:r>
      <w:r w:rsidRPr="00BF1D61">
        <w:rPr>
          <w:rFonts w:ascii="Arial" w:hAnsi="Arial"/>
          <w:b/>
          <w:bCs/>
          <w:sz w:val="21"/>
          <w:szCs w:val="21"/>
        </w:rPr>
        <w:t xml:space="preserve">en l'àmbit autonòmic, </w:t>
      </w:r>
      <w:r w:rsidRPr="00BF1D61">
        <w:rPr>
          <w:rFonts w:ascii="Arial" w:hAnsi="Arial"/>
          <w:sz w:val="21"/>
          <w:szCs w:val="21"/>
        </w:rPr>
        <w:t xml:space="preserve">s'han produït en aquesta matèria durant 2021: </w:t>
      </w:r>
    </w:p>
    <w:p w14:paraId="0BE12978"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En primer lloc, ha de celebrar-se l'aprovació de la </w:t>
      </w:r>
      <w:hyperlink r:id="rId245" w:history="1">
        <w:r w:rsidRPr="00BF1D61">
          <w:rPr>
            <w:rStyle w:val="Hipervnculo"/>
            <w:rFonts w:ascii="Arial" w:hAnsi="Arial"/>
            <w:sz w:val="21"/>
            <w:szCs w:val="21"/>
          </w:rPr>
          <w:t>Llei 2/2021, de 18 de juny, de lluita contra el frau i la corrupció a Andalusia i protecció de la persona denunciant</w:t>
        </w:r>
      </w:hyperlink>
      <w:r w:rsidRPr="00BF1D61">
        <w:rPr>
          <w:rFonts w:ascii="Arial" w:hAnsi="Arial"/>
          <w:sz w:val="21"/>
          <w:szCs w:val="21"/>
          <w:u w:val="single"/>
        </w:rPr>
        <w:t>,</w:t>
      </w:r>
      <w:r w:rsidRPr="00BF1D61">
        <w:rPr>
          <w:rFonts w:ascii="Arial" w:hAnsi="Arial"/>
          <w:sz w:val="21"/>
          <w:szCs w:val="21"/>
        </w:rPr>
        <w:t xml:space="preserve"> publicada en el BOE de 9 de juliol de 2021.</w:t>
      </w:r>
    </w:p>
    <w:p w14:paraId="27D8D840"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Quant a les iniciatives legislatives autonòmiques en tramitació, el seu estat és el següent: </w:t>
      </w:r>
    </w:p>
    <w:p w14:paraId="4BBD56CF" w14:textId="77777777" w:rsidR="00BF1D61" w:rsidRPr="00BF1D61" w:rsidRDefault="00254AEC" w:rsidP="00BF1D61">
      <w:pPr>
        <w:numPr>
          <w:ilvl w:val="0"/>
          <w:numId w:val="50"/>
        </w:numPr>
        <w:spacing w:after="120" w:line="276" w:lineRule="auto"/>
        <w:jc w:val="both"/>
        <w:rPr>
          <w:rFonts w:ascii="Arial" w:hAnsi="Arial"/>
          <w:sz w:val="21"/>
          <w:szCs w:val="21"/>
          <w:u w:val="single"/>
        </w:rPr>
      </w:pPr>
      <w:hyperlink r:id="rId246" w:tgtFrame="_top" w:history="1">
        <w:r w:rsidR="00BF1D61" w:rsidRPr="00BF1D61">
          <w:rPr>
            <w:rStyle w:val="Hipervnculo"/>
            <w:rFonts w:ascii="Arial" w:hAnsi="Arial"/>
            <w:sz w:val="21"/>
            <w:szCs w:val="21"/>
          </w:rPr>
          <w:t>P</w:t>
        </w:r>
      </w:hyperlink>
      <w:hyperlink r:id="rId247" w:tgtFrame="_top" w:history="1">
        <w:r w:rsidR="00BF1D61" w:rsidRPr="00BF1D61">
          <w:rPr>
            <w:rStyle w:val="Hipervnculo"/>
            <w:rFonts w:ascii="Arial" w:hAnsi="Arial"/>
            <w:sz w:val="21"/>
            <w:szCs w:val="21"/>
          </w:rPr>
          <w:t xml:space="preserve">roposició de </w:t>
        </w:r>
      </w:hyperlink>
      <w:hyperlink r:id="rId248" w:tgtFrame="_top" w:history="1">
        <w:r>
          <w:rPr>
            <w:rStyle w:val="Hipervnculo"/>
          </w:rPr>
          <w:t>https://www.as</w:t>
        </w:r>
        <w:r>
          <w:rPr>
            <w:rStyle w:val="Hipervnculo"/>
          </w:rPr>
          <w:t>ambleamadrid.es/static/docs/registro-ep/RGEP27067-20.pdf</w:t>
        </w:r>
      </w:hyperlink>
      <w:hyperlink r:id="rId249" w:tgtFrame="_top" w:history="1">
        <w:r w:rsidR="00BF1D61" w:rsidRPr="00BF1D61">
          <w:rPr>
            <w:rStyle w:val="Hipervnculo"/>
            <w:rFonts w:ascii="Arial" w:hAnsi="Arial"/>
            <w:sz w:val="21"/>
            <w:szCs w:val="21"/>
          </w:rPr>
          <w:t xml:space="preserve">Llei de protecció sobre els informants de possibles infraccions del dret en la </w:t>
        </w:r>
      </w:hyperlink>
      <w:hyperlink r:id="rId250" w:tgtFrame="_top" w:history="1">
        <w:r>
          <w:rPr>
            <w:rStyle w:val="Hipervnculo"/>
          </w:rPr>
          <w:t>https://www.asambleamadrid.es/static/docs/registro-ep/RGEP27067-20.pdf</w:t>
        </w:r>
      </w:hyperlink>
      <w:hyperlink r:id="rId251" w:tgtFrame="_top" w:history="1">
        <w:r w:rsidR="00BF1D61" w:rsidRPr="00BF1D61">
          <w:rPr>
            <w:rStyle w:val="Hipervnculo"/>
            <w:rFonts w:ascii="Arial" w:hAnsi="Arial"/>
            <w:sz w:val="21"/>
            <w:szCs w:val="21"/>
          </w:rPr>
          <w:t xml:space="preserve">Comunitat de </w:t>
        </w:r>
      </w:hyperlink>
      <w:hyperlink r:id="rId252" w:tgtFrame="_top" w:history="1">
        <w:r>
          <w:rPr>
            <w:rStyle w:val="Hipervnculo"/>
          </w:rPr>
          <w:t>https://www.asambleamadrid.es/static/docs/registro-ep/RGEP27067-20.pdf</w:t>
        </w:r>
      </w:hyperlink>
      <w:hyperlink r:id="rId253" w:tgtFrame="_top" w:history="1">
        <w:r w:rsidR="00BF1D61" w:rsidRPr="00BF1D61">
          <w:rPr>
            <w:rStyle w:val="Hipervnculo"/>
            <w:rFonts w:ascii="Arial" w:hAnsi="Arial"/>
            <w:sz w:val="21"/>
            <w:szCs w:val="21"/>
          </w:rPr>
          <w:t>Madrid</w:t>
        </w:r>
      </w:hyperlink>
    </w:p>
    <w:p w14:paraId="6755D945" w14:textId="77777777" w:rsidR="00BF1D61" w:rsidRPr="00BF1D61" w:rsidRDefault="00BF1D61" w:rsidP="00BF1D61">
      <w:pPr>
        <w:spacing w:after="120" w:line="276" w:lineRule="auto"/>
        <w:ind w:left="709"/>
        <w:jc w:val="both"/>
        <w:rPr>
          <w:rFonts w:ascii="Arial" w:hAnsi="Arial"/>
          <w:sz w:val="21"/>
          <w:szCs w:val="21"/>
        </w:rPr>
      </w:pPr>
      <w:r w:rsidRPr="00BF1D61">
        <w:rPr>
          <w:rFonts w:ascii="Arial" w:hAnsi="Arial"/>
          <w:sz w:val="21"/>
          <w:szCs w:val="21"/>
        </w:rPr>
        <w:t xml:space="preserve">En data 21 de gener de 2021 es va publicar en el </w:t>
      </w:r>
      <w:r w:rsidRPr="00BF1D61">
        <w:rPr>
          <w:rFonts w:ascii="Arial" w:hAnsi="Arial"/>
          <w:i/>
          <w:iCs/>
          <w:sz w:val="21"/>
          <w:szCs w:val="21"/>
        </w:rPr>
        <w:t>Butlletí Oficial de l'Assemblea de Madrid</w:t>
      </w:r>
      <w:r w:rsidRPr="00BF1D61">
        <w:rPr>
          <w:rFonts w:ascii="Arial" w:hAnsi="Arial"/>
          <w:sz w:val="21"/>
          <w:szCs w:val="21"/>
        </w:rPr>
        <w:t xml:space="preserve"> núm. 101 l'Acord de la Mesa de la Diputació Permanent de l'Assemblea, de data 18 de gener de 2021, pel qual s'obri el termini de presentació d'esmenes i de consideracions ciutadanes, i el mateix es remet per al seu estudi i tramitació a la Comissió de Justícia, Interior i Víctima.</w:t>
      </w:r>
    </w:p>
    <w:p w14:paraId="4F161E6B" w14:textId="77777777" w:rsidR="00BF1D61" w:rsidRPr="00BF1D61" w:rsidRDefault="00254AEC" w:rsidP="00BF1D61">
      <w:pPr>
        <w:numPr>
          <w:ilvl w:val="0"/>
          <w:numId w:val="50"/>
        </w:numPr>
        <w:spacing w:after="120" w:line="276" w:lineRule="auto"/>
        <w:jc w:val="both"/>
        <w:rPr>
          <w:rFonts w:ascii="Arial" w:hAnsi="Arial"/>
          <w:sz w:val="21"/>
          <w:szCs w:val="21"/>
        </w:rPr>
      </w:pPr>
      <w:hyperlink r:id="rId254" w:history="1">
        <w:r w:rsidR="00BF1D61" w:rsidRPr="00BF1D61">
          <w:rPr>
            <w:rStyle w:val="Hipervnculo"/>
            <w:rFonts w:ascii="Arial" w:hAnsi="Arial"/>
            <w:sz w:val="21"/>
            <w:szCs w:val="21"/>
          </w:rPr>
          <w:t>Projecte de Llei per la qual es crea i regula l'Oficina de Prevenció i Lluita contra el Frau i la Corrupció de la Comunitat de Castella i Lleó i s'estableix l'estatut de les persones denunciants</w:t>
        </w:r>
      </w:hyperlink>
      <w:r w:rsidR="00BF1D61" w:rsidRPr="00BF1D61">
        <w:rPr>
          <w:rFonts w:ascii="Arial" w:hAnsi="Arial"/>
          <w:sz w:val="21"/>
          <w:szCs w:val="21"/>
        </w:rPr>
        <w:t>. (BOCCYL núm. 277, de 03/09/2021. Pàg. 41286)</w:t>
      </w:r>
    </w:p>
    <w:p w14:paraId="0C204684" w14:textId="77777777" w:rsidR="00BF1D61" w:rsidRPr="00BF1D61" w:rsidRDefault="00BF1D61" w:rsidP="00BF1D61">
      <w:pPr>
        <w:spacing w:after="240" w:line="276" w:lineRule="auto"/>
        <w:ind w:left="709"/>
        <w:jc w:val="both"/>
        <w:rPr>
          <w:rFonts w:ascii="Arial" w:hAnsi="Arial"/>
          <w:sz w:val="21"/>
          <w:szCs w:val="21"/>
        </w:rPr>
      </w:pPr>
      <w:r w:rsidRPr="00BF1D61">
        <w:rPr>
          <w:rFonts w:ascii="Arial" w:hAnsi="Arial"/>
          <w:sz w:val="21"/>
          <w:szCs w:val="21"/>
        </w:rPr>
        <w:t>El citat projecte es trobava en fase de presentació d'esmenes fins que el passat 21 de desembre de 2021, data en la qual es publica el Decret 2/2021, de 20 de desembre, del president de la Junta de Castella i Lleó, pel qual es dissolen anticipadament les Corts de Castella i Lleó i es convoquen eleccions, fa decaure i caducar, lamentablement, la seua tramitació.</w:t>
      </w:r>
    </w:p>
    <w:p w14:paraId="5E7E0C9C"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Finalment, cal destacar que mitjançant roda de premsa de data 4 de març de 2022 el Consell de Ministres comunicava l'aprovació de l'Avantprojecte </w:t>
      </w:r>
      <w:hyperlink r:id="rId255" w:history="1">
        <w:r w:rsidRPr="00BF1D61">
          <w:rPr>
            <w:rStyle w:val="Hipervnculo"/>
            <w:rFonts w:ascii="Arial" w:hAnsi="Arial"/>
            <w:sz w:val="21"/>
            <w:szCs w:val="21"/>
          </w:rPr>
          <w:t>de Llei reguladora de la protecció de les persones que informen sobre infraccions normatives i de lluita contra la corrupció, per la qual es transposa la Directiva (UE) 2019/1937 del Parlament Europeu i del Consell, de 23 d'octubre de 2019, relativa a la protecció de les persones que informen sobre infraccions del Dret de la Unió</w:t>
        </w:r>
      </w:hyperlink>
      <w:r w:rsidRPr="00BF1D61">
        <w:rPr>
          <w:rFonts w:ascii="Arial" w:hAnsi="Arial"/>
          <w:b/>
          <w:bCs/>
          <w:sz w:val="21"/>
          <w:szCs w:val="21"/>
        </w:rPr>
        <w:t>.</w:t>
      </w:r>
      <w:r w:rsidRPr="00BF1D61">
        <w:rPr>
          <w:rFonts w:ascii="Arial" w:hAnsi="Arial"/>
          <w:sz w:val="21"/>
          <w:szCs w:val="21"/>
        </w:rPr>
        <w:t xml:space="preserve"> </w:t>
      </w:r>
    </w:p>
    <w:p w14:paraId="0E0ED65E" w14:textId="4ACFBFF9"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El 8 de març de 2022 el Ministeri de Justícia publicava el text del citat Avantprojecte de Llei reguladora de la protecció de les persones que informen sobre infraccions normatives i de lluita contra la corrupció, per la qual es transposa la Directiva (UE) 2019/1937, així com la </w:t>
      </w:r>
      <w:hyperlink r:id="rId256" w:history="1">
        <w:r w:rsidRPr="00BF1D61">
          <w:rPr>
            <w:rStyle w:val="Hipervnculo"/>
            <w:rFonts w:ascii="Arial" w:hAnsi="Arial"/>
            <w:sz w:val="21"/>
            <w:szCs w:val="21"/>
          </w:rPr>
          <w:t>Memòria de l'anàlisi d'impacte normatiu</w:t>
        </w:r>
      </w:hyperlink>
      <w:r w:rsidRPr="00BF1D61">
        <w:rPr>
          <w:rFonts w:ascii="Arial" w:hAnsi="Arial"/>
          <w:sz w:val="21"/>
          <w:szCs w:val="21"/>
        </w:rPr>
        <w:t xml:space="preserve">, documents es poden consultar en la web del mateix Ministeri de Justícia </w:t>
      </w:r>
      <w:hyperlink r:id="rId257" w:history="1">
        <w:r w:rsidR="005E4879" w:rsidRPr="00D57156">
          <w:rPr>
            <w:rStyle w:val="Hipervnculo"/>
            <w:rFonts w:ascii="Arial" w:hAnsi="Arial"/>
            <w:sz w:val="21"/>
            <w:szCs w:val="21"/>
          </w:rPr>
          <w:t>https://www.mjusticia.gob.es/eu/ciudadania/normas-tramitacion</w:t>
        </w:r>
      </w:hyperlink>
      <w:r w:rsidR="005E4879">
        <w:rPr>
          <w:rFonts w:ascii="Arial" w:hAnsi="Arial"/>
          <w:sz w:val="21"/>
          <w:szCs w:val="21"/>
        </w:rPr>
        <w:t>.</w:t>
      </w:r>
    </w:p>
    <w:p w14:paraId="134EAE56"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En aquesta mateixa data, s'obria un termini de set dies hàbils per a la realització del tràmit d'audiència i informació pública per a presentar al·legacions al text projectat; termini corresponent als procediments d'urgència.</w:t>
      </w:r>
    </w:p>
    <w:p w14:paraId="540DDCD2" w14:textId="1A9CFDCA"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Convé recordar que el 27 de gener de 2021, l’AVAF va presentar </w:t>
      </w:r>
      <w:hyperlink r:id="rId258" w:history="1">
        <w:r w:rsidRPr="00BF1D61">
          <w:rPr>
            <w:rStyle w:val="Hipervnculo"/>
            <w:rFonts w:ascii="Arial" w:hAnsi="Arial"/>
            <w:sz w:val="21"/>
            <w:szCs w:val="21"/>
          </w:rPr>
          <w:t>al·legacions al tràmit de consulta pública prèvia obert</w:t>
        </w:r>
      </w:hyperlink>
      <w:r w:rsidRPr="00BF1D61">
        <w:rPr>
          <w:rFonts w:ascii="Arial" w:hAnsi="Arial"/>
          <w:sz w:val="21"/>
          <w:szCs w:val="21"/>
        </w:rPr>
        <w:t xml:space="preserve"> pel Ministeri de Justícia en relació amb la transposició de la citada Directiva. </w:t>
      </w:r>
      <w:r w:rsidR="00CD7664">
        <w:rPr>
          <w:rFonts w:ascii="Arial" w:hAnsi="Arial"/>
          <w:sz w:val="21"/>
          <w:szCs w:val="21"/>
        </w:rPr>
        <w:t>N</w:t>
      </w:r>
      <w:r w:rsidR="00CD7664" w:rsidRPr="00CD7664">
        <w:rPr>
          <w:rFonts w:ascii="Arial" w:hAnsi="Arial"/>
          <w:sz w:val="21"/>
          <w:szCs w:val="21"/>
        </w:rPr>
        <w:t>o obstant això</w:t>
      </w:r>
      <w:r w:rsidRPr="00BF1D61">
        <w:rPr>
          <w:rFonts w:ascii="Arial" w:hAnsi="Arial"/>
          <w:sz w:val="21"/>
          <w:szCs w:val="21"/>
        </w:rPr>
        <w:t xml:space="preserve">, aquestes al·legacions no es van recollir, ni de manera completa ni sintetitzada, en el portal web del Ministeri de Justícia, dins de l'Annex </w:t>
      </w:r>
      <w:r w:rsidRPr="00BF1D61">
        <w:rPr>
          <w:rFonts w:ascii="Arial" w:hAnsi="Arial"/>
          <w:i/>
          <w:iCs/>
          <w:sz w:val="21"/>
          <w:szCs w:val="21"/>
        </w:rPr>
        <w:t xml:space="preserve">II de la Memòria de l'Anàlisi d'Impacte Normatiu </w:t>
      </w:r>
      <w:r w:rsidRPr="00BF1D61">
        <w:rPr>
          <w:rFonts w:ascii="Arial" w:hAnsi="Arial"/>
          <w:sz w:val="21"/>
          <w:szCs w:val="21"/>
        </w:rPr>
        <w:t>publicada, en el qual es descrivien les aportacions realitzades durant el període de consulta pública prèvia per diferents entitats i particulars. Considerant que l’absència de publicació de les al·legacions d'aquesta Agència podria constituir un defecte en aquesta fase del procediment, perquè sostreia a les organitzacions interessades i a la ciutadania en general d'una informació que considerem important, l’AVAF va sol·licitar al Ministeri de Justícia la realització de les gestions oportunes a aquest efecte d'esmenar tal extrem, la qual cosa es constata que ha sigut efectuat en data 14 de març de 2022.</w:t>
      </w:r>
    </w:p>
    <w:p w14:paraId="6E997328"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 xml:space="preserve">A continuació, dins del termini habilitat de set dies per a audiència i informació pública, aquesta Agència va remetre al Ministeri de Justícia en data 17 de març </w:t>
      </w:r>
      <w:hyperlink r:id="rId259" w:history="1">
        <w:r w:rsidRPr="00BF1D61">
          <w:rPr>
            <w:rStyle w:val="Hipervnculo"/>
            <w:rFonts w:ascii="Arial" w:hAnsi="Arial"/>
            <w:sz w:val="21"/>
            <w:szCs w:val="21"/>
          </w:rPr>
          <w:t>escrit d'al·legacions de l'Agència de Prevenció i Lluita contra el Frau i la Corrupció de la Comunitat Valenciana a l'Avantprojecte de Llei reguladora de la protecció de les persones que informen sobre infraccions normatives i de lluita contra la corrupció per la qual es transposa la Directiva (UE) 2019/1937 del Parlament Europeu i del Consell de 23 d'octubre de 2019, relativa a la protecció de les persones que informen sobre infraccions del Dret de la Unió, en el tràmit d'audiència i informació pública</w:t>
        </w:r>
      </w:hyperlink>
      <w:r w:rsidRPr="00BF1D61">
        <w:rPr>
          <w:rFonts w:ascii="Arial" w:hAnsi="Arial"/>
          <w:sz w:val="21"/>
          <w:szCs w:val="21"/>
        </w:rPr>
        <w:t>.</w:t>
      </w:r>
    </w:p>
    <w:p w14:paraId="2C1ABD9A"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De conformitat amb la Memòria de l'Anàlisi d'Impacte Normatiu, són passos a seguir en la tramitació del citat Avantprojecte de llei, una vegada integrades les al·legacions corresponents en el text de l'Avantprojecte, l'emissió d'informes per part de les Secretaries Generals Tècnica del Ministeri de Justícia, del Ministeri d'Assumptes, Econòmics i Transformació Digital, del Ministeri de Presidència, Relacions amb les Corts i Memòria Democràtica, del Consell General del Poder Judicial, de l'Agència Espanyola de Protecció de Dades, del Consell Econòmic i Social, i del Consell Fiscal.</w:t>
      </w:r>
    </w:p>
    <w:p w14:paraId="2D04992B" w14:textId="77777777" w:rsidR="00BF1D61" w:rsidRPr="00BF1D61" w:rsidRDefault="00BF1D61" w:rsidP="00BF1D61">
      <w:pPr>
        <w:spacing w:after="240" w:line="276" w:lineRule="auto"/>
        <w:jc w:val="both"/>
        <w:rPr>
          <w:rFonts w:ascii="Arial" w:hAnsi="Arial"/>
          <w:sz w:val="21"/>
          <w:szCs w:val="21"/>
        </w:rPr>
      </w:pPr>
      <w:r w:rsidRPr="00BF1D61">
        <w:rPr>
          <w:rFonts w:ascii="Arial" w:hAnsi="Arial"/>
          <w:sz w:val="21"/>
          <w:szCs w:val="21"/>
        </w:rPr>
        <w:t>A continuació, es requerirà aprovació prèvia del Ministeri d'Hisenda i Funció Pública, i a través del Ministeri d'Assumptes Econòmics i Transformació Digital se sol·licitarà informe a la Comissió Nacional dels Mercats i la Competència (CNMC), Comissió Nacional del Mercat de Valors (CNMV), Fons de Reestructuració Ordenada Bancària (FROB), Banc d'Espanya. A través  del Ministeri de la Presidència, Relacions amb les Corts i Memòria Democràtica se sol·licitarà l'emissió d'informe a l'Oficina de Coordinació i Qualitat Normativa. Igualment s'ha de sol·licitar informe dels Ministeris competents: Ministeri d'Hisenda i Funció Pública, Ministeri d'Afers exteriors, Unió Europea i Cooperació, Ministeri de Transports, Mobilitat i Agenda Urbana, Ministeri d'Inclusió, Seguretat Social i Migracions, Ministeri de Treball i Economia Social, Ministeri d'Agricultura, Pesca i Alimentació, Ministeri per a la Transició Ecològica i el Repte Demogràfic i Ministeri de Política Territorial.</w:t>
      </w:r>
    </w:p>
    <w:p w14:paraId="3DE25F7D" w14:textId="310AD51A" w:rsidR="00BF1D61" w:rsidRDefault="00BF1D61" w:rsidP="00BF1D61">
      <w:pPr>
        <w:spacing w:after="240" w:line="276" w:lineRule="auto"/>
        <w:jc w:val="both"/>
        <w:rPr>
          <w:rFonts w:ascii="Arial" w:hAnsi="Arial"/>
          <w:sz w:val="21"/>
          <w:szCs w:val="21"/>
        </w:rPr>
      </w:pPr>
      <w:r w:rsidRPr="00BF1D61">
        <w:rPr>
          <w:rFonts w:ascii="Arial" w:hAnsi="Arial"/>
          <w:sz w:val="21"/>
          <w:szCs w:val="21"/>
        </w:rPr>
        <w:t>Finalment, haurà de dictaminar-se pel Ple del Consell d'Estat, segons allò que s'ha fixat en l'article 21.2 de la Llei 3/1980, de 22 d'abril, del Consell d'Estat, per a la seua remissió posterior, una vegada aprovat el Projecte de llei, al Congrés dels Diputats</w:t>
      </w:r>
      <w:r w:rsidRPr="00BF1D61">
        <w:rPr>
          <w:rFonts w:ascii="Arial" w:hAnsi="Arial"/>
          <w:sz w:val="21"/>
          <w:szCs w:val="21"/>
          <w:lang w:val="es-ES"/>
        </w:rPr>
        <w:t>.</w:t>
      </w:r>
    </w:p>
    <w:p w14:paraId="37793ED9" w14:textId="58E56B42" w:rsidR="005F7851" w:rsidRPr="005F7851" w:rsidRDefault="005F7851" w:rsidP="005F7851">
      <w:pPr>
        <w:pStyle w:val="Prrafodelista"/>
        <w:keepNext/>
        <w:numPr>
          <w:ilvl w:val="2"/>
          <w:numId w:val="16"/>
        </w:numPr>
        <w:suppressAutoHyphens/>
        <w:spacing w:before="360" w:after="240" w:line="276" w:lineRule="auto"/>
        <w:ind w:left="1134" w:hanging="1134"/>
        <w:jc w:val="both"/>
        <w:outlineLvl w:val="2"/>
        <w:rPr>
          <w:rFonts w:ascii="Arial" w:eastAsia="Times New Roman" w:hAnsi="Arial" w:cs="Arial"/>
          <w:b/>
          <w:color w:val="9D2235"/>
          <w:sz w:val="28"/>
          <w:szCs w:val="28"/>
        </w:rPr>
      </w:pPr>
      <w:bookmarkStart w:id="96" w:name="_Toc67646244"/>
      <w:bookmarkStart w:id="97" w:name="_Toc99110701"/>
      <w:r w:rsidRPr="005F7851">
        <w:rPr>
          <w:rFonts w:ascii="Arial" w:eastAsia="Times New Roman" w:hAnsi="Arial" w:cs="Arial"/>
          <w:b/>
          <w:color w:val="9D2235"/>
          <w:sz w:val="28"/>
          <w:szCs w:val="28"/>
        </w:rPr>
        <w:t>Declaracions institucionals</w:t>
      </w:r>
      <w:bookmarkEnd w:id="96"/>
      <w:bookmarkEnd w:id="97"/>
    </w:p>
    <w:p w14:paraId="416CCB45" w14:textId="77777777" w:rsidR="005F7851" w:rsidRPr="005F7851" w:rsidRDefault="005F7851" w:rsidP="005F7851">
      <w:pPr>
        <w:spacing w:after="240" w:line="276" w:lineRule="auto"/>
        <w:jc w:val="both"/>
        <w:rPr>
          <w:rFonts w:ascii="Arial" w:hAnsi="Arial"/>
          <w:sz w:val="21"/>
          <w:szCs w:val="21"/>
        </w:rPr>
      </w:pPr>
      <w:r w:rsidRPr="005F7851">
        <w:rPr>
          <w:rFonts w:ascii="Arial" w:hAnsi="Arial"/>
          <w:sz w:val="21"/>
          <w:szCs w:val="21"/>
        </w:rPr>
        <w:t xml:space="preserve">Aquest apartat es dedica a les declaracions institucionals, subscrites per l’AVAF, durant el 2021, tant de manera individual com al costat d'organismes europeus i nacionals, com són NEIWA i REDOAF. </w:t>
      </w:r>
    </w:p>
    <w:p w14:paraId="0A3CDAFD" w14:textId="1F049504" w:rsidR="005F7851" w:rsidRPr="005F7851" w:rsidRDefault="005F7851" w:rsidP="005F7851">
      <w:pPr>
        <w:spacing w:after="240" w:line="276" w:lineRule="auto"/>
        <w:jc w:val="both"/>
        <w:rPr>
          <w:rFonts w:ascii="Arial" w:hAnsi="Arial"/>
          <w:sz w:val="21"/>
          <w:szCs w:val="21"/>
        </w:rPr>
      </w:pPr>
      <w:r w:rsidRPr="005F7851">
        <w:rPr>
          <w:rFonts w:ascii="Arial" w:hAnsi="Arial"/>
          <w:sz w:val="21"/>
          <w:szCs w:val="21"/>
        </w:rPr>
        <w:t>A través d'aquestes declaracions, l'Agència ha posat de manifest el seu sentir entorn de matèries com la protecció a les persones denunciants, els canals interns i externs de denúncia i altres assumptes relacionats amb la finalitat de denunciar retards en la implementació de la  normativa i de mesures, així com per a traslladar a la societat la seua transcendència i importància.</w:t>
      </w:r>
    </w:p>
    <w:p w14:paraId="1EBF0108" w14:textId="73874D64" w:rsidR="005F7851" w:rsidRPr="005F7851" w:rsidRDefault="005F7851" w:rsidP="00563217">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5F7851">
        <w:rPr>
          <w:rFonts w:ascii="Arial" w:eastAsia="Times New Roman" w:hAnsi="Arial" w:cs="Arial"/>
          <w:b/>
          <w:color w:val="9D2235"/>
          <w:sz w:val="24"/>
          <w:szCs w:val="24"/>
        </w:rPr>
        <w:t>NEIWA</w:t>
      </w:r>
    </w:p>
    <w:p w14:paraId="6A22A8AE" w14:textId="77777777" w:rsidR="005F7851" w:rsidRPr="005F7851" w:rsidRDefault="005F7851" w:rsidP="005F7851">
      <w:pPr>
        <w:spacing w:after="240" w:line="276" w:lineRule="auto"/>
        <w:jc w:val="both"/>
        <w:rPr>
          <w:rFonts w:ascii="Arial" w:hAnsi="Arial"/>
          <w:sz w:val="21"/>
          <w:szCs w:val="21"/>
        </w:rPr>
      </w:pPr>
      <w:r w:rsidRPr="005F7851">
        <w:rPr>
          <w:rFonts w:ascii="Arial" w:hAnsi="Arial"/>
          <w:sz w:val="21"/>
          <w:szCs w:val="21"/>
        </w:rPr>
        <w:t xml:space="preserve">La Xarxa d'Autoritats Europees d'Integritat i Alertadores (NEIWA) és una plataforma de cooperació i intercanvi de coneixements i experiències en el camp de la integritat i la denúncia d'irregularitats. Durant 2021, NEIWA ha vist augmentat el seu nombre de membres, que en l'actualitat ascendeix a vint-i-set de vint-i-dos estats diferents més un observador (Montenegro). </w:t>
      </w:r>
    </w:p>
    <w:p w14:paraId="1C7971BF" w14:textId="7A0D5BD0" w:rsidR="005A5339" w:rsidRDefault="005A5339" w:rsidP="004C3F07">
      <w:pPr>
        <w:spacing w:after="240" w:line="276" w:lineRule="auto"/>
        <w:jc w:val="both"/>
        <w:rPr>
          <w:rFonts w:ascii="Arial" w:hAnsi="Arial"/>
          <w:sz w:val="21"/>
          <w:szCs w:val="21"/>
        </w:rPr>
      </w:pPr>
    </w:p>
    <w:p w14:paraId="0157E0FA" w14:textId="77777777" w:rsidR="0057330D" w:rsidRDefault="0057330D" w:rsidP="0057330D">
      <w:pPr>
        <w:keepNext/>
        <w:spacing w:after="240" w:line="276" w:lineRule="auto"/>
        <w:jc w:val="both"/>
      </w:pPr>
      <w:r w:rsidRPr="0057330D">
        <w:rPr>
          <w:rFonts w:ascii="Arial" w:eastAsia="Times New Roman" w:hAnsi="Arial" w:cs="Arial"/>
          <w:noProof/>
          <w:sz w:val="21"/>
          <w:szCs w:val="21"/>
          <w:lang w:eastAsia="es-ES"/>
        </w:rPr>
        <w:drawing>
          <wp:inline distT="0" distB="0" distL="0" distR="0" wp14:anchorId="33348657" wp14:editId="33ED9CD1">
            <wp:extent cx="5400040" cy="3938905"/>
            <wp:effectExtent l="0" t="0" r="0" b="4445"/>
            <wp:docPr id="33" name="Imagen 3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pic:nvPicPr>
                  <pic:blipFill>
                    <a:blip r:embed="rId260">
                      <a:extLst>
                        <a:ext uri="{28A0092B-C50C-407E-A947-70E740481C1C}">
                          <a14:useLocalDpi xmlns:a14="http://schemas.microsoft.com/office/drawing/2010/main" val="0"/>
                        </a:ext>
                      </a:extLst>
                    </a:blip>
                    <a:stretch>
                      <a:fillRect/>
                    </a:stretch>
                  </pic:blipFill>
                  <pic:spPr>
                    <a:xfrm>
                      <a:off x="0" y="0"/>
                      <a:ext cx="5400040" cy="3938905"/>
                    </a:xfrm>
                    <a:prstGeom prst="rect">
                      <a:avLst/>
                    </a:prstGeom>
                  </pic:spPr>
                </pic:pic>
              </a:graphicData>
            </a:graphic>
          </wp:inline>
        </w:drawing>
      </w:r>
    </w:p>
    <w:p w14:paraId="6D8839F0" w14:textId="2DC394AE" w:rsidR="005A5339" w:rsidRPr="0057330D" w:rsidRDefault="0057330D" w:rsidP="0057330D">
      <w:pPr>
        <w:pStyle w:val="Descripcin"/>
        <w:jc w:val="center"/>
        <w:rPr>
          <w:rFonts w:ascii="Arial" w:hAnsi="Arial" w:cs="Arial"/>
          <w:smallCaps w:val="0"/>
          <w:sz w:val="18"/>
          <w:szCs w:val="18"/>
        </w:rPr>
      </w:pPr>
      <w:bookmarkStart w:id="98" w:name="_Toc99110895"/>
      <w:r w:rsidRPr="0057330D">
        <w:rPr>
          <w:rFonts w:ascii="Arial" w:hAnsi="Arial" w:cs="Arial"/>
          <w:smallCaps w:val="0"/>
          <w:color w:val="9D2235" w:themeColor="accent1"/>
          <w:sz w:val="18"/>
          <w:szCs w:val="18"/>
        </w:rPr>
        <w:t xml:space="preserve">Imatge </w:t>
      </w:r>
      <w:r w:rsidRPr="0057330D">
        <w:rPr>
          <w:rFonts w:ascii="Arial" w:hAnsi="Arial" w:cs="Arial"/>
          <w:smallCaps w:val="0"/>
          <w:color w:val="9D2235" w:themeColor="accent1"/>
          <w:sz w:val="18"/>
          <w:szCs w:val="18"/>
        </w:rPr>
        <w:fldChar w:fldCharType="begin" w:fldLock="1"/>
      </w:r>
      <w:r w:rsidRPr="0057330D">
        <w:rPr>
          <w:rFonts w:ascii="Arial" w:hAnsi="Arial" w:cs="Arial"/>
          <w:smallCaps w:val="0"/>
          <w:color w:val="9D2235" w:themeColor="accent1"/>
          <w:sz w:val="18"/>
          <w:szCs w:val="18"/>
        </w:rPr>
        <w:instrText xml:space="preserve"> SEQ Imatge \* ARABIC </w:instrText>
      </w:r>
      <w:r w:rsidRPr="0057330D">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6</w:t>
      </w:r>
      <w:r w:rsidRPr="0057330D">
        <w:rPr>
          <w:rFonts w:ascii="Arial" w:hAnsi="Arial" w:cs="Arial"/>
          <w:smallCaps w:val="0"/>
          <w:color w:val="9D2235" w:themeColor="accent1"/>
          <w:sz w:val="18"/>
          <w:szCs w:val="18"/>
        </w:rPr>
        <w:fldChar w:fldCharType="end"/>
      </w:r>
      <w:r w:rsidRPr="0057330D">
        <w:rPr>
          <w:rFonts w:ascii="Arial" w:hAnsi="Arial" w:cs="Arial"/>
          <w:smallCaps w:val="0"/>
          <w:sz w:val="18"/>
          <w:szCs w:val="18"/>
        </w:rPr>
        <w:t>. Infografia mapa d'Europa amb els països que integren NEIWA</w:t>
      </w:r>
      <w:bookmarkEnd w:id="98"/>
    </w:p>
    <w:p w14:paraId="20ED0CC7"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NEIWA té com a objectiu proveir a les autoritats competents eines per a:</w:t>
      </w:r>
    </w:p>
    <w:p w14:paraId="19AE303B" w14:textId="77777777" w:rsidR="0057330D" w:rsidRPr="0057330D" w:rsidRDefault="0057330D" w:rsidP="00F31465">
      <w:pPr>
        <w:numPr>
          <w:ilvl w:val="0"/>
          <w:numId w:val="52"/>
        </w:numPr>
        <w:spacing w:after="120" w:line="276" w:lineRule="auto"/>
        <w:ind w:left="1134" w:hanging="357"/>
        <w:jc w:val="both"/>
        <w:rPr>
          <w:rFonts w:ascii="Arial" w:hAnsi="Arial"/>
          <w:sz w:val="21"/>
          <w:szCs w:val="21"/>
        </w:rPr>
      </w:pPr>
      <w:r w:rsidRPr="0057330D">
        <w:rPr>
          <w:rFonts w:ascii="Arial" w:hAnsi="Arial"/>
          <w:sz w:val="21"/>
          <w:szCs w:val="21"/>
        </w:rPr>
        <w:t>tindre accés a una xarxa d'autoritats similars de la Unió Europea</w:t>
      </w:r>
    </w:p>
    <w:p w14:paraId="4A7D1429" w14:textId="77777777" w:rsidR="0057330D" w:rsidRPr="0057330D" w:rsidRDefault="0057330D" w:rsidP="00F31465">
      <w:pPr>
        <w:numPr>
          <w:ilvl w:val="0"/>
          <w:numId w:val="52"/>
        </w:numPr>
        <w:spacing w:after="120" w:line="276" w:lineRule="auto"/>
        <w:ind w:left="1134" w:hanging="357"/>
        <w:jc w:val="both"/>
        <w:rPr>
          <w:rFonts w:ascii="Arial" w:hAnsi="Arial"/>
          <w:sz w:val="21"/>
          <w:szCs w:val="21"/>
        </w:rPr>
      </w:pPr>
      <w:r w:rsidRPr="0057330D">
        <w:rPr>
          <w:rFonts w:ascii="Arial" w:hAnsi="Arial"/>
          <w:sz w:val="21"/>
          <w:szCs w:val="21"/>
        </w:rPr>
        <w:t>intercanviar coneixements i experiències pràctiques sobre integritat i gestió de denúncies</w:t>
      </w:r>
    </w:p>
    <w:p w14:paraId="3B7B42BC" w14:textId="77777777" w:rsidR="0057330D" w:rsidRPr="0057330D" w:rsidRDefault="0057330D" w:rsidP="00F31465">
      <w:pPr>
        <w:numPr>
          <w:ilvl w:val="0"/>
          <w:numId w:val="52"/>
        </w:numPr>
        <w:spacing w:after="120" w:line="276" w:lineRule="auto"/>
        <w:ind w:left="1134" w:hanging="357"/>
        <w:jc w:val="both"/>
        <w:rPr>
          <w:rFonts w:ascii="Arial" w:hAnsi="Arial"/>
          <w:sz w:val="21"/>
          <w:szCs w:val="21"/>
        </w:rPr>
      </w:pPr>
      <w:r w:rsidRPr="0057330D">
        <w:rPr>
          <w:rFonts w:ascii="Arial" w:hAnsi="Arial"/>
          <w:sz w:val="21"/>
          <w:szCs w:val="21"/>
        </w:rPr>
        <w:t>desenvolupar conjuntament instruments, programes o opinions compartides</w:t>
      </w:r>
    </w:p>
    <w:p w14:paraId="02BBF7F9" w14:textId="77777777" w:rsidR="0057330D" w:rsidRPr="0057330D" w:rsidRDefault="0057330D" w:rsidP="00CE2A49">
      <w:pPr>
        <w:numPr>
          <w:ilvl w:val="0"/>
          <w:numId w:val="52"/>
        </w:numPr>
        <w:spacing w:after="240" w:line="276" w:lineRule="auto"/>
        <w:ind w:left="1134"/>
        <w:jc w:val="both"/>
        <w:rPr>
          <w:rFonts w:ascii="Arial" w:hAnsi="Arial"/>
          <w:sz w:val="21"/>
          <w:szCs w:val="21"/>
        </w:rPr>
      </w:pPr>
      <w:r w:rsidRPr="0057330D">
        <w:rPr>
          <w:rFonts w:ascii="Arial" w:hAnsi="Arial"/>
          <w:sz w:val="21"/>
          <w:szCs w:val="21"/>
        </w:rPr>
        <w:t>trobar socis que participen en les revisions triennals dels altres membres</w:t>
      </w:r>
    </w:p>
    <w:p w14:paraId="1CAC6947"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Els 28 participants que componen NEIWA (27 membres i un observador) són “autoritats competents”, entenent com a tals, segons indica la Directiva de la UE, “autoritats estatals que promouen i/o protegeixen la integritat en el seu estat, almenys (però no exclòs), mitjançant la gestió i la investigació a través de denúncies realitzades externament i/o assessorant i protegint els denunciants”.</w:t>
      </w:r>
    </w:p>
    <w:p w14:paraId="0EB50EBB"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L'Agència forma part d'aquesta organització des de 2019 i al llarg de 2021 ha participat activament en les tres reunions plenàries realitzades, que han tingut lloc de manera virtual, així com en els grups de treball preparatoris d'aquestes.</w:t>
      </w:r>
    </w:p>
    <w:p w14:paraId="2CA54EC9" w14:textId="739321FE"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En les referides reunions, es van subscriure les següents declaracions, que es poden consultar en l'apartat “Declaracions institucionals” de la pàgina web de l’AVAF (</w:t>
      </w:r>
      <w:hyperlink r:id="rId261" w:history="1">
        <w:r w:rsidR="004420A5">
          <w:rPr>
            <w:rStyle w:val="Hipervnculo"/>
            <w:rFonts w:ascii="Arial" w:hAnsi="Arial"/>
            <w:sz w:val="21"/>
            <w:szCs w:val="21"/>
          </w:rPr>
          <w:t>https://www.antifraucv.es/va/informacio-de-rellevancia-juridica/</w:t>
        </w:r>
      </w:hyperlink>
      <w:r w:rsidRPr="0057330D">
        <w:rPr>
          <w:rFonts w:ascii="Arial" w:hAnsi="Arial"/>
          <w:sz w:val="21"/>
          <w:szCs w:val="21"/>
        </w:rPr>
        <w:t>):</w:t>
      </w:r>
      <w:r w:rsidRPr="0057330D">
        <w:rPr>
          <w:rFonts w:ascii="Arial" w:hAnsi="Arial"/>
          <w:b/>
          <w:bCs/>
          <w:sz w:val="21"/>
          <w:szCs w:val="21"/>
        </w:rPr>
        <w:t xml:space="preserve"> </w:t>
      </w:r>
      <w:r w:rsidRPr="0057330D">
        <w:rPr>
          <w:rFonts w:ascii="Arial" w:hAnsi="Arial"/>
          <w:sz w:val="21"/>
          <w:szCs w:val="21"/>
        </w:rPr>
        <w:t xml:space="preserve">Declaracions d'Utrecht el 4 de juny de 2021, </w:t>
      </w:r>
      <w:hyperlink r:id="rId262" w:history="1">
        <w:r w:rsidRPr="0057330D">
          <w:rPr>
            <w:rStyle w:val="Hipervnculo"/>
            <w:rFonts w:ascii="Arial" w:hAnsi="Arial"/>
            <w:sz w:val="21"/>
            <w:szCs w:val="21"/>
          </w:rPr>
          <w:t>Declaració de 17 de setembre de 2021</w:t>
        </w:r>
      </w:hyperlink>
      <w:r w:rsidRPr="0057330D">
        <w:rPr>
          <w:rFonts w:ascii="Arial" w:hAnsi="Arial"/>
          <w:sz w:val="21"/>
          <w:szCs w:val="21"/>
        </w:rPr>
        <w:t xml:space="preserve"> i Declaració de Dublín de 10 de desembre de 2021. </w:t>
      </w:r>
    </w:p>
    <w:p w14:paraId="229E7AC1" w14:textId="77777777" w:rsidR="0057330D" w:rsidRPr="0057330D" w:rsidRDefault="0057330D" w:rsidP="0057330D">
      <w:pPr>
        <w:spacing w:after="240" w:line="276" w:lineRule="auto"/>
        <w:jc w:val="both"/>
        <w:rPr>
          <w:rFonts w:ascii="Arial" w:hAnsi="Arial"/>
          <w:b/>
          <w:bCs/>
          <w:sz w:val="21"/>
          <w:szCs w:val="21"/>
          <w:u w:val="single"/>
        </w:rPr>
      </w:pPr>
      <w:r w:rsidRPr="0057330D">
        <w:rPr>
          <w:rFonts w:ascii="Arial" w:hAnsi="Arial"/>
          <w:b/>
          <w:bCs/>
          <w:sz w:val="21"/>
          <w:szCs w:val="21"/>
          <w:u w:val="single"/>
        </w:rPr>
        <w:t>Declaracions d'Utrecht</w:t>
      </w:r>
    </w:p>
    <w:p w14:paraId="5E80DB51"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 xml:space="preserve">A Utrecht es van signar dues declaracions amb data de 4 de juny de 2021 que, conforme als grups de treball preparatoris de la reunió, es van dedicar als </w:t>
      </w:r>
      <w:hyperlink r:id="rId263" w:history="1">
        <w:r w:rsidRPr="0057330D">
          <w:rPr>
            <w:rStyle w:val="Hipervnculo"/>
            <w:rFonts w:ascii="Arial" w:hAnsi="Arial"/>
            <w:sz w:val="21"/>
            <w:szCs w:val="21"/>
          </w:rPr>
          <w:t>canals interns</w:t>
        </w:r>
      </w:hyperlink>
      <w:r w:rsidRPr="0057330D">
        <w:rPr>
          <w:rFonts w:ascii="Arial" w:hAnsi="Arial"/>
          <w:sz w:val="21"/>
          <w:szCs w:val="21"/>
        </w:rPr>
        <w:t xml:space="preserve"> i </w:t>
      </w:r>
      <w:hyperlink r:id="rId264" w:history="1">
        <w:r w:rsidRPr="0057330D">
          <w:rPr>
            <w:rStyle w:val="Hipervnculo"/>
            <w:rFonts w:ascii="Arial" w:hAnsi="Arial"/>
            <w:sz w:val="21"/>
            <w:szCs w:val="21"/>
          </w:rPr>
          <w:t>externs</w:t>
        </w:r>
      </w:hyperlink>
      <w:r w:rsidRPr="0057330D">
        <w:rPr>
          <w:rFonts w:ascii="Arial" w:hAnsi="Arial"/>
          <w:sz w:val="21"/>
          <w:szCs w:val="21"/>
        </w:rPr>
        <w:t xml:space="preserve"> </w:t>
      </w:r>
      <w:r w:rsidRPr="0057330D">
        <w:rPr>
          <w:rFonts w:ascii="Arial" w:hAnsi="Arial"/>
          <w:b/>
          <w:bCs/>
          <w:sz w:val="21"/>
          <w:szCs w:val="21"/>
        </w:rPr>
        <w:t>de denúncies.</w:t>
      </w:r>
      <w:r w:rsidRPr="0057330D">
        <w:rPr>
          <w:rFonts w:ascii="Arial" w:hAnsi="Arial"/>
          <w:sz w:val="21"/>
          <w:szCs w:val="21"/>
        </w:rPr>
        <w:t xml:space="preserve"> </w:t>
      </w:r>
    </w:p>
    <w:p w14:paraId="620FA452" w14:textId="1868E73D"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 xml:space="preserve">Les aportacions de l’AVAF en els grups de treball es van centrar especialment en l'exigència de preservar la confidencialitat en la tramitació d'expedients d'investigació, de la identitat de les persones denunciants i de qualssevol dades, informacions o documents dels quals la mateixa es pot desprendre, així com els avantatges de l'admissió de la denúncia anònima i les seues correlatives cauteles com a font d'informació i amb </w:t>
      </w:r>
      <w:r w:rsidR="004A7E8D">
        <w:rPr>
          <w:rFonts w:ascii="Arial" w:hAnsi="Arial"/>
          <w:sz w:val="21"/>
          <w:szCs w:val="21"/>
        </w:rPr>
        <w:t xml:space="preserve">la </w:t>
      </w:r>
      <w:r w:rsidRPr="0057330D">
        <w:rPr>
          <w:rFonts w:ascii="Arial" w:hAnsi="Arial"/>
          <w:sz w:val="21"/>
          <w:szCs w:val="21"/>
        </w:rPr>
        <w:t>possibilitat de sancionar la denúncia falsa, i la necessària i enèrgica prohibició de represàlies.</w:t>
      </w:r>
    </w:p>
    <w:p w14:paraId="1A2CAF9B"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Respecte a la confidencialitat de la investigació, l'Agència va destacar que es tracta d'una condició clau per a oferir confiança en un sistema de denúncies, tal com estableix la Directiva 2019/1937, impedint que tercers tinguen accés als documents relacionats amb la denúncia i l’expediente d'investigació, i evitar la possibilitat de represàlies, així com en llaures al bon fi de les investigacions i el respecte a drets constitucionals, com són el dret a la defensa i la presumpció d'innocència. De fet, la legislació pròpia de l’AVAF ja preveia aquesta garantia, fins i tot tres anys abans de la citada Directiva.</w:t>
      </w:r>
    </w:p>
    <w:p w14:paraId="66D9BA42" w14:textId="77777777" w:rsidR="0057330D" w:rsidRPr="0057330D" w:rsidRDefault="0057330D" w:rsidP="0057330D">
      <w:pPr>
        <w:spacing w:after="240" w:line="276" w:lineRule="auto"/>
        <w:jc w:val="both"/>
        <w:rPr>
          <w:rFonts w:ascii="Arial" w:hAnsi="Arial"/>
          <w:sz w:val="21"/>
          <w:szCs w:val="21"/>
          <w:u w:val="single"/>
        </w:rPr>
      </w:pPr>
      <w:r w:rsidRPr="0057330D">
        <w:rPr>
          <w:rFonts w:ascii="Arial" w:hAnsi="Arial"/>
          <w:sz w:val="21"/>
          <w:szCs w:val="21"/>
        </w:rPr>
        <w:t>Quant a les denúncies anònimes i partint de la realitat legislativa existent en els diversos Estats membres que componen NEIWA, en el grup de treball preparatori de les declaracions, l’AVAF va proposar que es treballara perquè la denúncia anònima no es proscriguera i que es permetera com “notitia criminis” en els diferents Estats membres que conformen NEIWA.</w:t>
      </w:r>
    </w:p>
    <w:p w14:paraId="1D259886" w14:textId="0B7BD9DF"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Tot això, amb base al fet que la denúncia anònima, d'acord amb l'experiència obtinguda per aquesta Agència</w:t>
      </w:r>
      <w:r w:rsidR="004A7E8D">
        <w:rPr>
          <w:rFonts w:ascii="Arial" w:hAnsi="Arial"/>
          <w:sz w:val="21"/>
          <w:szCs w:val="21"/>
        </w:rPr>
        <w:t>,</w:t>
      </w:r>
      <w:r w:rsidRPr="0057330D">
        <w:rPr>
          <w:rFonts w:ascii="Arial" w:hAnsi="Arial"/>
          <w:sz w:val="21"/>
          <w:szCs w:val="21"/>
        </w:rPr>
        <w:t xml:space="preserve"> després de més de quatre anys de funcionament, és la forma més eficaç de protecció a les persones que denuncien o informen sobre irregularitats, i eina imprescindible en la lluita contra casos de frau i corrupció que d'una altra manera mai eixirien a la llum. La regla és clara: Si es desconeix qui ha denunciat, no es pot iniciar una croada represaliadora enfront de ningú.</w:t>
      </w:r>
    </w:p>
    <w:p w14:paraId="61DA7402"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 xml:space="preserve">En aquest punt cal destacar que a Espanya, entre moltes altres, la </w:t>
      </w:r>
      <w:hyperlink r:id="rId265" w:history="1">
        <w:r w:rsidRPr="0057330D">
          <w:rPr>
            <w:rStyle w:val="Hipervnculo"/>
            <w:rFonts w:ascii="Arial" w:hAnsi="Arial"/>
            <w:sz w:val="21"/>
            <w:szCs w:val="21"/>
          </w:rPr>
          <w:t>Sentència núm. 35/2020 de 6 de febrer de 2020, dictada per la Sala penal del Tribunal Suprem</w:t>
        </w:r>
      </w:hyperlink>
      <w:r w:rsidRPr="0057330D">
        <w:rPr>
          <w:rFonts w:ascii="Arial" w:hAnsi="Arial"/>
          <w:sz w:val="21"/>
          <w:szCs w:val="21"/>
        </w:rPr>
        <w:t>, valguda la denúncia anònima com a origen d'una investigació interna en una empresa per a destapar un frau. Aquesta Sentència ja va ser ressaltada en la Memòria d'activitat de 2020 d'aquesta Agència.</w:t>
      </w:r>
    </w:p>
    <w:p w14:paraId="0DFDC896" w14:textId="30ADDB33" w:rsidR="0057330D" w:rsidRDefault="0057330D" w:rsidP="0057330D">
      <w:pPr>
        <w:spacing w:after="240" w:line="276" w:lineRule="auto"/>
        <w:jc w:val="both"/>
        <w:rPr>
          <w:rFonts w:ascii="Arial" w:hAnsi="Arial"/>
          <w:sz w:val="21"/>
          <w:szCs w:val="21"/>
        </w:rPr>
      </w:pPr>
      <w:r w:rsidRPr="0057330D">
        <w:rPr>
          <w:rFonts w:ascii="Arial" w:hAnsi="Arial"/>
          <w:sz w:val="21"/>
          <w:szCs w:val="21"/>
        </w:rPr>
        <w:t>En resum, a Espanya la denúncia anònima és admesa des de fa molt temps, tant en determinats sectors del nostre ordenament jurídic (tributari, de Seguretat Social, Inspecció de Treball, etc.), com en el món de l'empresa, por el que la seua negació suposaria una greu reculada en la nostra legislació i en la nostra jurisprudència.</w:t>
      </w:r>
    </w:p>
    <w:p w14:paraId="18BF0ECB" w14:textId="77777777" w:rsidR="008B4180" w:rsidRPr="0057330D" w:rsidRDefault="008B4180" w:rsidP="0057330D">
      <w:pPr>
        <w:spacing w:after="240" w:line="276" w:lineRule="auto"/>
        <w:jc w:val="both"/>
        <w:rPr>
          <w:rFonts w:ascii="Arial" w:hAnsi="Arial"/>
          <w:sz w:val="21"/>
          <w:szCs w:val="21"/>
        </w:rPr>
      </w:pPr>
    </w:p>
    <w:p w14:paraId="442373A4" w14:textId="77777777" w:rsidR="0057330D" w:rsidRPr="0057330D" w:rsidRDefault="00254AEC" w:rsidP="0057330D">
      <w:pPr>
        <w:spacing w:after="240" w:line="276" w:lineRule="auto"/>
        <w:jc w:val="both"/>
        <w:rPr>
          <w:rFonts w:ascii="Arial" w:hAnsi="Arial"/>
          <w:sz w:val="21"/>
          <w:szCs w:val="21"/>
          <w:u w:val="single"/>
        </w:rPr>
      </w:pPr>
      <w:hyperlink r:id="rId266" w:history="1">
        <w:r w:rsidR="0057330D" w:rsidRPr="0057330D">
          <w:rPr>
            <w:rStyle w:val="Hipervnculo"/>
            <w:rFonts w:ascii="Arial" w:hAnsi="Arial"/>
            <w:sz w:val="21"/>
            <w:szCs w:val="21"/>
          </w:rPr>
          <w:t xml:space="preserve">Declaració d'Utrecht de 4 de juny de 2021, sobre l'establiment de CANALS EXTERNS d'informació. </w:t>
        </w:r>
      </w:hyperlink>
    </w:p>
    <w:p w14:paraId="7DA2C9EC" w14:textId="77777777" w:rsidR="0057330D" w:rsidRPr="0057330D" w:rsidRDefault="0057330D" w:rsidP="0057330D">
      <w:pPr>
        <w:spacing w:after="240" w:line="276" w:lineRule="auto"/>
        <w:jc w:val="both"/>
        <w:rPr>
          <w:rFonts w:ascii="Arial" w:hAnsi="Arial"/>
          <w:b/>
          <w:bCs/>
          <w:sz w:val="21"/>
          <w:szCs w:val="21"/>
          <w:u w:val="single"/>
        </w:rPr>
      </w:pPr>
      <w:r w:rsidRPr="0057330D">
        <w:rPr>
          <w:rFonts w:ascii="Arial" w:hAnsi="Arial"/>
          <w:sz w:val="21"/>
          <w:szCs w:val="21"/>
        </w:rPr>
        <w:t>En aquesta Declaració la Xarxa NEIWA</w:t>
      </w:r>
      <w:r w:rsidRPr="0057330D">
        <w:rPr>
          <w:rFonts w:ascii="Arial" w:hAnsi="Arial"/>
          <w:b/>
          <w:bCs/>
          <w:sz w:val="21"/>
          <w:szCs w:val="21"/>
        </w:rPr>
        <w:t xml:space="preserve"> </w:t>
      </w:r>
      <w:r w:rsidRPr="0057330D">
        <w:rPr>
          <w:rFonts w:ascii="Arial" w:hAnsi="Arial"/>
          <w:sz w:val="21"/>
          <w:szCs w:val="21"/>
        </w:rPr>
        <w:t>recomana, a tots els governs, administracions i altres parts interessades involucrades en la implementació de la Directiva (UE) 2019/1937, la necessitat de garantir el funcionament de canals externs de denúncia per autoritats competents, el respecte enfront de tercers de la confidencialitat màxima de les persones denunciants, de les denúncies i de les investigacions, i la dotació a les autoritats competents de la necessària autonomia organitzativa i financera per al correcte acompliment de les seues funcions amb recursos suficients.</w:t>
      </w:r>
    </w:p>
    <w:p w14:paraId="708F47EB" w14:textId="77777777" w:rsidR="0057330D" w:rsidRPr="0057330D" w:rsidRDefault="00254AEC" w:rsidP="0057330D">
      <w:pPr>
        <w:spacing w:after="240" w:line="276" w:lineRule="auto"/>
        <w:jc w:val="both"/>
        <w:rPr>
          <w:rFonts w:ascii="Arial" w:hAnsi="Arial"/>
          <w:sz w:val="21"/>
          <w:szCs w:val="21"/>
        </w:rPr>
      </w:pPr>
      <w:hyperlink r:id="rId267" w:history="1">
        <w:r w:rsidR="0057330D" w:rsidRPr="0057330D">
          <w:rPr>
            <w:rStyle w:val="Hipervnculo"/>
            <w:rFonts w:ascii="Arial" w:hAnsi="Arial"/>
            <w:sz w:val="21"/>
            <w:szCs w:val="21"/>
          </w:rPr>
          <w:t xml:space="preserve">Declaració d'Utrecht de 4 de juny de 2021, sobre l'establiment de CANALS INTERNS d'informació. </w:t>
        </w:r>
      </w:hyperlink>
    </w:p>
    <w:p w14:paraId="441C7A30"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Mitjançant aquesta Declaració la Xarxa NEIWA recomana i insta a tots els governs, administracions i altres parts interessades involucrades en la implementació de la Directiva a complir amb el deure d'establir procediments interns adequats per a rebre i portar el seguiment de les denúncies d'irregularitats.</w:t>
      </w:r>
    </w:p>
    <w:p w14:paraId="70D6E551"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Els canals interns tenen com a objectiu la revelació d'irregularitats en els llocs de treball que d'una altra manera romandrien ocultes per temor a represàlies. S'ha de fomentar una cultura de denúncia interna i valorar aquesta com un acte de lleialtat, així com una oportunitat per a conéixer les infraccions internes i corregir-las.</w:t>
      </w:r>
    </w:p>
    <w:p w14:paraId="476EEB3D"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També la Declaració estableix la necessitat d'assegurar la confidencialitat perquè les persones denunciants, alertadores o informadores superen les seues pors i desconfiança en el sistema. Es destaca que salvaguardar la confidencialitat de la identitat de la persona denunciant i de la investigació és clau per a assegurar que la interposició d'una denúncia no comporta cap risc professional o personal per a qui denúncia.</w:t>
      </w:r>
    </w:p>
    <w:p w14:paraId="07337991"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 xml:space="preserve">De la mateixa manera, la Declaració posa l'accent en la prohibició de represàlies, ja que les persones que realitzen una denúncia interna, han d'estar protegides contra qualsevol forma de represàlia, siga directa o indirecta, adoptada, encoratjada o tolerada pel seu ocupador, client o receptor de serveis i per les persones que treballen per a aquest últim o que actuen en el seu nom, inclosos companys i gerents en la mateixa organització o en altres organitzacions amb les quals la persona denunciant puga estar en contacte en el context de les seues activitats laborals. </w:t>
      </w:r>
    </w:p>
    <w:p w14:paraId="04764083" w14:textId="77777777" w:rsidR="0057330D" w:rsidRPr="0057330D" w:rsidRDefault="00254AEC" w:rsidP="0057330D">
      <w:pPr>
        <w:spacing w:after="240" w:line="276" w:lineRule="auto"/>
        <w:jc w:val="both"/>
        <w:rPr>
          <w:rFonts w:ascii="Arial" w:hAnsi="Arial"/>
          <w:b/>
          <w:bCs/>
          <w:sz w:val="21"/>
          <w:szCs w:val="21"/>
        </w:rPr>
      </w:pPr>
      <w:hyperlink r:id="rId268" w:history="1">
        <w:r w:rsidR="0057330D" w:rsidRPr="0057330D">
          <w:rPr>
            <w:rStyle w:val="Hipervnculo"/>
            <w:rFonts w:ascii="Arial" w:hAnsi="Arial"/>
            <w:sz w:val="21"/>
            <w:szCs w:val="21"/>
          </w:rPr>
          <w:t>Declaració adoptada el 17 de setembre de 2021</w:t>
        </w:r>
      </w:hyperlink>
      <w:r w:rsidR="0057330D" w:rsidRPr="0057330D">
        <w:rPr>
          <w:rFonts w:ascii="Arial" w:hAnsi="Arial"/>
          <w:b/>
          <w:bCs/>
          <w:sz w:val="21"/>
          <w:szCs w:val="21"/>
        </w:rPr>
        <w:t>.</w:t>
      </w:r>
    </w:p>
    <w:p w14:paraId="5147F60D"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Aquesta Declaració recorda als governs els acords i recomanacions adoptats en les declaracions anteriors. Així, s'insta als mateixos a garantir que la Directiva (UE) 2019/1937 este transposada correctament abans de la seua data límit, 17 de desembre de 2021, en els seus respectius ordenaments jurídics interns.</w:t>
      </w:r>
    </w:p>
    <w:p w14:paraId="21D6BAB9" w14:textId="77777777" w:rsidR="0057330D" w:rsidRPr="0057330D" w:rsidRDefault="00254AEC" w:rsidP="0057330D">
      <w:pPr>
        <w:spacing w:after="240" w:line="276" w:lineRule="auto"/>
        <w:jc w:val="both"/>
        <w:rPr>
          <w:rFonts w:ascii="Arial" w:hAnsi="Arial"/>
          <w:sz w:val="21"/>
          <w:szCs w:val="21"/>
          <w:u w:val="single"/>
        </w:rPr>
      </w:pPr>
      <w:hyperlink r:id="rId269" w:history="1">
        <w:r w:rsidR="0057330D" w:rsidRPr="0057330D">
          <w:rPr>
            <w:rStyle w:val="Hipervnculo"/>
            <w:rFonts w:ascii="Arial" w:hAnsi="Arial"/>
            <w:sz w:val="21"/>
            <w:szCs w:val="21"/>
          </w:rPr>
          <w:t>Declaració de Dublín de 10 de desembre de 2021</w:t>
        </w:r>
      </w:hyperlink>
      <w:r w:rsidR="0057330D" w:rsidRPr="0057330D">
        <w:rPr>
          <w:rFonts w:ascii="Arial" w:hAnsi="Arial"/>
          <w:sz w:val="21"/>
          <w:szCs w:val="21"/>
          <w:u w:val="single"/>
        </w:rPr>
        <w:t>.</w:t>
      </w:r>
    </w:p>
    <w:p w14:paraId="5A073761"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 xml:space="preserve">Dels diferents grups de treball preparatoris d'aquesta reunió plenària de NEIWA, que va tindre lloc el desembre de 2021, l’AVAF va participar en l'estudi dels efectes directes de la Directiva (UE) 2019/1937 si arribat el seu terme no és transposada o si realitzada la transposició aquesta no és correcta o incompleta. </w:t>
      </w:r>
    </w:p>
    <w:p w14:paraId="13DF9593"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La nostra proposta es va focalitzar en el possible efecte directe contemplat en l'article 19 de la Directiva, concloent que la prohibició de represàlies continguda en el mateix és directa i clara, i que a més aquest precepte enumera formes específiques que poden revestir aquelles i que totes elles es troben prohibides.</w:t>
      </w:r>
    </w:p>
    <w:p w14:paraId="7687864D"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Això suposa que en el cas que en un Estat membre una persona denuncie, en llaures al bé comú, fets o conductes constitutius de frau o corrupció, i a conseqüència d'això siga represaliada, aquesta podrà invocar davant les autoritats judicials la pròpia Directiva, que es dirigeix a tots els poders públics i forma part del Dret comunitari.</w:t>
      </w:r>
    </w:p>
    <w:p w14:paraId="2F852B75"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A través d'aquest document, NEIWA recorda als Estats membres de la Unió Europea exigeix que la Directiva 2019/1937 es transpose a la legislació nacional abans de 17 de desembre de 2021, i destaca que únicament tres Estats membres han complit amb aquesta obligació.</w:t>
      </w:r>
    </w:p>
    <w:p w14:paraId="2CC6C119"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La Declaració insisteix en el fet que les persones denunciants han d'estar protegides front qualsevol forma de represàlia i tenen dret a mesures de protecció, i també recalca que a partir del 17 de desembre de 2021 gran part del seu articulat, de conformitat amb la jurisprudència del Tribunal de Justícia Europeu, tindrà efecte directe en la legislació nacional dels Estats membres.</w:t>
      </w:r>
    </w:p>
    <w:p w14:paraId="4A7D0E77" w14:textId="77777777" w:rsidR="0057330D" w:rsidRPr="0057330D" w:rsidRDefault="0057330D" w:rsidP="0057330D">
      <w:pPr>
        <w:spacing w:after="240" w:line="276" w:lineRule="auto"/>
        <w:jc w:val="both"/>
        <w:rPr>
          <w:rFonts w:ascii="Arial" w:hAnsi="Arial"/>
          <w:sz w:val="21"/>
          <w:szCs w:val="21"/>
        </w:rPr>
      </w:pPr>
      <w:r w:rsidRPr="0057330D">
        <w:rPr>
          <w:rFonts w:ascii="Arial" w:hAnsi="Arial"/>
          <w:sz w:val="21"/>
          <w:szCs w:val="21"/>
        </w:rPr>
        <w:t>Així mateix, anuncia que després del termini de transposició de la Directiva la Xarxa NEIWA reformularà els seus principals objectius tractant de:</w:t>
      </w:r>
    </w:p>
    <w:p w14:paraId="46DFDC40" w14:textId="77777777" w:rsidR="0057330D" w:rsidRPr="0057330D" w:rsidRDefault="0057330D" w:rsidP="008B4180">
      <w:pPr>
        <w:numPr>
          <w:ilvl w:val="0"/>
          <w:numId w:val="53"/>
        </w:numPr>
        <w:spacing w:after="120" w:line="276" w:lineRule="auto"/>
        <w:ind w:left="1134" w:hanging="357"/>
        <w:jc w:val="both"/>
        <w:rPr>
          <w:rFonts w:ascii="Arial" w:hAnsi="Arial"/>
          <w:sz w:val="21"/>
          <w:szCs w:val="21"/>
        </w:rPr>
      </w:pPr>
      <w:r w:rsidRPr="0057330D">
        <w:rPr>
          <w:rFonts w:ascii="Arial" w:hAnsi="Arial"/>
          <w:sz w:val="21"/>
          <w:szCs w:val="21"/>
        </w:rPr>
        <w:t>Oferir una plataforma en les àrees de promoció de la integritat i denúncia d'irregularitats per a intercanviar coneixements, documentació, iniciatives, jurisprudència i millors pràctiques.</w:t>
      </w:r>
    </w:p>
    <w:p w14:paraId="57A59C16" w14:textId="77777777" w:rsidR="0057330D" w:rsidRPr="0057330D" w:rsidRDefault="0057330D" w:rsidP="008B4180">
      <w:pPr>
        <w:numPr>
          <w:ilvl w:val="0"/>
          <w:numId w:val="53"/>
        </w:numPr>
        <w:spacing w:after="120" w:line="276" w:lineRule="auto"/>
        <w:ind w:left="1134" w:hanging="357"/>
        <w:jc w:val="both"/>
        <w:rPr>
          <w:rFonts w:ascii="Arial" w:hAnsi="Arial"/>
          <w:sz w:val="21"/>
          <w:szCs w:val="21"/>
        </w:rPr>
      </w:pPr>
      <w:r w:rsidRPr="0057330D">
        <w:rPr>
          <w:rFonts w:ascii="Arial" w:hAnsi="Arial"/>
          <w:sz w:val="21"/>
          <w:szCs w:val="21"/>
        </w:rPr>
        <w:t>Recopilar informació sobre la correcta transposició de la Directiva per part dels Estats membres i seguir la seua aplicació pràctica en els Estats membres.</w:t>
      </w:r>
    </w:p>
    <w:p w14:paraId="4E400F9C" w14:textId="77777777" w:rsidR="0057330D" w:rsidRPr="0057330D" w:rsidRDefault="0057330D" w:rsidP="008B4180">
      <w:pPr>
        <w:numPr>
          <w:ilvl w:val="0"/>
          <w:numId w:val="53"/>
        </w:numPr>
        <w:spacing w:after="120" w:line="276" w:lineRule="auto"/>
        <w:ind w:left="1134" w:hanging="357"/>
        <w:jc w:val="both"/>
        <w:rPr>
          <w:rFonts w:ascii="Arial" w:hAnsi="Arial"/>
          <w:sz w:val="21"/>
          <w:szCs w:val="21"/>
        </w:rPr>
      </w:pPr>
      <w:r w:rsidRPr="0057330D">
        <w:rPr>
          <w:rFonts w:ascii="Arial" w:hAnsi="Arial"/>
          <w:sz w:val="21"/>
          <w:szCs w:val="21"/>
        </w:rPr>
        <w:t>Promoure una estreta col·laboració entre els membres de NEIWA i les organitzacions públiques nacionals, europees i internacionals per al desenvolupament d'activitats comunes en els àmbits de la denúncia d'irregularitats i la integritat, en particular amb les institucions de la Unió Europea.</w:t>
      </w:r>
    </w:p>
    <w:p w14:paraId="47C2440B" w14:textId="77777777" w:rsidR="0057330D" w:rsidRPr="0057330D" w:rsidRDefault="0057330D" w:rsidP="008B4180">
      <w:pPr>
        <w:numPr>
          <w:ilvl w:val="0"/>
          <w:numId w:val="53"/>
        </w:numPr>
        <w:spacing w:after="240" w:line="276" w:lineRule="auto"/>
        <w:ind w:left="1134"/>
        <w:jc w:val="both"/>
        <w:rPr>
          <w:rFonts w:ascii="Arial" w:hAnsi="Arial"/>
          <w:sz w:val="21"/>
          <w:szCs w:val="21"/>
        </w:rPr>
      </w:pPr>
      <w:r w:rsidRPr="0057330D">
        <w:rPr>
          <w:rFonts w:ascii="Arial" w:hAnsi="Arial"/>
          <w:sz w:val="21"/>
          <w:szCs w:val="21"/>
        </w:rPr>
        <w:t>Promoure i difondre les experiències, el coneixement i les recomanacions de NEIWA, i participar activament amb totes les parts interessades, inclosa la societat civil i els legisladors.</w:t>
      </w:r>
    </w:p>
    <w:p w14:paraId="35C3424F" w14:textId="161C3119" w:rsidR="008B4180" w:rsidRPr="008B4180" w:rsidRDefault="008B4180" w:rsidP="00563217">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8B4180">
        <w:rPr>
          <w:rFonts w:ascii="Arial" w:eastAsia="Times New Roman" w:hAnsi="Arial" w:cs="Arial"/>
          <w:b/>
          <w:color w:val="9D2235"/>
          <w:sz w:val="24"/>
          <w:szCs w:val="24"/>
        </w:rPr>
        <w:t>REDOAF</w:t>
      </w:r>
    </w:p>
    <w:p w14:paraId="39FD1966" w14:textId="77777777" w:rsidR="008B4180" w:rsidRPr="008B4180" w:rsidRDefault="008B4180" w:rsidP="008B4180">
      <w:pPr>
        <w:spacing w:after="240" w:line="276" w:lineRule="auto"/>
        <w:jc w:val="both"/>
        <w:rPr>
          <w:rFonts w:ascii="Arial" w:hAnsi="Arial"/>
          <w:sz w:val="21"/>
          <w:szCs w:val="21"/>
        </w:rPr>
      </w:pPr>
      <w:r w:rsidRPr="008B4180">
        <w:rPr>
          <w:rFonts w:ascii="Arial" w:hAnsi="Arial"/>
          <w:sz w:val="21"/>
          <w:szCs w:val="21"/>
        </w:rPr>
        <w:t>En compliment dels articles 6 i 36 de la Convenció de Nacions Unides contra la Corrupció, a Espanya es creen Oficines i Agències Antifrau com a organismes públics de caràcter administratiu per a la prevenció i lluita contra la corrupció, amb competències en matèria de prevenció i promoció de l'ètica i integritat pública en el sector públic, de recepció de denúncies i investigació d'infraccions i altres irregularitats que pogueren ser constitutives de frau o corrupció, i de protecció a persones denunciants i alertadores.</w:t>
      </w:r>
    </w:p>
    <w:p w14:paraId="449A205F" w14:textId="77777777" w:rsidR="008B4180" w:rsidRDefault="008B4180" w:rsidP="008B4180">
      <w:pPr>
        <w:keepNext/>
        <w:spacing w:after="240" w:line="276" w:lineRule="auto"/>
        <w:jc w:val="both"/>
      </w:pPr>
      <w:r w:rsidRPr="008B4180">
        <w:rPr>
          <w:rFonts w:ascii="Arial" w:eastAsia="SimSun" w:hAnsi="Arial" w:cs="Arial"/>
          <w:noProof/>
          <w:kern w:val="2"/>
          <w:sz w:val="21"/>
          <w:szCs w:val="21"/>
          <w:lang w:eastAsia="zh-CN" w:bidi="hi-IN"/>
        </w:rPr>
        <w:drawing>
          <wp:inline distT="0" distB="0" distL="0" distR="0" wp14:anchorId="207915AE" wp14:editId="1FEC5AB8">
            <wp:extent cx="5400040" cy="4959985"/>
            <wp:effectExtent l="0" t="0" r="0" b="0"/>
            <wp:docPr id="34" name="Imagen 3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Mapa&#10;&#10;Descripción generada automáticament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400040" cy="4959985"/>
                    </a:xfrm>
                    <a:prstGeom prst="rect">
                      <a:avLst/>
                    </a:prstGeom>
                  </pic:spPr>
                </pic:pic>
              </a:graphicData>
            </a:graphic>
          </wp:inline>
        </w:drawing>
      </w:r>
    </w:p>
    <w:p w14:paraId="1C0E4D8C" w14:textId="2501727A" w:rsidR="005A5339" w:rsidRPr="008B4180" w:rsidRDefault="008B4180" w:rsidP="008B4180">
      <w:pPr>
        <w:pStyle w:val="Descripcin"/>
        <w:jc w:val="center"/>
        <w:rPr>
          <w:rFonts w:ascii="Arial" w:hAnsi="Arial" w:cs="Arial"/>
          <w:smallCaps w:val="0"/>
          <w:sz w:val="18"/>
          <w:szCs w:val="18"/>
        </w:rPr>
      </w:pPr>
      <w:bookmarkStart w:id="99" w:name="_Toc99110896"/>
      <w:r w:rsidRPr="008B4180">
        <w:rPr>
          <w:rFonts w:ascii="Arial" w:hAnsi="Arial" w:cs="Arial"/>
          <w:smallCaps w:val="0"/>
          <w:color w:val="9D2235" w:themeColor="accent1"/>
          <w:sz w:val="18"/>
          <w:szCs w:val="18"/>
        </w:rPr>
        <w:t xml:space="preserve">Imatge </w:t>
      </w:r>
      <w:r w:rsidRPr="008B4180">
        <w:rPr>
          <w:rFonts w:ascii="Arial" w:hAnsi="Arial" w:cs="Arial"/>
          <w:smallCaps w:val="0"/>
          <w:color w:val="9D2235" w:themeColor="accent1"/>
          <w:sz w:val="18"/>
          <w:szCs w:val="18"/>
        </w:rPr>
        <w:fldChar w:fldCharType="begin" w:fldLock="1"/>
      </w:r>
      <w:r w:rsidRPr="008B4180">
        <w:rPr>
          <w:rFonts w:ascii="Arial" w:hAnsi="Arial" w:cs="Arial"/>
          <w:smallCaps w:val="0"/>
          <w:color w:val="9D2235" w:themeColor="accent1"/>
          <w:sz w:val="18"/>
          <w:szCs w:val="18"/>
        </w:rPr>
        <w:instrText xml:space="preserve"> SEQ Imatge \* ARABIC </w:instrText>
      </w:r>
      <w:r w:rsidRPr="008B4180">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7</w:t>
      </w:r>
      <w:r w:rsidRPr="008B4180">
        <w:rPr>
          <w:rFonts w:ascii="Arial" w:hAnsi="Arial" w:cs="Arial"/>
          <w:smallCaps w:val="0"/>
          <w:color w:val="9D2235" w:themeColor="accent1"/>
          <w:sz w:val="18"/>
          <w:szCs w:val="18"/>
        </w:rPr>
        <w:fldChar w:fldCharType="end"/>
      </w:r>
      <w:r w:rsidRPr="008B4180">
        <w:rPr>
          <w:rFonts w:ascii="Arial" w:hAnsi="Arial" w:cs="Arial"/>
          <w:smallCaps w:val="0"/>
          <w:color w:val="9D2235" w:themeColor="accent1"/>
          <w:sz w:val="18"/>
          <w:szCs w:val="18"/>
        </w:rPr>
        <w:t xml:space="preserve">. </w:t>
      </w:r>
      <w:r w:rsidRPr="008B4180">
        <w:rPr>
          <w:rFonts w:ascii="Arial" w:hAnsi="Arial" w:cs="Arial"/>
          <w:smallCaps w:val="0"/>
          <w:sz w:val="18"/>
          <w:szCs w:val="18"/>
        </w:rPr>
        <w:t>Infografia mapa d'Espanya composició REDOAF</w:t>
      </w:r>
      <w:bookmarkEnd w:id="99"/>
    </w:p>
    <w:p w14:paraId="78C6300C" w14:textId="77777777" w:rsidR="008B4180" w:rsidRPr="008B4180" w:rsidRDefault="008B4180" w:rsidP="008B4180">
      <w:pPr>
        <w:spacing w:after="240" w:line="276" w:lineRule="auto"/>
        <w:jc w:val="both"/>
        <w:rPr>
          <w:rFonts w:ascii="Arial" w:hAnsi="Arial"/>
          <w:sz w:val="21"/>
          <w:szCs w:val="21"/>
        </w:rPr>
      </w:pPr>
      <w:r w:rsidRPr="008B4180">
        <w:rPr>
          <w:rFonts w:ascii="Arial" w:hAnsi="Arial"/>
          <w:sz w:val="21"/>
          <w:szCs w:val="21"/>
        </w:rPr>
        <w:t>A partir del 2018, les Oficines i Agències Antifrau existents en aquest moment s'uneixen per a constituir la Xarxa d'Oficines i Agències Antifrau de l'Estat espanyol (REDOAF), a la qual s'han anat adherint des d'aquella data altres institucions públiques, administracions i entitats públiques, que s'han anat creant i dotant de funcions en aquestes matèries.</w:t>
      </w:r>
    </w:p>
    <w:p w14:paraId="15F5FC26" w14:textId="77777777" w:rsidR="008B4180" w:rsidRPr="008B4180" w:rsidRDefault="008B4180" w:rsidP="008B4180">
      <w:pPr>
        <w:spacing w:after="240" w:line="276" w:lineRule="auto"/>
        <w:jc w:val="both"/>
        <w:rPr>
          <w:rFonts w:ascii="Arial" w:hAnsi="Arial"/>
          <w:sz w:val="21"/>
          <w:szCs w:val="21"/>
        </w:rPr>
      </w:pPr>
      <w:r w:rsidRPr="008B4180">
        <w:rPr>
          <w:rFonts w:ascii="Arial" w:hAnsi="Arial"/>
          <w:sz w:val="21"/>
          <w:szCs w:val="21"/>
        </w:rPr>
        <w:t>La finalitat d'aquesta Xarxa Estatal és compartir experiències i coneixements per a millorar el desenvolupament de les seues funcions i la consecució dels objectius d'interés comú, així com establir sistemes de coordinació i una plataforma per a la cooperació, l'intercanvi d'informació i el desenvolupament de propostes per a la realització d'una lluita contra la corrupció efectiva.</w:t>
      </w:r>
    </w:p>
    <w:p w14:paraId="0C1AE47E" w14:textId="77777777" w:rsidR="008B4180" w:rsidRPr="008B4180" w:rsidRDefault="008B4180" w:rsidP="008B4180">
      <w:pPr>
        <w:spacing w:after="240" w:line="276" w:lineRule="auto"/>
        <w:jc w:val="both"/>
        <w:rPr>
          <w:rFonts w:ascii="Arial" w:hAnsi="Arial"/>
          <w:sz w:val="21"/>
          <w:szCs w:val="21"/>
        </w:rPr>
      </w:pPr>
      <w:r w:rsidRPr="008B4180">
        <w:rPr>
          <w:rFonts w:ascii="Arial" w:hAnsi="Arial"/>
          <w:sz w:val="21"/>
          <w:szCs w:val="21"/>
        </w:rPr>
        <w:t>A més de la funció de prevenció de la corrupció, molts dels membres de la Xarxa compten ja amb bústies de denúncia amb possibilitat d'anonimat, constituint-se com a òrgans de control extern i independents de les administracions públiques, amb competència per a la investigació de les denúncies presentades per la bústia, així com per a actuar d'ofici. Alguns d'ells, tenen a més funcions d'assessorament i protecció de persones que denuncien, alerten o comuniquen irregularitats en el sector públic, i també potestat sancionadora.</w:t>
      </w:r>
    </w:p>
    <w:p w14:paraId="1BFC3AFC" w14:textId="77777777" w:rsidR="008B4180" w:rsidRPr="008B4180" w:rsidRDefault="008B4180" w:rsidP="008B4180">
      <w:pPr>
        <w:spacing w:after="240" w:line="276" w:lineRule="auto"/>
        <w:jc w:val="both"/>
        <w:rPr>
          <w:rFonts w:ascii="Arial" w:hAnsi="Arial"/>
          <w:sz w:val="21"/>
          <w:szCs w:val="21"/>
        </w:rPr>
      </w:pPr>
      <w:r w:rsidRPr="008B4180">
        <w:rPr>
          <w:rFonts w:ascii="Arial" w:hAnsi="Arial"/>
          <w:sz w:val="21"/>
          <w:szCs w:val="21"/>
        </w:rPr>
        <w:t>Des dels seus inicis, la Xarxa d'Oficines i Agències Antifrau ha celebrat nou trobades en els quals s'han tractat diverses temàtiques, entre elles i especialment, la situació de la transposició de la referida Directiva i la protecció de les persones denunciants, els canals de denúncia, l'anonimat, la necessitat de la confidencialitat, el foment de les polítiques d'integritat, els conflictes d'interés, el frau i la corrupció en la contractació pública, els costos de la corrupció o l'anàlisi de les conseqüències de la situació de crisi provocada pel COVID-19.</w:t>
      </w:r>
    </w:p>
    <w:p w14:paraId="74BC853D" w14:textId="77777777" w:rsidR="008B4180" w:rsidRPr="008B4180" w:rsidRDefault="008B4180" w:rsidP="008B4180">
      <w:pPr>
        <w:spacing w:after="240" w:line="276" w:lineRule="auto"/>
        <w:jc w:val="both"/>
        <w:rPr>
          <w:rFonts w:ascii="Arial" w:hAnsi="Arial"/>
          <w:sz w:val="21"/>
          <w:szCs w:val="21"/>
        </w:rPr>
      </w:pPr>
      <w:r w:rsidRPr="008B4180">
        <w:rPr>
          <w:rFonts w:ascii="Arial" w:hAnsi="Arial"/>
          <w:sz w:val="21"/>
          <w:szCs w:val="21"/>
        </w:rPr>
        <w:t xml:space="preserve">En concret, les trobades de la Xarxa celebrats durant 2021 han sigut els següents: </w:t>
      </w:r>
    </w:p>
    <w:p w14:paraId="4B884FFB" w14:textId="77777777" w:rsidR="008B4180" w:rsidRPr="008B4180" w:rsidRDefault="008B4180" w:rsidP="008B4180">
      <w:pPr>
        <w:numPr>
          <w:ilvl w:val="0"/>
          <w:numId w:val="54"/>
        </w:numPr>
        <w:spacing w:after="120" w:line="276" w:lineRule="auto"/>
        <w:ind w:left="1134" w:hanging="357"/>
        <w:jc w:val="both"/>
        <w:rPr>
          <w:rFonts w:ascii="Arial" w:hAnsi="Arial"/>
          <w:sz w:val="21"/>
          <w:szCs w:val="21"/>
        </w:rPr>
      </w:pPr>
      <w:r w:rsidRPr="008B4180">
        <w:rPr>
          <w:rFonts w:ascii="Arial" w:hAnsi="Arial"/>
          <w:sz w:val="21"/>
          <w:szCs w:val="21"/>
        </w:rPr>
        <w:t>VII Trobada de la Xarxa d'Oficines i Agències Anticorrupció celebrada mitjançant reunió virtual el 28 de juny de 2021, organitzat pel Servei Nacional de Coordinació Antifrau.</w:t>
      </w:r>
    </w:p>
    <w:p w14:paraId="5D5FE317" w14:textId="77777777" w:rsidR="008B4180" w:rsidRPr="008B4180" w:rsidRDefault="008B4180" w:rsidP="008B4180">
      <w:pPr>
        <w:numPr>
          <w:ilvl w:val="0"/>
          <w:numId w:val="54"/>
        </w:numPr>
        <w:spacing w:after="120" w:line="276" w:lineRule="auto"/>
        <w:ind w:left="1134" w:hanging="357"/>
        <w:jc w:val="both"/>
        <w:rPr>
          <w:rFonts w:ascii="Arial" w:hAnsi="Arial"/>
          <w:sz w:val="21"/>
          <w:szCs w:val="21"/>
        </w:rPr>
      </w:pPr>
      <w:r w:rsidRPr="008B4180">
        <w:rPr>
          <w:rFonts w:ascii="Arial" w:hAnsi="Arial"/>
          <w:sz w:val="21"/>
          <w:szCs w:val="21"/>
        </w:rPr>
        <w:t>VIII Trobada de la Xarxa d'Oficines i Agències Antifrau celebrada els dies 28 i 29 de setembre de 2021, en el marc del Congrés Internacional de Transparència a Alacant, organitzat per l'Agència de Prevenció i Lluita contra el Frau i la Corrupció de la Comunitat Valenciana.</w:t>
      </w:r>
    </w:p>
    <w:p w14:paraId="53A0E167" w14:textId="77777777" w:rsidR="008B4180" w:rsidRPr="008B4180" w:rsidRDefault="008B4180" w:rsidP="008B4180">
      <w:pPr>
        <w:numPr>
          <w:ilvl w:val="0"/>
          <w:numId w:val="54"/>
        </w:numPr>
        <w:spacing w:after="240" w:line="276" w:lineRule="auto"/>
        <w:ind w:left="1134"/>
        <w:jc w:val="both"/>
        <w:rPr>
          <w:rFonts w:ascii="Arial" w:hAnsi="Arial"/>
          <w:sz w:val="21"/>
          <w:szCs w:val="21"/>
        </w:rPr>
      </w:pPr>
      <w:r w:rsidRPr="008B4180">
        <w:rPr>
          <w:rFonts w:ascii="Arial" w:hAnsi="Arial"/>
          <w:sz w:val="21"/>
          <w:szCs w:val="21"/>
        </w:rPr>
        <w:t>IX Trobada de la Xarxa d'Oficines i Agències Anticorrupció celebrada el 12 de novembre de 2021, organitzat per l'Agència de Transparència de l'Àrea Metropolitana de Barcelona.</w:t>
      </w:r>
    </w:p>
    <w:p w14:paraId="785E4417" w14:textId="77777777" w:rsidR="008B4180" w:rsidRPr="008B4180" w:rsidRDefault="008B4180" w:rsidP="008B4180">
      <w:pPr>
        <w:spacing w:after="240" w:line="276" w:lineRule="auto"/>
        <w:jc w:val="both"/>
        <w:rPr>
          <w:rFonts w:ascii="Arial" w:hAnsi="Arial"/>
          <w:sz w:val="21"/>
          <w:szCs w:val="21"/>
        </w:rPr>
      </w:pPr>
      <w:r w:rsidRPr="008B4180">
        <w:rPr>
          <w:rFonts w:ascii="Arial" w:hAnsi="Arial"/>
          <w:sz w:val="21"/>
          <w:szCs w:val="21"/>
        </w:rPr>
        <w:t>Els membres actuals de la REDOAF són els següents òrgans i autoritats públiques:</w:t>
      </w:r>
    </w:p>
    <w:p w14:paraId="35F75C71" w14:textId="77777777" w:rsidR="008B4180" w:rsidRPr="008B4180" w:rsidRDefault="008B4180" w:rsidP="008B4180">
      <w:pPr>
        <w:numPr>
          <w:ilvl w:val="0"/>
          <w:numId w:val="55"/>
        </w:numPr>
        <w:spacing w:after="240" w:line="276" w:lineRule="auto"/>
        <w:ind w:left="1134" w:hanging="357"/>
        <w:contextualSpacing/>
        <w:jc w:val="both"/>
        <w:rPr>
          <w:rFonts w:ascii="Arial" w:hAnsi="Arial"/>
          <w:sz w:val="21"/>
          <w:szCs w:val="21"/>
        </w:rPr>
      </w:pPr>
      <w:r w:rsidRPr="008B4180">
        <w:rPr>
          <w:rFonts w:ascii="Arial" w:hAnsi="Arial"/>
          <w:sz w:val="21"/>
          <w:szCs w:val="21"/>
        </w:rPr>
        <w:t>Oficina Antifrau de Catalunya.</w:t>
      </w:r>
    </w:p>
    <w:p w14:paraId="6DA21E7C" w14:textId="77777777" w:rsidR="008B4180" w:rsidRPr="008B4180" w:rsidRDefault="008B4180" w:rsidP="008B4180">
      <w:pPr>
        <w:numPr>
          <w:ilvl w:val="0"/>
          <w:numId w:val="55"/>
        </w:numPr>
        <w:spacing w:after="240" w:line="276" w:lineRule="auto"/>
        <w:ind w:left="1134" w:hanging="357"/>
        <w:contextualSpacing/>
        <w:jc w:val="both"/>
        <w:rPr>
          <w:rFonts w:ascii="Arial" w:hAnsi="Arial"/>
          <w:sz w:val="21"/>
          <w:szCs w:val="21"/>
        </w:rPr>
      </w:pPr>
      <w:r w:rsidRPr="008B4180">
        <w:rPr>
          <w:rFonts w:ascii="Arial" w:hAnsi="Arial"/>
          <w:sz w:val="21"/>
          <w:szCs w:val="21"/>
        </w:rPr>
        <w:t>Servei Nacional de Coordinació Antifrau de la Intervenció General de l'Administració de l'Estat.</w:t>
      </w:r>
    </w:p>
    <w:p w14:paraId="7F78672A" w14:textId="77777777" w:rsidR="008B4180" w:rsidRPr="008B4180" w:rsidRDefault="008B4180" w:rsidP="008B4180">
      <w:pPr>
        <w:numPr>
          <w:ilvl w:val="0"/>
          <w:numId w:val="55"/>
        </w:numPr>
        <w:spacing w:after="240" w:line="276" w:lineRule="auto"/>
        <w:ind w:left="1134" w:hanging="357"/>
        <w:contextualSpacing/>
        <w:jc w:val="both"/>
        <w:rPr>
          <w:rFonts w:ascii="Arial" w:hAnsi="Arial"/>
          <w:sz w:val="21"/>
          <w:szCs w:val="21"/>
        </w:rPr>
      </w:pPr>
      <w:r w:rsidRPr="008B4180">
        <w:rPr>
          <w:rFonts w:ascii="Arial" w:hAnsi="Arial"/>
          <w:sz w:val="21"/>
          <w:szCs w:val="21"/>
        </w:rPr>
        <w:t>Agència de Transparència de l'Àrea Metropolitana de Barcelona.</w:t>
      </w:r>
    </w:p>
    <w:p w14:paraId="491ABAA8" w14:textId="77777777" w:rsidR="008B4180" w:rsidRPr="008B4180" w:rsidRDefault="008B4180" w:rsidP="008B4180">
      <w:pPr>
        <w:numPr>
          <w:ilvl w:val="0"/>
          <w:numId w:val="55"/>
        </w:numPr>
        <w:spacing w:after="240" w:line="276" w:lineRule="auto"/>
        <w:ind w:left="1134" w:hanging="357"/>
        <w:contextualSpacing/>
        <w:jc w:val="both"/>
        <w:rPr>
          <w:rFonts w:ascii="Arial" w:hAnsi="Arial"/>
          <w:sz w:val="21"/>
          <w:szCs w:val="21"/>
        </w:rPr>
      </w:pPr>
      <w:r w:rsidRPr="008B4180">
        <w:rPr>
          <w:rFonts w:ascii="Arial" w:hAnsi="Arial"/>
          <w:sz w:val="21"/>
          <w:szCs w:val="21"/>
        </w:rPr>
        <w:t>Oficina per a la Transparència i les Bones Pràctiques de l'Ajuntament de Barcelona.</w:t>
      </w:r>
    </w:p>
    <w:p w14:paraId="21779760" w14:textId="77777777" w:rsidR="008B4180" w:rsidRPr="008B4180" w:rsidRDefault="008B4180" w:rsidP="008B4180">
      <w:pPr>
        <w:numPr>
          <w:ilvl w:val="0"/>
          <w:numId w:val="55"/>
        </w:numPr>
        <w:spacing w:after="240" w:line="276" w:lineRule="auto"/>
        <w:ind w:left="1134" w:hanging="357"/>
        <w:contextualSpacing/>
        <w:jc w:val="both"/>
        <w:rPr>
          <w:rFonts w:ascii="Arial" w:hAnsi="Arial"/>
          <w:sz w:val="21"/>
          <w:szCs w:val="21"/>
        </w:rPr>
      </w:pPr>
      <w:r w:rsidRPr="008B4180">
        <w:rPr>
          <w:rFonts w:ascii="Arial" w:hAnsi="Arial"/>
          <w:sz w:val="21"/>
          <w:szCs w:val="21"/>
        </w:rPr>
        <w:t>Agència de Prevenció i Lluita contra el Frau i la Corrupció de la Comunitat Valenciana.</w:t>
      </w:r>
    </w:p>
    <w:p w14:paraId="03F6F746" w14:textId="77777777" w:rsidR="008B4180" w:rsidRPr="008B4180" w:rsidRDefault="008B4180" w:rsidP="008B4180">
      <w:pPr>
        <w:numPr>
          <w:ilvl w:val="0"/>
          <w:numId w:val="55"/>
        </w:numPr>
        <w:spacing w:after="240" w:line="276" w:lineRule="auto"/>
        <w:ind w:left="1134" w:hanging="357"/>
        <w:contextualSpacing/>
        <w:jc w:val="both"/>
        <w:rPr>
          <w:rFonts w:ascii="Arial" w:hAnsi="Arial"/>
          <w:sz w:val="21"/>
          <w:szCs w:val="21"/>
        </w:rPr>
      </w:pPr>
      <w:r w:rsidRPr="008B4180">
        <w:rPr>
          <w:rFonts w:ascii="Arial" w:hAnsi="Arial"/>
          <w:sz w:val="21"/>
          <w:szCs w:val="21"/>
        </w:rPr>
        <w:t>Oficina de Prevenció i Lluita contra la Corrupció en les Illes Balears.</w:t>
      </w:r>
    </w:p>
    <w:p w14:paraId="3478F127" w14:textId="77777777" w:rsidR="008B4180" w:rsidRPr="008B4180" w:rsidRDefault="008B4180" w:rsidP="008B4180">
      <w:pPr>
        <w:numPr>
          <w:ilvl w:val="0"/>
          <w:numId w:val="55"/>
        </w:numPr>
        <w:spacing w:after="240" w:line="276" w:lineRule="auto"/>
        <w:ind w:left="1134" w:hanging="357"/>
        <w:contextualSpacing/>
        <w:jc w:val="both"/>
        <w:rPr>
          <w:rFonts w:ascii="Arial" w:hAnsi="Arial"/>
          <w:sz w:val="21"/>
          <w:szCs w:val="21"/>
        </w:rPr>
      </w:pPr>
      <w:r w:rsidRPr="008B4180">
        <w:rPr>
          <w:rFonts w:ascii="Arial" w:hAnsi="Arial"/>
          <w:sz w:val="21"/>
          <w:szCs w:val="21"/>
        </w:rPr>
        <w:t>Oficina Municipal contra el Frau i la Corrupció de l'Ajuntament de Madrid.</w:t>
      </w:r>
    </w:p>
    <w:p w14:paraId="1EC82BE7" w14:textId="77777777" w:rsidR="008B4180" w:rsidRPr="008B4180" w:rsidRDefault="008B4180" w:rsidP="008B4180">
      <w:pPr>
        <w:numPr>
          <w:ilvl w:val="0"/>
          <w:numId w:val="55"/>
        </w:numPr>
        <w:spacing w:after="240" w:line="276" w:lineRule="auto"/>
        <w:ind w:left="1134" w:hanging="357"/>
        <w:contextualSpacing/>
        <w:jc w:val="both"/>
        <w:rPr>
          <w:rFonts w:ascii="Arial" w:hAnsi="Arial"/>
          <w:sz w:val="21"/>
          <w:szCs w:val="21"/>
        </w:rPr>
      </w:pPr>
      <w:r w:rsidRPr="008B4180">
        <w:rPr>
          <w:rFonts w:ascii="Arial" w:hAnsi="Arial"/>
          <w:sz w:val="21"/>
          <w:szCs w:val="21"/>
        </w:rPr>
        <w:t>Oficina Independent de Regulació i Supervisió de la Contractació.</w:t>
      </w:r>
    </w:p>
    <w:p w14:paraId="00490261" w14:textId="77777777" w:rsidR="008B4180" w:rsidRPr="008B4180" w:rsidRDefault="008B4180" w:rsidP="008B4180">
      <w:pPr>
        <w:numPr>
          <w:ilvl w:val="0"/>
          <w:numId w:val="55"/>
        </w:numPr>
        <w:spacing w:after="240" w:line="276" w:lineRule="auto"/>
        <w:ind w:left="1134" w:hanging="357"/>
        <w:jc w:val="both"/>
        <w:rPr>
          <w:rFonts w:ascii="Arial" w:hAnsi="Arial"/>
          <w:sz w:val="21"/>
          <w:szCs w:val="21"/>
        </w:rPr>
      </w:pPr>
      <w:r w:rsidRPr="008B4180">
        <w:rPr>
          <w:rFonts w:ascii="Arial" w:hAnsi="Arial"/>
          <w:sz w:val="21"/>
          <w:szCs w:val="21"/>
        </w:rPr>
        <w:t>Oficina Andalusa contra el Frau i la Corrupció.</w:t>
      </w:r>
    </w:p>
    <w:p w14:paraId="1EF222F0" w14:textId="77777777" w:rsidR="008B4180" w:rsidRPr="008B4180" w:rsidRDefault="008B4180" w:rsidP="008B4180">
      <w:pPr>
        <w:spacing w:after="240" w:line="276" w:lineRule="auto"/>
        <w:jc w:val="both"/>
        <w:rPr>
          <w:rFonts w:ascii="Arial" w:hAnsi="Arial"/>
          <w:sz w:val="21"/>
          <w:szCs w:val="21"/>
        </w:rPr>
      </w:pPr>
      <w:r w:rsidRPr="008B4180">
        <w:rPr>
          <w:rFonts w:ascii="Arial" w:hAnsi="Arial"/>
          <w:iCs/>
          <w:sz w:val="21"/>
          <w:szCs w:val="21"/>
        </w:rPr>
        <w:t>A ells se suma el</w:t>
      </w:r>
      <w:r w:rsidRPr="008B4180">
        <w:rPr>
          <w:rFonts w:ascii="Arial" w:hAnsi="Arial"/>
          <w:i/>
          <w:sz w:val="21"/>
          <w:szCs w:val="21"/>
        </w:rPr>
        <w:t xml:space="preserve"> Consello de Contas</w:t>
      </w:r>
      <w:r w:rsidRPr="008B4180">
        <w:rPr>
          <w:rFonts w:ascii="Arial" w:hAnsi="Arial"/>
          <w:sz w:val="21"/>
          <w:szCs w:val="21"/>
        </w:rPr>
        <w:t xml:space="preserve"> de Galícia i l'Audiència de Comptes de Canàries, en qualitat d'observadors.</w:t>
      </w:r>
    </w:p>
    <w:p w14:paraId="24AAA7E9" w14:textId="77777777" w:rsidR="008B4180" w:rsidRPr="008B4180" w:rsidRDefault="008B4180" w:rsidP="008B4180">
      <w:pPr>
        <w:spacing w:after="240" w:line="276" w:lineRule="auto"/>
        <w:jc w:val="both"/>
        <w:rPr>
          <w:rFonts w:ascii="Arial" w:hAnsi="Arial"/>
          <w:sz w:val="21"/>
          <w:szCs w:val="21"/>
        </w:rPr>
      </w:pPr>
      <w:r w:rsidRPr="008B4180">
        <w:rPr>
          <w:rFonts w:ascii="Arial" w:hAnsi="Arial"/>
          <w:sz w:val="21"/>
          <w:szCs w:val="21"/>
        </w:rPr>
        <w:t xml:space="preserve">La Xarxa d'Oficines i Agències Antifrau, durant la seua VIII Trobada, en el si del VI Congrés Internacional de Transparència, celebrat els dies 28 i 29 de setembre de 2021 a Alacant, va adoptar </w:t>
      </w:r>
      <w:hyperlink r:id="rId271" w:history="1">
        <w:r w:rsidRPr="008B4180">
          <w:rPr>
            <w:rStyle w:val="Hipervnculo"/>
            <w:rFonts w:ascii="Arial" w:hAnsi="Arial"/>
            <w:sz w:val="21"/>
            <w:szCs w:val="21"/>
          </w:rPr>
          <w:t>una Declaració institucional,</w:t>
        </w:r>
      </w:hyperlink>
      <w:r w:rsidRPr="008B4180">
        <w:rPr>
          <w:rFonts w:ascii="Arial" w:hAnsi="Arial"/>
          <w:sz w:val="21"/>
          <w:szCs w:val="21"/>
        </w:rPr>
        <w:t xml:space="preserve"> amb la finalitat de contribuir a la prevenció i a la lluita contra la corrupció, així com a la protecció dels qui la denuncien. En la Declaració, entre altres mesures, s'urgeix als decisors públics a desenvolupar el marc legal que transpose la Directiva (EU) 2019/1937, de protecció a les persones denunciants i alertadores, i es recomana fomentar la cultura de la denúncia d'irregularitats, promoure l'establiment de canals de denúncia segurs, confidencials, accessibles i eficaces, protegir de manera eficaç a les persones denunciants, implementar accions correctores sobre les persones represaliadores, així com desplegar accions de difusió, formació i sensibilització a la ciutadania per a consolidar una cultura social de rebuig de la corrupció.</w:t>
      </w:r>
    </w:p>
    <w:p w14:paraId="31A584D1" w14:textId="455D4C07" w:rsidR="00563217" w:rsidRPr="00563217" w:rsidRDefault="00563217" w:rsidP="00563217">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563217">
        <w:rPr>
          <w:rFonts w:ascii="Arial" w:eastAsia="Times New Roman" w:hAnsi="Arial" w:cs="Arial"/>
          <w:b/>
          <w:color w:val="9D2235"/>
          <w:sz w:val="24"/>
          <w:szCs w:val="24"/>
        </w:rPr>
        <w:t>AVAF</w:t>
      </w:r>
    </w:p>
    <w:p w14:paraId="31179E5A" w14:textId="0AEF5594" w:rsidR="00563217" w:rsidRPr="00563217" w:rsidRDefault="00563217" w:rsidP="00563217">
      <w:pPr>
        <w:spacing w:after="240" w:line="276" w:lineRule="auto"/>
        <w:jc w:val="both"/>
        <w:rPr>
          <w:rFonts w:ascii="Arial" w:hAnsi="Arial"/>
          <w:sz w:val="21"/>
          <w:szCs w:val="21"/>
        </w:rPr>
      </w:pPr>
      <w:r w:rsidRPr="00563217">
        <w:rPr>
          <w:rFonts w:ascii="Arial" w:hAnsi="Arial"/>
          <w:sz w:val="21"/>
          <w:szCs w:val="21"/>
        </w:rPr>
        <w:t xml:space="preserve">Durant l'any 2021, a més de participar en Declaracions institucionals a les quals s'ha fet referència en els apartats anteriors, l’AVAF ha emés, en dates assenyalades, les seues pròpies Declaracions </w:t>
      </w:r>
      <w:r w:rsidR="004A7E8D" w:rsidRPr="004A7E8D">
        <w:rPr>
          <w:rFonts w:ascii="Arial" w:hAnsi="Arial"/>
          <w:sz w:val="21"/>
          <w:szCs w:val="21"/>
        </w:rPr>
        <w:t>en les quals es</w:t>
      </w:r>
      <w:r w:rsidRPr="00563217">
        <w:rPr>
          <w:rFonts w:ascii="Arial" w:hAnsi="Arial"/>
          <w:sz w:val="21"/>
          <w:szCs w:val="21"/>
        </w:rPr>
        <w:t xml:space="preserve"> reitera la necessitat d'adoptar mesures a fi de dotar a l'Estat espanyol d'un marc jurídic d'integritat mitjançant la modificació de l'ordenament jurídic.</w:t>
      </w:r>
    </w:p>
    <w:p w14:paraId="37DE9A01" w14:textId="77777777" w:rsidR="00563217" w:rsidRPr="00563217" w:rsidRDefault="00563217" w:rsidP="00563217">
      <w:pPr>
        <w:spacing w:after="240" w:line="276" w:lineRule="auto"/>
        <w:jc w:val="both"/>
        <w:rPr>
          <w:rFonts w:ascii="Arial" w:hAnsi="Arial"/>
          <w:sz w:val="21"/>
          <w:szCs w:val="21"/>
        </w:rPr>
      </w:pPr>
      <w:r w:rsidRPr="00563217">
        <w:rPr>
          <w:rFonts w:ascii="Arial" w:hAnsi="Arial"/>
          <w:sz w:val="21"/>
          <w:szCs w:val="21"/>
        </w:rPr>
        <w:t>En concret, les Declaracions de l’AVAF es van pronunciar el 23 de juny de 2021, en ocasió de la celebració del dia mundial de la persona alertadora, i el 17 de desembre de 2021, dia en què va expirar el termini per a la transposició de la Directiva (UE) 2019/1937.</w:t>
      </w:r>
    </w:p>
    <w:p w14:paraId="78AE01E7" w14:textId="77777777" w:rsidR="00563217" w:rsidRPr="00563217" w:rsidRDefault="00563217" w:rsidP="00563217">
      <w:pPr>
        <w:spacing w:after="240" w:line="276" w:lineRule="auto"/>
        <w:jc w:val="both"/>
        <w:rPr>
          <w:rFonts w:ascii="Arial" w:hAnsi="Arial"/>
          <w:sz w:val="21"/>
          <w:szCs w:val="21"/>
        </w:rPr>
      </w:pPr>
      <w:r w:rsidRPr="00563217">
        <w:rPr>
          <w:rFonts w:ascii="Arial" w:hAnsi="Arial"/>
          <w:sz w:val="21"/>
          <w:szCs w:val="21"/>
        </w:rPr>
        <w:t xml:space="preserve">La primera d'elles, de data 23 de juny de 2021, aprovada per l’AVAF amb el títol de </w:t>
      </w:r>
      <w:hyperlink r:id="rId272" w:history="1">
        <w:r w:rsidRPr="00563217">
          <w:rPr>
            <w:rStyle w:val="Hipervnculo"/>
            <w:rFonts w:ascii="Arial" w:hAnsi="Arial"/>
            <w:sz w:val="21"/>
            <w:szCs w:val="21"/>
          </w:rPr>
          <w:t>Declaració Institucional Dia Mundial de la Persona Alertadora</w:t>
        </w:r>
      </w:hyperlink>
      <w:r w:rsidRPr="00563217">
        <w:rPr>
          <w:rFonts w:ascii="Arial" w:hAnsi="Arial"/>
          <w:sz w:val="21"/>
          <w:szCs w:val="21"/>
        </w:rPr>
        <w:t>, a més de commemorar aquest dia mundial, pretenia compartir l'experiència de quasi cinc anys d'activitat en la prevenció i lluita contra la corrupció i la protecció de les persones que denuncien, alerten i informen d'actes contraris a la llei, amb el propòsit que aquesta experiència siga exportada a altres territoris, especialment en l'àmbit nacional.</w:t>
      </w:r>
    </w:p>
    <w:p w14:paraId="03E59DBC" w14:textId="77777777" w:rsidR="00563217" w:rsidRPr="00563217" w:rsidRDefault="00563217" w:rsidP="00563217">
      <w:pPr>
        <w:spacing w:after="240" w:line="276" w:lineRule="auto"/>
        <w:jc w:val="both"/>
        <w:rPr>
          <w:rFonts w:ascii="Arial" w:hAnsi="Arial"/>
          <w:sz w:val="21"/>
          <w:szCs w:val="21"/>
        </w:rPr>
      </w:pPr>
      <w:r w:rsidRPr="00563217">
        <w:rPr>
          <w:rFonts w:ascii="Arial" w:hAnsi="Arial"/>
          <w:sz w:val="21"/>
          <w:szCs w:val="21"/>
        </w:rPr>
        <w:t xml:space="preserve">En segon lloc, amb data 17 de desembre de 2021, l’AVAF va aprovar la </w:t>
      </w:r>
      <w:hyperlink r:id="rId273" w:history="1">
        <w:r w:rsidRPr="00563217">
          <w:rPr>
            <w:rStyle w:val="Hipervnculo"/>
            <w:rFonts w:ascii="Arial" w:hAnsi="Arial"/>
            <w:sz w:val="21"/>
            <w:szCs w:val="21"/>
          </w:rPr>
          <w:t>Declaració Institucional sobre l'expiració del termini sense transposició de la Directiva (UE) 2019/1937 de protecció a les persones denunciants i alertadores</w:t>
        </w:r>
      </w:hyperlink>
      <w:r w:rsidRPr="00563217">
        <w:rPr>
          <w:rFonts w:ascii="Arial" w:hAnsi="Arial"/>
          <w:sz w:val="21"/>
          <w:szCs w:val="21"/>
        </w:rPr>
        <w:t xml:space="preserve">. Entre altres extrems, es reitera la necessitat de realitzar una adequada i completa transposició a l'ordenament jurídic espanyol de la Directiva, s'insta la creació d'una Autoritat Nacional de Prevenció i Lluita contra la Corrupció, i es recorda la doctrina consolidada del Tribunal de Justícia Europeu sobre l'efecte directe de les Directives en casos que la transposició a la legislació nacional no s'ha produït o s'ha produït incorrectament. </w:t>
      </w:r>
    </w:p>
    <w:p w14:paraId="1F86FEB0" w14:textId="6D95E4FD" w:rsidR="007D20AF" w:rsidRPr="007D20AF" w:rsidRDefault="007D20AF" w:rsidP="007D20AF">
      <w:pPr>
        <w:pStyle w:val="Prrafodelista"/>
        <w:keepNext/>
        <w:numPr>
          <w:ilvl w:val="2"/>
          <w:numId w:val="16"/>
        </w:numPr>
        <w:suppressAutoHyphens/>
        <w:spacing w:before="360" w:after="240" w:line="276" w:lineRule="auto"/>
        <w:ind w:left="1134" w:hanging="1134"/>
        <w:jc w:val="both"/>
        <w:outlineLvl w:val="2"/>
        <w:rPr>
          <w:rFonts w:ascii="Arial" w:eastAsia="Times New Roman" w:hAnsi="Arial" w:cs="Arial"/>
          <w:b/>
          <w:color w:val="9D2235"/>
          <w:sz w:val="28"/>
          <w:szCs w:val="28"/>
        </w:rPr>
      </w:pPr>
      <w:bookmarkStart w:id="100" w:name="_Toc99110702"/>
      <w:r w:rsidRPr="007D20AF">
        <w:rPr>
          <w:rFonts w:ascii="Arial" w:eastAsia="Times New Roman" w:hAnsi="Arial" w:cs="Arial"/>
          <w:b/>
          <w:color w:val="9D2235"/>
          <w:sz w:val="28"/>
          <w:szCs w:val="28"/>
        </w:rPr>
        <w:t>Al·legacions i aportacions a projectes normatius</w:t>
      </w:r>
      <w:bookmarkEnd w:id="100"/>
    </w:p>
    <w:p w14:paraId="3289FED6" w14:textId="039AA548" w:rsidR="007D20AF" w:rsidRPr="007D20AF" w:rsidRDefault="007D20AF" w:rsidP="007D20AF">
      <w:pPr>
        <w:pStyle w:val="Prrafodelista"/>
        <w:keepNext/>
        <w:numPr>
          <w:ilvl w:val="3"/>
          <w:numId w:val="16"/>
        </w:numPr>
        <w:suppressAutoHyphens/>
        <w:spacing w:before="360" w:after="240" w:line="276" w:lineRule="auto"/>
        <w:ind w:left="1134" w:hanging="1134"/>
        <w:contextualSpacing w:val="0"/>
        <w:jc w:val="both"/>
        <w:outlineLvl w:val="3"/>
        <w:rPr>
          <w:rFonts w:ascii="Arial" w:eastAsia="Times New Roman" w:hAnsi="Arial" w:cs="Arial"/>
          <w:b/>
          <w:color w:val="9D2235"/>
          <w:sz w:val="24"/>
          <w:szCs w:val="24"/>
        </w:rPr>
      </w:pPr>
      <w:r w:rsidRPr="007D20AF">
        <w:rPr>
          <w:rFonts w:ascii="Arial" w:eastAsia="Times New Roman" w:hAnsi="Arial" w:cs="Arial"/>
          <w:b/>
          <w:color w:val="9D2235"/>
          <w:sz w:val="24"/>
          <w:szCs w:val="24"/>
        </w:rPr>
        <w:t>Àmbit estatal</w:t>
      </w:r>
    </w:p>
    <w:p w14:paraId="32B9DAE5" w14:textId="6174AA40" w:rsidR="007D20AF" w:rsidRPr="007D20AF" w:rsidRDefault="007D20AF" w:rsidP="00347773">
      <w:pPr>
        <w:pStyle w:val="Prrafodelista"/>
        <w:keepNext/>
        <w:numPr>
          <w:ilvl w:val="4"/>
          <w:numId w:val="16"/>
        </w:numPr>
        <w:suppressAutoHyphens/>
        <w:spacing w:before="360" w:after="240" w:line="276" w:lineRule="auto"/>
        <w:ind w:left="1276" w:hanging="1254"/>
        <w:jc w:val="both"/>
        <w:outlineLvl w:val="4"/>
        <w:rPr>
          <w:rFonts w:ascii="Arial" w:eastAsia="Times New Roman" w:hAnsi="Arial" w:cs="Arial"/>
          <w:b/>
          <w:color w:val="9D2235"/>
          <w:sz w:val="23"/>
          <w:szCs w:val="23"/>
        </w:rPr>
      </w:pPr>
      <w:r w:rsidRPr="007D20AF">
        <w:rPr>
          <w:rFonts w:ascii="Arial" w:eastAsia="Times New Roman" w:hAnsi="Arial" w:cs="Arial"/>
          <w:b/>
          <w:color w:val="9D2235"/>
          <w:sz w:val="23"/>
          <w:szCs w:val="23"/>
        </w:rPr>
        <w:t>Consulta pública sobre la transposició de la Directiva (UE) 2019/1937 del Parlament Europeu i del Consell, de 23 d'octubre de 2019</w:t>
      </w:r>
    </w:p>
    <w:p w14:paraId="275A7CA8" w14:textId="77777777" w:rsidR="007D20AF" w:rsidRPr="007D20AF" w:rsidRDefault="007D20AF" w:rsidP="007D20AF">
      <w:pPr>
        <w:spacing w:after="240" w:line="276" w:lineRule="auto"/>
        <w:jc w:val="both"/>
        <w:rPr>
          <w:rFonts w:ascii="Arial" w:hAnsi="Arial"/>
          <w:sz w:val="21"/>
          <w:szCs w:val="21"/>
        </w:rPr>
      </w:pPr>
      <w:r w:rsidRPr="007D20AF">
        <w:rPr>
          <w:rFonts w:ascii="Arial" w:hAnsi="Arial"/>
          <w:sz w:val="21"/>
          <w:szCs w:val="21"/>
        </w:rPr>
        <w:t xml:space="preserve">Amb la creació de l'Agència a través de la Llei 11/2016, de 28 de novembre, de la Generalitat, el legislador valencià es va anticipar notablement a la </w:t>
      </w:r>
      <w:hyperlink r:id="rId274" w:history="1">
        <w:r w:rsidRPr="007D20AF">
          <w:rPr>
            <w:rStyle w:val="Hipervnculo"/>
            <w:rFonts w:ascii="Arial" w:hAnsi="Arial"/>
            <w:sz w:val="21"/>
            <w:szCs w:val="21"/>
          </w:rPr>
          <w:t>Directiva (UE) 2019/1937</w:t>
        </w:r>
      </w:hyperlink>
      <w:r w:rsidRPr="007D20AF">
        <w:rPr>
          <w:rFonts w:ascii="Arial" w:hAnsi="Arial"/>
          <w:color w:val="000080"/>
          <w:sz w:val="21"/>
          <w:szCs w:val="21"/>
          <w:u w:val="single"/>
        </w:rPr>
        <w:t>, del Parlament Europeu i del Consell, de 23 d'octubre de 2019</w:t>
      </w:r>
      <w:r w:rsidRPr="007D20AF">
        <w:rPr>
          <w:rFonts w:ascii="Arial" w:hAnsi="Arial"/>
          <w:sz w:val="21"/>
          <w:szCs w:val="21"/>
        </w:rPr>
        <w:t>.</w:t>
      </w:r>
    </w:p>
    <w:p w14:paraId="4F3E42F3" w14:textId="77777777" w:rsidR="007D20AF" w:rsidRPr="007D20AF" w:rsidRDefault="007D20AF" w:rsidP="007D20AF">
      <w:pPr>
        <w:spacing w:after="240" w:line="276" w:lineRule="auto"/>
        <w:jc w:val="both"/>
        <w:rPr>
          <w:rFonts w:ascii="Arial" w:hAnsi="Arial"/>
          <w:sz w:val="21"/>
          <w:szCs w:val="21"/>
        </w:rPr>
      </w:pPr>
      <w:r w:rsidRPr="007D20AF">
        <w:rPr>
          <w:rFonts w:ascii="Arial" w:hAnsi="Arial"/>
          <w:sz w:val="21"/>
          <w:szCs w:val="21"/>
        </w:rPr>
        <w:t xml:space="preserve">Així les coses, l’AVAF s'acosta ja als cinc anys d'experiència en la prevenció i la lluita contra el frau i la corrupció i, a més, és l'única autoritat en aquests moments a Espanya que ofereix protecció a les persones que denuncien frau, corrupció o irregularitats que poden donar lloc a responsabilitats legals. </w:t>
      </w:r>
    </w:p>
    <w:p w14:paraId="38EFD378" w14:textId="77777777" w:rsidR="007D20AF" w:rsidRPr="007D20AF" w:rsidRDefault="007D20AF" w:rsidP="007D20AF">
      <w:pPr>
        <w:spacing w:after="240" w:line="276" w:lineRule="auto"/>
        <w:jc w:val="both"/>
        <w:rPr>
          <w:rFonts w:ascii="Arial" w:hAnsi="Arial"/>
          <w:sz w:val="21"/>
          <w:szCs w:val="21"/>
        </w:rPr>
      </w:pPr>
      <w:r w:rsidRPr="007D20AF">
        <w:rPr>
          <w:rFonts w:ascii="Arial" w:hAnsi="Arial"/>
          <w:sz w:val="21"/>
          <w:szCs w:val="21"/>
        </w:rPr>
        <w:t xml:space="preserve">És per això que es va considerar convenient realitzar aportacions en el tràmit aperturado pel Ministeri de Justícia el mes de gener de 2021 de “Consulta pública sobre la transposició de la Directiva (UE) 2019/1937 del Parlament Europeu i del Consell, de 23 d'octubre de 2019, relativa a la protecció de les persones que informen sobre infraccions del Dret de la Unió”. </w:t>
      </w:r>
    </w:p>
    <w:p w14:paraId="639065CD" w14:textId="6A9B1160" w:rsidR="007D20AF" w:rsidRPr="007D20AF" w:rsidRDefault="007D20AF" w:rsidP="007D20AF">
      <w:pPr>
        <w:spacing w:after="240" w:line="276" w:lineRule="auto"/>
        <w:jc w:val="both"/>
        <w:rPr>
          <w:rFonts w:ascii="Arial" w:hAnsi="Arial"/>
          <w:sz w:val="21"/>
          <w:szCs w:val="21"/>
        </w:rPr>
      </w:pPr>
      <w:r w:rsidRPr="007D20AF">
        <w:rPr>
          <w:rFonts w:ascii="Arial" w:hAnsi="Arial"/>
          <w:sz w:val="21"/>
          <w:szCs w:val="21"/>
        </w:rPr>
        <w:t xml:space="preserve">A aquest efecte, l’AVAF va remetre, amb data 27 de gener de 2021, </w:t>
      </w:r>
      <w:hyperlink r:id="rId275" w:history="1">
        <w:r w:rsidRPr="007D20AF">
          <w:rPr>
            <w:rStyle w:val="Hipervnculo"/>
            <w:rFonts w:ascii="Arial" w:hAnsi="Arial"/>
            <w:sz w:val="21"/>
            <w:szCs w:val="21"/>
          </w:rPr>
          <w:t>escrit d'al·legacions a la citada consulta pública,</w:t>
        </w:r>
      </w:hyperlink>
      <w:r w:rsidRPr="007D20AF">
        <w:rPr>
          <w:rFonts w:ascii="Arial" w:hAnsi="Arial"/>
          <w:sz w:val="21"/>
          <w:szCs w:val="21"/>
        </w:rPr>
        <w:t xml:space="preserve"> que es troba disponible en la nostra pàgina web, amb el qual es va pretendre traslladar l'experiència acumulada i realitzar aportacions que es van estimar pogueren ser d'interés per a l'elaboració del corresponent Avantprojecte de Llei.</w:t>
      </w:r>
    </w:p>
    <w:p w14:paraId="359E670E" w14:textId="77777777" w:rsidR="007D20AF" w:rsidRPr="007D20AF" w:rsidRDefault="007D20AF" w:rsidP="007D20AF">
      <w:pPr>
        <w:spacing w:after="240" w:line="276" w:lineRule="auto"/>
        <w:jc w:val="both"/>
        <w:rPr>
          <w:rFonts w:ascii="Arial" w:hAnsi="Arial"/>
          <w:sz w:val="21"/>
          <w:szCs w:val="21"/>
        </w:rPr>
      </w:pPr>
      <w:r w:rsidRPr="007D20AF">
        <w:rPr>
          <w:rFonts w:ascii="Arial" w:hAnsi="Arial"/>
          <w:sz w:val="21"/>
          <w:szCs w:val="21"/>
        </w:rPr>
        <w:t xml:space="preserve">Entre les </w:t>
      </w:r>
      <w:r w:rsidRPr="007D20AF">
        <w:rPr>
          <w:rFonts w:ascii="Arial" w:hAnsi="Arial"/>
          <w:b/>
          <w:bCs/>
          <w:sz w:val="21"/>
          <w:szCs w:val="21"/>
        </w:rPr>
        <w:t xml:space="preserve">línies bàsiques per a efectuar una adequada transposició de la Directiva </w:t>
      </w:r>
      <w:r w:rsidRPr="007D20AF">
        <w:rPr>
          <w:rFonts w:ascii="Arial" w:hAnsi="Arial"/>
          <w:sz w:val="21"/>
          <w:szCs w:val="21"/>
        </w:rPr>
        <w:t>(UE) 2019/1937 a Espanya, des de l’AVAF es van proposar, literalment, les següents:</w:t>
      </w:r>
    </w:p>
    <w:p w14:paraId="18E4480C"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La </w:t>
      </w:r>
      <w:r w:rsidRPr="007D20AF">
        <w:rPr>
          <w:rFonts w:ascii="Arial" w:hAnsi="Arial"/>
          <w:b/>
          <w:bCs/>
          <w:sz w:val="21"/>
          <w:szCs w:val="21"/>
        </w:rPr>
        <w:t>nova regulació ha de ser integral</w:t>
      </w:r>
      <w:r w:rsidRPr="007D20AF">
        <w:rPr>
          <w:rFonts w:ascii="Arial" w:hAnsi="Arial"/>
          <w:sz w:val="21"/>
          <w:szCs w:val="21"/>
        </w:rPr>
        <w:t>, perquè la Directiva presenta com a objectiu combatre les activitats il·legals i els abusos que es produeixen tant en el sector públic com en el sector privat, i lluitar contra el frau, la corrupció i les infraccions en totes les matèries a què es refereix l'article 2 d'aquella, així com qualsevol altra que puga perjudicar els interessos generals.</w:t>
      </w:r>
    </w:p>
    <w:p w14:paraId="08ACC489"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Igual que ja ha fet Itàlia o França, ha de crear-se una </w:t>
      </w:r>
      <w:r w:rsidRPr="007D20AF">
        <w:rPr>
          <w:rFonts w:ascii="Arial" w:hAnsi="Arial"/>
          <w:b/>
          <w:bCs/>
          <w:sz w:val="21"/>
          <w:szCs w:val="21"/>
        </w:rPr>
        <w:t>Autoritat Nacional de Lluita contra la Corrupció</w:t>
      </w:r>
      <w:r w:rsidRPr="007D20AF">
        <w:rPr>
          <w:rFonts w:ascii="Arial" w:hAnsi="Arial"/>
          <w:sz w:val="21"/>
          <w:szCs w:val="21"/>
        </w:rPr>
        <w:t xml:space="preserve">, amb personalitat jurídica pròpia i plena capacitat d'obrar per al compliment dels seus fins, </w:t>
      </w:r>
      <w:r w:rsidRPr="007D20AF">
        <w:rPr>
          <w:rFonts w:ascii="Arial" w:hAnsi="Arial"/>
          <w:b/>
          <w:bCs/>
          <w:sz w:val="21"/>
          <w:szCs w:val="21"/>
        </w:rPr>
        <w:t>independent de les administracions públiques i del seu sector públic, i adscrita al Congrés dels Diputats</w:t>
      </w:r>
      <w:r w:rsidRPr="007D20AF">
        <w:rPr>
          <w:rFonts w:ascii="Arial" w:hAnsi="Arial"/>
          <w:sz w:val="21"/>
          <w:szCs w:val="21"/>
        </w:rPr>
        <w:t>, havent de rendir comptes tant a l'òrgan de poder legislatiu com a la ciutadania.</w:t>
      </w:r>
    </w:p>
    <w:p w14:paraId="66FC7CE1"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Aquesta autoritat independent ha de tindre </w:t>
      </w:r>
      <w:r w:rsidRPr="007D20AF">
        <w:rPr>
          <w:rFonts w:ascii="Arial" w:hAnsi="Arial"/>
          <w:b/>
          <w:bCs/>
          <w:sz w:val="21"/>
          <w:szCs w:val="21"/>
        </w:rPr>
        <w:t>coneixement, experiència i solvència</w:t>
      </w:r>
      <w:r w:rsidRPr="007D20AF">
        <w:rPr>
          <w:rFonts w:ascii="Arial" w:hAnsi="Arial"/>
          <w:sz w:val="21"/>
          <w:szCs w:val="21"/>
        </w:rPr>
        <w:t xml:space="preserve">, i ser </w:t>
      </w:r>
      <w:r w:rsidRPr="007D20AF">
        <w:rPr>
          <w:rFonts w:ascii="Arial" w:hAnsi="Arial"/>
          <w:b/>
          <w:bCs/>
          <w:sz w:val="21"/>
          <w:szCs w:val="21"/>
        </w:rPr>
        <w:t>neutral</w:t>
      </w:r>
      <w:r w:rsidRPr="007D20AF">
        <w:rPr>
          <w:rFonts w:ascii="Arial" w:hAnsi="Arial"/>
          <w:sz w:val="21"/>
          <w:szCs w:val="21"/>
        </w:rPr>
        <w:t xml:space="preserve"> des del punt de vista polític.</w:t>
      </w:r>
    </w:p>
    <w:p w14:paraId="7F4FBE05"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És necessari </w:t>
      </w:r>
      <w:r w:rsidRPr="007D20AF">
        <w:rPr>
          <w:rFonts w:ascii="Arial" w:hAnsi="Arial"/>
          <w:b/>
          <w:bCs/>
          <w:sz w:val="21"/>
          <w:szCs w:val="21"/>
        </w:rPr>
        <w:t>delimitar l'àmbit d'actuació</w:t>
      </w:r>
      <w:r w:rsidRPr="007D20AF">
        <w:rPr>
          <w:rFonts w:ascii="Arial" w:hAnsi="Arial"/>
          <w:sz w:val="21"/>
          <w:szCs w:val="21"/>
        </w:rPr>
        <w:t xml:space="preserve"> d'aquesta Autoritat: l'àmbit material, requerint conceptes com a frau, corrupció o un altre tipus d'irregularitats dels quals ha de conéixer; l'àmbit subjectiu, o relació d'aquells subjectes sobre els quals l'Autoritat ha de desplegar les seues funcions; i l'àmbit territorial, respecte a l'organització territorial de l'Estat i a les competències de les Comunitats Autònomes. </w:t>
      </w:r>
    </w:p>
    <w:p w14:paraId="3139B071"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Han d'especificar-se </w:t>
      </w:r>
      <w:r w:rsidRPr="007D20AF">
        <w:rPr>
          <w:rFonts w:ascii="Arial" w:hAnsi="Arial"/>
          <w:b/>
          <w:bCs/>
          <w:sz w:val="21"/>
          <w:szCs w:val="21"/>
        </w:rPr>
        <w:t>les seues funcions</w:t>
      </w:r>
      <w:r w:rsidRPr="007D20AF">
        <w:rPr>
          <w:rFonts w:ascii="Arial" w:hAnsi="Arial"/>
          <w:sz w:val="21"/>
          <w:szCs w:val="21"/>
        </w:rPr>
        <w:t>: protecció a les persones que denuncien, informen o alerten, potestat sancionadora, investigació de denúncies i actuacions d'ofici, prevenció, formació i sensibilització, realització d'informes i recomanacions, elaboració de plans nacionals i d'una memòria anual, entre altres.</w:t>
      </w:r>
    </w:p>
    <w:p w14:paraId="0D32A4D0"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En virtut d'aquestes funcions, haurà de valorar-se la </w:t>
      </w:r>
      <w:r w:rsidRPr="007D20AF">
        <w:rPr>
          <w:rFonts w:ascii="Arial" w:hAnsi="Arial"/>
          <w:b/>
          <w:bCs/>
          <w:sz w:val="21"/>
          <w:szCs w:val="21"/>
        </w:rPr>
        <w:t xml:space="preserve">integració </w:t>
      </w:r>
      <w:r w:rsidRPr="007D20AF">
        <w:rPr>
          <w:rFonts w:ascii="Arial" w:hAnsi="Arial"/>
          <w:sz w:val="21"/>
          <w:szCs w:val="21"/>
        </w:rPr>
        <w:t xml:space="preserve">en l'Autoritat Nacional de Lluita contra la Corrupció d'algunes </w:t>
      </w:r>
      <w:r w:rsidRPr="007D20AF">
        <w:rPr>
          <w:rFonts w:ascii="Arial" w:hAnsi="Arial"/>
          <w:b/>
          <w:bCs/>
          <w:sz w:val="21"/>
          <w:szCs w:val="21"/>
        </w:rPr>
        <w:t>estructures estatals ja existents</w:t>
      </w:r>
      <w:r w:rsidRPr="007D20AF">
        <w:rPr>
          <w:rFonts w:ascii="Arial" w:hAnsi="Arial"/>
          <w:sz w:val="21"/>
          <w:szCs w:val="21"/>
        </w:rPr>
        <w:t xml:space="preserve"> les funcions de les quals poden ressituar-se sota el mateix paraigua: la regulació, supervisió i avaluació de la contractació pública, la coordinació de les accions encaminades a protegir els interessos financers de la Unió Europea o el control dels conflictes d'interessos d'alts càrrecs.</w:t>
      </w:r>
    </w:p>
    <w:p w14:paraId="6AE97728"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S'implantaran </w:t>
      </w:r>
      <w:r w:rsidRPr="007D20AF">
        <w:rPr>
          <w:rFonts w:ascii="Arial" w:hAnsi="Arial"/>
          <w:b/>
          <w:bCs/>
          <w:sz w:val="21"/>
          <w:szCs w:val="21"/>
        </w:rPr>
        <w:t>canals obligatoris de denúncies</w:t>
      </w:r>
      <w:r w:rsidRPr="007D20AF">
        <w:rPr>
          <w:rFonts w:ascii="Arial" w:hAnsi="Arial"/>
          <w:sz w:val="21"/>
          <w:szCs w:val="21"/>
        </w:rPr>
        <w:t>, interns i externs, en el sector públic i en el privat, amb exigència per al seu establiment per davall dels mínims plantejats en la Directiva, donada la configuració dels nostres ajuntaments i municipis, i petites i mitjanes empreses.</w:t>
      </w:r>
    </w:p>
    <w:p w14:paraId="198D3132"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Serà imprescindible determinar i assegurar la </w:t>
      </w:r>
      <w:r w:rsidRPr="007D20AF">
        <w:rPr>
          <w:rFonts w:ascii="Arial" w:hAnsi="Arial"/>
          <w:b/>
          <w:bCs/>
          <w:sz w:val="21"/>
          <w:szCs w:val="21"/>
        </w:rPr>
        <w:t>confidencialitat</w:t>
      </w:r>
      <w:r w:rsidRPr="007D20AF">
        <w:rPr>
          <w:rFonts w:ascii="Arial" w:hAnsi="Arial"/>
          <w:sz w:val="21"/>
          <w:szCs w:val="21"/>
        </w:rPr>
        <w:t xml:space="preserve"> de totes les dades, documents i informacions que es manegen.</w:t>
      </w:r>
    </w:p>
    <w:p w14:paraId="58A501C9"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Ha de permetre's la</w:t>
      </w:r>
      <w:r w:rsidRPr="007D20AF">
        <w:rPr>
          <w:rFonts w:ascii="Arial" w:hAnsi="Arial"/>
          <w:b/>
          <w:bCs/>
          <w:sz w:val="21"/>
          <w:szCs w:val="21"/>
        </w:rPr>
        <w:t xml:space="preserve"> denúncia anònima</w:t>
      </w:r>
      <w:r w:rsidRPr="007D20AF">
        <w:rPr>
          <w:rFonts w:ascii="Arial" w:hAnsi="Arial"/>
          <w:sz w:val="21"/>
          <w:szCs w:val="21"/>
        </w:rPr>
        <w:t xml:space="preserve"> com a font d'informació, la qual cosa és admés de manera clara i contundent en la nostra jurisprudència. L'anonimat és la millor manera de protegir un denunciant.</w:t>
      </w:r>
    </w:p>
    <w:p w14:paraId="4D4265D1"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b/>
          <w:bCs/>
          <w:sz w:val="21"/>
          <w:szCs w:val="21"/>
        </w:rPr>
        <w:t>En cap cas</w:t>
      </w:r>
      <w:r w:rsidRPr="007D20AF">
        <w:rPr>
          <w:rFonts w:ascii="Arial" w:hAnsi="Arial"/>
          <w:sz w:val="21"/>
          <w:szCs w:val="21"/>
        </w:rPr>
        <w:t xml:space="preserve">, la denúncia d'aquests fets o conductes suposarà una </w:t>
      </w:r>
      <w:r w:rsidRPr="007D20AF">
        <w:rPr>
          <w:rFonts w:ascii="Arial" w:hAnsi="Arial"/>
          <w:b/>
          <w:bCs/>
          <w:sz w:val="21"/>
          <w:szCs w:val="21"/>
        </w:rPr>
        <w:t xml:space="preserve">infracció del deure de sigil </w:t>
      </w:r>
      <w:r w:rsidRPr="007D20AF">
        <w:rPr>
          <w:rFonts w:ascii="Arial" w:hAnsi="Arial"/>
          <w:sz w:val="21"/>
          <w:szCs w:val="21"/>
        </w:rPr>
        <w:t xml:space="preserve">imposat al personal ocupat respecte dels assumptes que conega per raó de les seues funcions, </w:t>
      </w:r>
      <w:r w:rsidRPr="007D20AF">
        <w:rPr>
          <w:rFonts w:ascii="Arial" w:hAnsi="Arial"/>
          <w:b/>
          <w:bCs/>
          <w:sz w:val="21"/>
          <w:szCs w:val="21"/>
        </w:rPr>
        <w:t>ni tampoc responsabilitat</w:t>
      </w:r>
      <w:r w:rsidRPr="007D20AF">
        <w:rPr>
          <w:rFonts w:ascii="Arial" w:hAnsi="Arial"/>
          <w:sz w:val="21"/>
          <w:szCs w:val="21"/>
        </w:rPr>
        <w:t xml:space="preserve"> de cap mena en relació amb aquesta revelació.</w:t>
      </w:r>
    </w:p>
    <w:p w14:paraId="0748EF0D"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Es </w:t>
      </w:r>
      <w:r w:rsidRPr="007D20AF">
        <w:rPr>
          <w:rFonts w:ascii="Arial" w:hAnsi="Arial"/>
          <w:b/>
          <w:bCs/>
          <w:sz w:val="21"/>
          <w:szCs w:val="21"/>
        </w:rPr>
        <w:t>prohibiran les represàlies</w:t>
      </w:r>
      <w:r w:rsidRPr="007D20AF">
        <w:rPr>
          <w:rFonts w:ascii="Arial" w:hAnsi="Arial"/>
          <w:sz w:val="21"/>
          <w:szCs w:val="21"/>
        </w:rPr>
        <w:t xml:space="preserve"> a conseqüència d'haver presentat una denúncia, i </w:t>
      </w:r>
      <w:r w:rsidRPr="007D20AF">
        <w:rPr>
          <w:rFonts w:ascii="Arial" w:hAnsi="Arial"/>
          <w:b/>
          <w:bCs/>
          <w:sz w:val="21"/>
          <w:szCs w:val="21"/>
        </w:rPr>
        <w:t>s'assegurarà la reparació integral del mal</w:t>
      </w:r>
      <w:r w:rsidRPr="007D20AF">
        <w:rPr>
          <w:rFonts w:ascii="Arial" w:hAnsi="Arial"/>
          <w:sz w:val="21"/>
          <w:szCs w:val="21"/>
        </w:rPr>
        <w:t xml:space="preserve"> i el reconeixement a l'exemplaritat dels qui denuncien en llaures al bé comú.</w:t>
      </w:r>
    </w:p>
    <w:p w14:paraId="14077D53"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Ha de correspondre al presumpte represaliador provar que el perjudici causat al denunciant no va ser conseqüència de la denúncia interposada; això és, haurà d'establir-se en aquests casos la </w:t>
      </w:r>
      <w:r w:rsidRPr="007D20AF">
        <w:rPr>
          <w:rFonts w:ascii="Arial" w:hAnsi="Arial"/>
          <w:b/>
          <w:bCs/>
          <w:sz w:val="21"/>
          <w:szCs w:val="21"/>
        </w:rPr>
        <w:t>inversió de la càrrega de la prova</w:t>
      </w:r>
      <w:r w:rsidRPr="007D20AF">
        <w:rPr>
          <w:rFonts w:ascii="Arial" w:hAnsi="Arial"/>
          <w:sz w:val="21"/>
          <w:szCs w:val="21"/>
        </w:rPr>
        <w:t>.</w:t>
      </w:r>
    </w:p>
    <w:p w14:paraId="7E5F8415"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En relació amb les </w:t>
      </w:r>
      <w:r w:rsidRPr="007D20AF">
        <w:rPr>
          <w:rFonts w:ascii="Arial" w:hAnsi="Arial"/>
          <w:b/>
          <w:bCs/>
          <w:sz w:val="21"/>
          <w:szCs w:val="21"/>
        </w:rPr>
        <w:t>persones denunciants</w:t>
      </w:r>
      <w:r w:rsidRPr="007D20AF">
        <w:rPr>
          <w:rFonts w:ascii="Arial" w:hAnsi="Arial"/>
          <w:sz w:val="21"/>
          <w:szCs w:val="21"/>
        </w:rPr>
        <w:t xml:space="preserve">, hauran d'especificar-se els seus </w:t>
      </w:r>
      <w:r w:rsidRPr="007D20AF">
        <w:rPr>
          <w:rFonts w:ascii="Arial" w:hAnsi="Arial"/>
          <w:b/>
          <w:bCs/>
          <w:sz w:val="21"/>
          <w:szCs w:val="21"/>
        </w:rPr>
        <w:t>drets i deures</w:t>
      </w:r>
      <w:r w:rsidRPr="007D20AF">
        <w:rPr>
          <w:rFonts w:ascii="Arial" w:hAnsi="Arial"/>
          <w:sz w:val="21"/>
          <w:szCs w:val="21"/>
        </w:rPr>
        <w:t xml:space="preserve"> (estatut de protecció), i el concepte de denunciant de bona fe.</w:t>
      </w:r>
    </w:p>
    <w:p w14:paraId="315B1CE8"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Serà necessari articular la </w:t>
      </w:r>
      <w:r w:rsidRPr="007D20AF">
        <w:rPr>
          <w:rFonts w:ascii="Arial" w:hAnsi="Arial"/>
          <w:b/>
          <w:bCs/>
          <w:sz w:val="21"/>
          <w:szCs w:val="21"/>
        </w:rPr>
        <w:t>coordinació entre els controls i investigacions administratius i penals,</w:t>
      </w:r>
      <w:r w:rsidRPr="007D20AF">
        <w:rPr>
          <w:rFonts w:ascii="Arial" w:hAnsi="Arial"/>
          <w:sz w:val="21"/>
          <w:szCs w:val="21"/>
        </w:rPr>
        <w:t xml:space="preserve"> i integrar en el sistema de control la informació procedent de mitjans de comunicació i dels denunciants.</w:t>
      </w:r>
    </w:p>
    <w:p w14:paraId="0F70ACC0"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La corrupció és perseguible no sols des de l'àmbit </w:t>
      </w:r>
      <w:r w:rsidRPr="007D20AF">
        <w:rPr>
          <w:rFonts w:ascii="Arial" w:hAnsi="Arial"/>
          <w:b/>
          <w:bCs/>
          <w:sz w:val="21"/>
          <w:szCs w:val="21"/>
        </w:rPr>
        <w:t>penal</w:t>
      </w:r>
      <w:r w:rsidRPr="007D20AF">
        <w:rPr>
          <w:rFonts w:ascii="Arial" w:hAnsi="Arial"/>
          <w:sz w:val="21"/>
          <w:szCs w:val="21"/>
        </w:rPr>
        <w:t>, sinó també des de l'àmbit</w:t>
      </w:r>
      <w:r w:rsidRPr="007D20AF">
        <w:rPr>
          <w:rFonts w:ascii="Arial" w:hAnsi="Arial"/>
          <w:b/>
          <w:bCs/>
          <w:sz w:val="21"/>
          <w:szCs w:val="21"/>
        </w:rPr>
        <w:t xml:space="preserve"> administratiu</w:t>
      </w:r>
      <w:r w:rsidRPr="007D20AF">
        <w:rPr>
          <w:rFonts w:ascii="Arial" w:hAnsi="Arial"/>
          <w:sz w:val="21"/>
          <w:szCs w:val="21"/>
        </w:rPr>
        <w:t xml:space="preserve"> (sancionador i disciplinari), i a aquest efecte, han de fer valdré principis com l'objectivitat, la imparcialitat, la integritat i ètica pública, l'honestedat i la rendició de comptes.</w:t>
      </w:r>
    </w:p>
    <w:p w14:paraId="70A00BA0"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S'implementarà un enfocament basat en l'anàlisi </w:t>
      </w:r>
      <w:r w:rsidRPr="007D20AF">
        <w:rPr>
          <w:rFonts w:ascii="Arial" w:hAnsi="Arial"/>
          <w:b/>
          <w:bCs/>
          <w:sz w:val="21"/>
          <w:szCs w:val="21"/>
        </w:rPr>
        <w:t>de riscos per a detectar les irregularitats i el frau,</w:t>
      </w:r>
      <w:r w:rsidRPr="007D20AF">
        <w:rPr>
          <w:rFonts w:ascii="Arial" w:hAnsi="Arial"/>
          <w:sz w:val="21"/>
          <w:szCs w:val="21"/>
        </w:rPr>
        <w:t xml:space="preserve"> inclòs l'ús d'eines informàtiques.</w:t>
      </w:r>
    </w:p>
    <w:p w14:paraId="46EAFD13" w14:textId="77777777" w:rsidR="007D20AF" w:rsidRPr="007D20AF" w:rsidRDefault="007D20AF" w:rsidP="007D20AF">
      <w:pPr>
        <w:numPr>
          <w:ilvl w:val="0"/>
          <w:numId w:val="56"/>
        </w:numPr>
        <w:spacing w:after="120" w:line="276" w:lineRule="auto"/>
        <w:ind w:left="714" w:hanging="357"/>
        <w:jc w:val="both"/>
        <w:rPr>
          <w:rFonts w:ascii="Arial" w:hAnsi="Arial"/>
          <w:sz w:val="21"/>
          <w:szCs w:val="21"/>
        </w:rPr>
      </w:pPr>
      <w:r w:rsidRPr="007D20AF">
        <w:rPr>
          <w:rFonts w:ascii="Arial" w:hAnsi="Arial"/>
          <w:sz w:val="21"/>
          <w:szCs w:val="21"/>
        </w:rPr>
        <w:t xml:space="preserve">La nova autoritat estatal de lluita contra la corrupció i protecció del denunciant ha de </w:t>
      </w:r>
      <w:r w:rsidRPr="007D20AF">
        <w:rPr>
          <w:rFonts w:ascii="Arial" w:hAnsi="Arial"/>
          <w:b/>
          <w:bCs/>
          <w:sz w:val="21"/>
          <w:szCs w:val="21"/>
        </w:rPr>
        <w:t>coordinar-se amb les Comunitats Autònomes i les oficines i agències ja existents</w:t>
      </w:r>
      <w:r w:rsidRPr="007D20AF">
        <w:rPr>
          <w:rFonts w:ascii="Arial" w:hAnsi="Arial"/>
          <w:sz w:val="21"/>
          <w:szCs w:val="21"/>
        </w:rPr>
        <w:t>. Hauran d'harmonitzar-se les legislacions i contemplar determinades normes bàsiques i exigències mínimes. A més, l'autoritat nacional assumirà funcions en aquells territoris en els quals no existisquen aquestes entitats.</w:t>
      </w:r>
    </w:p>
    <w:p w14:paraId="3FFB96CC" w14:textId="77777777" w:rsidR="007D20AF" w:rsidRPr="007D20AF" w:rsidRDefault="007D20AF" w:rsidP="007D20AF">
      <w:pPr>
        <w:numPr>
          <w:ilvl w:val="0"/>
          <w:numId w:val="56"/>
        </w:numPr>
        <w:spacing w:after="240" w:line="276" w:lineRule="auto"/>
        <w:jc w:val="both"/>
        <w:rPr>
          <w:rFonts w:ascii="Arial" w:hAnsi="Arial"/>
          <w:sz w:val="21"/>
          <w:szCs w:val="21"/>
        </w:rPr>
      </w:pPr>
      <w:r w:rsidRPr="007D20AF">
        <w:rPr>
          <w:rFonts w:ascii="Arial" w:hAnsi="Arial"/>
          <w:sz w:val="21"/>
          <w:szCs w:val="21"/>
        </w:rPr>
        <w:t xml:space="preserve">En el procediment de transposició de la Directiva haurà de revisar-se la </w:t>
      </w:r>
      <w:r w:rsidRPr="007D20AF">
        <w:rPr>
          <w:rFonts w:ascii="Arial" w:hAnsi="Arial"/>
          <w:b/>
          <w:bCs/>
          <w:sz w:val="21"/>
          <w:szCs w:val="21"/>
        </w:rPr>
        <w:t>incorporació al nostre ordenament jurídic de la Convenció de Nacions Unides</w:t>
      </w:r>
      <w:r w:rsidRPr="007D20AF">
        <w:rPr>
          <w:rFonts w:ascii="Arial" w:hAnsi="Arial"/>
          <w:sz w:val="21"/>
          <w:szCs w:val="21"/>
        </w:rPr>
        <w:t xml:space="preserve"> contra la corrupció, de manera que la reforma ha d'abastar també la </w:t>
      </w:r>
      <w:r w:rsidRPr="007D20AF">
        <w:rPr>
          <w:rFonts w:ascii="Arial" w:hAnsi="Arial"/>
          <w:b/>
          <w:bCs/>
          <w:sz w:val="21"/>
          <w:szCs w:val="21"/>
        </w:rPr>
        <w:t>modificació</w:t>
      </w:r>
      <w:r w:rsidRPr="007D20AF">
        <w:rPr>
          <w:rFonts w:ascii="Arial" w:hAnsi="Arial"/>
          <w:sz w:val="21"/>
          <w:szCs w:val="21"/>
        </w:rPr>
        <w:t xml:space="preserve"> addicional d'altres normes, en els àmbits administratiu, laboral, processal i penal. Així, les </w:t>
      </w:r>
      <w:r w:rsidRPr="007D20AF">
        <w:rPr>
          <w:rFonts w:ascii="Arial" w:hAnsi="Arial"/>
          <w:b/>
          <w:bCs/>
          <w:sz w:val="21"/>
          <w:szCs w:val="21"/>
        </w:rPr>
        <w:t>Lleis de Procediment Administratiu, l'Estatut Bàsic de l'Empleat públic, l'Estatut dels Treballadors, la Llei orgànica de Protecció de Testimonis i Perits, la Llei d'Enjudiciament Criminal i el Codi Penal</w:t>
      </w:r>
      <w:r w:rsidRPr="007D20AF">
        <w:rPr>
          <w:rFonts w:ascii="Arial" w:hAnsi="Arial"/>
          <w:sz w:val="21"/>
          <w:szCs w:val="21"/>
        </w:rPr>
        <w:t>.</w:t>
      </w:r>
    </w:p>
    <w:p w14:paraId="18C25E4C" w14:textId="7A955DDA" w:rsidR="00947D02" w:rsidRPr="00947D02" w:rsidRDefault="00922EAF" w:rsidP="00347773">
      <w:pPr>
        <w:pStyle w:val="Prrafodelista"/>
        <w:keepNext/>
        <w:numPr>
          <w:ilvl w:val="4"/>
          <w:numId w:val="16"/>
        </w:numPr>
        <w:suppressAutoHyphens/>
        <w:spacing w:before="360" w:after="240" w:line="276" w:lineRule="auto"/>
        <w:ind w:left="1276" w:hanging="1254"/>
        <w:jc w:val="both"/>
        <w:outlineLvl w:val="4"/>
        <w:rPr>
          <w:rFonts w:ascii="Arial" w:eastAsia="Times New Roman" w:hAnsi="Arial" w:cs="Arial"/>
          <w:b/>
          <w:color w:val="9D2235"/>
          <w:sz w:val="23"/>
          <w:szCs w:val="23"/>
        </w:rPr>
      </w:pPr>
      <w:r w:rsidRPr="00922EAF">
        <w:rPr>
          <w:rFonts w:ascii="Arial" w:eastAsia="Times New Roman" w:hAnsi="Arial" w:cs="Arial"/>
          <w:b/>
          <w:color w:val="9D2235"/>
          <w:sz w:val="23"/>
          <w:szCs w:val="23"/>
        </w:rPr>
        <w:t>Avantprojecte de Llei reguladora de la protecció de les persones que informen sobre infraccions normatives i de lluita contra la corrupció per la qual es transposa la Directiva (UE) 2019/1937</w:t>
      </w:r>
    </w:p>
    <w:p w14:paraId="7FE9082F"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Com s'ha exposat en l'anterior apartat 3.2.3, el passat 4 de març de 2022 el Consell de Ministres va aprovar l'Avantprojecte </w:t>
      </w:r>
      <w:hyperlink r:id="rId276" w:history="1">
        <w:r w:rsidRPr="00922EAF">
          <w:rPr>
            <w:rStyle w:val="Hipervnculo"/>
            <w:rFonts w:ascii="Arial" w:eastAsia="Times New Roman" w:hAnsi="Arial" w:cs="Arial"/>
            <w:bCs/>
            <w:sz w:val="21"/>
            <w:szCs w:val="21"/>
          </w:rPr>
          <w:t>de Llei reguladora de la protecció de les persones que informen sobre infraccions normatives i de lluita contra la corrupció, per la qual es transposa la Directiva (UE) 2019/1937 del Parlament Europeu i del Consell, de 23 d'octubre de 2019, relativa a la protecció de les persones que informen sobre infraccions del Dret de la Unió</w:t>
        </w:r>
      </w:hyperlink>
      <w:r w:rsidRPr="00922EAF">
        <w:rPr>
          <w:rFonts w:ascii="Arial" w:eastAsia="Times New Roman" w:hAnsi="Arial" w:cs="Arial"/>
          <w:bCs/>
          <w:sz w:val="21"/>
          <w:szCs w:val="21"/>
          <w:u w:val="single"/>
        </w:rPr>
        <w:t>.</w:t>
      </w:r>
      <w:r w:rsidRPr="00922EAF">
        <w:rPr>
          <w:rFonts w:ascii="Arial" w:eastAsia="Times New Roman" w:hAnsi="Arial" w:cs="Arial"/>
          <w:bCs/>
          <w:sz w:val="21"/>
          <w:szCs w:val="21"/>
        </w:rPr>
        <w:t xml:space="preserve"> Així, el text de l'Avantprojecte i la seua </w:t>
      </w:r>
      <w:hyperlink r:id="rId277" w:history="1">
        <w:r w:rsidRPr="00922EAF">
          <w:rPr>
            <w:rStyle w:val="Hipervnculo"/>
            <w:rFonts w:ascii="Arial" w:eastAsia="Times New Roman" w:hAnsi="Arial" w:cs="Arial"/>
            <w:bCs/>
            <w:sz w:val="21"/>
            <w:szCs w:val="21"/>
          </w:rPr>
          <w:t>Memòria d'Anàlisis d'Impacte Normati</w:t>
        </w:r>
      </w:hyperlink>
      <w:r w:rsidRPr="00922EAF">
        <w:rPr>
          <w:rFonts w:ascii="Arial" w:eastAsia="Times New Roman" w:hAnsi="Arial" w:cs="Arial"/>
          <w:bCs/>
          <w:sz w:val="21"/>
          <w:szCs w:val="21"/>
          <w:u w:val="single"/>
        </w:rPr>
        <w:t>u</w:t>
      </w:r>
      <w:r w:rsidRPr="00922EAF">
        <w:rPr>
          <w:rFonts w:ascii="Arial" w:eastAsia="Times New Roman" w:hAnsi="Arial" w:cs="Arial"/>
          <w:bCs/>
          <w:sz w:val="21"/>
          <w:szCs w:val="21"/>
        </w:rPr>
        <w:t xml:space="preserve"> es van publicar amb data 8 de març de 2022 en la web del Ministeri de Justícia: https://www.mjusticia.gob.es/es/areas-tematicas/actividad-legislativa/normativa/normas-tramitacion/anteproyectos-informados.</w:t>
      </w:r>
    </w:p>
    <w:p w14:paraId="594B9A49"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En aquesta mateixa data, es va obrir el termini de set dies hàbils d'audiència i informació pública per a </w:t>
      </w:r>
      <w:r w:rsidRPr="00922EAF">
        <w:rPr>
          <w:rFonts w:ascii="Arial" w:eastAsia="Times New Roman" w:hAnsi="Arial" w:cs="Arial"/>
          <w:b/>
          <w:bCs/>
          <w:sz w:val="21"/>
          <w:szCs w:val="21"/>
        </w:rPr>
        <w:t>presentar al·legacions</w:t>
      </w:r>
      <w:r w:rsidRPr="00922EAF">
        <w:rPr>
          <w:rFonts w:ascii="Arial" w:eastAsia="Times New Roman" w:hAnsi="Arial" w:cs="Arial"/>
          <w:bCs/>
          <w:sz w:val="21"/>
          <w:szCs w:val="21"/>
        </w:rPr>
        <w:t xml:space="preserve"> al text projectat, pel tràmit d'urgència.</w:t>
      </w:r>
    </w:p>
    <w:p w14:paraId="4D13CF3E"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L’AVAF, malgrat ser una entitat pública jove, té una important i intensa experiència en la protecció de les persones denunciants i en la realització de funcions similars a les plantejades en l'Avantprojecte en relació amb el sector públic valencià, havent-se anticipat a la citada Directiva (UE) 2019/1937 mitjançant l'aprovació per les Corts Valencianes de la</w:t>
      </w:r>
      <w:r w:rsidRPr="00922EAF">
        <w:rPr>
          <w:rFonts w:ascii="Arial" w:eastAsia="Times New Roman" w:hAnsi="Arial" w:cs="Arial"/>
          <w:b/>
          <w:bCs/>
          <w:sz w:val="21"/>
          <w:szCs w:val="21"/>
        </w:rPr>
        <w:t xml:space="preserve"> </w:t>
      </w:r>
      <w:hyperlink r:id="rId278" w:history="1">
        <w:r w:rsidRPr="00922EAF">
          <w:rPr>
            <w:rStyle w:val="Hipervnculo"/>
            <w:rFonts w:ascii="Arial" w:eastAsia="Times New Roman" w:hAnsi="Arial" w:cs="Arial"/>
            <w:bCs/>
            <w:sz w:val="21"/>
            <w:szCs w:val="21"/>
          </w:rPr>
          <w:t>Llei 11/2016, de 28 de novembre, de la Generalitat, que va crear l'Agència de Prevenció i Lluita contra el Frau i la Corrupció de la Comunitat Valenciana</w:t>
        </w:r>
      </w:hyperlink>
      <w:r w:rsidRPr="00922EAF">
        <w:rPr>
          <w:rFonts w:ascii="Arial" w:eastAsia="Times New Roman" w:hAnsi="Arial" w:cs="Arial"/>
          <w:bCs/>
          <w:sz w:val="21"/>
          <w:szCs w:val="21"/>
        </w:rPr>
        <w:t xml:space="preserve">. </w:t>
      </w:r>
    </w:p>
    <w:p w14:paraId="4F770C9F" w14:textId="77777777" w:rsidR="00922EAF" w:rsidRPr="00922EAF" w:rsidRDefault="00922EAF" w:rsidP="00922EAF">
      <w:pPr>
        <w:spacing w:after="240" w:line="276" w:lineRule="auto"/>
        <w:jc w:val="both"/>
        <w:rPr>
          <w:rFonts w:ascii="Arial" w:eastAsia="Times New Roman" w:hAnsi="Arial" w:cs="Arial"/>
          <w:b/>
          <w:bCs/>
          <w:sz w:val="21"/>
          <w:szCs w:val="21"/>
        </w:rPr>
      </w:pPr>
      <w:r w:rsidRPr="00922EAF">
        <w:rPr>
          <w:rFonts w:ascii="Arial" w:eastAsia="Times New Roman" w:hAnsi="Arial" w:cs="Arial"/>
          <w:bCs/>
          <w:sz w:val="21"/>
          <w:szCs w:val="21"/>
        </w:rPr>
        <w:t xml:space="preserve">Així, aquesta Agència va remetre, en data 17 de març de 2022, </w:t>
      </w:r>
      <w:hyperlink r:id="rId279" w:history="1">
        <w:r w:rsidRPr="00922EAF">
          <w:rPr>
            <w:rStyle w:val="Hipervnculo"/>
            <w:rFonts w:ascii="Arial" w:eastAsia="Times New Roman" w:hAnsi="Arial" w:cs="Arial"/>
            <w:bCs/>
            <w:sz w:val="21"/>
            <w:szCs w:val="21"/>
          </w:rPr>
          <w:t>escrit d'al·legacions de l'Agència de Prevenció i Lluita contra el Frau i la Corrupció de la Comunitat Valenciana a l'Avantprojecte de Llei reguladora de la protecció de les persones que informen sobre infraccions normatives i de lluita contra la corrupció per la qual es transposa la Directiva (UE) 2019/1937 del Parlament Europeu i del Consell de 23 d'octubre de 2019, relativa a la protecció de les persones que informen sobre infraccions del Dret de la Unió, en el tràmit d'audiència i informació pública</w:t>
        </w:r>
      </w:hyperlink>
      <w:r w:rsidRPr="00922EAF">
        <w:rPr>
          <w:rFonts w:ascii="Arial" w:eastAsia="Times New Roman" w:hAnsi="Arial" w:cs="Arial"/>
          <w:b/>
          <w:bCs/>
          <w:sz w:val="21"/>
          <w:szCs w:val="21"/>
        </w:rPr>
        <w:t>.</w:t>
      </w:r>
    </w:p>
    <w:p w14:paraId="27DD6F13"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En el referit escrit d'al·legacions es va distingir entre unes de caràcter general i altres de caràcter particular. Quant a les primeres, denominades “</w:t>
      </w:r>
      <w:r w:rsidRPr="00922EAF">
        <w:rPr>
          <w:rFonts w:ascii="Arial" w:eastAsia="Times New Roman" w:hAnsi="Arial" w:cs="Arial"/>
          <w:b/>
          <w:bCs/>
          <w:sz w:val="21"/>
          <w:szCs w:val="21"/>
        </w:rPr>
        <w:t>Observacions de caràcter general</w:t>
      </w:r>
      <w:r w:rsidRPr="00922EAF">
        <w:rPr>
          <w:rFonts w:ascii="Arial" w:eastAsia="Times New Roman" w:hAnsi="Arial" w:cs="Arial"/>
          <w:bCs/>
          <w:sz w:val="21"/>
          <w:szCs w:val="21"/>
        </w:rPr>
        <w:t>”, de forma resumida refereixen:</w:t>
      </w:r>
    </w:p>
    <w:p w14:paraId="57F676CC"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
          <w:bCs/>
          <w:color w:val="9D2235" w:themeColor="accent1"/>
          <w:sz w:val="21"/>
          <w:szCs w:val="21"/>
        </w:rPr>
        <w:t>Sobre l'Exposició de Motius</w:t>
      </w:r>
      <w:r w:rsidRPr="00922EAF">
        <w:rPr>
          <w:rFonts w:ascii="Arial" w:eastAsia="Times New Roman" w:hAnsi="Arial" w:cs="Arial"/>
          <w:bCs/>
          <w:sz w:val="21"/>
          <w:szCs w:val="21"/>
        </w:rPr>
        <w:t xml:space="preserve">, se subratlla que no es troba referència expressa a l'existència d'autoritats i òrgans, creats i en funcionament, tant en l'àmbit autonòmic com en l'àmbit local, que realitzen funcions dins del camp de la prevenció i la lluita contra el frau i la corrupció i el foment de les bones pràctiques, a través de l'establiment de canals de denúncies i de programes de protecció de persones que denuncien, informen o comuniquen irregularitats que poden donar lloc a responsabilitats i que danyen els interessos generals; creades en compliment de l'article 6 de la </w:t>
      </w:r>
      <w:hyperlink r:id="rId280" w:history="1">
        <w:r w:rsidRPr="00922EAF">
          <w:rPr>
            <w:rStyle w:val="Hipervnculo"/>
            <w:rFonts w:ascii="Arial" w:eastAsia="Times New Roman" w:hAnsi="Arial" w:cs="Arial"/>
            <w:bCs/>
            <w:sz w:val="21"/>
            <w:szCs w:val="21"/>
          </w:rPr>
          <w:t>Convenció de les Nacions Unides contra la corrupció, feta a Nova York el 31 d'octubre de 2003</w:t>
        </w:r>
      </w:hyperlink>
      <w:r w:rsidRPr="00922EAF">
        <w:rPr>
          <w:rFonts w:ascii="Arial" w:eastAsia="Times New Roman" w:hAnsi="Arial" w:cs="Arial"/>
          <w:bCs/>
          <w:sz w:val="21"/>
          <w:szCs w:val="21"/>
        </w:rPr>
        <w:t>, que obliga els Estats parteix a crear en els seus respectes territoris òrgans encarregats de previndre la corrupció, dotats de la independència necessària perquè puguen exercir les seues funcions de manera eficaç i sense cap influència indeguda, amb recursos materials i personal especialitzat i capacitat per a l'acompliment de les seues funcions.</w:t>
      </w:r>
    </w:p>
    <w:p w14:paraId="25384D19"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Cal destacar a més que l’AVAF inclou, entre les seues funcions, no sols la protecció de les persones denunciants, de manera pionera a Espanya, sinó també i entre altres, com a autoritat independent de les administracions públiques, adscrita a les Corts Valencianes i amb personalitat jurídica pròpia, la prevenció i investigació de possibles casos d'ús o destí irregular de fons públics i de conductes oposades a la integritat o contràries al principi d'objectivitat, a la llei i al dret, així com el foment d'una cultura de bones pràctiques i de rebuig del frau i la corrupció.</w:t>
      </w:r>
    </w:p>
    <w:p w14:paraId="20796314"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
          <w:bCs/>
          <w:color w:val="9D2235" w:themeColor="accent1"/>
          <w:sz w:val="21"/>
          <w:szCs w:val="21"/>
        </w:rPr>
        <w:t>Sobre l'oportunitat i finalitat de la llei</w:t>
      </w:r>
      <w:r w:rsidRPr="00922EAF">
        <w:rPr>
          <w:rFonts w:ascii="Arial" w:eastAsia="Times New Roman" w:hAnsi="Arial" w:cs="Arial"/>
          <w:bCs/>
          <w:sz w:val="21"/>
          <w:szCs w:val="21"/>
        </w:rPr>
        <w:t>, es destaca que la correcta transposició de la Directiva exigeix una modificació conjunta de la normativa interna, singularment del Codi Penal, de la Llei d'Enjudiciament Criminal i altres normes processals, de la Llei orgànica de Protecció de Testimonis i Perits, de l'Estatut dels Treballadors, de l'Estatut Bàsic de l'Empleat públic i de normes administratives, així com per la necessària dotació de mitjans a la Fiscalia i a l'Administració de Justícia, i des del nostre punt de vista per la creació de jutjats especialitzats en aquesta matèria.</w:t>
      </w:r>
    </w:p>
    <w:p w14:paraId="3F4FA874"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
          <w:bCs/>
          <w:color w:val="9D2235" w:themeColor="accent1"/>
          <w:sz w:val="21"/>
          <w:szCs w:val="21"/>
        </w:rPr>
        <w:t xml:space="preserve">Sobre els termes </w:t>
      </w:r>
      <w:r w:rsidRPr="00922EAF">
        <w:rPr>
          <w:rFonts w:ascii="Arial" w:eastAsia="Times New Roman" w:hAnsi="Arial" w:cs="Arial"/>
          <w:b/>
          <w:bCs/>
          <w:i/>
          <w:iCs/>
          <w:color w:val="9D2235" w:themeColor="accent1"/>
          <w:sz w:val="21"/>
          <w:szCs w:val="21"/>
        </w:rPr>
        <w:t xml:space="preserve">Informant </w:t>
      </w:r>
      <w:r w:rsidRPr="00922EAF">
        <w:rPr>
          <w:rFonts w:ascii="Arial" w:eastAsia="Times New Roman" w:hAnsi="Arial" w:cs="Arial"/>
          <w:b/>
          <w:bCs/>
          <w:color w:val="9D2235" w:themeColor="accent1"/>
          <w:sz w:val="21"/>
          <w:szCs w:val="21"/>
        </w:rPr>
        <w:t xml:space="preserve">i </w:t>
      </w:r>
      <w:r w:rsidRPr="00922EAF">
        <w:rPr>
          <w:rFonts w:ascii="Arial" w:eastAsia="Times New Roman" w:hAnsi="Arial" w:cs="Arial"/>
          <w:b/>
          <w:bCs/>
          <w:i/>
          <w:iCs/>
          <w:color w:val="9D2235" w:themeColor="accent1"/>
          <w:sz w:val="21"/>
          <w:szCs w:val="21"/>
        </w:rPr>
        <w:t>Sistemes d'Informació</w:t>
      </w:r>
      <w:r w:rsidRPr="00922EAF">
        <w:rPr>
          <w:rFonts w:ascii="Arial" w:eastAsia="Times New Roman" w:hAnsi="Arial" w:cs="Arial"/>
          <w:bCs/>
          <w:i/>
          <w:iCs/>
          <w:sz w:val="21"/>
          <w:szCs w:val="21"/>
        </w:rPr>
        <w:t xml:space="preserve">, </w:t>
      </w:r>
      <w:r w:rsidRPr="00922EAF">
        <w:rPr>
          <w:rFonts w:ascii="Arial" w:eastAsia="Times New Roman" w:hAnsi="Arial" w:cs="Arial"/>
          <w:bCs/>
          <w:sz w:val="21"/>
          <w:szCs w:val="21"/>
        </w:rPr>
        <w:t>es considera que aquests haurien de ser substituïts, respectivament, pels de “denunciant” i “canals (o bústies) de denúncies”, per les raons que a continuació s'exposen resumidament.</w:t>
      </w:r>
    </w:p>
    <w:p w14:paraId="4E604768" w14:textId="77777777" w:rsidR="00922EAF" w:rsidRPr="00922EAF" w:rsidRDefault="00922EAF" w:rsidP="003D5230">
      <w:pPr>
        <w:numPr>
          <w:ilvl w:val="0"/>
          <w:numId w:val="183"/>
        </w:numPr>
        <w:spacing w:after="120" w:line="276" w:lineRule="auto"/>
        <w:ind w:left="714" w:hanging="357"/>
        <w:jc w:val="both"/>
        <w:rPr>
          <w:rFonts w:ascii="Arial" w:eastAsia="Times New Roman" w:hAnsi="Arial" w:cs="Arial"/>
          <w:bCs/>
          <w:sz w:val="21"/>
          <w:szCs w:val="21"/>
        </w:rPr>
      </w:pPr>
      <w:r w:rsidRPr="00922EAF">
        <w:rPr>
          <w:rFonts w:ascii="Arial" w:eastAsia="Times New Roman" w:hAnsi="Arial" w:cs="Arial"/>
          <w:bCs/>
          <w:sz w:val="21"/>
          <w:szCs w:val="21"/>
        </w:rPr>
        <w:t xml:space="preserve">La </w:t>
      </w:r>
      <w:hyperlink r:id="rId281" w:history="1">
        <w:r w:rsidRPr="00922EAF">
          <w:rPr>
            <w:rStyle w:val="Hipervnculo"/>
            <w:rFonts w:ascii="Arial" w:eastAsia="Times New Roman" w:hAnsi="Arial" w:cs="Arial"/>
            <w:bCs/>
            <w:sz w:val="21"/>
            <w:szCs w:val="21"/>
          </w:rPr>
          <w:t>mateixa Directiva (UE) 2019/1937</w:t>
        </w:r>
      </w:hyperlink>
      <w:r w:rsidRPr="00922EAF">
        <w:rPr>
          <w:rFonts w:ascii="Arial" w:eastAsia="Times New Roman" w:hAnsi="Arial" w:cs="Arial"/>
          <w:bCs/>
          <w:sz w:val="21"/>
          <w:szCs w:val="21"/>
        </w:rPr>
        <w:t xml:space="preserve"> empra, al llarg de tot el seu text, en la seua traducció oficial a l'espanyol, les paraules “denunciant” i “canals de denúncia”. En concret, el terme “denunciant” apareix en 189 ocasions i “canals de denúncia” 44 vegades.</w:t>
      </w:r>
    </w:p>
    <w:p w14:paraId="4593A4D0" w14:textId="77777777" w:rsidR="00922EAF" w:rsidRPr="00922EAF" w:rsidRDefault="00922EAF" w:rsidP="003D5230">
      <w:pPr>
        <w:numPr>
          <w:ilvl w:val="0"/>
          <w:numId w:val="183"/>
        </w:numPr>
        <w:spacing w:after="120" w:line="276" w:lineRule="auto"/>
        <w:ind w:left="714" w:hanging="357"/>
        <w:jc w:val="both"/>
        <w:rPr>
          <w:rFonts w:ascii="Arial" w:eastAsia="Times New Roman" w:hAnsi="Arial" w:cs="Arial"/>
          <w:bCs/>
          <w:sz w:val="21"/>
          <w:szCs w:val="21"/>
        </w:rPr>
      </w:pPr>
      <w:r w:rsidRPr="00922EAF">
        <w:rPr>
          <w:rFonts w:ascii="Arial" w:eastAsia="Times New Roman" w:hAnsi="Arial" w:cs="Arial"/>
          <w:bCs/>
          <w:sz w:val="21"/>
          <w:szCs w:val="21"/>
        </w:rPr>
        <w:t xml:space="preserve">D'igual forma s'usen aquests termes en l'IV </w:t>
      </w:r>
      <w:hyperlink r:id="rId282" w:history="1">
        <w:r w:rsidRPr="00922EAF">
          <w:rPr>
            <w:rStyle w:val="Hipervnculo"/>
            <w:rFonts w:ascii="Arial" w:eastAsia="Times New Roman" w:hAnsi="Arial" w:cs="Arial"/>
            <w:bCs/>
            <w:sz w:val="21"/>
            <w:szCs w:val="21"/>
          </w:rPr>
          <w:t>Pla de Govern Obert 2020-2024</w:t>
        </w:r>
      </w:hyperlink>
      <w:r w:rsidRPr="00922EAF">
        <w:rPr>
          <w:rFonts w:ascii="Arial" w:eastAsia="Times New Roman" w:hAnsi="Arial" w:cs="Arial"/>
          <w:bCs/>
          <w:sz w:val="21"/>
          <w:szCs w:val="21"/>
        </w:rPr>
        <w:t xml:space="preserve">, els </w:t>
      </w:r>
      <w:hyperlink r:id="rId283" w:history="1">
        <w:r w:rsidRPr="00922EAF">
          <w:rPr>
            <w:rStyle w:val="Hipervnculo"/>
            <w:rFonts w:ascii="Arial" w:eastAsia="Times New Roman" w:hAnsi="Arial" w:cs="Arial"/>
            <w:bCs/>
            <w:sz w:val="21"/>
            <w:szCs w:val="21"/>
          </w:rPr>
          <w:t>Plans Normatius Anuals 2021</w:t>
        </w:r>
      </w:hyperlink>
      <w:r w:rsidRPr="00922EAF">
        <w:rPr>
          <w:rFonts w:ascii="Arial" w:eastAsia="Times New Roman" w:hAnsi="Arial" w:cs="Arial"/>
          <w:bCs/>
          <w:sz w:val="21"/>
          <w:szCs w:val="21"/>
        </w:rPr>
        <w:t xml:space="preserve"> i </w:t>
      </w:r>
      <w:hyperlink r:id="rId284" w:history="1">
        <w:r w:rsidRPr="00922EAF">
          <w:rPr>
            <w:rStyle w:val="Hipervnculo"/>
            <w:rFonts w:ascii="Arial" w:eastAsia="Times New Roman" w:hAnsi="Arial" w:cs="Arial"/>
            <w:bCs/>
            <w:sz w:val="21"/>
            <w:szCs w:val="21"/>
          </w:rPr>
          <w:t>2022 del Govern</w:t>
        </w:r>
      </w:hyperlink>
      <w:r w:rsidRPr="00922EAF">
        <w:rPr>
          <w:rFonts w:ascii="Arial" w:eastAsia="Times New Roman" w:hAnsi="Arial" w:cs="Arial"/>
          <w:b/>
          <w:bCs/>
          <w:sz w:val="21"/>
          <w:szCs w:val="21"/>
        </w:rPr>
        <w:t>,</w:t>
      </w:r>
      <w:r w:rsidRPr="00922EAF">
        <w:rPr>
          <w:rFonts w:ascii="Arial" w:eastAsia="Times New Roman" w:hAnsi="Arial" w:cs="Arial"/>
          <w:bCs/>
          <w:sz w:val="21"/>
          <w:szCs w:val="21"/>
        </w:rPr>
        <w:t xml:space="preserve"> i es van incloure en les preguntes realitzades pel mateix Ministeri de Justícia en la </w:t>
      </w:r>
      <w:hyperlink r:id="rId285" w:history="1">
        <w:r w:rsidRPr="00922EAF">
          <w:rPr>
            <w:rStyle w:val="Hipervnculo"/>
            <w:rFonts w:ascii="Arial" w:eastAsia="Times New Roman" w:hAnsi="Arial" w:cs="Arial"/>
            <w:bCs/>
            <w:sz w:val="21"/>
            <w:szCs w:val="21"/>
          </w:rPr>
          <w:t>consulta pública prèvia</w:t>
        </w:r>
      </w:hyperlink>
      <w:r w:rsidRPr="00922EAF">
        <w:rPr>
          <w:rFonts w:ascii="Arial" w:eastAsia="Times New Roman" w:hAnsi="Arial" w:cs="Arial"/>
          <w:bCs/>
          <w:sz w:val="21"/>
          <w:szCs w:val="21"/>
        </w:rPr>
        <w:t xml:space="preserve"> a l'elaboració del text de l'Avantprojecte de Llei.</w:t>
      </w:r>
    </w:p>
    <w:p w14:paraId="7D14B5E7" w14:textId="77777777" w:rsidR="00922EAF" w:rsidRPr="00922EAF" w:rsidRDefault="00922EAF" w:rsidP="003D5230">
      <w:pPr>
        <w:numPr>
          <w:ilvl w:val="0"/>
          <w:numId w:val="183"/>
        </w:numPr>
        <w:spacing w:after="120" w:line="276" w:lineRule="auto"/>
        <w:ind w:left="714" w:hanging="357"/>
        <w:jc w:val="both"/>
        <w:rPr>
          <w:rFonts w:ascii="Arial" w:eastAsia="Times New Roman" w:hAnsi="Arial" w:cs="Arial"/>
          <w:bCs/>
          <w:sz w:val="21"/>
          <w:szCs w:val="21"/>
        </w:rPr>
      </w:pPr>
      <w:r w:rsidRPr="00922EAF">
        <w:rPr>
          <w:rFonts w:ascii="Arial" w:eastAsia="Times New Roman" w:hAnsi="Arial" w:cs="Arial"/>
          <w:bCs/>
          <w:sz w:val="21"/>
          <w:szCs w:val="21"/>
        </w:rPr>
        <w:t xml:space="preserve">La tradició administrativa i penal espanyola parla de “denúncia”. Així es recull en els </w:t>
      </w:r>
      <w:hyperlink r:id="rId286" w:history="1">
        <w:r w:rsidRPr="00922EAF">
          <w:rPr>
            <w:rStyle w:val="Hipervnculo"/>
            <w:rFonts w:ascii="Arial" w:eastAsia="Times New Roman" w:hAnsi="Arial" w:cs="Arial"/>
            <w:bCs/>
            <w:sz w:val="21"/>
            <w:szCs w:val="21"/>
          </w:rPr>
          <w:t>articles 58, 62 i 64 de la Llei 39/2015</w:t>
        </w:r>
      </w:hyperlink>
      <w:r w:rsidRPr="00922EAF">
        <w:rPr>
          <w:rFonts w:ascii="Arial" w:eastAsia="Times New Roman" w:hAnsi="Arial" w:cs="Arial"/>
          <w:bCs/>
          <w:sz w:val="21"/>
          <w:szCs w:val="21"/>
        </w:rPr>
        <w:t xml:space="preserve">, d'1 d'octubre, del Procediment Administratiu Comú de les Administracions Públiques, i en una multitud de normes administratives, i també en la </w:t>
      </w:r>
      <w:hyperlink r:id="rId287" w:history="1">
        <w:r w:rsidRPr="00922EAF">
          <w:rPr>
            <w:rStyle w:val="Hipervnculo"/>
            <w:rFonts w:ascii="Arial" w:eastAsia="Times New Roman" w:hAnsi="Arial" w:cs="Arial"/>
            <w:bCs/>
            <w:sz w:val="21"/>
            <w:szCs w:val="21"/>
          </w:rPr>
          <w:t>Llei d'Enjudiciament Criminal (articles 105, 118, 119, 229, 261, 262, 264 a 269, etc.)</w:t>
        </w:r>
      </w:hyperlink>
      <w:r w:rsidRPr="00922EAF">
        <w:rPr>
          <w:rFonts w:ascii="Arial" w:eastAsia="Times New Roman" w:hAnsi="Arial" w:cs="Arial"/>
          <w:bCs/>
          <w:sz w:val="21"/>
          <w:szCs w:val="21"/>
        </w:rPr>
        <w:t>.</w:t>
      </w:r>
    </w:p>
    <w:p w14:paraId="1356A0CF" w14:textId="77777777" w:rsidR="00922EAF" w:rsidRPr="00922EAF" w:rsidRDefault="00922EAF" w:rsidP="00922EAF">
      <w:pPr>
        <w:numPr>
          <w:ilvl w:val="0"/>
          <w:numId w:val="183"/>
        </w:num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Igualment, totes les Lleis autonòmiques que han creat oficines o agències autonòmiques de prevenció i lluita contra el frau i la corrupció utilitzen el terme denunciant. El mateix </w:t>
      </w:r>
      <w:hyperlink r:id="rId288" w:history="1">
        <w:r w:rsidRPr="00922EAF">
          <w:rPr>
            <w:rStyle w:val="Hipervnculo"/>
            <w:rFonts w:ascii="Arial" w:eastAsia="Times New Roman" w:hAnsi="Arial" w:cs="Arial"/>
            <w:bCs/>
            <w:sz w:val="21"/>
            <w:szCs w:val="21"/>
          </w:rPr>
          <w:t>Reglament de funcionament i règim interior de l’AVAF de 27 de juny de 2019 (DOGV núm. 8582, de 2.07.2019)</w:t>
        </w:r>
      </w:hyperlink>
      <w:r w:rsidRPr="00922EAF">
        <w:rPr>
          <w:rFonts w:ascii="Arial" w:eastAsia="Times New Roman" w:hAnsi="Arial" w:cs="Arial"/>
          <w:bCs/>
          <w:sz w:val="21"/>
          <w:szCs w:val="21"/>
        </w:rPr>
        <w:t xml:space="preserve"> inclou els vocables “denuncia” i “persona que comunica, informa o alerta”.</w:t>
      </w:r>
    </w:p>
    <w:p w14:paraId="7CC3BC43"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En síntesi, es fa necessari ressaltar que l'ús d'un terme diferent del de denunciant, en aquest cas “informant” -semblaria un eufemisme perquè no trobem ni un sol esment en l'Avantprojecte a la paraula “denunciant”- pot provocar que aquelles persones que, precisament, d'acord amb les normes administratives i penals contemplades en el nostre ordenament jurídic, efectuen “denúncies” es vegen fora de la protecció que l'Avantprojecte de Llei estableix, la qual cosa seria contrari a la Directiva, que no distingeix entre informants i denunciants, a més d'oposat al més elemental principi d'igualtat de tracte.</w:t>
      </w:r>
    </w:p>
    <w:p w14:paraId="1A851817"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Tampoc distingeix, quant a la necessitat de protecció, com és obvi, la </w:t>
      </w:r>
      <w:hyperlink r:id="rId289" w:history="1">
        <w:r w:rsidRPr="00922EAF">
          <w:rPr>
            <w:rStyle w:val="Hipervnculo"/>
            <w:rFonts w:ascii="Arial" w:eastAsia="Times New Roman" w:hAnsi="Arial" w:cs="Arial"/>
            <w:bCs/>
            <w:sz w:val="21"/>
            <w:szCs w:val="21"/>
          </w:rPr>
          <w:t>Convenció de Nacions Unides contra la corrupció</w:t>
        </w:r>
      </w:hyperlink>
      <w:r w:rsidRPr="00922EAF">
        <w:rPr>
          <w:rFonts w:ascii="Arial" w:eastAsia="Times New Roman" w:hAnsi="Arial" w:cs="Arial"/>
          <w:bCs/>
          <w:sz w:val="21"/>
          <w:szCs w:val="21"/>
        </w:rPr>
        <w:t>, que exigeix als Estats parteix que proporcionen protecció contra tot tracte injustificat a les persones que denuncien davant les autoritats competents, de bona fe i amb motius raonables, qualssevol fets relacionats amb delictes de corrupció (article 33), i que adopten mesures apropiades per a protegir de manera eficaç contra eventuals actes de represàlia o identificació als testimonis, perits i víctimes que presten declaració sobre delictes de corrupció, així com quan siga procedent als seus familiars i altres persones pròximes (article 32).</w:t>
      </w:r>
    </w:p>
    <w:p w14:paraId="532D4123"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La citada qüestió no és fútil, perquè podria portar com a conseqüència addicional que els qui denuncien davant l'autoritat judicial o el Ministeri Fiscal no gaudisquen d'idèntica protecció. Defensa aquesta Agència, encaridament, que també la protecció d'aquestes persones, en el context laboral i a la qual es refereix la Directiva (UE) 2019/1937, ha de realitzar-se per l'Autoritat administrativa, estatal o autonòmica. De la mateixa manera, si la denúncia es va efectuar davant l'Autoritat i aquesta es trasllada al Ministeri Fiscal o a l'autoritat judicial per revestir elements que poden ser constitutius de delicte, la protecció de l'Autoritat ha de prosseguir i simultaniejar-se amb l'establida en la Llei orgànica 19/1994, de 23 de desembre, de protecció a testimonis i perits en causes criminals, perquè aquestes proteccions tenen objectes i finalitats diferents i complementaris.</w:t>
      </w:r>
    </w:p>
    <w:p w14:paraId="563FE077"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
          <w:bCs/>
          <w:color w:val="9D2235" w:themeColor="accent1"/>
          <w:sz w:val="21"/>
          <w:szCs w:val="21"/>
        </w:rPr>
        <w:t>Sobre l'àmbit d'aplicació</w:t>
      </w:r>
      <w:r w:rsidRPr="00922EAF">
        <w:rPr>
          <w:rFonts w:ascii="Arial" w:eastAsia="Times New Roman" w:hAnsi="Arial" w:cs="Arial"/>
          <w:bCs/>
          <w:sz w:val="21"/>
          <w:szCs w:val="21"/>
        </w:rPr>
        <w:t>, es posa de manifest que resulta imprescindible delimitar de manera precisa l'àmbit d'aplicació de la futura Llei. De l'àmbit material d'aplicació s'ocupa l'article 2 de l'Avantprojecte de Llei, resultant ser la seua redacció, des del nostre punt de vista, complicada i ambigua i, per tant, contrària al principi de seguretat jurídica.</w:t>
      </w:r>
    </w:p>
    <w:p w14:paraId="6B93149D"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En concret, a l'apartat 1 lletra b) de l’article 2, que enuncia una contradicció en si mateix quan es refereix a “Accions o omissions que puguen ser constitutives d'infracció penal o administrativa greu o molt greu o qualsevol vulneració de la resta de l'ordenament jurídic sempre que, en qualsevol dels casos, afecten o menyscaben directament l'interés general, i no compten amb una regulació específica”. </w:t>
      </w:r>
    </w:p>
    <w:p w14:paraId="048AADA5"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Per això es porten a col·lació les definicions que delimiten l'àmbit d'actuació material de l’AVAF en la </w:t>
      </w:r>
      <w:hyperlink r:id="rId290" w:history="1">
        <w:r w:rsidRPr="00922EAF">
          <w:rPr>
            <w:rStyle w:val="Hipervnculo"/>
            <w:rFonts w:ascii="Arial" w:eastAsia="Times New Roman" w:hAnsi="Arial" w:cs="Arial"/>
            <w:bCs/>
            <w:sz w:val="21"/>
            <w:szCs w:val="21"/>
          </w:rPr>
          <w:t>Resolució de 5 d'octubre de 2020 concreta l'àmbit d'actuació material de l’AVAF</w:t>
        </w:r>
      </w:hyperlink>
      <w:r w:rsidRPr="00922EAF">
        <w:rPr>
          <w:rFonts w:ascii="Arial" w:eastAsia="Times New Roman" w:hAnsi="Arial" w:cs="Arial"/>
          <w:bCs/>
          <w:sz w:val="21"/>
          <w:szCs w:val="21"/>
        </w:rPr>
        <w:t xml:space="preserve"> i en la </w:t>
      </w:r>
      <w:hyperlink r:id="rId291" w:history="1">
        <w:r w:rsidRPr="00922EAF">
          <w:rPr>
            <w:rStyle w:val="Hipervnculo"/>
            <w:rFonts w:ascii="Arial" w:eastAsia="Times New Roman" w:hAnsi="Arial" w:cs="Arial"/>
            <w:bCs/>
            <w:sz w:val="21"/>
            <w:szCs w:val="21"/>
          </w:rPr>
          <w:t>Llei 2/2021, de 18 de juny, de lluita contra el frau i la corrupció a Andalusia i protecció de la persona denunciant</w:t>
        </w:r>
      </w:hyperlink>
      <w:r w:rsidRPr="00922EAF">
        <w:rPr>
          <w:rFonts w:ascii="Arial" w:eastAsia="Times New Roman" w:hAnsi="Arial" w:cs="Arial"/>
          <w:b/>
          <w:bCs/>
          <w:sz w:val="21"/>
          <w:szCs w:val="21"/>
        </w:rPr>
        <w:t>.</w:t>
      </w:r>
    </w:p>
    <w:p w14:paraId="0BB7C5F6"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Igualment, s'haurà d'aclarir l'apartat 4 d'aquest article 2, la redacció actual del qual pot conduir a confusió, quan assenyala que “Aquesta protecció no exclourà l'aplicació de les normes relatives al procés penal, incloses les diligències d'investigació”. Sobre aquest tema, es proposa realitzar una redacció similar a la contemplada en alguns apartats recollits en l'article </w:t>
      </w:r>
      <w:hyperlink r:id="rId292" w:history="1">
        <w:r w:rsidRPr="00922EAF">
          <w:rPr>
            <w:rStyle w:val="Hipervnculo"/>
            <w:rFonts w:ascii="Arial" w:eastAsia="Times New Roman" w:hAnsi="Arial" w:cs="Arial"/>
            <w:bCs/>
            <w:sz w:val="21"/>
            <w:szCs w:val="21"/>
          </w:rPr>
          <w:t>14 de la citada Llei 11/2016, de 28 de novembre, reguladora d'aquesta Agència</w:t>
        </w:r>
      </w:hyperlink>
      <w:r w:rsidRPr="00922EAF">
        <w:rPr>
          <w:rFonts w:ascii="Arial" w:eastAsia="Times New Roman" w:hAnsi="Arial" w:cs="Arial"/>
          <w:b/>
          <w:bCs/>
          <w:sz w:val="21"/>
          <w:szCs w:val="21"/>
        </w:rPr>
        <w:t>,</w:t>
      </w:r>
      <w:r w:rsidRPr="00922EAF">
        <w:rPr>
          <w:rFonts w:ascii="Arial" w:eastAsia="Times New Roman" w:hAnsi="Arial" w:cs="Arial"/>
          <w:bCs/>
          <w:sz w:val="21"/>
          <w:szCs w:val="21"/>
        </w:rPr>
        <w:t xml:space="preserve"> si la intenció de la regla establida en l'Avantprojecte de Llei fora aquesta:</w:t>
      </w:r>
    </w:p>
    <w:p w14:paraId="24321BB3" w14:textId="77777777" w:rsidR="00922EAF" w:rsidRPr="00922EAF" w:rsidRDefault="00922EAF" w:rsidP="003D5230">
      <w:pPr>
        <w:numPr>
          <w:ilvl w:val="0"/>
          <w:numId w:val="182"/>
        </w:numPr>
        <w:spacing w:after="120" w:line="276" w:lineRule="auto"/>
        <w:ind w:left="714" w:hanging="357"/>
        <w:jc w:val="both"/>
        <w:rPr>
          <w:rFonts w:ascii="Arial" w:eastAsia="Times New Roman" w:hAnsi="Arial" w:cs="Arial"/>
          <w:bCs/>
          <w:sz w:val="21"/>
          <w:szCs w:val="21"/>
        </w:rPr>
      </w:pPr>
      <w:r w:rsidRPr="00922EAF">
        <w:rPr>
          <w:rFonts w:ascii="Arial" w:eastAsia="Times New Roman" w:hAnsi="Arial" w:cs="Arial"/>
          <w:bCs/>
          <w:sz w:val="21"/>
          <w:szCs w:val="21"/>
        </w:rPr>
        <w:t>No serà aplicable la protecció establida en aquesta Llei a la persona denunciant quan la denúncia es formule i proporcione informació falsa, tergiversada o obtinguda de manera il·lícita, devent això donar lloc a les responsabilitats legals.</w:t>
      </w:r>
    </w:p>
    <w:p w14:paraId="315D77BF" w14:textId="77777777" w:rsidR="00922EAF" w:rsidRPr="00922EAF" w:rsidRDefault="00922EAF" w:rsidP="00922EAF">
      <w:pPr>
        <w:numPr>
          <w:ilvl w:val="0"/>
          <w:numId w:val="182"/>
        </w:num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En cap cas la protecció derivada d'aquesta Llei eximirà a la persona denunciant de les responsabilitats en què haja pogut incórrer per fets diferents dels que constituïsquen l'objecte de la denúncia.</w:t>
      </w:r>
    </w:p>
    <w:p w14:paraId="2C2EF432"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
          <w:bCs/>
          <w:color w:val="9D2235" w:themeColor="accent1"/>
          <w:sz w:val="21"/>
          <w:szCs w:val="21"/>
        </w:rPr>
        <w:t>Sobre la naturalesa jurídica de l'Autoritat Independent de Protecció de l'Informant</w:t>
      </w:r>
      <w:r w:rsidRPr="00922EAF">
        <w:rPr>
          <w:rFonts w:ascii="Arial" w:eastAsia="Times New Roman" w:hAnsi="Arial" w:cs="Arial"/>
          <w:bCs/>
          <w:sz w:val="21"/>
          <w:szCs w:val="21"/>
        </w:rPr>
        <w:t xml:space="preserve">, s'exposa que la </w:t>
      </w:r>
      <w:hyperlink r:id="rId293" w:history="1">
        <w:r w:rsidRPr="00922EAF">
          <w:rPr>
            <w:rStyle w:val="Hipervnculo"/>
            <w:rFonts w:ascii="Arial" w:eastAsia="Times New Roman" w:hAnsi="Arial" w:cs="Arial"/>
            <w:bCs/>
            <w:sz w:val="21"/>
            <w:szCs w:val="21"/>
          </w:rPr>
          <w:t>Convenció de Nacions Unides contra la Corrupció</w:t>
        </w:r>
      </w:hyperlink>
      <w:r w:rsidRPr="00922EAF">
        <w:rPr>
          <w:rFonts w:ascii="Arial" w:eastAsia="Times New Roman" w:hAnsi="Arial" w:cs="Arial"/>
          <w:bCs/>
          <w:sz w:val="21"/>
          <w:szCs w:val="21"/>
        </w:rPr>
        <w:t>, en vigor a Espanya des de 2006, recull la conveniència que cada Estat parteix se cerciore de disposar d'un o més òrgans o persones especialitzades en la lluita contra la corrupció mitjançant l'aplicació coercitiva de la llei. Afig la Convenció que aquest òrgan o òrgans i persones especialitzades han de gaudir de la independència necessària per a exercir les seues funcions amb eficàcia i sense pressions indegudes, amb la formació adequada i recursos suficients.</w:t>
      </w:r>
    </w:p>
    <w:p w14:paraId="58AE7BA5"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Igualment, l'article 19 de la Directiva </w:t>
      </w:r>
      <w:r w:rsidRPr="00922EAF">
        <w:rPr>
          <w:rFonts w:ascii="Arial" w:eastAsia="Times New Roman" w:hAnsi="Arial" w:cs="Arial"/>
          <w:bCs/>
          <w:iCs/>
          <w:sz w:val="21"/>
          <w:szCs w:val="21"/>
        </w:rPr>
        <w:t xml:space="preserve">(UE) 2019/1937 </w:t>
      </w:r>
      <w:r w:rsidRPr="00922EAF">
        <w:rPr>
          <w:rFonts w:ascii="Arial" w:eastAsia="Times New Roman" w:hAnsi="Arial" w:cs="Arial"/>
          <w:bCs/>
          <w:sz w:val="21"/>
          <w:szCs w:val="21"/>
        </w:rPr>
        <w:t>assenyala que els Estats membres vetlaran perquè les autoritats competents establisquen canals de denúncia externa, independents i autònoms, per a la recepció i el tractament de la informació sobre infraccions.</w:t>
      </w:r>
    </w:p>
    <w:p w14:paraId="4379386E"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No obstant això, a través de la creació d'aquestes Autoritats Administratives Independents d'àmbit estatal, segons disposen els articles 109 i 110 de la Llei 40/2015, d'1 d'octubre, de Règim Jurídic del Sector Públic, el legislador pretén reforçar la neutralitat de les seues actuacions i evitar ingerències i controls per part del Govern o l'Administració en atenció a les funcions que realitzen. </w:t>
      </w:r>
    </w:p>
    <w:p w14:paraId="10919C2A"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Així, el model de l’AVAF, que és comuna a la resta d'oficines antifrau autonòmiques que es troben en funcionament (Catalunya, Balears i Andalusia) són entitats públiques adscrites als parlaments, amb personalitat jurídica pròpia i plena capacitat d'obrar per al compliment de les seues funcions, que actuen amb independència de les administracions públiques que estan sotmeses al seu àmbit d'actuació.</w:t>
      </w:r>
    </w:p>
    <w:p w14:paraId="2A56B38E"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En totes elles, els seus trets característics són els següents:</w:t>
      </w:r>
    </w:p>
    <w:p w14:paraId="52C584BD" w14:textId="77777777" w:rsidR="00922EAF" w:rsidRPr="00922EAF" w:rsidRDefault="00922EAF" w:rsidP="003D5230">
      <w:pPr>
        <w:numPr>
          <w:ilvl w:val="0"/>
          <w:numId w:val="184"/>
        </w:numPr>
        <w:spacing w:after="120" w:line="276" w:lineRule="auto"/>
        <w:ind w:left="714" w:hanging="357"/>
        <w:jc w:val="both"/>
        <w:rPr>
          <w:rFonts w:ascii="Arial" w:eastAsia="Times New Roman" w:hAnsi="Arial" w:cs="Arial"/>
          <w:bCs/>
          <w:sz w:val="21"/>
          <w:szCs w:val="21"/>
        </w:rPr>
      </w:pPr>
      <w:r w:rsidRPr="00922EAF">
        <w:rPr>
          <w:rFonts w:ascii="Arial" w:eastAsia="Times New Roman" w:hAnsi="Arial" w:cs="Arial"/>
          <w:bCs/>
          <w:sz w:val="21"/>
          <w:szCs w:val="21"/>
        </w:rPr>
        <w:t>Es tracta d'un òrgan unipersonal, presidit per la figura d'un director o directora qui ha de comptar amb els recursos humans i materials necessaris, organitzats sota una estructura dissenyada per la mateixa direcció.</w:t>
      </w:r>
    </w:p>
    <w:p w14:paraId="601D2C11" w14:textId="77777777" w:rsidR="00922EAF" w:rsidRPr="00922EAF" w:rsidRDefault="00922EAF" w:rsidP="003D5230">
      <w:pPr>
        <w:numPr>
          <w:ilvl w:val="0"/>
          <w:numId w:val="184"/>
        </w:numPr>
        <w:spacing w:after="120" w:line="276" w:lineRule="auto"/>
        <w:ind w:left="714" w:hanging="357"/>
        <w:jc w:val="both"/>
        <w:rPr>
          <w:rFonts w:ascii="Arial" w:eastAsia="Times New Roman" w:hAnsi="Arial" w:cs="Arial"/>
          <w:bCs/>
          <w:sz w:val="21"/>
          <w:szCs w:val="21"/>
        </w:rPr>
      </w:pPr>
      <w:r w:rsidRPr="00922EAF">
        <w:rPr>
          <w:rFonts w:ascii="Arial" w:eastAsia="Times New Roman" w:hAnsi="Arial" w:cs="Arial"/>
          <w:bCs/>
          <w:sz w:val="21"/>
          <w:szCs w:val="21"/>
        </w:rPr>
        <w:t>Són entitats dotades d'independència funcional i amb autonomia institucional. Només des de la seua posició d'independència, garantida legalment, poden complir eficaçment les funcions que tenen assignades.</w:t>
      </w:r>
    </w:p>
    <w:p w14:paraId="1234CB31" w14:textId="77777777" w:rsidR="00922EAF" w:rsidRPr="00922EAF" w:rsidRDefault="00922EAF" w:rsidP="003D5230">
      <w:pPr>
        <w:numPr>
          <w:ilvl w:val="0"/>
          <w:numId w:val="184"/>
        </w:numPr>
        <w:spacing w:after="120" w:line="276" w:lineRule="auto"/>
        <w:ind w:left="714" w:hanging="357"/>
        <w:jc w:val="both"/>
        <w:rPr>
          <w:rFonts w:ascii="Arial" w:eastAsia="Times New Roman" w:hAnsi="Arial" w:cs="Arial"/>
          <w:bCs/>
          <w:sz w:val="21"/>
          <w:szCs w:val="21"/>
        </w:rPr>
      </w:pPr>
      <w:r w:rsidRPr="00922EAF">
        <w:rPr>
          <w:rFonts w:ascii="Arial" w:eastAsia="Times New Roman" w:hAnsi="Arial" w:cs="Arial"/>
          <w:bCs/>
          <w:sz w:val="21"/>
          <w:szCs w:val="21"/>
        </w:rPr>
        <w:t xml:space="preserve">Són òrgans de prevenció i també de control extern. El foment de l'ètica i la integritat pública, la prevenció dels conflictes d'interés i la investigació del frau, la corrupció i altres irregularitats, integren de forma destacada el seu nucli d'atribucions. </w:t>
      </w:r>
    </w:p>
    <w:p w14:paraId="248AA085" w14:textId="77777777" w:rsidR="00922EAF" w:rsidRPr="00922EAF" w:rsidRDefault="00922EAF" w:rsidP="003D5230">
      <w:pPr>
        <w:numPr>
          <w:ilvl w:val="0"/>
          <w:numId w:val="184"/>
        </w:numPr>
        <w:spacing w:after="120" w:line="276" w:lineRule="auto"/>
        <w:ind w:left="714" w:hanging="357"/>
        <w:jc w:val="both"/>
        <w:rPr>
          <w:rFonts w:ascii="Arial" w:eastAsia="Times New Roman" w:hAnsi="Arial" w:cs="Arial"/>
          <w:bCs/>
          <w:sz w:val="21"/>
          <w:szCs w:val="21"/>
        </w:rPr>
      </w:pPr>
      <w:r w:rsidRPr="00922EAF">
        <w:rPr>
          <w:rFonts w:ascii="Arial" w:eastAsia="Times New Roman" w:hAnsi="Arial" w:cs="Arial"/>
          <w:bCs/>
          <w:sz w:val="21"/>
          <w:szCs w:val="21"/>
        </w:rPr>
        <w:t>Es tracta d'òrgans especialitzats, sent aquesta especialització en prevenció i lluita contra la corrupció un dels trets diferencials respecte d'altres organismes que també tenen atribucions de control intern o extern.</w:t>
      </w:r>
    </w:p>
    <w:p w14:paraId="39CEB8CB" w14:textId="77777777" w:rsidR="00922EAF" w:rsidRPr="00922EAF" w:rsidRDefault="00922EAF" w:rsidP="00922EAF">
      <w:pPr>
        <w:numPr>
          <w:ilvl w:val="0"/>
          <w:numId w:val="184"/>
        </w:num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Tant el director com el seu personal amb funcions inspectores ostenten la condició d'autoritat pública, la qual cosa es complementa en tots els casos (excepte a Catalunya) amb la potestat sancionadora prevista en les seues normes fundacionals.</w:t>
      </w:r>
    </w:p>
    <w:p w14:paraId="2F9BD107"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En conseqüència, hauria de valorar-se la integració en aquesta Autoritat Nacional de Lluita contra la Corrupció d'algunes estructures estatals ja existents, les funcions de les quals poden resituar-se sota el mateix paraigua: la regulació, supervisió i avaluació de la contractació pública, la coordinació de les accions encaminades a protegir els interessos financers de la Unió Europea o el control dels conflictes d'interessos d'alts càrrecs. </w:t>
      </w:r>
    </w:p>
    <w:p w14:paraId="565B0604"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
          <w:bCs/>
          <w:color w:val="9D2235" w:themeColor="accent1"/>
          <w:sz w:val="21"/>
          <w:szCs w:val="21"/>
        </w:rPr>
        <w:t>Sobre la persona al capdavant de l'Autoritat Independent de Protecció de l'Informant</w:t>
      </w:r>
      <w:r w:rsidRPr="00922EAF">
        <w:rPr>
          <w:rFonts w:ascii="Arial" w:eastAsia="Times New Roman" w:hAnsi="Arial" w:cs="Arial"/>
          <w:bCs/>
          <w:sz w:val="21"/>
          <w:szCs w:val="21"/>
        </w:rPr>
        <w:t xml:space="preserve">, es proposa que puga prendre's com a referència la regulació establida en l'article </w:t>
      </w:r>
      <w:hyperlink r:id="rId294" w:history="1">
        <w:r w:rsidRPr="00922EAF">
          <w:rPr>
            <w:rStyle w:val="Hipervnculo"/>
            <w:rFonts w:ascii="Arial" w:eastAsia="Times New Roman" w:hAnsi="Arial" w:cs="Arial"/>
            <w:bCs/>
            <w:sz w:val="21"/>
            <w:szCs w:val="21"/>
          </w:rPr>
          <w:t>26 de la Llei 11/2016, de 28 de novembre, de l'Agència de Prevenció i Lluita contra el Frau i la Corrupció de la Comunitat Valenciana,</w:t>
        </w:r>
      </w:hyperlink>
      <w:r w:rsidRPr="00922EAF">
        <w:rPr>
          <w:rFonts w:ascii="Arial" w:eastAsia="Times New Roman" w:hAnsi="Arial" w:cs="Arial"/>
          <w:bCs/>
          <w:sz w:val="21"/>
          <w:szCs w:val="21"/>
        </w:rPr>
        <w:t xml:space="preserve"> rubricat “l'estatut personal de la direcció de l'Agència”. </w:t>
      </w:r>
    </w:p>
    <w:p w14:paraId="6CF1DDE0"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Conforme a aquest precepte, la persona titular de l’AVAF es tria pel parlament valencià, entre persones candidates proposades per organitzacions socials que treballen contra el frau i la corrupció i pels grups parlamentaris, devent en el marc d'una convocatòria pública realitzada a aquest efecte comparéixer davant la Comissió corresponent a fi de ser avaluades en relació amb les condicions requerides per al càrrec: idoneïtat, probitat i professionalitat i comptar amb més de deu anys d'activitat laboral o professional relacionada amb l'àmbit funcional. L'acord aconseguit en aquesta Comissió és traslladat al Ple de les Corts Valencianes, havent d'obtindre la persona triada a favor seu una majoria reforçada, en aquest cas de tres cinquenes parts. </w:t>
      </w:r>
    </w:p>
    <w:p w14:paraId="60334211"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Així, la societat civil, organitzada i especialitzada dins d'aquest àmbit, participa de manera activa en la presentació de les persones candidates. La persona triada haurà de rendir comptes de la seua gestió, no sols davant l'òrgan de poder legislatiu, per mitjà de la presentació d'una Memòria d'activitat anual, altres informes i possibles compareixences, sinó també davant la ciutadania (</w:t>
      </w:r>
      <w:hyperlink r:id="rId295" w:history="1">
        <w:r w:rsidRPr="00922EAF">
          <w:rPr>
            <w:rStyle w:val="Hipervnculo"/>
            <w:rFonts w:ascii="Arial" w:eastAsia="Times New Roman" w:hAnsi="Arial" w:cs="Arial"/>
            <w:bCs/>
            <w:sz w:val="21"/>
            <w:szCs w:val="21"/>
          </w:rPr>
          <w:t>articles 22 a 25 de la Llei 11/2016, de la Generalitat</w:t>
        </w:r>
      </w:hyperlink>
      <w:r w:rsidRPr="00922EAF">
        <w:rPr>
          <w:rFonts w:ascii="Arial" w:eastAsia="Times New Roman" w:hAnsi="Arial" w:cs="Arial"/>
          <w:bCs/>
          <w:sz w:val="21"/>
          <w:szCs w:val="21"/>
        </w:rPr>
        <w:t>).</w:t>
      </w:r>
    </w:p>
    <w:p w14:paraId="564C706D"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En aquest sentit, el </w:t>
      </w:r>
      <w:hyperlink r:id="rId296" w:history="1">
        <w:r w:rsidRPr="00922EAF">
          <w:rPr>
            <w:rStyle w:val="Hipervnculo"/>
            <w:rFonts w:ascii="Arial" w:eastAsia="Times New Roman" w:hAnsi="Arial" w:cs="Arial"/>
            <w:bCs/>
            <w:sz w:val="21"/>
            <w:szCs w:val="21"/>
          </w:rPr>
          <w:t>Reglament de funcionament i règim interior de l'Agència Valenciana Antifrau, en els seus articles 24 a 26</w:t>
        </w:r>
      </w:hyperlink>
      <w:r w:rsidRPr="00922EAF">
        <w:rPr>
          <w:rFonts w:ascii="Arial" w:eastAsia="Times New Roman" w:hAnsi="Arial" w:cs="Arial"/>
          <w:bCs/>
          <w:sz w:val="21"/>
          <w:szCs w:val="21"/>
        </w:rPr>
        <w:t xml:space="preserve"> crea i regula el Consell de Participació, que es compon de més de dotze organitzacions civils i persones expertes i es configura com a òrgan assessor i de consulta de l’AVAF i via per a la participació de la societat civil, dins de l'àmbit de la prevenció i lluita contra el frau i la corrupció, la transparència en l'activitat pública i la qualitat democràtica, en llaures al millor compliment de les seues funcions i fins. La seua finalitat és impulsar la vinculació de l'Agència amb la societat civil i la ciutadania facilitant la seua comunicació i relació.</w:t>
      </w:r>
    </w:p>
    <w:p w14:paraId="0CA7635E"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Quant a les segones, les </w:t>
      </w:r>
      <w:hyperlink r:id="rId297" w:history="1">
        <w:r w:rsidRPr="00CA3AC1">
          <w:rPr>
            <w:rStyle w:val="Hipervnculo"/>
            <w:rFonts w:ascii="Arial" w:eastAsia="Times New Roman" w:hAnsi="Arial" w:cs="Arial"/>
            <w:sz w:val="21"/>
            <w:szCs w:val="21"/>
          </w:rPr>
          <w:t>“Observacions de caràcter particular en relació amb alguns preceptes de l'Avantprojecte de Llei”</w:t>
        </w:r>
      </w:hyperlink>
      <w:r w:rsidRPr="00922EAF">
        <w:rPr>
          <w:rFonts w:ascii="Arial" w:eastAsia="Times New Roman" w:hAnsi="Arial" w:cs="Arial"/>
          <w:bCs/>
          <w:sz w:val="21"/>
          <w:szCs w:val="21"/>
        </w:rPr>
        <w:t xml:space="preserve"> es refereixen, en concret, als següents articles del text:</w:t>
      </w:r>
    </w:p>
    <w:p w14:paraId="5081118B"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7. Canals interns d'informació</w:t>
      </w:r>
    </w:p>
    <w:p w14:paraId="028AE24F"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9. Responsable del sistema intern d'informació</w:t>
      </w:r>
    </w:p>
    <w:p w14:paraId="251897E4"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13.5. Entitats obligades en el sector públic</w:t>
      </w:r>
    </w:p>
    <w:p w14:paraId="3B87B93B"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20. Terminació de les actuacions</w:t>
      </w:r>
    </w:p>
    <w:p w14:paraId="60D9EE23"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21. Drets i garanties de l'informant davant l'Autoritat Independent de Protecció de l'Informant</w:t>
      </w:r>
    </w:p>
    <w:p w14:paraId="2391AF86"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28. Condicions de protecció (revelació pública)</w:t>
      </w:r>
    </w:p>
    <w:p w14:paraId="2707765B"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35. Condicions de protecció</w:t>
      </w:r>
    </w:p>
    <w:p w14:paraId="64545042"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Articles 36 a 38. Prohibició de represàlies, Mesures de suport i Mesures de protecció enfront de represàlies.</w:t>
      </w:r>
    </w:p>
    <w:p w14:paraId="1197CD98"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39. Mesures per a la protecció de les persones investigades</w:t>
      </w:r>
    </w:p>
    <w:p w14:paraId="07B6FCFD"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40. Programes de clemència</w:t>
      </w:r>
    </w:p>
    <w:p w14:paraId="1214354D"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41. Autoritats competents</w:t>
      </w:r>
    </w:p>
    <w:p w14:paraId="2C4D9813"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44. Règim jurídic</w:t>
      </w:r>
    </w:p>
    <w:p w14:paraId="37CFE738"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45. Règim de personal</w:t>
      </w:r>
    </w:p>
    <w:p w14:paraId="3DE632C6" w14:textId="77777777" w:rsidR="00922EAF" w:rsidRPr="00262AC2" w:rsidRDefault="00922EAF" w:rsidP="003D5230">
      <w:pPr>
        <w:numPr>
          <w:ilvl w:val="0"/>
          <w:numId w:val="181"/>
        </w:numPr>
        <w:spacing w:after="120" w:line="276" w:lineRule="auto"/>
        <w:ind w:left="714" w:hanging="357"/>
        <w:jc w:val="both"/>
        <w:rPr>
          <w:rFonts w:ascii="Arial" w:eastAsia="Times New Roman" w:hAnsi="Arial" w:cs="Arial"/>
          <w:bCs/>
          <w:sz w:val="20"/>
          <w:szCs w:val="20"/>
        </w:rPr>
      </w:pPr>
      <w:r w:rsidRPr="00262AC2">
        <w:rPr>
          <w:rFonts w:ascii="Arial" w:eastAsia="Times New Roman" w:hAnsi="Arial" w:cs="Arial"/>
          <w:bCs/>
          <w:sz w:val="20"/>
          <w:szCs w:val="20"/>
        </w:rPr>
        <w:t>Article 62. Subjectes responsables (sancions)</w:t>
      </w:r>
    </w:p>
    <w:p w14:paraId="4336B131" w14:textId="77777777" w:rsidR="00922EAF" w:rsidRPr="00922EAF" w:rsidRDefault="00922EAF" w:rsidP="00922EAF">
      <w:pPr>
        <w:numPr>
          <w:ilvl w:val="0"/>
          <w:numId w:val="181"/>
        </w:numPr>
        <w:spacing w:after="240" w:line="276" w:lineRule="auto"/>
        <w:jc w:val="both"/>
        <w:rPr>
          <w:rFonts w:ascii="Arial" w:eastAsia="Times New Roman" w:hAnsi="Arial" w:cs="Arial"/>
          <w:bCs/>
          <w:sz w:val="21"/>
          <w:szCs w:val="21"/>
        </w:rPr>
      </w:pPr>
      <w:r w:rsidRPr="00262AC2">
        <w:rPr>
          <w:rFonts w:ascii="Arial" w:eastAsia="Times New Roman" w:hAnsi="Arial" w:cs="Arial"/>
          <w:bCs/>
          <w:sz w:val="20"/>
          <w:szCs w:val="20"/>
        </w:rPr>
        <w:t>Disposició final sisena. Títols competencials</w:t>
      </w:r>
    </w:p>
    <w:p w14:paraId="27BDDB79"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De gran interés resulta, al nostre judici, la lectura en el document enllaçat de les observacions que realitza aquesta Agència a cadascun dels anteriors preceptes. </w:t>
      </w:r>
    </w:p>
    <w:p w14:paraId="51C20D8A" w14:textId="77777777" w:rsidR="00922EAF" w:rsidRPr="00922EAF" w:rsidRDefault="00922EAF" w:rsidP="00922EAF">
      <w:pPr>
        <w:spacing w:after="240" w:line="276" w:lineRule="auto"/>
        <w:jc w:val="both"/>
        <w:rPr>
          <w:rFonts w:ascii="Arial" w:eastAsia="Times New Roman" w:hAnsi="Arial" w:cs="Arial"/>
          <w:bCs/>
          <w:sz w:val="21"/>
          <w:szCs w:val="21"/>
        </w:rPr>
      </w:pPr>
      <w:r w:rsidRPr="00922EAF">
        <w:rPr>
          <w:rFonts w:ascii="Arial" w:eastAsia="Times New Roman" w:hAnsi="Arial" w:cs="Arial"/>
          <w:bCs/>
          <w:sz w:val="21"/>
          <w:szCs w:val="21"/>
        </w:rPr>
        <w:t xml:space="preserve">No obstant això, a continuació, reproduïm en aquesta Memòria d'activitat, per la seua gran rellevància i per a coneixement dels diputats i diputades de les Corts Valencianes, el contingut literal de l'al·legació que en relació amb la </w:t>
      </w:r>
      <w:r w:rsidRPr="00020C8E">
        <w:rPr>
          <w:rFonts w:ascii="Arial" w:eastAsia="Times New Roman" w:hAnsi="Arial" w:cs="Arial"/>
          <w:b/>
          <w:sz w:val="21"/>
          <w:szCs w:val="21"/>
        </w:rPr>
        <w:t>disposició final sisena del citat Avantprojecte de llei</w:t>
      </w:r>
      <w:r w:rsidRPr="00922EAF">
        <w:rPr>
          <w:rFonts w:ascii="Arial" w:eastAsia="Times New Roman" w:hAnsi="Arial" w:cs="Arial"/>
          <w:bCs/>
          <w:sz w:val="21"/>
          <w:szCs w:val="21"/>
        </w:rPr>
        <w:t xml:space="preserve"> realitza aquesta AVAF i ha dirigit al Ministeri de Justícia el 17 de març de 2022:</w:t>
      </w:r>
    </w:p>
    <w:p w14:paraId="1ADD856C" w14:textId="77777777" w:rsidR="00922EAF" w:rsidRPr="00CA3AC1" w:rsidRDefault="00922EAF" w:rsidP="003D5230">
      <w:pPr>
        <w:spacing w:after="240" w:line="276" w:lineRule="auto"/>
        <w:ind w:left="567"/>
        <w:jc w:val="both"/>
        <w:rPr>
          <w:rFonts w:ascii="Arial" w:eastAsia="Times New Roman" w:hAnsi="Arial" w:cs="Arial"/>
          <w:bCs/>
          <w:sz w:val="20"/>
          <w:szCs w:val="20"/>
        </w:rPr>
      </w:pPr>
      <w:r w:rsidRPr="00CA3AC1">
        <w:rPr>
          <w:rFonts w:ascii="Arial" w:eastAsia="Times New Roman" w:hAnsi="Arial" w:cs="Arial"/>
          <w:b/>
          <w:bCs/>
          <w:sz w:val="20"/>
          <w:szCs w:val="20"/>
        </w:rPr>
        <w:t>“</w:t>
      </w:r>
      <w:r w:rsidRPr="00CA3AC1">
        <w:rPr>
          <w:rFonts w:ascii="Arial" w:eastAsia="Times New Roman" w:hAnsi="Arial" w:cs="Arial"/>
          <w:bCs/>
          <w:sz w:val="20"/>
          <w:szCs w:val="20"/>
        </w:rPr>
        <w:t>Es fa necessari realitzar una anàlisi detallada i profunda del contingut de la disposició final sisena de l'Avantprojecte de Llei, “títols competencials”, tenint en compte que algunes Comunitats Autònomes ja compten en el seu ordenament jurídic, com s'ha anat exposant, amb lleis aprovades conforme a les seues pròpies competències, que han creat institucions públiques que funcionen i articulen, amb més o menys extensió i intensitat, i compleixen amb mandats continguts en la Directiva (UE) 2019/1937; lleis que són anteriors a aquesta, i fins i tot més favorables i avançades que aquest Avantprojecte de Llei i respecten l'ordre constitucional de competències.</w:t>
      </w:r>
    </w:p>
    <w:p w14:paraId="1D1F957B" w14:textId="77777777" w:rsidR="00922EAF" w:rsidRPr="00CA3AC1" w:rsidRDefault="00922EAF" w:rsidP="003D5230">
      <w:pPr>
        <w:spacing w:after="240" w:line="276" w:lineRule="auto"/>
        <w:ind w:left="567"/>
        <w:jc w:val="both"/>
        <w:rPr>
          <w:rFonts w:ascii="Arial" w:eastAsia="Times New Roman" w:hAnsi="Arial" w:cs="Arial"/>
          <w:bCs/>
          <w:sz w:val="20"/>
          <w:szCs w:val="20"/>
        </w:rPr>
      </w:pPr>
      <w:r w:rsidRPr="00CA3AC1">
        <w:rPr>
          <w:rFonts w:ascii="Arial" w:eastAsia="Times New Roman" w:hAnsi="Arial" w:cs="Arial"/>
          <w:bCs/>
          <w:sz w:val="20"/>
          <w:szCs w:val="20"/>
        </w:rPr>
        <w:t>Les agències i oficines antifrau autonòmiques, amb funcions de prevenció i lluita contra la corrupció, en el seu territori i respecte del seu sector públic, entre les quals s'inclou l’AVAF, han sigut creades mitjançant llei pel seu propi poder legislatiu en aplicació del que es disposa en l'article 148.1.1a de la Constitució Espanyola i desenvolupament dels seus respectius Estatuts d'Autonomia.</w:t>
      </w:r>
    </w:p>
    <w:p w14:paraId="6FB0FCC0" w14:textId="77777777" w:rsidR="00922EAF" w:rsidRPr="00CA3AC1" w:rsidRDefault="00922EAF" w:rsidP="003D5230">
      <w:pPr>
        <w:spacing w:after="240" w:line="276" w:lineRule="auto"/>
        <w:ind w:left="567"/>
        <w:jc w:val="both"/>
        <w:rPr>
          <w:rFonts w:ascii="Arial" w:eastAsia="Times New Roman" w:hAnsi="Arial" w:cs="Arial"/>
          <w:bCs/>
          <w:sz w:val="20"/>
          <w:szCs w:val="20"/>
        </w:rPr>
      </w:pPr>
      <w:r w:rsidRPr="00CA3AC1">
        <w:rPr>
          <w:rFonts w:ascii="Arial" w:eastAsia="Times New Roman" w:hAnsi="Arial" w:cs="Arial"/>
          <w:bCs/>
          <w:sz w:val="20"/>
          <w:szCs w:val="20"/>
        </w:rPr>
        <w:t>Així, disposa el Preàmbul de la Llei 11/2016, de 28 de novembre, de la Generalitat, de l'Agència de Prevenció i Lluita contra el Frau i la Corrupció de la Comunitat Valenciana, que la creació d'aquesta es realitza a l'empara de l'article 49.1.1a de l'Estatut d'Autonomia, que atorga competència exclusiva a la Generalitat Valenciana en l'organització de les seues institucions d'autogovern.</w:t>
      </w:r>
    </w:p>
    <w:p w14:paraId="0CC04DD7" w14:textId="77777777" w:rsidR="00922EAF" w:rsidRPr="00CA3AC1" w:rsidRDefault="00922EAF" w:rsidP="003D5230">
      <w:pPr>
        <w:spacing w:after="240" w:line="276" w:lineRule="auto"/>
        <w:ind w:left="567"/>
        <w:jc w:val="both"/>
        <w:rPr>
          <w:rFonts w:ascii="Arial" w:eastAsia="Times New Roman" w:hAnsi="Arial" w:cs="Arial"/>
          <w:bCs/>
          <w:sz w:val="20"/>
          <w:szCs w:val="20"/>
        </w:rPr>
      </w:pPr>
      <w:r w:rsidRPr="00CA3AC1">
        <w:rPr>
          <w:rFonts w:ascii="Arial" w:eastAsia="Times New Roman" w:hAnsi="Arial" w:cs="Arial"/>
          <w:bCs/>
          <w:sz w:val="20"/>
          <w:szCs w:val="20"/>
        </w:rPr>
        <w:t>Així mateix, ha de tindre's present que conformement al que es preveu en la clàusula continguda en l'article 25 de la Directiva (UE) 2019/1937, sota el títol “tracte més favorable i clàusula de no regressió”, es disposa que els Estats membres podran introduir o mantindre disposicions més favorables per als drets dels denunciants que els establits en la present Directiva, i que l'aplicació de la mateixa no constituirà en cap circumstància motiu per a reduir el nivell de protecció ja garantit pels Estats membres en els àmbits regulats per ella.</w:t>
      </w:r>
    </w:p>
    <w:p w14:paraId="4876E016" w14:textId="77777777" w:rsidR="00922EAF" w:rsidRPr="00CA3AC1" w:rsidRDefault="00922EAF" w:rsidP="003D5230">
      <w:pPr>
        <w:spacing w:after="240" w:line="276" w:lineRule="auto"/>
        <w:ind w:left="567"/>
        <w:jc w:val="both"/>
        <w:rPr>
          <w:rFonts w:ascii="Arial" w:eastAsia="Times New Roman" w:hAnsi="Arial" w:cs="Arial"/>
          <w:bCs/>
          <w:sz w:val="20"/>
          <w:szCs w:val="20"/>
        </w:rPr>
      </w:pPr>
      <w:r w:rsidRPr="00CA3AC1">
        <w:rPr>
          <w:rFonts w:ascii="Arial" w:eastAsia="Times New Roman" w:hAnsi="Arial" w:cs="Arial"/>
          <w:bCs/>
          <w:sz w:val="20"/>
          <w:szCs w:val="20"/>
        </w:rPr>
        <w:t>No podem compartir, doncs, de cap manera, que es predique de la futura Llei estatal un hipotètic caràcter bàsic, exceptuant del mateix únicament el títol VIII, referit a l'Autoritat Independent estatal.</w:t>
      </w:r>
    </w:p>
    <w:p w14:paraId="79DC3951" w14:textId="1D9A356D" w:rsidR="00947D02" w:rsidRPr="00922EAF" w:rsidRDefault="00922EAF" w:rsidP="003D5230">
      <w:pPr>
        <w:spacing w:after="240" w:line="276" w:lineRule="auto"/>
        <w:ind w:left="567"/>
        <w:jc w:val="both"/>
        <w:rPr>
          <w:rFonts w:ascii="Arial" w:eastAsia="Times New Roman" w:hAnsi="Arial" w:cs="Arial"/>
          <w:bCs/>
          <w:sz w:val="21"/>
          <w:szCs w:val="21"/>
        </w:rPr>
      </w:pPr>
      <w:r w:rsidRPr="00CA3AC1">
        <w:rPr>
          <w:rFonts w:ascii="Arial" w:eastAsia="Times New Roman" w:hAnsi="Arial" w:cs="Arial"/>
          <w:bCs/>
          <w:sz w:val="20"/>
          <w:szCs w:val="20"/>
        </w:rPr>
        <w:t>Les agències i oficines antifrau autonòmiques, amb aquesta denominació o denominacions similars, no sols les quatre que ja es troben en funcionament (Catalunya, Comunitat Valenciana, Illes Balears i Andalusia), sinó també unes altres que ja han sigut creades i estan pendents de constitució (Aragó, Navarra, Astúries), compten amb normes específiques que no poden veure's derogades a conseqüència de la consideració com a bàsica d'aquesta Llei estatal. La Llei estatal podrà ser subsidiària respecte del no contemplat en els ordenaments autonòmics i també podrà harmonitzar les legislacions existents, però no podrà derogar les normes que d'acord amb el principi de descentralització de competències i proximitat de la ciutadania a les seues institucions s'estableix.”</w:t>
      </w:r>
    </w:p>
    <w:p w14:paraId="331DF0BF" w14:textId="15D7F443" w:rsidR="00347773" w:rsidRPr="00347773" w:rsidRDefault="00347773" w:rsidP="00347773">
      <w:pPr>
        <w:pStyle w:val="Prrafodelista"/>
        <w:keepNext/>
        <w:numPr>
          <w:ilvl w:val="4"/>
          <w:numId w:val="16"/>
        </w:numPr>
        <w:suppressAutoHyphens/>
        <w:spacing w:before="360" w:after="240" w:line="276" w:lineRule="auto"/>
        <w:ind w:left="1276" w:hanging="1254"/>
        <w:jc w:val="both"/>
        <w:outlineLvl w:val="4"/>
        <w:rPr>
          <w:rFonts w:ascii="Arial" w:eastAsia="Times New Roman" w:hAnsi="Arial" w:cs="Arial"/>
          <w:b/>
          <w:color w:val="9D2235"/>
          <w:sz w:val="23"/>
          <w:szCs w:val="23"/>
        </w:rPr>
      </w:pPr>
      <w:r w:rsidRPr="00347773">
        <w:rPr>
          <w:rFonts w:ascii="Arial" w:eastAsia="Times New Roman" w:hAnsi="Arial" w:cs="Arial"/>
          <w:b/>
          <w:color w:val="9D2235"/>
          <w:sz w:val="23"/>
          <w:szCs w:val="23"/>
        </w:rPr>
        <w:t>Avantprojecte de la Llei d'Enjudiciament Criminal</w:t>
      </w:r>
    </w:p>
    <w:p w14:paraId="6CD0F31F" w14:textId="77777777" w:rsidR="00347773" w:rsidRPr="00347773" w:rsidRDefault="00347773" w:rsidP="00347773">
      <w:pPr>
        <w:spacing w:after="240" w:line="276" w:lineRule="auto"/>
        <w:jc w:val="both"/>
        <w:rPr>
          <w:rFonts w:ascii="Arial" w:hAnsi="Arial"/>
          <w:sz w:val="21"/>
          <w:szCs w:val="21"/>
        </w:rPr>
      </w:pPr>
      <w:r w:rsidRPr="00347773">
        <w:rPr>
          <w:rFonts w:ascii="Arial" w:hAnsi="Arial"/>
          <w:sz w:val="21"/>
          <w:szCs w:val="21"/>
        </w:rPr>
        <w:t>D'igual forma, l’AVAF va considerar convenient realitzar aportacions en el tràmit públic d'al·legacions de l'Avantprojecte</w:t>
      </w:r>
      <w:r w:rsidRPr="00347773">
        <w:rPr>
          <w:rFonts w:ascii="Arial" w:hAnsi="Arial"/>
          <w:b/>
          <w:bCs/>
          <w:sz w:val="21"/>
          <w:szCs w:val="21"/>
        </w:rPr>
        <w:t xml:space="preserve"> </w:t>
      </w:r>
      <w:hyperlink r:id="rId298" w:history="1">
        <w:r w:rsidRPr="00347773">
          <w:rPr>
            <w:rStyle w:val="Hipervnculo"/>
            <w:rFonts w:ascii="Arial" w:hAnsi="Arial"/>
            <w:sz w:val="21"/>
            <w:szCs w:val="21"/>
          </w:rPr>
          <w:t>de la Llei d'Enjudiciament Criminal</w:t>
        </w:r>
      </w:hyperlink>
      <w:r w:rsidRPr="00347773">
        <w:rPr>
          <w:rFonts w:ascii="Arial" w:hAnsi="Arial"/>
          <w:sz w:val="21"/>
          <w:szCs w:val="21"/>
        </w:rPr>
        <w:t>, i això sense perjudici de quedar a la sencera disposició, tant del Ministeri de Justícia com dels grups parlamentaris i de la Comissió de Codificació, per a efectuar totes les aportacions que foren precises i que conduïsquen a la creació d'una norma processal penal avantguardista i integrada en el dret de la Unió, al mateix temps que ajustada als estàndards internacionals de lluita contra la corrupció i el frau.</w:t>
      </w:r>
    </w:p>
    <w:p w14:paraId="0C4547F8" w14:textId="77777777" w:rsidR="00347773" w:rsidRPr="00347773" w:rsidRDefault="00347773" w:rsidP="00347773">
      <w:pPr>
        <w:spacing w:after="240" w:line="276" w:lineRule="auto"/>
        <w:jc w:val="both"/>
        <w:rPr>
          <w:rFonts w:ascii="Arial" w:hAnsi="Arial"/>
          <w:sz w:val="21"/>
          <w:szCs w:val="21"/>
        </w:rPr>
      </w:pPr>
      <w:r w:rsidRPr="00347773">
        <w:rPr>
          <w:rFonts w:ascii="Arial" w:hAnsi="Arial"/>
          <w:sz w:val="21"/>
          <w:szCs w:val="21"/>
        </w:rPr>
        <w:t xml:space="preserve">En concret, el passat 1 de març de 2021, l’AVAF va remetre </w:t>
      </w:r>
      <w:hyperlink r:id="rId299" w:history="1">
        <w:r w:rsidRPr="00347773">
          <w:rPr>
            <w:rStyle w:val="Hipervnculo"/>
            <w:rFonts w:ascii="Arial" w:hAnsi="Arial"/>
            <w:sz w:val="21"/>
            <w:szCs w:val="21"/>
          </w:rPr>
          <w:t>escrit d'al·legacions de l'Agència de Prevenció i Lluita contra el Frau i la Corrupció de la Comunitat Valenciana en el tràmit d'audiència i informació pública de l'Avantprojecte de Llei d'Enjudiciament Criminal</w:t>
        </w:r>
      </w:hyperlink>
      <w:r w:rsidRPr="00347773">
        <w:rPr>
          <w:rFonts w:ascii="Arial" w:hAnsi="Arial"/>
          <w:sz w:val="21"/>
          <w:szCs w:val="21"/>
        </w:rPr>
        <w:t>.</w:t>
      </w:r>
    </w:p>
    <w:p w14:paraId="233FA1D3" w14:textId="77777777" w:rsidR="00347773" w:rsidRPr="00347773" w:rsidRDefault="00347773" w:rsidP="00347773">
      <w:pPr>
        <w:spacing w:after="240" w:line="276" w:lineRule="auto"/>
        <w:jc w:val="both"/>
        <w:rPr>
          <w:rFonts w:ascii="Arial" w:hAnsi="Arial"/>
          <w:sz w:val="21"/>
          <w:szCs w:val="21"/>
        </w:rPr>
      </w:pPr>
      <w:r w:rsidRPr="00347773">
        <w:rPr>
          <w:rFonts w:ascii="Arial" w:hAnsi="Arial"/>
          <w:sz w:val="21"/>
          <w:szCs w:val="21"/>
        </w:rPr>
        <w:t xml:space="preserve">De les referides al·legacions cal destacar, succintament, els següents punts: </w:t>
      </w:r>
    </w:p>
    <w:p w14:paraId="59515B4C" w14:textId="77777777" w:rsidR="00347773" w:rsidRPr="00347773" w:rsidRDefault="00347773" w:rsidP="000E528C">
      <w:pPr>
        <w:numPr>
          <w:ilvl w:val="0"/>
          <w:numId w:val="57"/>
        </w:numPr>
        <w:spacing w:after="120" w:line="276" w:lineRule="auto"/>
        <w:jc w:val="both"/>
        <w:rPr>
          <w:rFonts w:ascii="Arial" w:hAnsi="Arial"/>
          <w:b/>
          <w:bCs/>
          <w:color w:val="9D2235" w:themeColor="accent1"/>
          <w:sz w:val="21"/>
          <w:szCs w:val="21"/>
        </w:rPr>
      </w:pPr>
      <w:r w:rsidRPr="00347773">
        <w:rPr>
          <w:rFonts w:ascii="Arial" w:hAnsi="Arial"/>
          <w:b/>
          <w:bCs/>
          <w:color w:val="9D2235" w:themeColor="accent1"/>
          <w:sz w:val="21"/>
          <w:szCs w:val="21"/>
        </w:rPr>
        <w:t>La vertebració de la norma processal penal sobre la base d'un enfocament integral i global: la Directiva 2019/1937 i la Convenció de les Nacions Unides contra la Corrupció com a eixos.</w:t>
      </w:r>
    </w:p>
    <w:p w14:paraId="25F4DC51" w14:textId="77777777" w:rsidR="00347773" w:rsidRP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 xml:space="preserve">Conforme a la </w:t>
      </w:r>
      <w:hyperlink r:id="rId300" w:history="1">
        <w:r w:rsidRPr="00347773">
          <w:rPr>
            <w:rStyle w:val="Hipervnculo"/>
            <w:rFonts w:ascii="Arial" w:hAnsi="Arial"/>
            <w:sz w:val="21"/>
            <w:szCs w:val="21"/>
          </w:rPr>
          <w:t>Convenció de les Nacions Unides contra la corrupció</w:t>
        </w:r>
      </w:hyperlink>
      <w:r w:rsidRPr="00347773">
        <w:rPr>
          <w:rFonts w:ascii="Arial" w:hAnsi="Arial"/>
          <w:b/>
          <w:bCs/>
          <w:sz w:val="21"/>
          <w:szCs w:val="21"/>
        </w:rPr>
        <w:t>,</w:t>
      </w:r>
      <w:r w:rsidRPr="00347773">
        <w:rPr>
          <w:rFonts w:ascii="Arial" w:hAnsi="Arial"/>
          <w:sz w:val="21"/>
          <w:szCs w:val="21"/>
        </w:rPr>
        <w:t xml:space="preserve"> ratificada per Espanya en 2006, en l'àmbit processal, es recorda la necessitat d'efectuar una protecció integral als testimonis, perits i víctimes (article 32), de la mateixa manera se subratlla que la Convenció dedica molt singularment tot un article independent a la protecció dels denunciants (article 33) i, finalment, que no pot desconéixer-se la valoració que del penedit es realitza en la mateixa (article 37). </w:t>
      </w:r>
    </w:p>
    <w:p w14:paraId="5D82E89C" w14:textId="77777777" w:rsidR="00347773" w:rsidRP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 xml:space="preserve">Amb aquesta al·legació l’AVAF reclama un enfocament integral contra la corrupció que històricament no ha sigut atés en el nostre ordenament jurídic i tampoc sembla ser abordat en l'Avantprojecte de Llei d'Enjudiciament Criminal. </w:t>
      </w:r>
    </w:p>
    <w:p w14:paraId="046265D2" w14:textId="77777777" w:rsidR="00347773" w:rsidRPr="00347773" w:rsidRDefault="00347773" w:rsidP="000E528C">
      <w:pPr>
        <w:numPr>
          <w:ilvl w:val="0"/>
          <w:numId w:val="57"/>
        </w:numPr>
        <w:spacing w:after="120" w:line="276" w:lineRule="auto"/>
        <w:jc w:val="both"/>
        <w:rPr>
          <w:rFonts w:ascii="Arial" w:hAnsi="Arial"/>
          <w:color w:val="9D2235" w:themeColor="accent1"/>
          <w:sz w:val="21"/>
          <w:szCs w:val="21"/>
        </w:rPr>
      </w:pPr>
      <w:r w:rsidRPr="00347773">
        <w:rPr>
          <w:rFonts w:ascii="Arial" w:hAnsi="Arial"/>
          <w:b/>
          <w:bCs/>
          <w:color w:val="9D2235" w:themeColor="accent1"/>
          <w:sz w:val="21"/>
          <w:szCs w:val="21"/>
        </w:rPr>
        <w:t>La necessària denúncia anònima en la regulació de la Llei d'Enjudiciament Criminal</w:t>
      </w:r>
      <w:r w:rsidRPr="00347773">
        <w:rPr>
          <w:rFonts w:ascii="Arial" w:hAnsi="Arial"/>
          <w:color w:val="9D2235" w:themeColor="accent1"/>
          <w:sz w:val="21"/>
          <w:szCs w:val="21"/>
        </w:rPr>
        <w:t>.</w:t>
      </w:r>
    </w:p>
    <w:p w14:paraId="7AB4C4FE" w14:textId="77777777" w:rsidR="00347773" w:rsidRPr="00347773" w:rsidRDefault="00347773" w:rsidP="000E528C">
      <w:pPr>
        <w:spacing w:after="120" w:line="276" w:lineRule="auto"/>
        <w:ind w:left="709"/>
        <w:jc w:val="both"/>
        <w:rPr>
          <w:rFonts w:ascii="Arial" w:hAnsi="Arial"/>
          <w:b/>
          <w:bCs/>
          <w:sz w:val="21"/>
          <w:szCs w:val="21"/>
          <w:u w:val="single"/>
        </w:rPr>
      </w:pPr>
      <w:r w:rsidRPr="00347773">
        <w:rPr>
          <w:rFonts w:ascii="Arial" w:hAnsi="Arial"/>
          <w:sz w:val="21"/>
          <w:szCs w:val="21"/>
        </w:rPr>
        <w:t xml:space="preserve">Una vegada establida la conformitat al nostre Dret de la denúncia anònima (doctrina pacífica i consolidada del Tribunal Suprem, entre altres, </w:t>
      </w:r>
      <w:hyperlink r:id="rId301" w:history="1">
        <w:r w:rsidRPr="00347773">
          <w:rPr>
            <w:rStyle w:val="Hipervnculo"/>
            <w:rFonts w:ascii="Arial" w:hAnsi="Arial"/>
            <w:sz w:val="21"/>
            <w:szCs w:val="21"/>
          </w:rPr>
          <w:t>Sentència del Tribunal Suprem núm. 676/2019 de 23 de gener de 2020</w:t>
        </w:r>
      </w:hyperlink>
      <w:r w:rsidRPr="00347773">
        <w:rPr>
          <w:rFonts w:ascii="Arial" w:hAnsi="Arial"/>
          <w:sz w:val="21"/>
          <w:szCs w:val="21"/>
          <w:u w:val="single"/>
        </w:rPr>
        <w:t>,</w:t>
      </w:r>
      <w:r w:rsidRPr="00347773">
        <w:rPr>
          <w:rFonts w:ascii="Arial" w:hAnsi="Arial"/>
          <w:sz w:val="21"/>
          <w:szCs w:val="21"/>
        </w:rPr>
        <w:t xml:space="preserve"> i </w:t>
      </w:r>
      <w:hyperlink r:id="rId302" w:history="1">
        <w:r w:rsidRPr="00347773">
          <w:rPr>
            <w:rStyle w:val="Hipervnculo"/>
            <w:rFonts w:ascii="Arial" w:hAnsi="Arial"/>
            <w:sz w:val="21"/>
            <w:szCs w:val="21"/>
          </w:rPr>
          <w:t>Sentència del Tribunal Suprem núm. 35/2020 de 6 de febrer de 2020</w:t>
        </w:r>
      </w:hyperlink>
      <w:r w:rsidRPr="00347773">
        <w:rPr>
          <w:rFonts w:ascii="Arial" w:hAnsi="Arial"/>
          <w:sz w:val="21"/>
          <w:szCs w:val="21"/>
          <w:u w:val="single"/>
        </w:rPr>
        <w:t>)</w:t>
      </w:r>
      <w:r w:rsidRPr="00347773">
        <w:rPr>
          <w:rFonts w:ascii="Arial" w:hAnsi="Arial"/>
          <w:sz w:val="21"/>
          <w:szCs w:val="21"/>
        </w:rPr>
        <w:t xml:space="preserve">, ha de recordar-se que aquesta figura resulta d'una singular utilitat en la lluita contra el frau i la corrupció. És per això que el legislador hauria de preveure un sistema de denúncies anònimes per a aquesta mena d'actuacions fraudulentes i corruptes, màximament quan l'estat actual de la tecnologia ho permet amb facilitat, podent citar-se com a exemple la </w:t>
      </w:r>
      <w:hyperlink r:id="rId303" w:history="1">
        <w:r w:rsidRPr="00347773">
          <w:rPr>
            <w:rStyle w:val="Hipervnculo"/>
            <w:rFonts w:ascii="Arial" w:hAnsi="Arial"/>
            <w:sz w:val="21"/>
            <w:szCs w:val="21"/>
          </w:rPr>
          <w:t>Bústia de Denúncies de l'AVAF.</w:t>
        </w:r>
      </w:hyperlink>
      <w:r w:rsidRPr="00347773">
        <w:rPr>
          <w:rFonts w:ascii="Arial" w:hAnsi="Arial"/>
          <w:b/>
          <w:bCs/>
          <w:sz w:val="21"/>
          <w:szCs w:val="21"/>
          <w:u w:val="single"/>
        </w:rPr>
        <w:t xml:space="preserve"> </w:t>
      </w:r>
    </w:p>
    <w:p w14:paraId="19ADCE12" w14:textId="75A0A59B" w:rsid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D'acord amb l'experiència d'aquesta Agència, la denúncia anònima és la millor eina de lluita contra la corrupció en el sector públic.</w:t>
      </w:r>
    </w:p>
    <w:p w14:paraId="66504BDF" w14:textId="77777777" w:rsidR="00347773" w:rsidRPr="00347773" w:rsidRDefault="00347773" w:rsidP="000E528C">
      <w:pPr>
        <w:numPr>
          <w:ilvl w:val="0"/>
          <w:numId w:val="57"/>
        </w:numPr>
        <w:spacing w:after="120" w:line="276" w:lineRule="auto"/>
        <w:jc w:val="both"/>
        <w:rPr>
          <w:rFonts w:ascii="Arial" w:hAnsi="Arial"/>
          <w:b/>
          <w:bCs/>
          <w:color w:val="9D2235" w:themeColor="accent1"/>
          <w:sz w:val="21"/>
          <w:szCs w:val="21"/>
        </w:rPr>
      </w:pPr>
      <w:r w:rsidRPr="00347773">
        <w:rPr>
          <w:rFonts w:ascii="Arial" w:hAnsi="Arial"/>
          <w:b/>
          <w:bCs/>
          <w:color w:val="9D2235" w:themeColor="accent1"/>
          <w:sz w:val="21"/>
          <w:szCs w:val="21"/>
        </w:rPr>
        <w:t>La inclusió del canal extern en l'àmbit de protecció del denunciant de l'apartat 6 de l'article 528 de l'Avantprojecte.</w:t>
      </w:r>
    </w:p>
    <w:p w14:paraId="6E2FC951" w14:textId="77777777" w:rsidR="00347773" w:rsidRP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 xml:space="preserve">La </w:t>
      </w:r>
      <w:hyperlink r:id="rId304" w:history="1">
        <w:r w:rsidRPr="00347773">
          <w:rPr>
            <w:rStyle w:val="Hipervnculo"/>
            <w:rFonts w:ascii="Arial" w:hAnsi="Arial"/>
            <w:sz w:val="21"/>
            <w:szCs w:val="21"/>
          </w:rPr>
          <w:t>Directiva (UE) 2019/1937</w:t>
        </w:r>
      </w:hyperlink>
      <w:r w:rsidRPr="00347773">
        <w:rPr>
          <w:rFonts w:ascii="Arial" w:hAnsi="Arial"/>
          <w:sz w:val="21"/>
          <w:szCs w:val="21"/>
        </w:rPr>
        <w:t xml:space="preserve"> estableix una protecció a la identitat del denunciant de manera global, i no limitada exclusivament a les persones que denuncien a través de canals interns.</w:t>
      </w:r>
    </w:p>
    <w:p w14:paraId="6E5A31B7" w14:textId="77777777" w:rsidR="00347773" w:rsidRP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 xml:space="preserve">És per això que la previsió de l'article 528.6, que limita l'abast de la protecció de l'apartat a la notícia donada per un canal “intern”, haurà d'ampliar-se en tot cas també als canals externs i, en general, a l'àmbit de protecció de la Directiva. </w:t>
      </w:r>
    </w:p>
    <w:p w14:paraId="41ADEDFA" w14:textId="77777777" w:rsidR="00347773" w:rsidRP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La qüestió haurà de ser corregida amb vista a adequar el procés penal a la Directiva de la Unió Europea de protecció als denunciants de corrupció.</w:t>
      </w:r>
    </w:p>
    <w:p w14:paraId="3EB60282" w14:textId="77777777" w:rsidR="00347773" w:rsidRPr="00347773" w:rsidRDefault="00347773" w:rsidP="000E528C">
      <w:pPr>
        <w:numPr>
          <w:ilvl w:val="0"/>
          <w:numId w:val="57"/>
        </w:numPr>
        <w:spacing w:after="120" w:line="276" w:lineRule="auto"/>
        <w:jc w:val="both"/>
        <w:rPr>
          <w:rFonts w:ascii="Arial" w:hAnsi="Arial"/>
          <w:color w:val="9D2235" w:themeColor="accent1"/>
          <w:sz w:val="21"/>
          <w:szCs w:val="21"/>
        </w:rPr>
      </w:pPr>
      <w:r w:rsidRPr="00347773">
        <w:rPr>
          <w:rFonts w:ascii="Arial" w:hAnsi="Arial"/>
          <w:b/>
          <w:bCs/>
          <w:color w:val="9D2235" w:themeColor="accent1"/>
          <w:sz w:val="21"/>
          <w:szCs w:val="21"/>
        </w:rPr>
        <w:t>La regulació del testimoni protegit en l'article 471 de l'Avantprojecte</w:t>
      </w:r>
      <w:r w:rsidRPr="00347773">
        <w:rPr>
          <w:rFonts w:ascii="Arial" w:hAnsi="Arial"/>
          <w:color w:val="9D2235" w:themeColor="accent1"/>
          <w:sz w:val="21"/>
          <w:szCs w:val="21"/>
        </w:rPr>
        <w:t>.</w:t>
      </w:r>
    </w:p>
    <w:p w14:paraId="5E7A1D94" w14:textId="77777777" w:rsidR="00347773" w:rsidRP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 xml:space="preserve">La nova regulació no solament hauria de ser més extensa i ambiciosa que la regulació actual continguda en la </w:t>
      </w:r>
      <w:hyperlink r:id="rId305" w:history="1">
        <w:r w:rsidRPr="00347773">
          <w:rPr>
            <w:rStyle w:val="Hipervnculo"/>
            <w:rFonts w:ascii="Arial" w:hAnsi="Arial"/>
            <w:sz w:val="21"/>
            <w:szCs w:val="21"/>
          </w:rPr>
          <w:t>Llei orgànica 19/1994, de 23 de desembre, de protecció a testimonis i perits en causes criminals.</w:t>
        </w:r>
      </w:hyperlink>
      <w:r w:rsidRPr="00347773">
        <w:rPr>
          <w:rFonts w:ascii="Arial" w:hAnsi="Arial"/>
          <w:sz w:val="21"/>
          <w:szCs w:val="21"/>
        </w:rPr>
        <w:t xml:space="preserve">, sinó que hauria de contemplar expressament la possibilitat d'atorgar la condició de testimoni protegit en aquells supòsits de dependència o vulnerabilitat dins del context laboral, en els quals sovint es produeixen les represàlies, a conseqüència de la denúncia interposada per aquells que seran o estan sent investigats o per persones del seu entorn. </w:t>
      </w:r>
    </w:p>
    <w:p w14:paraId="22177D26" w14:textId="77777777" w:rsidR="00347773" w:rsidRPr="00347773" w:rsidRDefault="00347773" w:rsidP="000E528C">
      <w:pPr>
        <w:numPr>
          <w:ilvl w:val="0"/>
          <w:numId w:val="57"/>
        </w:numPr>
        <w:spacing w:after="120" w:line="276" w:lineRule="auto"/>
        <w:jc w:val="both"/>
        <w:rPr>
          <w:rFonts w:ascii="Arial" w:hAnsi="Arial"/>
          <w:b/>
          <w:bCs/>
          <w:color w:val="9D2235" w:themeColor="accent1"/>
          <w:sz w:val="21"/>
          <w:szCs w:val="21"/>
        </w:rPr>
      </w:pPr>
      <w:r w:rsidRPr="00347773">
        <w:rPr>
          <w:rFonts w:ascii="Arial" w:hAnsi="Arial"/>
          <w:b/>
          <w:bCs/>
          <w:color w:val="9D2235" w:themeColor="accent1"/>
          <w:sz w:val="21"/>
          <w:szCs w:val="21"/>
        </w:rPr>
        <w:t>La regulació de la col·laboració activa amb la justícia. La necessària extensió de la institució del penedit en els delictes de corrupció i frau.</w:t>
      </w:r>
    </w:p>
    <w:p w14:paraId="0A3C54CE" w14:textId="7A863F50" w:rsid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En opinió de l’AVAF no existiria cap dificultat tècnica en la inclusió del penedit en els delictes de corrupció i frau en el nostre ordenament jurídic, encara que no es reunisquen tots els requisits per a la seua consideració com a organització criminal, al qual ho limita l'article 179 de l'Avantprojecte. Amb aquesta precisió, es permetria adequar el nostre ordenament jurídic a la previsió contemplada en la Convenció de les Nacions Unides de lluita contra la Corrupció (article 37 apartats 2 i 3), responent al mateix temps a una demanda social.</w:t>
      </w:r>
    </w:p>
    <w:p w14:paraId="0B37DF5F" w14:textId="77777777" w:rsidR="00CA3AC1" w:rsidRPr="00347773" w:rsidRDefault="00CA3AC1" w:rsidP="000E528C">
      <w:pPr>
        <w:spacing w:after="120" w:line="276" w:lineRule="auto"/>
        <w:ind w:left="709"/>
        <w:jc w:val="both"/>
        <w:rPr>
          <w:rFonts w:ascii="Arial" w:hAnsi="Arial"/>
          <w:sz w:val="21"/>
          <w:szCs w:val="21"/>
        </w:rPr>
      </w:pPr>
    </w:p>
    <w:p w14:paraId="33A12E37" w14:textId="77777777" w:rsidR="00347773" w:rsidRPr="00347773" w:rsidRDefault="00347773" w:rsidP="000E528C">
      <w:pPr>
        <w:numPr>
          <w:ilvl w:val="0"/>
          <w:numId w:val="57"/>
        </w:numPr>
        <w:spacing w:after="120" w:line="276" w:lineRule="auto"/>
        <w:jc w:val="both"/>
        <w:rPr>
          <w:rFonts w:ascii="Arial" w:hAnsi="Arial"/>
          <w:color w:val="9D2235" w:themeColor="accent1"/>
          <w:sz w:val="21"/>
          <w:szCs w:val="21"/>
        </w:rPr>
      </w:pPr>
      <w:r w:rsidRPr="00347773">
        <w:rPr>
          <w:rFonts w:ascii="Arial" w:hAnsi="Arial"/>
          <w:b/>
          <w:bCs/>
          <w:color w:val="9D2235" w:themeColor="accent1"/>
          <w:sz w:val="21"/>
          <w:szCs w:val="21"/>
        </w:rPr>
        <w:t>L'Estatut de Protecció de l’Alertador de Corrupció. De l'ocultació de les dades de la persona denunciant/testimoni</w:t>
      </w:r>
      <w:r w:rsidRPr="00347773">
        <w:rPr>
          <w:rFonts w:ascii="Arial" w:hAnsi="Arial"/>
          <w:color w:val="9D2235" w:themeColor="accent1"/>
          <w:sz w:val="21"/>
          <w:szCs w:val="21"/>
        </w:rPr>
        <w:t>.</w:t>
      </w:r>
    </w:p>
    <w:p w14:paraId="6BAC1B03" w14:textId="77777777" w:rsidR="00347773" w:rsidRPr="00347773" w:rsidRDefault="00347773" w:rsidP="000E528C">
      <w:pPr>
        <w:spacing w:after="120" w:line="276" w:lineRule="auto"/>
        <w:ind w:left="709"/>
        <w:jc w:val="both"/>
        <w:rPr>
          <w:rFonts w:ascii="Arial" w:hAnsi="Arial"/>
          <w:sz w:val="21"/>
          <w:szCs w:val="21"/>
        </w:rPr>
      </w:pPr>
      <w:r w:rsidRPr="00347773">
        <w:rPr>
          <w:rFonts w:ascii="Arial" w:hAnsi="Arial"/>
          <w:sz w:val="21"/>
          <w:szCs w:val="21"/>
        </w:rPr>
        <w:t xml:space="preserve">Aquest Estatut hauria de comprendre, a més de totes les mesures de protecció que s'atorguen a la víctima aplicades amb les corresponents particularitats, l'automàtica ocultació de les dades de la persona denunciant o testimoni quan el procés verse sobre presumptes fets o conductes relacionats amb la corrupció o el frau. La confidencialitat i protecció de la identitat haurà d'extremar-se especialment en la fase d'instrucció penal. </w:t>
      </w:r>
    </w:p>
    <w:p w14:paraId="2CEF0B10" w14:textId="77777777" w:rsidR="00347773" w:rsidRPr="00347773" w:rsidRDefault="00347773" w:rsidP="000E528C">
      <w:pPr>
        <w:spacing w:after="240" w:line="276" w:lineRule="auto"/>
        <w:ind w:left="709"/>
        <w:jc w:val="both"/>
        <w:rPr>
          <w:rFonts w:ascii="Arial" w:hAnsi="Arial"/>
          <w:sz w:val="21"/>
          <w:szCs w:val="21"/>
        </w:rPr>
      </w:pPr>
      <w:r w:rsidRPr="00347773">
        <w:rPr>
          <w:rFonts w:ascii="Arial" w:hAnsi="Arial"/>
          <w:sz w:val="21"/>
          <w:szCs w:val="21"/>
        </w:rPr>
        <w:t xml:space="preserve">La protecció de la persona denunciant a través d'aquest Estatut haurà de preveure una tutela integral, a la qual es refereix amb detall l'esmentada </w:t>
      </w:r>
      <w:hyperlink r:id="rId306" w:history="1">
        <w:r w:rsidRPr="00347773">
          <w:rPr>
            <w:rStyle w:val="Hipervnculo"/>
            <w:rFonts w:ascii="Arial" w:hAnsi="Arial"/>
            <w:sz w:val="21"/>
            <w:szCs w:val="21"/>
          </w:rPr>
          <w:t>Directiva (UE) 2019/1037</w:t>
        </w:r>
      </w:hyperlink>
      <w:r w:rsidRPr="00347773">
        <w:rPr>
          <w:rFonts w:ascii="Arial" w:hAnsi="Arial"/>
          <w:sz w:val="21"/>
          <w:szCs w:val="21"/>
        </w:rPr>
        <w:t>, articulant-se com una mesura de persecució criminal que permeta afavorir que treballadors, empreses i ciutadans en general s'involucren en major mesura en la lluita contra la corrupció i el frau, en benefici de l'interés general i amb garanties en cas de fer-lo d'activació de sistemes públics de protecció. Això permetrà que l'ordenament jurídic es dote de més i millors instruments per a la real i efectiva persecució d'aquesta mena d'il·lícits penals que mereixen el màxim retret social del qual l'Estat ha de fer-se eco.</w:t>
      </w:r>
    </w:p>
    <w:p w14:paraId="015B2C4B" w14:textId="49D8D792" w:rsidR="000E528C" w:rsidRPr="000E528C" w:rsidRDefault="000E528C" w:rsidP="000E528C">
      <w:pPr>
        <w:pStyle w:val="Prrafodelista"/>
        <w:keepNext/>
        <w:numPr>
          <w:ilvl w:val="3"/>
          <w:numId w:val="16"/>
        </w:numPr>
        <w:suppressAutoHyphens/>
        <w:spacing w:before="360" w:after="240" w:line="276" w:lineRule="auto"/>
        <w:ind w:left="1134" w:hanging="1134"/>
        <w:contextualSpacing w:val="0"/>
        <w:jc w:val="both"/>
        <w:outlineLvl w:val="3"/>
        <w:rPr>
          <w:rFonts w:ascii="Arial" w:eastAsia="Times New Roman" w:hAnsi="Arial" w:cs="Arial"/>
          <w:b/>
          <w:color w:val="9D2235"/>
          <w:sz w:val="24"/>
          <w:szCs w:val="24"/>
        </w:rPr>
      </w:pPr>
      <w:r w:rsidRPr="000E528C">
        <w:rPr>
          <w:rFonts w:ascii="Arial" w:eastAsia="Times New Roman" w:hAnsi="Arial" w:cs="Arial"/>
          <w:b/>
          <w:color w:val="9D2235"/>
          <w:sz w:val="24"/>
          <w:szCs w:val="24"/>
        </w:rPr>
        <w:t>Àmbit autonòmic</w:t>
      </w:r>
    </w:p>
    <w:p w14:paraId="339AD1BF"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Disposa l'article 1 de la Llei 11/2016, de 28 de novembre, de la Generalitat, de l'Agència de Prevenció i Lluita contra el Frau i la Corrupció de la Comunitat Valenciana, que la mateixa es crea per a previndre i erradicar el frau i la corrupció de les institucions públiques valencianes i per a l'impuls de la integritat i l'ètica pública, així com el foment d'una cultura de bones pràctiques i de rebuig del frau i la corrupció en el disseny, execució i avaluació de polítiques públiques i en la gestió de recursos públics.</w:t>
      </w:r>
    </w:p>
    <w:p w14:paraId="5D024E54"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Entre les seues funcions i fins, conforme a l'article 4.f) d'aquesta Llei, es troba l'assessorament i la formulació de propostes i recomanacions a les Corts, al Consell de la Generalitat i a les entitats incloses en l'àmbit d'actuació en matèria d'integritat, ètica pública i prevenció i lluita contra la corrupció.</w:t>
      </w:r>
    </w:p>
    <w:p w14:paraId="2865AB53"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Com en exercicis anteriors, durant 2021, l’AVAF ha presentat aportacions a projectes normatius autonòmics amb la finalitat de millorar el seu contingut i adaptar-lo al marc jurídic en matèria de prevenció i lluita contra la corrupció, així com adequar-lo, especialment, al contingut de la </w:t>
      </w:r>
      <w:hyperlink r:id="rId307" w:history="1">
        <w:r w:rsidRPr="000E528C">
          <w:rPr>
            <w:rStyle w:val="Hipervnculo"/>
            <w:rFonts w:ascii="Arial" w:hAnsi="Arial"/>
            <w:sz w:val="21"/>
            <w:szCs w:val="21"/>
          </w:rPr>
          <w:t>Directiva (UE) 2019/1937</w:t>
        </w:r>
      </w:hyperlink>
      <w:r w:rsidRPr="000E528C">
        <w:rPr>
          <w:rFonts w:ascii="Arial" w:hAnsi="Arial"/>
          <w:sz w:val="21"/>
          <w:szCs w:val="21"/>
        </w:rPr>
        <w:t>.</w:t>
      </w:r>
    </w:p>
    <w:p w14:paraId="3EEC07E6" w14:textId="47CD38C7" w:rsidR="000E528C" w:rsidRPr="000E528C" w:rsidRDefault="000E528C" w:rsidP="000E528C">
      <w:pPr>
        <w:pStyle w:val="Prrafodelista"/>
        <w:keepNext/>
        <w:numPr>
          <w:ilvl w:val="4"/>
          <w:numId w:val="16"/>
        </w:numPr>
        <w:suppressAutoHyphens/>
        <w:spacing w:before="360" w:after="240" w:line="276" w:lineRule="auto"/>
        <w:ind w:left="1276" w:hanging="1254"/>
        <w:jc w:val="both"/>
        <w:outlineLvl w:val="4"/>
        <w:rPr>
          <w:rFonts w:ascii="Arial" w:eastAsia="Times New Roman" w:hAnsi="Arial" w:cs="Arial"/>
          <w:b/>
          <w:color w:val="9D2235"/>
          <w:sz w:val="23"/>
          <w:szCs w:val="23"/>
        </w:rPr>
      </w:pPr>
      <w:r w:rsidRPr="000E528C">
        <w:rPr>
          <w:rFonts w:ascii="Arial" w:eastAsia="Times New Roman" w:hAnsi="Arial" w:cs="Arial"/>
          <w:b/>
          <w:color w:val="9D2235"/>
          <w:sz w:val="23"/>
          <w:szCs w:val="23"/>
        </w:rPr>
        <w:t>Llei 4/2021, de 16 d'abril, de la Generalitat, de la Funció Pública Valenciana</w:t>
      </w:r>
    </w:p>
    <w:p w14:paraId="638F77B2" w14:textId="36FD9306"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En la nostra </w:t>
      </w:r>
      <w:hyperlink r:id="rId308" w:history="1">
        <w:r w:rsidRPr="000E528C">
          <w:rPr>
            <w:rStyle w:val="Hipervnculo"/>
            <w:rFonts w:ascii="Arial" w:hAnsi="Arial"/>
            <w:sz w:val="21"/>
            <w:szCs w:val="21"/>
          </w:rPr>
          <w:t>Memòria d'</w:t>
        </w:r>
        <w:r w:rsidR="00A0176E">
          <w:rPr>
            <w:rStyle w:val="Hipervnculo"/>
            <w:rFonts w:ascii="Arial" w:hAnsi="Arial"/>
            <w:sz w:val="21"/>
            <w:szCs w:val="21"/>
          </w:rPr>
          <w:t>a</w:t>
        </w:r>
        <w:r w:rsidRPr="000E528C">
          <w:rPr>
            <w:rStyle w:val="Hipervnculo"/>
            <w:rFonts w:ascii="Arial" w:hAnsi="Arial"/>
            <w:sz w:val="21"/>
            <w:szCs w:val="21"/>
          </w:rPr>
          <w:t>ctivitat 2020</w:t>
        </w:r>
      </w:hyperlink>
      <w:r w:rsidRPr="000E528C">
        <w:rPr>
          <w:rFonts w:ascii="Arial" w:hAnsi="Arial"/>
          <w:sz w:val="21"/>
          <w:szCs w:val="21"/>
        </w:rPr>
        <w:t xml:space="preserve">, l'apartat </w:t>
      </w:r>
      <w:r w:rsidRPr="000E528C">
        <w:rPr>
          <w:rFonts w:ascii="Arial" w:hAnsi="Arial"/>
          <w:i/>
          <w:iCs/>
          <w:sz w:val="21"/>
          <w:szCs w:val="21"/>
        </w:rPr>
        <w:t xml:space="preserve">4.3. Actualització del Projecte de Llei de la Generalitat, de la Funció Pública Valenciana. Proposta d'esmenes, </w:t>
      </w:r>
      <w:r w:rsidRPr="000E528C">
        <w:rPr>
          <w:rFonts w:ascii="Arial" w:hAnsi="Arial"/>
          <w:sz w:val="21"/>
          <w:szCs w:val="21"/>
        </w:rPr>
        <w:t>recollia de manera exhaustiva les esmenes realitzades per aquesta Agència i traslladades a tots els Grups Parlamentaris de les Corts Valencianes.</w:t>
      </w:r>
    </w:p>
    <w:p w14:paraId="3A6E4F08"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Una vegada publicada la </w:t>
      </w:r>
      <w:hyperlink r:id="rId309" w:history="1">
        <w:r w:rsidRPr="000E528C">
          <w:rPr>
            <w:rStyle w:val="Hipervnculo"/>
            <w:rFonts w:ascii="Arial" w:hAnsi="Arial"/>
            <w:sz w:val="21"/>
            <w:szCs w:val="21"/>
          </w:rPr>
          <w:t>Llei 4/2021, de 16 d'abril, de la Generalitat, de la Funció Pública Valenciana</w:t>
        </w:r>
      </w:hyperlink>
      <w:r w:rsidRPr="000E528C">
        <w:rPr>
          <w:rFonts w:ascii="Arial" w:hAnsi="Arial"/>
          <w:sz w:val="21"/>
          <w:szCs w:val="21"/>
        </w:rPr>
        <w:t xml:space="preserve"> (DOGV núm. 9065, de 20.04.2021), el seu text no va incorporar cap de les esmenes realitzades per l’AVAF, malgrat que alguns grups parlamentaris sí que es van fer ressò d'aquestes.</w:t>
      </w:r>
    </w:p>
    <w:p w14:paraId="4362FD71" w14:textId="3D52A718"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Posteriorment, amb motiu de la tramitació de l'Avantprojecte de Llei de Mesures Fiscals, de Gestió Administrativa i Financera, i d'Organització de la Generalitat, en la qual s'incloïa, entre altres, la modificació de la Llei 4/2021, de 16 d'abril, de Funció Pública Valenciana, l'Agència va traslladar, amb data 20 de juliol de 2021, </w:t>
      </w:r>
      <w:hyperlink r:id="rId310" w:history="1">
        <w:r w:rsidRPr="000E528C">
          <w:rPr>
            <w:rStyle w:val="Hipervnculo"/>
            <w:rFonts w:ascii="Arial" w:hAnsi="Arial"/>
            <w:sz w:val="21"/>
            <w:szCs w:val="21"/>
          </w:rPr>
          <w:t>nova Proposta de modificació de la Llei 4/2021, de 16 d'abril, de la Generalitat, de la Funció Pública Valenciana</w:t>
        </w:r>
      </w:hyperlink>
      <w:r w:rsidRPr="000E528C">
        <w:rPr>
          <w:rFonts w:ascii="Arial" w:hAnsi="Arial"/>
          <w:sz w:val="21"/>
          <w:szCs w:val="21"/>
        </w:rPr>
        <w:t xml:space="preserve">. </w:t>
      </w:r>
    </w:p>
    <w:p w14:paraId="2348F173"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L'objectiu del trasllat de nou d'aquesta proposta no era altre que la millora de l'articulat de la referida Llei</w:t>
      </w:r>
      <w:r w:rsidRPr="000E528C">
        <w:rPr>
          <w:rFonts w:ascii="Arial" w:hAnsi="Arial"/>
          <w:i/>
          <w:iCs/>
          <w:sz w:val="21"/>
          <w:szCs w:val="21"/>
        </w:rPr>
        <w:t xml:space="preserve">, </w:t>
      </w:r>
      <w:r w:rsidRPr="000E528C">
        <w:rPr>
          <w:rFonts w:ascii="Arial" w:hAnsi="Arial"/>
          <w:sz w:val="21"/>
          <w:szCs w:val="21"/>
        </w:rPr>
        <w:t>dins de l'engranatge normatiu europeu i estatal, i també autonòmic, col·laborant en l'obtenció d'una millor i més avançada Llei de funció pública valenciana, la qual cosa  lamentablement tampoc ha sigut atés en aquesta ocasió.</w:t>
      </w:r>
    </w:p>
    <w:p w14:paraId="43AE1AC5"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De forma resumida, cal destacar que la proposta d'esmenes contenia millores en la regulació del dret a la protecció del personal empleat públic que denuncia irregularitats, que no pot quedar al marge dels mandats internacionals (</w:t>
      </w:r>
      <w:hyperlink r:id="rId311" w:history="1">
        <w:r w:rsidRPr="000E528C">
          <w:rPr>
            <w:rStyle w:val="Hipervnculo"/>
            <w:rFonts w:ascii="Arial" w:hAnsi="Arial"/>
            <w:sz w:val="21"/>
            <w:szCs w:val="21"/>
          </w:rPr>
          <w:t>Convenció de Nacions Unides contra la Corrupció</w:t>
        </w:r>
      </w:hyperlink>
      <w:r w:rsidRPr="000E528C">
        <w:rPr>
          <w:rFonts w:ascii="Arial" w:hAnsi="Arial"/>
          <w:b/>
          <w:bCs/>
          <w:sz w:val="21"/>
          <w:szCs w:val="21"/>
        </w:rPr>
        <w:t>)</w:t>
      </w:r>
      <w:r w:rsidRPr="000E528C">
        <w:rPr>
          <w:rFonts w:ascii="Arial" w:hAnsi="Arial"/>
          <w:sz w:val="21"/>
          <w:szCs w:val="21"/>
        </w:rPr>
        <w:t xml:space="preserve"> i europeus </w:t>
      </w:r>
      <w:r w:rsidRPr="000E528C">
        <w:rPr>
          <w:rFonts w:ascii="Arial" w:hAnsi="Arial"/>
          <w:b/>
          <w:bCs/>
          <w:sz w:val="21"/>
          <w:szCs w:val="21"/>
        </w:rPr>
        <w:t>(</w:t>
      </w:r>
      <w:hyperlink r:id="rId312" w:history="1">
        <w:r w:rsidRPr="000E528C">
          <w:rPr>
            <w:rStyle w:val="Hipervnculo"/>
            <w:rFonts w:ascii="Arial" w:hAnsi="Arial"/>
            <w:sz w:val="21"/>
            <w:szCs w:val="21"/>
          </w:rPr>
          <w:t>Directiva UE 2019/1937</w:t>
        </w:r>
      </w:hyperlink>
      <w:r w:rsidRPr="000E528C">
        <w:rPr>
          <w:rFonts w:ascii="Arial" w:hAnsi="Arial"/>
          <w:b/>
          <w:bCs/>
          <w:sz w:val="21"/>
          <w:szCs w:val="21"/>
        </w:rPr>
        <w:t>)</w:t>
      </w:r>
      <w:r w:rsidRPr="000E528C">
        <w:rPr>
          <w:rFonts w:ascii="Arial" w:hAnsi="Arial"/>
          <w:sz w:val="21"/>
          <w:szCs w:val="21"/>
        </w:rPr>
        <w:t>, així com de la legislació autonòmica ja vigent (</w:t>
      </w:r>
      <w:hyperlink r:id="rId313" w:history="1">
        <w:r w:rsidRPr="000E528C">
          <w:rPr>
            <w:rStyle w:val="Hipervnculo"/>
            <w:rFonts w:ascii="Arial" w:hAnsi="Arial"/>
            <w:sz w:val="21"/>
            <w:szCs w:val="21"/>
          </w:rPr>
          <w:t>Llei 11/2016</w:t>
        </w:r>
      </w:hyperlink>
      <w:hyperlink r:id="rId314" w:history="1">
        <w:r w:rsidRPr="000E528C">
          <w:rPr>
            <w:rStyle w:val="Hipervnculo"/>
            <w:rFonts w:ascii="Arial" w:hAnsi="Arial"/>
            <w:sz w:val="21"/>
            <w:szCs w:val="21"/>
          </w:rPr>
          <w:t>, Llei 22/2018</w:t>
        </w:r>
      </w:hyperlink>
      <w:r w:rsidRPr="000E528C">
        <w:rPr>
          <w:rFonts w:ascii="Arial" w:hAnsi="Arial"/>
          <w:b/>
          <w:bCs/>
          <w:sz w:val="21"/>
          <w:szCs w:val="21"/>
        </w:rPr>
        <w:t xml:space="preserve">, </w:t>
      </w:r>
      <w:hyperlink r:id="rId315" w:history="1">
        <w:r w:rsidRPr="000E528C">
          <w:rPr>
            <w:rStyle w:val="Hipervnculo"/>
            <w:rFonts w:ascii="Arial" w:hAnsi="Arial"/>
            <w:sz w:val="21"/>
            <w:szCs w:val="21"/>
          </w:rPr>
          <w:t>Resolució de 4 de febrer de 2020 que aprova el Pla d'actuació de la Inspecció General de Serveis 2020-2021</w:t>
        </w:r>
      </w:hyperlink>
      <w:r w:rsidRPr="000E528C">
        <w:rPr>
          <w:rFonts w:ascii="Arial" w:hAnsi="Arial"/>
          <w:sz w:val="21"/>
          <w:szCs w:val="21"/>
        </w:rPr>
        <w:t xml:space="preserve">) i la jurisprudència del Tribunal Suprem, entre altres </w:t>
      </w:r>
      <w:hyperlink r:id="rId316" w:history="1">
        <w:r w:rsidRPr="000E528C">
          <w:rPr>
            <w:rStyle w:val="Hipervnculo"/>
            <w:rFonts w:ascii="Arial" w:hAnsi="Arial"/>
            <w:sz w:val="21"/>
            <w:szCs w:val="21"/>
          </w:rPr>
          <w:t>Sentències núm. 35/2020 de 6 de febrer de 2020</w:t>
        </w:r>
      </w:hyperlink>
      <w:r w:rsidRPr="000E528C">
        <w:rPr>
          <w:rFonts w:ascii="Arial" w:hAnsi="Arial"/>
          <w:b/>
          <w:bCs/>
          <w:sz w:val="21"/>
          <w:szCs w:val="21"/>
        </w:rPr>
        <w:t xml:space="preserve"> </w:t>
      </w:r>
      <w:r w:rsidRPr="000E528C">
        <w:rPr>
          <w:rFonts w:ascii="Arial" w:hAnsi="Arial"/>
          <w:sz w:val="21"/>
          <w:szCs w:val="21"/>
        </w:rPr>
        <w:t>i</w:t>
      </w:r>
      <w:r w:rsidRPr="000E528C">
        <w:rPr>
          <w:rFonts w:ascii="Arial" w:hAnsi="Arial"/>
          <w:b/>
          <w:bCs/>
          <w:sz w:val="21"/>
          <w:szCs w:val="21"/>
        </w:rPr>
        <w:t xml:space="preserve"> </w:t>
      </w:r>
      <w:hyperlink r:id="rId317" w:history="1">
        <w:r w:rsidRPr="000E528C">
          <w:rPr>
            <w:rStyle w:val="Hipervnculo"/>
            <w:rFonts w:ascii="Arial" w:hAnsi="Arial"/>
            <w:sz w:val="21"/>
            <w:szCs w:val="21"/>
          </w:rPr>
          <w:t>núm. 54/2019 de 6 de febrer de 2019</w:t>
        </w:r>
      </w:hyperlink>
      <w:r w:rsidRPr="000E528C">
        <w:rPr>
          <w:rFonts w:ascii="Arial" w:hAnsi="Arial"/>
          <w:b/>
          <w:bCs/>
          <w:sz w:val="21"/>
          <w:szCs w:val="21"/>
        </w:rPr>
        <w:t>,</w:t>
      </w:r>
      <w:r w:rsidRPr="000E528C">
        <w:rPr>
          <w:rFonts w:ascii="Arial" w:hAnsi="Arial"/>
          <w:sz w:val="21"/>
          <w:szCs w:val="21"/>
        </w:rPr>
        <w:t xml:space="preserve"> totes dues de la Sala penal del Tribunal Suprem.</w:t>
      </w:r>
    </w:p>
    <w:p w14:paraId="53F5B1AE"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A més, es proposava la necessària homogeneïtzació, amb la normativa estatal continguda en l'Estatut Bàsic de l'Empleat públic, de diverses qüestions relacionades amb els drets i deures del personal funcionari i els principis ètics i de conducta que han de regir les seues actuacions, així com la cita expressa, per motius de seguretat jurídica i transparència, en la Llei de funció pública valenciana, de la legislació aplicable al personal funcionari que presta serveis en l’AVAF, com a entitat vinculada a les Corts Valencianes, i d'acord amb les seues funcions i fins i a les previsions contemplades en la seua llei especial reguladora (Llei 11/2016), igual que el text de la Llei de la funció pública valenciana ja realitza el propi respecte de la resta d'institucions externes al Consell o dependents de les Corts.</w:t>
      </w:r>
    </w:p>
    <w:p w14:paraId="32C32CCD" w14:textId="22AC7A04" w:rsidR="000E528C" w:rsidRPr="000E528C" w:rsidRDefault="000E528C" w:rsidP="000E528C">
      <w:pPr>
        <w:pStyle w:val="Prrafodelista"/>
        <w:keepNext/>
        <w:numPr>
          <w:ilvl w:val="4"/>
          <w:numId w:val="16"/>
        </w:numPr>
        <w:suppressAutoHyphens/>
        <w:spacing w:before="360" w:after="240" w:line="276" w:lineRule="auto"/>
        <w:ind w:left="1276" w:hanging="1254"/>
        <w:jc w:val="both"/>
        <w:outlineLvl w:val="4"/>
        <w:rPr>
          <w:rFonts w:ascii="Arial" w:eastAsia="Times New Roman" w:hAnsi="Arial" w:cs="Arial"/>
          <w:b/>
          <w:color w:val="9D2235"/>
          <w:sz w:val="23"/>
          <w:szCs w:val="23"/>
        </w:rPr>
      </w:pPr>
      <w:bookmarkStart w:id="101" w:name="_Hlk95214870"/>
      <w:r w:rsidRPr="000E528C">
        <w:rPr>
          <w:rFonts w:ascii="Arial" w:eastAsia="Times New Roman" w:hAnsi="Arial" w:cs="Arial"/>
          <w:b/>
          <w:color w:val="9D2235"/>
          <w:sz w:val="23"/>
          <w:szCs w:val="23"/>
        </w:rPr>
        <w:t>Proposició de Llei de transparència i bon govern de la Comunitat Valenciana</w:t>
      </w:r>
    </w:p>
    <w:bookmarkEnd w:id="101"/>
    <w:p w14:paraId="38E7DE03"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En data 21 d'octubre de 2020, es va publicar en el </w:t>
      </w:r>
      <w:r w:rsidRPr="000E528C">
        <w:rPr>
          <w:rFonts w:ascii="Arial" w:hAnsi="Arial"/>
          <w:i/>
          <w:iCs/>
          <w:sz w:val="21"/>
          <w:szCs w:val="21"/>
        </w:rPr>
        <w:t>Butlletí Oficial de les Corts Valencianes</w:t>
      </w:r>
      <w:r w:rsidRPr="000E528C">
        <w:rPr>
          <w:rFonts w:ascii="Arial" w:hAnsi="Arial"/>
          <w:sz w:val="21"/>
          <w:szCs w:val="21"/>
        </w:rPr>
        <w:t xml:space="preserve"> núm. 110 la </w:t>
      </w:r>
      <w:hyperlink r:id="rId318" w:history="1">
        <w:r w:rsidRPr="000E528C">
          <w:rPr>
            <w:rStyle w:val="Hipervnculo"/>
            <w:rFonts w:ascii="Arial" w:hAnsi="Arial"/>
            <w:sz w:val="21"/>
            <w:szCs w:val="21"/>
          </w:rPr>
          <w:t>Proposició de Llei de transparència i bon govern de la Comunitat Valenciana</w:t>
        </w:r>
      </w:hyperlink>
      <w:r w:rsidRPr="000E528C">
        <w:rPr>
          <w:rFonts w:ascii="Arial" w:hAnsi="Arial"/>
          <w:sz w:val="21"/>
          <w:szCs w:val="21"/>
        </w:rPr>
        <w:t>.</w:t>
      </w:r>
    </w:p>
    <w:p w14:paraId="63D0CDB4"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Amb data 4 de març de 2021, es va presentar per l’AVAF escrit d'esmenes a la </w:t>
      </w:r>
      <w:hyperlink r:id="rId319" w:history="1">
        <w:r w:rsidRPr="000E528C">
          <w:rPr>
            <w:rStyle w:val="Hipervnculo"/>
            <w:rFonts w:ascii="Arial" w:hAnsi="Arial"/>
            <w:sz w:val="21"/>
            <w:szCs w:val="21"/>
          </w:rPr>
          <w:t>Proposició de Llei de transparència i bon govern de la Comunitat Valenciana</w:t>
        </w:r>
      </w:hyperlink>
      <w:r w:rsidRPr="000E528C">
        <w:rPr>
          <w:rFonts w:ascii="Arial" w:hAnsi="Arial"/>
          <w:sz w:val="21"/>
          <w:szCs w:val="21"/>
        </w:rPr>
        <w:t>,</w:t>
      </w:r>
      <w:r w:rsidRPr="000E528C">
        <w:rPr>
          <w:rFonts w:ascii="Arial" w:hAnsi="Arial"/>
          <w:b/>
          <w:bCs/>
          <w:sz w:val="21"/>
          <w:szCs w:val="21"/>
        </w:rPr>
        <w:t xml:space="preserve"> </w:t>
      </w:r>
      <w:r w:rsidRPr="000E528C">
        <w:rPr>
          <w:rFonts w:ascii="Arial" w:hAnsi="Arial"/>
          <w:sz w:val="21"/>
          <w:szCs w:val="21"/>
        </w:rPr>
        <w:t xml:space="preserve">les quals , des de l'àmbit de la funció de prevenció i la construcció d'un sistema d'integritat pública, són objecte d'anàlisi i desenvolupament en l'apartat 5.2.4. </w:t>
      </w:r>
      <w:r w:rsidRPr="000E528C">
        <w:rPr>
          <w:rFonts w:ascii="Arial" w:hAnsi="Arial"/>
          <w:i/>
          <w:iCs/>
          <w:sz w:val="21"/>
          <w:szCs w:val="21"/>
        </w:rPr>
        <w:t>Propostes sobre disposicions normatives</w:t>
      </w:r>
      <w:r w:rsidRPr="000E528C">
        <w:rPr>
          <w:rFonts w:ascii="Arial" w:hAnsi="Arial"/>
          <w:sz w:val="21"/>
          <w:szCs w:val="21"/>
        </w:rPr>
        <w:t xml:space="preserve"> d'aquesta Memòria d’activitats.</w:t>
      </w:r>
    </w:p>
    <w:p w14:paraId="601A0C33" w14:textId="3A3949F8"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Així mateix, amb data 12 de maig de 2021, en ocasió de la compareixença del director de l'Agència davant la Comissió de Coordinació, Organització i Règim de les Institucions de la Generalitat, es van traslladar al secretari i al president d'aquesta Comissió </w:t>
      </w:r>
      <w:hyperlink r:id="rId320" w:history="1">
        <w:r w:rsidRPr="000E528C">
          <w:rPr>
            <w:rStyle w:val="Hipervnculo"/>
            <w:rFonts w:ascii="Arial" w:hAnsi="Arial"/>
            <w:sz w:val="21"/>
            <w:szCs w:val="21"/>
          </w:rPr>
          <w:t>dues esmenes addicionals a la Proposició de la Llei de Transparència i Bon Govern de la Comunitat Valenciana</w:t>
        </w:r>
      </w:hyperlink>
      <w:r w:rsidRPr="000E528C">
        <w:rPr>
          <w:rFonts w:ascii="Arial" w:hAnsi="Arial"/>
          <w:sz w:val="21"/>
          <w:szCs w:val="21"/>
        </w:rPr>
        <w:t>, sobre modificació del seu article 3.1.c) per a l'aplicació a l’AVAF, de manera coherent donada la seua naturalesa d'òrgan de control extern i adscripció a les Corts, del mateix sistema de transparència que les Corts i les institucions, i sobre l'addició d'un paràgraf en la disposició addicional primera, respecte a l'aplicació preferent en matèria d'accés a la informació de la llei especial, reguladora de l’AVAF.</w:t>
      </w:r>
    </w:p>
    <w:p w14:paraId="23B7A9F9"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Les citades esmenes addicionals també van ser remeses per aquesta Agència, amb data 31 de maig de 2021, a la Conselleria de Participació, Transparència, Cooperació i Qualitat Democràtica. </w:t>
      </w:r>
    </w:p>
    <w:p w14:paraId="242ADA76" w14:textId="40281F2F"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Finalment, amb data 1 d'octubre de 2021, el </w:t>
      </w:r>
      <w:r w:rsidRPr="000E528C">
        <w:rPr>
          <w:rFonts w:ascii="Arial" w:hAnsi="Arial"/>
          <w:i/>
          <w:iCs/>
          <w:sz w:val="21"/>
          <w:szCs w:val="21"/>
        </w:rPr>
        <w:t xml:space="preserve">Butlletí Oficial de </w:t>
      </w:r>
      <w:r w:rsidR="00470225">
        <w:rPr>
          <w:rFonts w:ascii="Arial" w:hAnsi="Arial"/>
          <w:i/>
          <w:iCs/>
          <w:sz w:val="21"/>
          <w:szCs w:val="21"/>
        </w:rPr>
        <w:t xml:space="preserve">les </w:t>
      </w:r>
      <w:r w:rsidRPr="000E528C">
        <w:rPr>
          <w:rFonts w:ascii="Arial" w:hAnsi="Arial"/>
          <w:i/>
          <w:iCs/>
          <w:sz w:val="21"/>
          <w:szCs w:val="21"/>
        </w:rPr>
        <w:t>Corts Valencianes</w:t>
      </w:r>
      <w:r w:rsidRPr="000E528C">
        <w:rPr>
          <w:rFonts w:ascii="Arial" w:hAnsi="Arial"/>
          <w:sz w:val="21"/>
          <w:szCs w:val="21"/>
        </w:rPr>
        <w:t xml:space="preserve"> núm. 192, va publicar l'ordenació d'esmenes </w:t>
      </w:r>
      <w:hyperlink r:id="rId321" w:anchor="boc/iniciativa/clau/190566387639602" w:history="1">
        <w:r w:rsidRPr="000E528C">
          <w:rPr>
            <w:rStyle w:val="Hipervnculo"/>
            <w:rFonts w:ascii="Arial" w:hAnsi="Arial"/>
            <w:sz w:val="21"/>
            <w:szCs w:val="21"/>
          </w:rPr>
          <w:t>a la Proposició de llei de transparència i bon govern de la Comunitat Valenciana</w:t>
        </w:r>
      </w:hyperlink>
      <w:r w:rsidRPr="000E528C">
        <w:rPr>
          <w:rFonts w:ascii="Arial" w:hAnsi="Arial"/>
          <w:sz w:val="21"/>
          <w:szCs w:val="21"/>
        </w:rPr>
        <w:t xml:space="preserve">, en la qual cap grup parlamentari recull aquestes propostes de l’AVAF. </w:t>
      </w:r>
    </w:p>
    <w:p w14:paraId="66B842ED" w14:textId="29307B99" w:rsidR="000E528C" w:rsidRPr="000E528C" w:rsidRDefault="000E528C" w:rsidP="000E528C">
      <w:pPr>
        <w:pStyle w:val="Prrafodelista"/>
        <w:keepNext/>
        <w:numPr>
          <w:ilvl w:val="4"/>
          <w:numId w:val="16"/>
        </w:numPr>
        <w:suppressAutoHyphens/>
        <w:spacing w:before="360" w:after="240" w:line="276" w:lineRule="auto"/>
        <w:ind w:left="1276" w:hanging="1254"/>
        <w:jc w:val="both"/>
        <w:outlineLvl w:val="4"/>
        <w:rPr>
          <w:rFonts w:ascii="Arial" w:eastAsia="Times New Roman" w:hAnsi="Arial" w:cs="Arial"/>
          <w:b/>
          <w:color w:val="9D2235"/>
          <w:sz w:val="23"/>
          <w:szCs w:val="23"/>
        </w:rPr>
      </w:pPr>
      <w:r w:rsidRPr="000E528C">
        <w:rPr>
          <w:rFonts w:ascii="Arial" w:eastAsia="Times New Roman" w:hAnsi="Arial" w:cs="Arial"/>
          <w:b/>
          <w:color w:val="9D2235"/>
          <w:sz w:val="23"/>
          <w:szCs w:val="23"/>
        </w:rPr>
        <w:t>Estatut del Denunciant del Principat d'Astúries</w:t>
      </w:r>
    </w:p>
    <w:p w14:paraId="1C8B0396"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Des del Principat d'Astúries és aperturó consulta pública prèvia</w:t>
      </w:r>
      <w:r w:rsidRPr="000E528C">
        <w:rPr>
          <w:rFonts w:ascii="Arial" w:hAnsi="Arial"/>
          <w:b/>
          <w:bCs/>
          <w:sz w:val="21"/>
          <w:szCs w:val="21"/>
        </w:rPr>
        <w:t xml:space="preserve">, </w:t>
      </w:r>
      <w:r w:rsidRPr="000E528C">
        <w:rPr>
          <w:rFonts w:ascii="Arial" w:hAnsi="Arial"/>
          <w:sz w:val="21"/>
          <w:szCs w:val="21"/>
        </w:rPr>
        <w:t xml:space="preserve">abans de l'elaboració de l'esborrany de la norma, a fi de recaptar l'opinió de la ciutadania i de les organitzacions més representatives i potencialment afectades pel futur </w:t>
      </w:r>
      <w:hyperlink r:id="rId322" w:history="1">
        <w:r w:rsidRPr="000E528C">
          <w:rPr>
            <w:rStyle w:val="Hipervnculo"/>
            <w:rFonts w:ascii="Arial" w:hAnsi="Arial"/>
            <w:sz w:val="21"/>
            <w:szCs w:val="21"/>
          </w:rPr>
          <w:t>Estatut del Denunciant del Principat d'Astúries</w:t>
        </w:r>
      </w:hyperlink>
      <w:r w:rsidRPr="000E528C">
        <w:rPr>
          <w:rFonts w:ascii="Arial" w:hAnsi="Arial"/>
          <w:sz w:val="21"/>
          <w:szCs w:val="21"/>
        </w:rPr>
        <w:t xml:space="preserve">. Amb això es pretén fixar el marc jurídic on es desenvoluparan els drets del denunciant, definits i regulats en el Títol IV la </w:t>
      </w:r>
      <w:hyperlink r:id="rId323" w:history="1">
        <w:r w:rsidRPr="000E528C">
          <w:rPr>
            <w:rStyle w:val="Hipervnculo"/>
            <w:rFonts w:ascii="Arial" w:hAnsi="Arial"/>
            <w:sz w:val="21"/>
            <w:szCs w:val="21"/>
          </w:rPr>
          <w:t>Llei del Principat d'Astúries 8/2018, de 14 de setembre, de Transparència, Bon Govern i Grups d'Interés</w:t>
        </w:r>
      </w:hyperlink>
      <w:r w:rsidRPr="000E528C">
        <w:rPr>
          <w:rFonts w:ascii="Arial" w:hAnsi="Arial"/>
          <w:sz w:val="21"/>
          <w:szCs w:val="21"/>
        </w:rPr>
        <w:t>, així com la presentació de denúncies davant el Canal de Lluita contra la Corrupció i la seua tramitació.</w:t>
      </w:r>
    </w:p>
    <w:p w14:paraId="7A76280F" w14:textId="77777777" w:rsidR="000E528C" w:rsidRPr="000E528C" w:rsidRDefault="000E528C" w:rsidP="000E528C">
      <w:pPr>
        <w:spacing w:after="240" w:line="276" w:lineRule="auto"/>
        <w:jc w:val="both"/>
        <w:rPr>
          <w:rFonts w:ascii="Arial" w:hAnsi="Arial"/>
          <w:sz w:val="21"/>
          <w:szCs w:val="21"/>
        </w:rPr>
      </w:pPr>
      <w:r w:rsidRPr="000E528C">
        <w:rPr>
          <w:rFonts w:ascii="Arial" w:hAnsi="Arial"/>
          <w:sz w:val="21"/>
          <w:szCs w:val="21"/>
        </w:rPr>
        <w:t xml:space="preserve">En el referit tràmit i amb data 4 de juny de 2021, l'Agència va presentar </w:t>
      </w:r>
      <w:hyperlink r:id="rId324" w:history="1">
        <w:r w:rsidRPr="000E528C">
          <w:rPr>
            <w:rStyle w:val="Hipervnculo"/>
            <w:rFonts w:ascii="Arial" w:hAnsi="Arial"/>
            <w:sz w:val="21"/>
            <w:szCs w:val="21"/>
          </w:rPr>
          <w:t>escrit d'al·legacions en el tràmit d'audiència i informació pública del projecte de Decret pel qual es regula l'Estatut del Denunciant del Principat d'Astúries</w:t>
        </w:r>
      </w:hyperlink>
      <w:r w:rsidRPr="000E528C">
        <w:rPr>
          <w:rFonts w:ascii="Arial" w:hAnsi="Arial"/>
          <w:sz w:val="21"/>
          <w:szCs w:val="21"/>
        </w:rPr>
        <w:t>,</w:t>
      </w:r>
      <w:r w:rsidRPr="000E528C">
        <w:rPr>
          <w:rFonts w:ascii="Arial" w:hAnsi="Arial"/>
          <w:b/>
          <w:bCs/>
          <w:sz w:val="21"/>
          <w:szCs w:val="21"/>
        </w:rPr>
        <w:t xml:space="preserve"> </w:t>
      </w:r>
      <w:r w:rsidRPr="000E528C">
        <w:rPr>
          <w:rFonts w:ascii="Arial" w:hAnsi="Arial"/>
          <w:sz w:val="21"/>
          <w:szCs w:val="21"/>
        </w:rPr>
        <w:t>realitzant aportacions amb base a la nostra experiència de l’AVAF en línia de possibilitar, des de l'àmbit autonòmic les exigències contemplats en la Convenció de Nacions Unides contra la corrupció, així com de recomanar, des del nostre punt de vista, quin ha de ser la naturalesa jurídica de l'autoritat competent a aquest efecte, el seu àmbit competencial i funcional, la delimitació de l'àmbit material i la protecció de les persones denunciants. Igualment, l'Agència ofereix la seua disposició per a establir una relació de col·laboració i lleial cooperació amb la seua homòloga asturiana. A més, durant el mes de març de 2021 s'ha celebrat una reunió a aquest efecte.</w:t>
      </w:r>
    </w:p>
    <w:p w14:paraId="34584C62" w14:textId="7AE05EA3" w:rsidR="004D452C" w:rsidRPr="004D452C" w:rsidRDefault="004D452C" w:rsidP="004D452C">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02" w:name="_Toc99110703"/>
      <w:r w:rsidRPr="004D452C">
        <w:rPr>
          <w:rFonts w:ascii="Arial" w:eastAsia="Times New Roman" w:hAnsi="Arial" w:cs="Arial"/>
          <w:b/>
          <w:color w:val="9D2235"/>
          <w:sz w:val="28"/>
          <w:szCs w:val="28"/>
        </w:rPr>
        <w:t>Altres referències destacades</w:t>
      </w:r>
      <w:bookmarkEnd w:id="102"/>
    </w:p>
    <w:p w14:paraId="3A772C42" w14:textId="1C28C1E5" w:rsidR="004D452C" w:rsidRPr="004D452C" w:rsidRDefault="004D452C" w:rsidP="004D452C">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4D452C">
        <w:rPr>
          <w:rFonts w:ascii="Arial" w:eastAsia="Times New Roman" w:hAnsi="Arial" w:cs="Arial"/>
          <w:b/>
          <w:color w:val="9D2235"/>
          <w:sz w:val="24"/>
          <w:szCs w:val="24"/>
        </w:rPr>
        <w:t>Declaració de la Conferència dels Estats Part de la Convenció de les Nacions Unides contra la corrupció</w:t>
      </w:r>
    </w:p>
    <w:p w14:paraId="0B5C03A6"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En el si de la Conferència dels Estats Part de la Convenció de les Nacions Unides contra la corrupció, entre els quals es troba Espanya, celebrada en el període extraordinari de sessions del 2 al 4 de juny de 2021, es va aprovar per l'Assemblea General de l'ONU la </w:t>
      </w:r>
      <w:hyperlink r:id="rId325" w:history="1">
        <w:r w:rsidRPr="004D452C">
          <w:rPr>
            <w:rStyle w:val="Hipervnculo"/>
            <w:rFonts w:ascii="Arial" w:hAnsi="Arial"/>
            <w:sz w:val="21"/>
            <w:szCs w:val="21"/>
          </w:rPr>
          <w:t>Declaració política</w:t>
        </w:r>
      </w:hyperlink>
      <w:r w:rsidRPr="004D452C">
        <w:rPr>
          <w:rFonts w:ascii="Arial" w:hAnsi="Arial"/>
          <w:sz w:val="21"/>
          <w:szCs w:val="21"/>
        </w:rPr>
        <w:t xml:space="preserve"> titulada </w:t>
      </w:r>
      <w:r w:rsidRPr="004D452C">
        <w:rPr>
          <w:rFonts w:ascii="Arial" w:hAnsi="Arial"/>
          <w:b/>
          <w:bCs/>
          <w:sz w:val="21"/>
          <w:szCs w:val="21"/>
        </w:rPr>
        <w:t>“El nostre compromís comú amb abordar de manera efectiva els desafiaments i implementar mesures per a previndre i combatre corrupció i enfortir la cooperació internacional”.</w:t>
      </w:r>
    </w:p>
    <w:p w14:paraId="2576E588"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La citada </w:t>
      </w:r>
      <w:hyperlink r:id="rId326" w:history="1">
        <w:r w:rsidRPr="004D452C">
          <w:rPr>
            <w:rStyle w:val="Hipervnculo"/>
            <w:rFonts w:ascii="Arial" w:hAnsi="Arial"/>
            <w:sz w:val="21"/>
            <w:szCs w:val="21"/>
          </w:rPr>
          <w:t>Declaració política</w:t>
        </w:r>
      </w:hyperlink>
      <w:r w:rsidRPr="004D452C">
        <w:rPr>
          <w:rFonts w:ascii="Arial" w:hAnsi="Arial"/>
          <w:sz w:val="21"/>
          <w:szCs w:val="21"/>
        </w:rPr>
        <w:t xml:space="preserve"> posa en relleu la seua preocupació per la “gravetat dels problemes i amenaces que planteja la corrupció per a l'estabilitat i seguretat de les societats, en menyscabar les institucions i els valors de la democràcia, els nostres valors ètics i la justícia, i posar en perill el desenvolupament sostenible i l'estat de dret”. </w:t>
      </w:r>
    </w:p>
    <w:p w14:paraId="6FF6CE55"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Entre les mesures preventives de la Declaració, es destaca: </w:t>
      </w:r>
    </w:p>
    <w:p w14:paraId="16DF582C" w14:textId="77777777" w:rsidR="004D452C" w:rsidRPr="00CA3AC1" w:rsidRDefault="004D452C" w:rsidP="004D452C">
      <w:pPr>
        <w:spacing w:after="240" w:line="276" w:lineRule="auto"/>
        <w:ind w:left="709"/>
        <w:jc w:val="both"/>
        <w:rPr>
          <w:rFonts w:ascii="Arial" w:hAnsi="Arial"/>
          <w:b/>
          <w:bCs/>
          <w:sz w:val="20"/>
          <w:szCs w:val="20"/>
        </w:rPr>
      </w:pPr>
      <w:r w:rsidRPr="00CA3AC1">
        <w:rPr>
          <w:rFonts w:ascii="Arial" w:hAnsi="Arial"/>
          <w:b/>
          <w:bCs/>
          <w:sz w:val="20"/>
          <w:szCs w:val="20"/>
        </w:rPr>
        <w:t>“4. Reconeixem el paper dels òrgans de lluita contra la corrupció i les autoritats especialitzades en l'aplicació i el seguiment d'aquestes polítiques i pràctiques, i els concedirem la independència necessària, de conformitat amb els principis fonamentals del dret intern, perquè puguen exercir les seues funcions de manera eficaç i lliure de tota influència indeguda i amb integritat i responsabilitat. Ens comprometem a reforçar la seua capacitat i a proporcionar-los els recursos necessaris perquè exercisquen les seues funcions de supervisió i a facilitar una estreta cooperació entre ells en tots els nivells.”</w:t>
      </w:r>
    </w:p>
    <w:p w14:paraId="4FAAF6A2"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Com en les Memòries d’activitat d'anys anteriors, hem de posar l'accent que els advertiments, tant d'organismes internacionals com europeus, en matèria de lluita contra la prevenció, no s'estan complint, generant llacunes interpretatives que es veurien, en bona part solucionades, si Espanya implantara una estratègia específica de prevenció i lluita contra la corrupció i una adaptació del seu ordenament jurídic als mandats internacionals previstos en la </w:t>
      </w:r>
      <w:hyperlink r:id="rId327" w:history="1">
        <w:r w:rsidRPr="004D452C">
          <w:rPr>
            <w:rStyle w:val="Hipervnculo"/>
            <w:rFonts w:ascii="Arial" w:hAnsi="Arial"/>
            <w:sz w:val="21"/>
            <w:szCs w:val="21"/>
          </w:rPr>
          <w:t>Convenció de Nacions Unides contra la corrupció</w:t>
        </w:r>
      </w:hyperlink>
      <w:r w:rsidRPr="004D452C">
        <w:rPr>
          <w:rFonts w:ascii="Arial" w:hAnsi="Arial"/>
          <w:sz w:val="21"/>
          <w:szCs w:val="21"/>
        </w:rPr>
        <w:t>, vigent a Espanya des de la seua ratificació en 2006.</w:t>
      </w:r>
    </w:p>
    <w:p w14:paraId="7F4AD41F" w14:textId="4E49E72C" w:rsidR="004D452C" w:rsidRPr="004D452C" w:rsidRDefault="004D452C" w:rsidP="004D452C">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4D452C">
        <w:rPr>
          <w:rFonts w:ascii="Arial" w:eastAsia="Times New Roman" w:hAnsi="Arial" w:cs="Arial"/>
          <w:b/>
          <w:color w:val="9D2235"/>
          <w:sz w:val="24"/>
          <w:szCs w:val="24"/>
        </w:rPr>
        <w:t>Informe Comissió Europa sobre l'Estat Dret als països de la Unió</w:t>
      </w:r>
    </w:p>
    <w:p w14:paraId="6A2A98E8"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La pròpia Comissió Europea defineix el seu </w:t>
      </w:r>
      <w:r w:rsidRPr="004D452C">
        <w:rPr>
          <w:rFonts w:ascii="Arial" w:hAnsi="Arial"/>
          <w:i/>
          <w:iCs/>
          <w:sz w:val="21"/>
          <w:szCs w:val="21"/>
        </w:rPr>
        <w:t>Informe sobre l'Estat de Dret</w:t>
      </w:r>
      <w:r w:rsidRPr="004D452C">
        <w:rPr>
          <w:rFonts w:ascii="Arial" w:hAnsi="Arial"/>
          <w:sz w:val="21"/>
          <w:szCs w:val="21"/>
        </w:rPr>
        <w:t xml:space="preserve"> com “un instrument preventiu que forma part del mecanisme anual europeu de l'Estat de Dret”, la missió del quals, en paraules de la Comissió, “analitzar els principals fets positius i negatius esdevinguts en tota la Unió Europea, així com la situació específica de l'Estat de Dret en cada Estat membre. L'objectiu de l'Informe és fomentar l'Estat de Dret i evitar que sorgisquen problemes, que s'agreugen els existents i buscar solucions, a més d'assenyalar les millors pràctiques. No es tracta d'un mecanisme sancionador.”</w:t>
      </w:r>
    </w:p>
    <w:p w14:paraId="47BC7869"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Aquest Informe abasta quatre àmbits clau per a l'Estat de Dret, a saber, els sistemes judicials, el marc de la lluita contra la corrupció, la llibertat i el pluralisme dels mitjans de comunicació, i altres qüestions institucionals en relació amb els controls i equilibris, prestant a més especial atenció a les repercussions de la pandèmia de COVID-19. </w:t>
      </w:r>
    </w:p>
    <w:p w14:paraId="30A700D8"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Per a la seua elaboració es realitza una </w:t>
      </w:r>
      <w:hyperlink r:id="rId328" w:history="1">
        <w:r w:rsidRPr="004D452C">
          <w:rPr>
            <w:rStyle w:val="Hipervnculo"/>
            <w:rFonts w:ascii="Arial" w:hAnsi="Arial"/>
            <w:sz w:val="21"/>
            <w:szCs w:val="21"/>
          </w:rPr>
          <w:t>consulta dirigida a les parts interessades</w:t>
        </w:r>
      </w:hyperlink>
      <w:r w:rsidRPr="004D452C">
        <w:rPr>
          <w:rFonts w:ascii="Arial" w:hAnsi="Arial"/>
          <w:sz w:val="21"/>
          <w:szCs w:val="21"/>
        </w:rPr>
        <w:t xml:space="preserve">, a fi de recaptar en cada país valuoses contribucions, tant generals com específiques o sectorials, procedents d'agències de la Unió Europea, de xarxes i agents europeus i internacionals, d'organitzacions de la societat civil europees i nacionals i d'associacions professionals. Entre elles, l'Agència </w:t>
      </w:r>
      <w:hyperlink r:id="rId329" w:history="1">
        <w:r w:rsidRPr="004D452C">
          <w:rPr>
            <w:rStyle w:val="Hipervnculo"/>
            <w:rFonts w:ascii="Arial" w:hAnsi="Arial"/>
            <w:sz w:val="21"/>
            <w:szCs w:val="21"/>
          </w:rPr>
          <w:t>dels Drets Fonamentals</w:t>
        </w:r>
      </w:hyperlink>
      <w:r w:rsidRPr="004D452C">
        <w:rPr>
          <w:rFonts w:ascii="Arial" w:hAnsi="Arial"/>
          <w:sz w:val="21"/>
          <w:szCs w:val="21"/>
        </w:rPr>
        <w:t xml:space="preserve">, la </w:t>
      </w:r>
      <w:hyperlink r:id="rId330" w:history="1">
        <w:r w:rsidRPr="004D452C">
          <w:rPr>
            <w:rStyle w:val="Hipervnculo"/>
            <w:rFonts w:ascii="Arial" w:hAnsi="Arial"/>
            <w:sz w:val="21"/>
            <w:szCs w:val="21"/>
          </w:rPr>
          <w:t>Xarxa Europea de Consells del Poder Judicial</w:t>
        </w:r>
      </w:hyperlink>
      <w:r w:rsidRPr="004D452C">
        <w:rPr>
          <w:rFonts w:ascii="Arial" w:hAnsi="Arial"/>
          <w:sz w:val="21"/>
          <w:szCs w:val="21"/>
        </w:rPr>
        <w:t xml:space="preserve">, </w:t>
      </w:r>
      <w:hyperlink r:id="rId331" w:history="1">
        <w:r w:rsidRPr="004D452C">
          <w:rPr>
            <w:rStyle w:val="Hipervnculo"/>
            <w:rFonts w:ascii="Arial" w:hAnsi="Arial"/>
            <w:sz w:val="21"/>
            <w:szCs w:val="21"/>
          </w:rPr>
          <w:t>la Xarxa Europea d'Institucions Nacionals de Drets Humans</w:t>
        </w:r>
      </w:hyperlink>
      <w:r w:rsidRPr="004D452C">
        <w:rPr>
          <w:rFonts w:ascii="Arial" w:hAnsi="Arial"/>
          <w:sz w:val="21"/>
          <w:szCs w:val="21"/>
        </w:rPr>
        <w:t xml:space="preserve"> (ENNHRI), el </w:t>
      </w:r>
      <w:hyperlink r:id="rId332" w:history="1">
        <w:r w:rsidRPr="004D452C">
          <w:rPr>
            <w:rStyle w:val="Hipervnculo"/>
            <w:rFonts w:ascii="Arial" w:hAnsi="Arial"/>
            <w:sz w:val="21"/>
            <w:szCs w:val="21"/>
          </w:rPr>
          <w:t>Consell de l'Advocacia Europea</w:t>
        </w:r>
      </w:hyperlink>
      <w:r w:rsidRPr="004D452C">
        <w:rPr>
          <w:rFonts w:ascii="Arial" w:hAnsi="Arial"/>
          <w:sz w:val="21"/>
          <w:szCs w:val="21"/>
        </w:rPr>
        <w:t xml:space="preserve"> (CCBE), el </w:t>
      </w:r>
      <w:hyperlink r:id="rId333" w:history="1">
        <w:r w:rsidRPr="004D452C">
          <w:rPr>
            <w:rStyle w:val="Hipervnculo"/>
            <w:rFonts w:ascii="Arial" w:hAnsi="Arial"/>
            <w:sz w:val="21"/>
            <w:szCs w:val="21"/>
          </w:rPr>
          <w:t>Consell d'Europa</w:t>
        </w:r>
      </w:hyperlink>
      <w:r w:rsidRPr="004D452C">
        <w:rPr>
          <w:rFonts w:ascii="Arial" w:hAnsi="Arial"/>
          <w:sz w:val="21"/>
          <w:szCs w:val="21"/>
        </w:rPr>
        <w:t xml:space="preserve"> i l'Organització </w:t>
      </w:r>
      <w:hyperlink r:id="rId334" w:history="1">
        <w:r w:rsidRPr="004D452C">
          <w:rPr>
            <w:rStyle w:val="Hipervnculo"/>
            <w:rFonts w:ascii="Arial" w:hAnsi="Arial"/>
            <w:sz w:val="21"/>
            <w:szCs w:val="21"/>
          </w:rPr>
          <w:t>de Cooperació i Desenvolupament Econòmics</w:t>
        </w:r>
      </w:hyperlink>
      <w:r w:rsidRPr="004D452C">
        <w:rPr>
          <w:rFonts w:ascii="Arial" w:hAnsi="Arial"/>
          <w:sz w:val="21"/>
          <w:szCs w:val="21"/>
        </w:rPr>
        <w:t xml:space="preserve"> (OCDE), així com organitzacions nacionals i internacionals de la societat civil i de periodistes, i també altres institucions reconegudes, com l'Oficina </w:t>
      </w:r>
      <w:hyperlink r:id="rId335" w:history="1">
        <w:r w:rsidRPr="004D452C">
          <w:rPr>
            <w:rStyle w:val="Hipervnculo"/>
            <w:rFonts w:ascii="Arial" w:hAnsi="Arial"/>
            <w:sz w:val="21"/>
            <w:szCs w:val="21"/>
          </w:rPr>
          <w:t>Europea de Lluita contra la Corrupció</w:t>
        </w:r>
      </w:hyperlink>
      <w:r w:rsidRPr="004D452C">
        <w:rPr>
          <w:rFonts w:ascii="Arial" w:hAnsi="Arial"/>
          <w:sz w:val="21"/>
          <w:szCs w:val="21"/>
        </w:rPr>
        <w:t xml:space="preserve"> (OLAF), la </w:t>
      </w:r>
      <w:hyperlink r:id="rId336" w:history="1">
        <w:r w:rsidRPr="004D452C">
          <w:rPr>
            <w:rStyle w:val="Hipervnculo"/>
            <w:rFonts w:ascii="Arial" w:hAnsi="Arial"/>
            <w:sz w:val="21"/>
            <w:szCs w:val="21"/>
          </w:rPr>
          <w:t>Fiscalia Europea</w:t>
        </w:r>
      </w:hyperlink>
      <w:r w:rsidRPr="004D452C">
        <w:rPr>
          <w:rFonts w:ascii="Arial" w:hAnsi="Arial"/>
          <w:sz w:val="21"/>
          <w:szCs w:val="21"/>
        </w:rPr>
        <w:t xml:space="preserve"> o el </w:t>
      </w:r>
      <w:hyperlink r:id="rId337" w:history="1">
        <w:r w:rsidRPr="004D452C">
          <w:rPr>
            <w:rStyle w:val="Hipervnculo"/>
            <w:rFonts w:ascii="Arial" w:hAnsi="Arial"/>
            <w:sz w:val="21"/>
            <w:szCs w:val="21"/>
          </w:rPr>
          <w:t>Tribunal de Comptes Europeu</w:t>
        </w:r>
      </w:hyperlink>
      <w:r w:rsidRPr="004D452C">
        <w:rPr>
          <w:rFonts w:ascii="Arial" w:hAnsi="Arial"/>
          <w:sz w:val="21"/>
          <w:szCs w:val="21"/>
        </w:rPr>
        <w:t xml:space="preserve"> a l'hora de constatar i valorar les vulneracions dels principis de l'Estat de Dret que afecten a interessos financers de la Unió.</w:t>
      </w:r>
    </w:p>
    <w:p w14:paraId="2BD5E453" w14:textId="3535C3DE"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Respecte a l'exercici 2021, la Comissió Europea va publicar, el 27 de juliol, l'Informe </w:t>
      </w:r>
      <w:hyperlink r:id="rId338" w:history="1">
        <w:r w:rsidRPr="004D452C">
          <w:rPr>
            <w:rStyle w:val="Hipervnculo"/>
            <w:rFonts w:ascii="Arial" w:hAnsi="Arial"/>
            <w:sz w:val="21"/>
            <w:szCs w:val="21"/>
          </w:rPr>
          <w:t>sobre l'Estat de Dret en 2021, Capítol sobre la situació de l'Estat de Dret a Espanya</w:t>
        </w:r>
      </w:hyperlink>
      <w:r w:rsidRPr="004D452C">
        <w:rPr>
          <w:rFonts w:ascii="Arial" w:hAnsi="Arial"/>
          <w:sz w:val="21"/>
          <w:szCs w:val="21"/>
          <w:u w:val="single"/>
        </w:rPr>
        <w:t xml:space="preserve">, </w:t>
      </w:r>
      <w:r w:rsidRPr="004D452C">
        <w:rPr>
          <w:rFonts w:ascii="Arial" w:hAnsi="Arial"/>
          <w:sz w:val="21"/>
          <w:szCs w:val="21"/>
        </w:rPr>
        <w:t xml:space="preserve">en l'apartat del qual </w:t>
      </w:r>
      <w:r w:rsidRPr="004D452C">
        <w:rPr>
          <w:rFonts w:ascii="Arial" w:hAnsi="Arial"/>
          <w:i/>
          <w:iCs/>
          <w:sz w:val="21"/>
          <w:szCs w:val="21"/>
        </w:rPr>
        <w:t>II. Marc de Lluita contra la Corrupció</w:t>
      </w:r>
      <w:r w:rsidRPr="004D452C">
        <w:rPr>
          <w:rFonts w:ascii="Arial" w:hAnsi="Arial"/>
          <w:sz w:val="21"/>
          <w:szCs w:val="21"/>
        </w:rPr>
        <w:t>, esmenta expressament l’AVAF entre els organismes per a combatre el frau en el territori autonòmic, al costat de la resta d'agències i oficines, autonòmiques i locals que conformen la REDOAF, i el Servei Nacional de Coordinació Antifrau en l'àmbit estatal.</w:t>
      </w:r>
    </w:p>
    <w:p w14:paraId="23A1F4C7"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En primer lloc, destaca l'informe que a Espanya la lluita contra la corrupció </w:t>
      </w:r>
      <w:r w:rsidRPr="004D452C">
        <w:rPr>
          <w:rFonts w:ascii="Arial" w:hAnsi="Arial"/>
          <w:b/>
          <w:bCs/>
          <w:sz w:val="21"/>
          <w:szCs w:val="21"/>
        </w:rPr>
        <w:t>manca d'una estratègia anticorrupció específica</w:t>
      </w:r>
      <w:r w:rsidRPr="004D452C">
        <w:rPr>
          <w:rFonts w:ascii="Arial" w:hAnsi="Arial"/>
          <w:sz w:val="21"/>
          <w:szCs w:val="21"/>
        </w:rPr>
        <w:t xml:space="preserve">. Textualment indica que “a pesar que  el Govern ha desenvolupat diverses iniciatives per a reforçar la integritat del sector públic, </w:t>
      </w:r>
      <w:r w:rsidRPr="004D452C">
        <w:rPr>
          <w:rFonts w:ascii="Arial" w:hAnsi="Arial"/>
          <w:b/>
          <w:bCs/>
          <w:sz w:val="21"/>
          <w:szCs w:val="21"/>
        </w:rPr>
        <w:t>no existeix una política integral per a previndre i reduir la corrupció</w:t>
      </w:r>
      <w:r w:rsidRPr="004D452C">
        <w:rPr>
          <w:rFonts w:ascii="Arial" w:hAnsi="Arial"/>
          <w:sz w:val="21"/>
          <w:szCs w:val="21"/>
        </w:rPr>
        <w:t xml:space="preserve">. El Greco ha recomanat el desenvolupament d'una estratègia que reunisca les mesures preventives per a detectar i reduir les àrees de risc dels conflictes d'interessos, juntament amb un pla d'acció per a la seua aplicació”. </w:t>
      </w:r>
    </w:p>
    <w:p w14:paraId="61877226" w14:textId="77777777" w:rsidR="004D452C" w:rsidRPr="004D452C" w:rsidRDefault="004D452C" w:rsidP="004D452C">
      <w:pPr>
        <w:spacing w:after="240" w:line="276" w:lineRule="auto"/>
        <w:jc w:val="both"/>
        <w:rPr>
          <w:rFonts w:ascii="Arial" w:hAnsi="Arial"/>
          <w:sz w:val="21"/>
          <w:szCs w:val="21"/>
        </w:rPr>
      </w:pPr>
      <w:r w:rsidRPr="004D452C">
        <w:rPr>
          <w:rFonts w:ascii="Arial" w:hAnsi="Arial"/>
          <w:sz w:val="21"/>
          <w:szCs w:val="21"/>
        </w:rPr>
        <w:t xml:space="preserve">Quant al marc de protecció de les persones denunciants, l'informe reitera el ja exposat l'any anterior, destacant que </w:t>
      </w:r>
      <w:r w:rsidRPr="004D452C">
        <w:rPr>
          <w:rFonts w:ascii="Arial" w:hAnsi="Arial"/>
          <w:b/>
          <w:bCs/>
          <w:sz w:val="21"/>
          <w:szCs w:val="21"/>
        </w:rPr>
        <w:t xml:space="preserve">Espanya manca d'un marc de protecció de les persones denunciants adequat, malgrat que existeix una certa regulació sectorial. </w:t>
      </w:r>
      <w:r w:rsidRPr="004D452C">
        <w:rPr>
          <w:rFonts w:ascii="Arial" w:hAnsi="Arial"/>
          <w:sz w:val="21"/>
          <w:szCs w:val="21"/>
        </w:rPr>
        <w:t>Puntualitza que a juny</w:t>
      </w:r>
      <w:r w:rsidRPr="004D452C">
        <w:rPr>
          <w:rFonts w:ascii="Arial" w:hAnsi="Arial"/>
          <w:b/>
          <w:bCs/>
          <w:sz w:val="21"/>
          <w:szCs w:val="21"/>
        </w:rPr>
        <w:t xml:space="preserve"> </w:t>
      </w:r>
      <w:r w:rsidRPr="004D452C">
        <w:rPr>
          <w:rFonts w:ascii="Arial" w:hAnsi="Arial"/>
          <w:sz w:val="21"/>
          <w:szCs w:val="21"/>
        </w:rPr>
        <w:t xml:space="preserve">de 2020 es va crear un grup de treball en la Comissió General de Codificació per a la transposició de la Directiva (UE) 2019/1937, i que la consulta pública, que va romandre oberta fins al 27 de gener de 2021, va recopilar més de quaranta opinions de la societat civil i de particulars sobre diferents qüestions reglamentàries, que es prendran en consideració per a redactar el projecte de llei. </w:t>
      </w:r>
    </w:p>
    <w:p w14:paraId="0B30DBB7" w14:textId="2A3377CC" w:rsidR="00062EF0" w:rsidRPr="00062EF0" w:rsidRDefault="00062EF0" w:rsidP="00F3528F">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062EF0">
        <w:rPr>
          <w:rFonts w:ascii="Arial" w:eastAsia="Times New Roman" w:hAnsi="Arial" w:cs="Arial"/>
          <w:b/>
          <w:color w:val="9D2235"/>
          <w:sz w:val="24"/>
          <w:szCs w:val="24"/>
        </w:rPr>
        <w:t>Projecte: Una estratègia nacional de lluita contra el frau</w:t>
      </w:r>
    </w:p>
    <w:p w14:paraId="2D91FCDE" w14:textId="77777777" w:rsidR="00062EF0" w:rsidRPr="00062EF0" w:rsidRDefault="00062EF0" w:rsidP="00062EF0">
      <w:pPr>
        <w:spacing w:after="240" w:line="276" w:lineRule="auto"/>
        <w:jc w:val="both"/>
        <w:rPr>
          <w:rFonts w:ascii="Arial" w:hAnsi="Arial"/>
          <w:sz w:val="21"/>
          <w:szCs w:val="21"/>
          <w:u w:val="single"/>
        </w:rPr>
      </w:pPr>
      <w:r w:rsidRPr="00062EF0">
        <w:rPr>
          <w:rFonts w:ascii="Arial" w:hAnsi="Arial"/>
          <w:sz w:val="21"/>
          <w:szCs w:val="21"/>
        </w:rPr>
        <w:t xml:space="preserve">El </w:t>
      </w:r>
      <w:hyperlink r:id="rId339" w:history="1">
        <w:r w:rsidRPr="00062EF0">
          <w:rPr>
            <w:rStyle w:val="Hipervnculo"/>
            <w:rFonts w:ascii="Arial" w:hAnsi="Arial"/>
            <w:sz w:val="21"/>
            <w:szCs w:val="21"/>
          </w:rPr>
          <w:t>Servei de Coordinació de Lluita contra el Frau Nacional (SNAC)</w:t>
        </w:r>
      </w:hyperlink>
      <w:r w:rsidRPr="00062EF0">
        <w:rPr>
          <w:rFonts w:ascii="Arial" w:hAnsi="Arial"/>
          <w:color w:val="000080"/>
          <w:sz w:val="21"/>
          <w:szCs w:val="21"/>
          <w:u w:val="single"/>
        </w:rPr>
        <w:t>, integrat en la Intervenció General de l'Estat</w:t>
      </w:r>
      <w:r w:rsidRPr="00062EF0">
        <w:rPr>
          <w:rFonts w:ascii="Arial" w:hAnsi="Arial"/>
          <w:sz w:val="21"/>
          <w:szCs w:val="21"/>
        </w:rPr>
        <w:t xml:space="preserve">, es troba regulat en la disposició addicional vint-i-cinquena de la </w:t>
      </w:r>
      <w:hyperlink r:id="rId340" w:history="1">
        <w:r w:rsidRPr="00062EF0">
          <w:rPr>
            <w:rStyle w:val="Hipervnculo"/>
            <w:rFonts w:ascii="Arial" w:hAnsi="Arial"/>
            <w:sz w:val="21"/>
            <w:szCs w:val="21"/>
          </w:rPr>
          <w:t>Llei 38/2003, de 17 de novembre, General de Subvencions</w:t>
        </w:r>
      </w:hyperlink>
      <w:r w:rsidRPr="00062EF0">
        <w:rPr>
          <w:rFonts w:ascii="Arial" w:hAnsi="Arial"/>
          <w:sz w:val="21"/>
          <w:szCs w:val="21"/>
          <w:u w:val="single"/>
        </w:rPr>
        <w:t xml:space="preserve">. </w:t>
      </w:r>
    </w:p>
    <w:p w14:paraId="63087139"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 xml:space="preserve">Al mateix es refereix l'article 21.3 del </w:t>
      </w:r>
      <w:hyperlink r:id="rId341" w:history="1">
        <w:r w:rsidRPr="00062EF0">
          <w:rPr>
            <w:rStyle w:val="Hipervnculo"/>
            <w:rFonts w:ascii="Arial" w:hAnsi="Arial"/>
            <w:sz w:val="21"/>
            <w:szCs w:val="21"/>
          </w:rPr>
          <w:t>Reial decret llei 36/2020, de 30 de desembre, pel qual s'aproven mesures urgents per a la modernització de l'Administració Pública i per a l'execució del Pla de Recuperació, Transformació i Resiliència</w:t>
        </w:r>
      </w:hyperlink>
      <w:r w:rsidRPr="00062EF0">
        <w:rPr>
          <w:rFonts w:ascii="Arial" w:hAnsi="Arial"/>
          <w:sz w:val="21"/>
          <w:szCs w:val="21"/>
        </w:rPr>
        <w:t xml:space="preserve">, que disposa literalment: </w:t>
      </w:r>
    </w:p>
    <w:p w14:paraId="6CCC8282" w14:textId="77777777" w:rsidR="00062EF0" w:rsidRPr="00CA3AC1" w:rsidRDefault="00062EF0" w:rsidP="00F3528F">
      <w:pPr>
        <w:spacing w:after="240" w:line="276" w:lineRule="auto"/>
        <w:ind w:left="709"/>
        <w:jc w:val="both"/>
        <w:rPr>
          <w:rFonts w:ascii="Arial" w:hAnsi="Arial"/>
          <w:sz w:val="20"/>
          <w:szCs w:val="20"/>
        </w:rPr>
      </w:pPr>
      <w:r w:rsidRPr="00CA3AC1">
        <w:rPr>
          <w:rFonts w:ascii="Arial" w:hAnsi="Arial"/>
          <w:sz w:val="20"/>
          <w:szCs w:val="20"/>
        </w:rPr>
        <w:t xml:space="preserve">“3. (…) el </w:t>
      </w:r>
      <w:r w:rsidRPr="00CA3AC1">
        <w:rPr>
          <w:rFonts w:ascii="Arial" w:hAnsi="Arial"/>
          <w:b/>
          <w:bCs/>
          <w:sz w:val="20"/>
          <w:szCs w:val="20"/>
        </w:rPr>
        <w:t>Servei Nacional de Coordinació Antifrau</w:t>
      </w:r>
      <w:r w:rsidRPr="00CA3AC1">
        <w:rPr>
          <w:rFonts w:ascii="Arial" w:hAnsi="Arial"/>
          <w:sz w:val="20"/>
          <w:szCs w:val="20"/>
        </w:rPr>
        <w:t>, en l'exercici de les seues funcions per a la protecció dels interessos financers de la Unió Europea enfront del frau, la corrupció o qualsevol altra activitat il·legal, promourà les labors de prevenció, detecció i investigació</w:t>
      </w:r>
      <w:r w:rsidRPr="00CA3AC1">
        <w:rPr>
          <w:rFonts w:ascii="Arial" w:hAnsi="Arial"/>
          <w:sz w:val="20"/>
          <w:szCs w:val="20"/>
          <w:u w:val="single"/>
        </w:rPr>
        <w:t xml:space="preserve"> </w:t>
      </w:r>
      <w:r w:rsidRPr="00CA3AC1">
        <w:rPr>
          <w:rFonts w:ascii="Arial" w:hAnsi="Arial"/>
          <w:sz w:val="20"/>
          <w:szCs w:val="20"/>
        </w:rPr>
        <w:t>del frau que siguen precises, mantenint a aquest efecte les relacions necessàries amb els òrgans de gestió i control”.</w:t>
      </w:r>
    </w:p>
    <w:p w14:paraId="2DF49781"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 xml:space="preserve">Durant aquest exercici 2021, hem assistit a l'aprovació del </w:t>
      </w:r>
      <w:hyperlink r:id="rId342" w:history="1">
        <w:r w:rsidRPr="00062EF0">
          <w:rPr>
            <w:rStyle w:val="Hipervnculo"/>
            <w:rFonts w:ascii="Arial" w:hAnsi="Arial"/>
            <w:sz w:val="21"/>
            <w:szCs w:val="21"/>
          </w:rPr>
          <w:t>Reglament (UE) 2021/241 del Parlament Europeu i del Consell de 12 de febrer de 2021 pel qual s'estableix el Mecanisme de Recuperació i Resiliència</w:t>
        </w:r>
      </w:hyperlink>
      <w:r w:rsidRPr="00062EF0">
        <w:rPr>
          <w:rFonts w:ascii="Arial" w:hAnsi="Arial"/>
          <w:sz w:val="21"/>
          <w:szCs w:val="21"/>
        </w:rPr>
        <w:t xml:space="preserve">, que estableix els objectius del Mecanisme, el seu finançament, les modalitats del finançament de la Unió en el marc del Mecanisme i les normes per a la concessió d'aquest finançament. En concret, el seu article 22 destaca </w:t>
      </w:r>
      <w:r w:rsidRPr="00062EF0">
        <w:rPr>
          <w:rFonts w:ascii="Arial" w:hAnsi="Arial"/>
          <w:b/>
          <w:bCs/>
          <w:sz w:val="21"/>
          <w:szCs w:val="21"/>
        </w:rPr>
        <w:t xml:space="preserve">quatre riscos específics </w:t>
      </w:r>
      <w:r w:rsidRPr="00062EF0">
        <w:rPr>
          <w:rFonts w:ascii="Arial" w:hAnsi="Arial"/>
          <w:sz w:val="21"/>
          <w:szCs w:val="21"/>
        </w:rPr>
        <w:t xml:space="preserve">contra els quals els Estats membres han de prendre les mesures adequades: Frau, Corrupció, Conflictes d'interés i Doble finançament. </w:t>
      </w:r>
    </w:p>
    <w:p w14:paraId="0B2FB2BA"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 xml:space="preserve">Per part seua, de conformitat amb l'article 13.1 del citat Reial decret llei 36/2020, el Consell de Ministres a proposta del Ministeri d'Assumptes Econòmics i Transformació Digital, amb data de 30 d'abril de 2021, va aprovar el </w:t>
      </w:r>
      <w:hyperlink r:id="rId343" w:history="1">
        <w:r w:rsidRPr="00062EF0">
          <w:rPr>
            <w:rStyle w:val="Hipervnculo"/>
            <w:rFonts w:ascii="Arial" w:hAnsi="Arial"/>
            <w:sz w:val="21"/>
            <w:szCs w:val="21"/>
          </w:rPr>
          <w:t>Pla Nacional de Recuperació, Transformació i Resiliència (PNRTR)</w:t>
        </w:r>
      </w:hyperlink>
      <w:r w:rsidRPr="00062EF0">
        <w:rPr>
          <w:rFonts w:ascii="Arial" w:hAnsi="Arial"/>
          <w:sz w:val="21"/>
          <w:szCs w:val="21"/>
        </w:rPr>
        <w:t>, que va ser remés en aquesta mateixa data a la Comissió Europea per a la seua avaluació.</w:t>
      </w:r>
    </w:p>
    <w:p w14:paraId="4A3315C6"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No obstant això l'exposat, amb data 31 d'octubre de 2020, el SNAC, per mitjà de la Intervenció General de l'Administració de l'Estat, va elaborar i va presentar a la Comissió Europea per al seu finançament en el marc del</w:t>
      </w:r>
      <w:r w:rsidRPr="00062EF0">
        <w:rPr>
          <w:rFonts w:ascii="Arial" w:hAnsi="Arial"/>
          <w:b/>
          <w:bCs/>
          <w:sz w:val="21"/>
          <w:szCs w:val="21"/>
        </w:rPr>
        <w:t xml:space="preserve"> </w:t>
      </w:r>
      <w:hyperlink r:id="rId344" w:history="1">
        <w:r w:rsidRPr="00062EF0">
          <w:rPr>
            <w:rStyle w:val="Hipervnculo"/>
            <w:rFonts w:ascii="Arial" w:hAnsi="Arial"/>
            <w:sz w:val="21"/>
            <w:szCs w:val="21"/>
          </w:rPr>
          <w:t>Programa de Suport a les Reformes Estructurals de la Unió Europea (SRSP)</w:t>
        </w:r>
      </w:hyperlink>
      <w:r w:rsidRPr="00062EF0">
        <w:rPr>
          <w:rFonts w:ascii="Arial" w:hAnsi="Arial"/>
          <w:sz w:val="21"/>
          <w:szCs w:val="21"/>
        </w:rPr>
        <w:t>, Technical Support Instrument (TSI), el projecte “A National Anti-Fraud Strategy for Spain”, que té per objecte l'elaboració d'una estratègia nacional antifrau que comprenga de manera integral les quatre fases del cicle antifrau (prevenció, detecció, investigació i recuperació/sanció).</w:t>
      </w:r>
    </w:p>
    <w:p w14:paraId="6E5015B7"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Amb data de 4 de gener de 2021, el citat projecte ha resultat preseleccionat per la Direcció General de Reformes Estructurals, adscrita a la Comissió Europea, i susceptible de ser finançat, sent aprovat el 2 de març de 2021 a través de la Decisió d'Implementació Financera del Programa del TSI per a 2021.</w:t>
      </w:r>
    </w:p>
    <w:p w14:paraId="60CF7DDA"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Concretament, aquest projecte, sota el títol, “</w:t>
      </w:r>
      <w:hyperlink r:id="rId345" w:history="1">
        <w:r w:rsidRPr="00062EF0">
          <w:rPr>
            <w:rStyle w:val="Hipervnculo"/>
            <w:rFonts w:ascii="Arial" w:hAnsi="Arial"/>
            <w:sz w:val="21"/>
            <w:szCs w:val="21"/>
          </w:rPr>
          <w:t>Enfortiment de l'Estratègia Nacional de Lluita contra el Frau a Espanya, Acord marc de Reforma, Delegació de l'OCDE</w:t>
        </w:r>
      </w:hyperlink>
      <w:r w:rsidRPr="00062EF0">
        <w:rPr>
          <w:rFonts w:ascii="Arial" w:hAnsi="Arial"/>
          <w:b/>
          <w:bCs/>
          <w:sz w:val="21"/>
          <w:szCs w:val="21"/>
        </w:rPr>
        <w:t>”</w:t>
      </w:r>
      <w:r w:rsidRPr="00062EF0">
        <w:rPr>
          <w:rFonts w:ascii="Arial" w:hAnsi="Arial"/>
          <w:sz w:val="21"/>
          <w:szCs w:val="21"/>
        </w:rPr>
        <w:t>, té com a objectiu general fer costat a Espanya en els seus esforços per enfortir la capacitat institucional i administrativa, fins i tot en l'àmbit regional i local, per a facilitar transicions socialment inclusives, verdes i digitals, per a abordar de manera efectiva els desafiaments identificats en les recomanacions específiques i per a aplicar el Dret de la Unió. L'objectiu específic és fer costat a Espanya en el disseny, desenvolupament i implementació de reformes.</w:t>
      </w:r>
    </w:p>
    <w:p w14:paraId="361F4C0C"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El projecte és rellevant per a fer realitat les prioritats nacionals, regionals i internacionals per a combatre la corrupció, el frau, el balafiament i l'abús relacionats amb la despesa pública. Aquests esforços no sols són una resposta a la legislació nacional que exigeix mesures eficaces de lluita contra el frau, sinó que també reflecteixen les prioritats a escala de la Unió Europea per a salvaguardar les despeses relacionades amb els plans de recuperació. Espanya està molt descentralitzada i el projecte té implicacions per a les entitats de lluita contra el frau en l'àmbit regional, donada la necessitat d'enfocaments coherents i coordinats.</w:t>
      </w:r>
    </w:p>
    <w:p w14:paraId="6A070CB5"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El projecte afectarà una àmplia gamma d'actors en l'àmbit estatal, autonòmic i local, entre els quals s'inclou l’AVAF i la resta de les autoritats i òrgans integrants de la Xarxa Estatal d'Oficines i Agències contra el Frau (REDOAF).</w:t>
      </w:r>
    </w:p>
    <w:p w14:paraId="4F84D412"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En concret, es persegueix la millora de la prevenció del frau, la detecció i la lluita contra les irregularitats i el frau a Espanya, el foment de la cooperació entre les institucions implicades en la lluita contra el frau i una major transparència i responsabilitat de les institucions que participen en ella.</w:t>
      </w:r>
    </w:p>
    <w:p w14:paraId="6B3AC0B1"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Per a l'execució del projecte, es preveu una duració de 19 mesos, un finançament que ascendeix a 480.000 euros, i la seua realització a càrrec de l'OCDE, sent responsabilitat de l'Estat espanyol la implementació d'aquest.</w:t>
      </w:r>
    </w:p>
    <w:p w14:paraId="24639584"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Els treballs a realitzar per l'OCDE són els següents:</w:t>
      </w:r>
    </w:p>
    <w:p w14:paraId="0C8D806B" w14:textId="77777777" w:rsidR="00062EF0" w:rsidRPr="00062EF0" w:rsidRDefault="00062EF0" w:rsidP="00F3528F">
      <w:pPr>
        <w:numPr>
          <w:ilvl w:val="0"/>
          <w:numId w:val="59"/>
        </w:numPr>
        <w:spacing w:after="240" w:line="276" w:lineRule="auto"/>
        <w:ind w:hanging="357"/>
        <w:contextualSpacing/>
        <w:jc w:val="both"/>
        <w:rPr>
          <w:rFonts w:ascii="Arial" w:hAnsi="Arial"/>
          <w:sz w:val="20"/>
          <w:szCs w:val="20"/>
        </w:rPr>
      </w:pPr>
      <w:r w:rsidRPr="00062EF0">
        <w:rPr>
          <w:rFonts w:ascii="Arial" w:hAnsi="Arial"/>
          <w:sz w:val="20"/>
          <w:szCs w:val="20"/>
        </w:rPr>
        <w:t>Producte 1: Estudi amb anàlisi i recomanacions sobre el canal de denúncies.</w:t>
      </w:r>
    </w:p>
    <w:p w14:paraId="2B843DEC" w14:textId="77777777" w:rsidR="00062EF0" w:rsidRPr="00062EF0" w:rsidRDefault="00062EF0" w:rsidP="00F3528F">
      <w:pPr>
        <w:numPr>
          <w:ilvl w:val="1"/>
          <w:numId w:val="59"/>
        </w:numPr>
        <w:spacing w:after="240" w:line="276" w:lineRule="auto"/>
        <w:ind w:hanging="357"/>
        <w:contextualSpacing/>
        <w:jc w:val="both"/>
        <w:rPr>
          <w:rFonts w:ascii="Arial" w:hAnsi="Arial"/>
          <w:i/>
          <w:iCs/>
          <w:sz w:val="20"/>
          <w:szCs w:val="20"/>
        </w:rPr>
      </w:pPr>
      <w:r w:rsidRPr="00062EF0">
        <w:rPr>
          <w:rFonts w:ascii="Arial" w:hAnsi="Arial"/>
          <w:i/>
          <w:iCs/>
          <w:sz w:val="20"/>
          <w:szCs w:val="20"/>
        </w:rPr>
        <w:t>Activitat 1.1 Revisió dels mecanismes de denúncia d'irregularitats a Espanya.</w:t>
      </w:r>
    </w:p>
    <w:p w14:paraId="204BAE69" w14:textId="5F6A7A9A" w:rsidR="007908EA" w:rsidRDefault="00062EF0" w:rsidP="007908EA">
      <w:pPr>
        <w:numPr>
          <w:ilvl w:val="1"/>
          <w:numId w:val="59"/>
        </w:numPr>
        <w:spacing w:after="240" w:line="276" w:lineRule="auto"/>
        <w:jc w:val="both"/>
        <w:rPr>
          <w:rFonts w:ascii="Arial" w:hAnsi="Arial"/>
          <w:i/>
          <w:iCs/>
          <w:sz w:val="20"/>
          <w:szCs w:val="20"/>
        </w:rPr>
      </w:pPr>
      <w:r w:rsidRPr="00062EF0">
        <w:rPr>
          <w:rFonts w:ascii="Arial" w:hAnsi="Arial"/>
          <w:i/>
          <w:iCs/>
          <w:sz w:val="20"/>
          <w:szCs w:val="20"/>
        </w:rPr>
        <w:t>Activitat 1.2 Identificació de pràctiques líders.</w:t>
      </w:r>
    </w:p>
    <w:p w14:paraId="70635374" w14:textId="77777777" w:rsidR="00062EF0" w:rsidRPr="00062EF0" w:rsidRDefault="00062EF0" w:rsidP="00F3528F">
      <w:pPr>
        <w:numPr>
          <w:ilvl w:val="0"/>
          <w:numId w:val="59"/>
        </w:numPr>
        <w:spacing w:after="240" w:line="276" w:lineRule="auto"/>
        <w:ind w:hanging="357"/>
        <w:contextualSpacing/>
        <w:jc w:val="both"/>
        <w:rPr>
          <w:rFonts w:ascii="Arial" w:hAnsi="Arial"/>
          <w:sz w:val="20"/>
          <w:szCs w:val="20"/>
        </w:rPr>
      </w:pPr>
      <w:r w:rsidRPr="00062EF0">
        <w:rPr>
          <w:rFonts w:ascii="Arial" w:hAnsi="Arial"/>
          <w:sz w:val="20"/>
          <w:szCs w:val="20"/>
        </w:rPr>
        <w:t>Producte 2: Estudi de diagnòstic i pla de participació de les parts interessades.</w:t>
      </w:r>
    </w:p>
    <w:p w14:paraId="2D858599" w14:textId="77777777" w:rsidR="00062EF0" w:rsidRPr="00062EF0" w:rsidRDefault="00062EF0" w:rsidP="00F3528F">
      <w:pPr>
        <w:numPr>
          <w:ilvl w:val="1"/>
          <w:numId w:val="59"/>
        </w:numPr>
        <w:spacing w:after="240" w:line="276" w:lineRule="auto"/>
        <w:ind w:hanging="357"/>
        <w:contextualSpacing/>
        <w:jc w:val="both"/>
        <w:rPr>
          <w:rFonts w:ascii="Arial" w:hAnsi="Arial"/>
          <w:i/>
          <w:iCs/>
          <w:sz w:val="20"/>
          <w:szCs w:val="20"/>
        </w:rPr>
      </w:pPr>
      <w:r w:rsidRPr="00062EF0">
        <w:rPr>
          <w:rFonts w:ascii="Arial" w:hAnsi="Arial"/>
          <w:i/>
          <w:iCs/>
          <w:sz w:val="20"/>
          <w:szCs w:val="20"/>
        </w:rPr>
        <w:t>Activitat 2.1 Organització d'un esdeveniment de llançament de múltiples parts interessades.</w:t>
      </w:r>
    </w:p>
    <w:p w14:paraId="76630D2E" w14:textId="77777777" w:rsidR="00062EF0" w:rsidRPr="00062EF0" w:rsidRDefault="00062EF0" w:rsidP="00F3528F">
      <w:pPr>
        <w:numPr>
          <w:ilvl w:val="1"/>
          <w:numId w:val="59"/>
        </w:numPr>
        <w:spacing w:after="240" w:line="276" w:lineRule="auto"/>
        <w:ind w:hanging="357"/>
        <w:contextualSpacing/>
        <w:jc w:val="both"/>
        <w:rPr>
          <w:rFonts w:ascii="Arial" w:hAnsi="Arial"/>
          <w:i/>
          <w:iCs/>
          <w:sz w:val="20"/>
          <w:szCs w:val="20"/>
        </w:rPr>
      </w:pPr>
      <w:r w:rsidRPr="00062EF0">
        <w:rPr>
          <w:rFonts w:ascii="Arial" w:hAnsi="Arial"/>
          <w:i/>
          <w:iCs/>
          <w:sz w:val="20"/>
          <w:szCs w:val="20"/>
        </w:rPr>
        <w:t>Activitat 2.2 Anàlisi de la situació actual.</w:t>
      </w:r>
    </w:p>
    <w:p w14:paraId="50FD8C4E" w14:textId="77777777" w:rsidR="00062EF0" w:rsidRPr="00062EF0" w:rsidRDefault="00062EF0" w:rsidP="00062EF0">
      <w:pPr>
        <w:numPr>
          <w:ilvl w:val="1"/>
          <w:numId w:val="59"/>
        </w:numPr>
        <w:spacing w:after="240" w:line="276" w:lineRule="auto"/>
        <w:jc w:val="both"/>
        <w:rPr>
          <w:rFonts w:ascii="Arial" w:hAnsi="Arial"/>
          <w:sz w:val="20"/>
          <w:szCs w:val="20"/>
        </w:rPr>
      </w:pPr>
      <w:r w:rsidRPr="00062EF0">
        <w:rPr>
          <w:rFonts w:ascii="Arial" w:hAnsi="Arial"/>
          <w:i/>
          <w:iCs/>
          <w:sz w:val="20"/>
          <w:szCs w:val="20"/>
        </w:rPr>
        <w:t>Activitat 2.3 Pla de coordinació i participació de les parts interessades.</w:t>
      </w:r>
    </w:p>
    <w:p w14:paraId="29FC6A13" w14:textId="77777777" w:rsidR="00062EF0" w:rsidRPr="00062EF0" w:rsidRDefault="00062EF0" w:rsidP="00F3528F">
      <w:pPr>
        <w:numPr>
          <w:ilvl w:val="0"/>
          <w:numId w:val="59"/>
        </w:numPr>
        <w:spacing w:after="240" w:line="276" w:lineRule="auto"/>
        <w:ind w:hanging="357"/>
        <w:contextualSpacing/>
        <w:jc w:val="both"/>
        <w:rPr>
          <w:rFonts w:ascii="Arial" w:hAnsi="Arial"/>
          <w:sz w:val="20"/>
          <w:szCs w:val="20"/>
        </w:rPr>
      </w:pPr>
      <w:r w:rsidRPr="00062EF0">
        <w:rPr>
          <w:rFonts w:ascii="Arial" w:hAnsi="Arial"/>
          <w:sz w:val="20"/>
          <w:szCs w:val="20"/>
        </w:rPr>
        <w:t>Producte 3: Avaluació de riscos.</w:t>
      </w:r>
    </w:p>
    <w:p w14:paraId="537E174B" w14:textId="77777777" w:rsidR="00062EF0" w:rsidRPr="00062EF0" w:rsidRDefault="00062EF0" w:rsidP="00F3528F">
      <w:pPr>
        <w:numPr>
          <w:ilvl w:val="1"/>
          <w:numId w:val="59"/>
        </w:numPr>
        <w:spacing w:after="240" w:line="276" w:lineRule="auto"/>
        <w:ind w:hanging="357"/>
        <w:contextualSpacing/>
        <w:jc w:val="both"/>
        <w:rPr>
          <w:rFonts w:ascii="Arial" w:hAnsi="Arial"/>
          <w:i/>
          <w:iCs/>
          <w:sz w:val="20"/>
          <w:szCs w:val="20"/>
        </w:rPr>
      </w:pPr>
      <w:r w:rsidRPr="00062EF0">
        <w:rPr>
          <w:rFonts w:ascii="Arial" w:hAnsi="Arial"/>
          <w:i/>
          <w:iCs/>
          <w:sz w:val="20"/>
          <w:szCs w:val="20"/>
        </w:rPr>
        <w:t>Activitat 3.1 Anàlisi de riscos.</w:t>
      </w:r>
    </w:p>
    <w:p w14:paraId="27508186" w14:textId="77777777" w:rsidR="00062EF0" w:rsidRPr="00062EF0" w:rsidRDefault="00062EF0" w:rsidP="00062EF0">
      <w:pPr>
        <w:numPr>
          <w:ilvl w:val="1"/>
          <w:numId w:val="59"/>
        </w:numPr>
        <w:spacing w:after="240" w:line="276" w:lineRule="auto"/>
        <w:jc w:val="both"/>
        <w:rPr>
          <w:rFonts w:ascii="Arial" w:hAnsi="Arial"/>
          <w:i/>
          <w:iCs/>
          <w:sz w:val="20"/>
          <w:szCs w:val="20"/>
        </w:rPr>
      </w:pPr>
      <w:r w:rsidRPr="00062EF0">
        <w:rPr>
          <w:rFonts w:ascii="Arial" w:hAnsi="Arial"/>
          <w:i/>
          <w:iCs/>
          <w:sz w:val="20"/>
          <w:szCs w:val="20"/>
        </w:rPr>
        <w:t>Activitat 3.2 Un taller d'avaluació de riscos.</w:t>
      </w:r>
    </w:p>
    <w:p w14:paraId="5685AD06" w14:textId="77777777" w:rsidR="00062EF0" w:rsidRPr="00062EF0" w:rsidRDefault="00062EF0" w:rsidP="00F3528F">
      <w:pPr>
        <w:numPr>
          <w:ilvl w:val="0"/>
          <w:numId w:val="59"/>
        </w:numPr>
        <w:spacing w:after="240" w:line="276" w:lineRule="auto"/>
        <w:ind w:left="714" w:hanging="357"/>
        <w:contextualSpacing/>
        <w:jc w:val="both"/>
        <w:rPr>
          <w:rFonts w:ascii="Arial" w:hAnsi="Arial"/>
          <w:sz w:val="20"/>
          <w:szCs w:val="20"/>
        </w:rPr>
      </w:pPr>
      <w:r w:rsidRPr="00062EF0">
        <w:rPr>
          <w:rFonts w:ascii="Arial" w:hAnsi="Arial"/>
          <w:sz w:val="20"/>
          <w:szCs w:val="20"/>
        </w:rPr>
        <w:t>Producte 4: Projecte d'estratègia nacional de lluita contra el frau.</w:t>
      </w:r>
    </w:p>
    <w:p w14:paraId="614B939F" w14:textId="77777777" w:rsidR="00062EF0" w:rsidRPr="00062EF0" w:rsidRDefault="00062EF0" w:rsidP="00062EF0">
      <w:pPr>
        <w:numPr>
          <w:ilvl w:val="1"/>
          <w:numId w:val="59"/>
        </w:numPr>
        <w:spacing w:after="240" w:line="276" w:lineRule="auto"/>
        <w:jc w:val="both"/>
        <w:rPr>
          <w:rFonts w:ascii="Arial" w:hAnsi="Arial"/>
          <w:i/>
          <w:iCs/>
          <w:sz w:val="20"/>
          <w:szCs w:val="20"/>
        </w:rPr>
      </w:pPr>
      <w:r w:rsidRPr="00062EF0">
        <w:rPr>
          <w:rFonts w:ascii="Arial" w:hAnsi="Arial"/>
          <w:i/>
          <w:iCs/>
          <w:sz w:val="20"/>
          <w:szCs w:val="20"/>
        </w:rPr>
        <w:t>Activitat 4.1 Desenvolupament de l'esborrany de l'estratègia nacional de lluita contra el frau.</w:t>
      </w:r>
    </w:p>
    <w:p w14:paraId="2B6B2FCD" w14:textId="77777777" w:rsidR="00062EF0" w:rsidRPr="00062EF0" w:rsidRDefault="00062EF0" w:rsidP="00062EF0">
      <w:pPr>
        <w:numPr>
          <w:ilvl w:val="0"/>
          <w:numId w:val="59"/>
        </w:numPr>
        <w:spacing w:after="120" w:line="276" w:lineRule="auto"/>
        <w:ind w:hanging="357"/>
        <w:contextualSpacing/>
        <w:jc w:val="both"/>
        <w:rPr>
          <w:rFonts w:ascii="Arial" w:hAnsi="Arial"/>
          <w:sz w:val="20"/>
          <w:szCs w:val="20"/>
        </w:rPr>
      </w:pPr>
      <w:r w:rsidRPr="00062EF0">
        <w:rPr>
          <w:rFonts w:ascii="Arial" w:hAnsi="Arial"/>
          <w:sz w:val="20"/>
          <w:szCs w:val="20"/>
        </w:rPr>
        <w:t>Producte 5: Pla d'acció per a l'estratègia nacional de lluita contra el frau.</w:t>
      </w:r>
    </w:p>
    <w:p w14:paraId="4A159AAC" w14:textId="77777777" w:rsidR="00062EF0" w:rsidRPr="00062EF0" w:rsidRDefault="00062EF0" w:rsidP="00062EF0">
      <w:pPr>
        <w:numPr>
          <w:ilvl w:val="1"/>
          <w:numId w:val="59"/>
        </w:numPr>
        <w:spacing w:after="120" w:line="276" w:lineRule="auto"/>
        <w:ind w:hanging="357"/>
        <w:contextualSpacing/>
        <w:jc w:val="both"/>
        <w:rPr>
          <w:rFonts w:ascii="Arial" w:hAnsi="Arial"/>
          <w:i/>
          <w:iCs/>
          <w:sz w:val="20"/>
          <w:szCs w:val="20"/>
        </w:rPr>
      </w:pPr>
      <w:r w:rsidRPr="00062EF0">
        <w:rPr>
          <w:rFonts w:ascii="Arial" w:hAnsi="Arial"/>
          <w:i/>
          <w:iCs/>
          <w:sz w:val="20"/>
          <w:szCs w:val="20"/>
        </w:rPr>
        <w:t>Activitat 5.1 Situació futura i pla d'acció.</w:t>
      </w:r>
    </w:p>
    <w:p w14:paraId="39DB9219" w14:textId="77777777" w:rsidR="00062EF0" w:rsidRPr="00062EF0" w:rsidRDefault="00062EF0" w:rsidP="00062EF0">
      <w:pPr>
        <w:numPr>
          <w:ilvl w:val="1"/>
          <w:numId w:val="59"/>
        </w:numPr>
        <w:spacing w:after="120" w:line="276" w:lineRule="auto"/>
        <w:ind w:hanging="357"/>
        <w:contextualSpacing/>
        <w:jc w:val="both"/>
        <w:rPr>
          <w:rFonts w:ascii="Arial" w:hAnsi="Arial"/>
          <w:i/>
          <w:iCs/>
          <w:sz w:val="20"/>
          <w:szCs w:val="20"/>
        </w:rPr>
      </w:pPr>
      <w:r w:rsidRPr="00062EF0">
        <w:rPr>
          <w:rFonts w:ascii="Arial" w:hAnsi="Arial"/>
          <w:i/>
          <w:iCs/>
          <w:sz w:val="20"/>
          <w:szCs w:val="20"/>
        </w:rPr>
        <w:t>Activitat 5.2 Identificació de pràctiques líders.</w:t>
      </w:r>
    </w:p>
    <w:p w14:paraId="3780AC37" w14:textId="77777777" w:rsidR="00062EF0" w:rsidRPr="00062EF0" w:rsidRDefault="00062EF0" w:rsidP="00062EF0">
      <w:pPr>
        <w:numPr>
          <w:ilvl w:val="1"/>
          <w:numId w:val="59"/>
        </w:numPr>
        <w:spacing w:after="240" w:line="276" w:lineRule="auto"/>
        <w:jc w:val="both"/>
        <w:rPr>
          <w:rFonts w:ascii="Arial" w:hAnsi="Arial"/>
          <w:i/>
          <w:iCs/>
          <w:sz w:val="20"/>
          <w:szCs w:val="20"/>
        </w:rPr>
      </w:pPr>
      <w:r w:rsidRPr="00062EF0">
        <w:rPr>
          <w:rFonts w:ascii="Arial" w:hAnsi="Arial"/>
          <w:i/>
          <w:iCs/>
          <w:sz w:val="20"/>
          <w:szCs w:val="20"/>
        </w:rPr>
        <w:t>Activitat 5.3 Organització d'un esdeveniment de tancament de múltiples parts interessades.</w:t>
      </w:r>
    </w:p>
    <w:p w14:paraId="5E5B795E" w14:textId="77777777" w:rsidR="00062EF0" w:rsidRPr="00062EF0" w:rsidRDefault="00062EF0" w:rsidP="00062EF0">
      <w:pPr>
        <w:numPr>
          <w:ilvl w:val="0"/>
          <w:numId w:val="59"/>
        </w:numPr>
        <w:spacing w:after="120" w:line="276" w:lineRule="auto"/>
        <w:ind w:hanging="357"/>
        <w:contextualSpacing/>
        <w:jc w:val="both"/>
        <w:rPr>
          <w:rFonts w:ascii="Arial" w:hAnsi="Arial"/>
          <w:sz w:val="20"/>
          <w:szCs w:val="20"/>
        </w:rPr>
      </w:pPr>
      <w:r w:rsidRPr="00062EF0">
        <w:rPr>
          <w:rFonts w:ascii="Arial" w:hAnsi="Arial"/>
          <w:sz w:val="20"/>
          <w:szCs w:val="20"/>
        </w:rPr>
        <w:t>Producte 6: Marc de seguiment i avaluació.</w:t>
      </w:r>
    </w:p>
    <w:p w14:paraId="764BFE9C" w14:textId="77777777" w:rsidR="00062EF0" w:rsidRPr="00062EF0" w:rsidRDefault="00062EF0" w:rsidP="00062EF0">
      <w:pPr>
        <w:numPr>
          <w:ilvl w:val="1"/>
          <w:numId w:val="59"/>
        </w:numPr>
        <w:spacing w:after="120" w:line="276" w:lineRule="auto"/>
        <w:ind w:hanging="357"/>
        <w:contextualSpacing/>
        <w:jc w:val="both"/>
        <w:rPr>
          <w:rFonts w:ascii="Arial" w:hAnsi="Arial"/>
          <w:i/>
          <w:iCs/>
          <w:sz w:val="20"/>
          <w:szCs w:val="20"/>
        </w:rPr>
      </w:pPr>
      <w:r w:rsidRPr="00062EF0">
        <w:rPr>
          <w:rFonts w:ascii="Arial" w:hAnsi="Arial"/>
          <w:i/>
          <w:iCs/>
          <w:sz w:val="20"/>
          <w:szCs w:val="20"/>
        </w:rPr>
        <w:t>Activitat 6.1 Desenvolupament d'un marc de seguiment i avaluació.</w:t>
      </w:r>
    </w:p>
    <w:p w14:paraId="5C73A35A" w14:textId="77777777" w:rsidR="00062EF0" w:rsidRPr="00062EF0" w:rsidRDefault="00062EF0" w:rsidP="00062EF0">
      <w:pPr>
        <w:numPr>
          <w:ilvl w:val="1"/>
          <w:numId w:val="59"/>
        </w:numPr>
        <w:spacing w:after="240" w:line="276" w:lineRule="auto"/>
        <w:ind w:left="1434" w:hanging="357"/>
        <w:jc w:val="both"/>
        <w:rPr>
          <w:rFonts w:ascii="Arial" w:hAnsi="Arial"/>
          <w:i/>
          <w:iCs/>
          <w:sz w:val="20"/>
          <w:szCs w:val="20"/>
        </w:rPr>
      </w:pPr>
      <w:r w:rsidRPr="00062EF0">
        <w:rPr>
          <w:rFonts w:ascii="Arial" w:hAnsi="Arial"/>
          <w:i/>
          <w:iCs/>
          <w:sz w:val="20"/>
          <w:szCs w:val="20"/>
        </w:rPr>
        <w:t>Activitat 6.2 Identificació de pràctiques líders.</w:t>
      </w:r>
    </w:p>
    <w:p w14:paraId="5B4E9720" w14:textId="77777777" w:rsidR="00062EF0" w:rsidRPr="00062EF0" w:rsidRDefault="00062EF0" w:rsidP="00062EF0">
      <w:pPr>
        <w:numPr>
          <w:ilvl w:val="0"/>
          <w:numId w:val="59"/>
        </w:numPr>
        <w:spacing w:after="120" w:line="276" w:lineRule="auto"/>
        <w:ind w:hanging="357"/>
        <w:contextualSpacing/>
        <w:jc w:val="both"/>
        <w:rPr>
          <w:rFonts w:ascii="Arial" w:hAnsi="Arial"/>
          <w:sz w:val="20"/>
          <w:szCs w:val="20"/>
        </w:rPr>
      </w:pPr>
      <w:r w:rsidRPr="00062EF0">
        <w:rPr>
          <w:rFonts w:ascii="Arial" w:hAnsi="Arial"/>
          <w:sz w:val="20"/>
          <w:szCs w:val="20"/>
        </w:rPr>
        <w:t>Producte 7: Tallers per a enfortir la capacitat.</w:t>
      </w:r>
    </w:p>
    <w:p w14:paraId="710881E3" w14:textId="77777777" w:rsidR="00062EF0" w:rsidRPr="00062EF0" w:rsidRDefault="00062EF0" w:rsidP="00062EF0">
      <w:pPr>
        <w:numPr>
          <w:ilvl w:val="1"/>
          <w:numId w:val="59"/>
        </w:numPr>
        <w:spacing w:after="120" w:line="276" w:lineRule="auto"/>
        <w:ind w:hanging="357"/>
        <w:contextualSpacing/>
        <w:jc w:val="both"/>
        <w:rPr>
          <w:rFonts w:ascii="Arial" w:hAnsi="Arial"/>
          <w:i/>
          <w:iCs/>
          <w:sz w:val="20"/>
          <w:szCs w:val="20"/>
        </w:rPr>
      </w:pPr>
      <w:r w:rsidRPr="00062EF0">
        <w:rPr>
          <w:rFonts w:ascii="Arial" w:hAnsi="Arial"/>
          <w:i/>
          <w:iCs/>
          <w:sz w:val="20"/>
          <w:szCs w:val="20"/>
        </w:rPr>
        <w:t>Activitat 7.1 Un taller de creació de capacitat amb AFCOS pares sobre el desenvolupament d'una estratègia nacional de lluita contra el frau.</w:t>
      </w:r>
    </w:p>
    <w:p w14:paraId="6E6BC471" w14:textId="77777777" w:rsidR="00062EF0" w:rsidRPr="00062EF0" w:rsidRDefault="00062EF0" w:rsidP="00062EF0">
      <w:pPr>
        <w:numPr>
          <w:ilvl w:val="1"/>
          <w:numId w:val="59"/>
        </w:numPr>
        <w:spacing w:after="240" w:line="276" w:lineRule="auto"/>
        <w:ind w:left="1434" w:hanging="357"/>
        <w:jc w:val="both"/>
        <w:rPr>
          <w:rFonts w:ascii="Arial" w:hAnsi="Arial"/>
          <w:i/>
          <w:iCs/>
          <w:sz w:val="20"/>
          <w:szCs w:val="20"/>
        </w:rPr>
      </w:pPr>
      <w:r w:rsidRPr="00062EF0">
        <w:rPr>
          <w:rFonts w:ascii="Arial" w:hAnsi="Arial"/>
          <w:i/>
          <w:iCs/>
          <w:sz w:val="20"/>
          <w:szCs w:val="20"/>
        </w:rPr>
        <w:t>Activitat 7.2 Un taller de creació de capacitat sobre mesurament del frau.</w:t>
      </w:r>
    </w:p>
    <w:p w14:paraId="375C214E" w14:textId="77777777" w:rsidR="00062EF0" w:rsidRPr="00062EF0" w:rsidRDefault="00062EF0" w:rsidP="00062EF0">
      <w:pPr>
        <w:numPr>
          <w:ilvl w:val="0"/>
          <w:numId w:val="59"/>
        </w:numPr>
        <w:spacing w:after="120" w:line="276" w:lineRule="auto"/>
        <w:ind w:hanging="357"/>
        <w:contextualSpacing/>
        <w:jc w:val="both"/>
        <w:rPr>
          <w:rFonts w:ascii="Arial" w:hAnsi="Arial"/>
          <w:sz w:val="20"/>
          <w:szCs w:val="20"/>
        </w:rPr>
      </w:pPr>
      <w:r w:rsidRPr="00062EF0">
        <w:rPr>
          <w:rFonts w:ascii="Arial" w:hAnsi="Arial"/>
          <w:sz w:val="20"/>
          <w:szCs w:val="20"/>
        </w:rPr>
        <w:t>Eixida 8: COMUNICACIÓ materials.</w:t>
      </w:r>
    </w:p>
    <w:p w14:paraId="647689B8" w14:textId="77777777" w:rsidR="00062EF0" w:rsidRPr="00062EF0" w:rsidRDefault="00062EF0" w:rsidP="00062EF0">
      <w:pPr>
        <w:numPr>
          <w:ilvl w:val="1"/>
          <w:numId w:val="59"/>
        </w:numPr>
        <w:spacing w:after="120" w:line="276" w:lineRule="auto"/>
        <w:ind w:hanging="357"/>
        <w:contextualSpacing/>
        <w:jc w:val="both"/>
        <w:rPr>
          <w:rFonts w:ascii="Arial" w:hAnsi="Arial"/>
          <w:i/>
          <w:iCs/>
          <w:sz w:val="20"/>
          <w:szCs w:val="20"/>
        </w:rPr>
      </w:pPr>
      <w:r w:rsidRPr="00062EF0">
        <w:rPr>
          <w:rFonts w:ascii="Arial" w:hAnsi="Arial"/>
          <w:i/>
          <w:iCs/>
          <w:sz w:val="20"/>
          <w:szCs w:val="20"/>
        </w:rPr>
        <w:t>Activitat 8.1 Elaboració de materials de comunicació i vídeo del projecte.</w:t>
      </w:r>
    </w:p>
    <w:p w14:paraId="328E56A0" w14:textId="77777777" w:rsidR="00062EF0" w:rsidRPr="00062EF0" w:rsidRDefault="00062EF0" w:rsidP="00062EF0">
      <w:pPr>
        <w:numPr>
          <w:ilvl w:val="1"/>
          <w:numId w:val="59"/>
        </w:numPr>
        <w:spacing w:after="240" w:line="276" w:lineRule="auto"/>
        <w:jc w:val="both"/>
        <w:rPr>
          <w:rFonts w:ascii="Arial" w:hAnsi="Arial"/>
          <w:i/>
          <w:iCs/>
          <w:sz w:val="21"/>
          <w:szCs w:val="21"/>
        </w:rPr>
      </w:pPr>
      <w:r w:rsidRPr="00062EF0">
        <w:rPr>
          <w:rFonts w:ascii="Arial" w:hAnsi="Arial"/>
          <w:i/>
          <w:iCs/>
          <w:sz w:val="20"/>
          <w:szCs w:val="20"/>
        </w:rPr>
        <w:t>Activitat 8 0.2 Projecte d'ING i actualització dels missatges clau per als diferents públics.</w:t>
      </w:r>
    </w:p>
    <w:p w14:paraId="5C52AE5F" w14:textId="77777777" w:rsidR="00062EF0" w:rsidRPr="00062EF0" w:rsidRDefault="00062EF0" w:rsidP="00062EF0">
      <w:pPr>
        <w:spacing w:after="240" w:line="276" w:lineRule="auto"/>
        <w:jc w:val="both"/>
        <w:rPr>
          <w:rFonts w:ascii="Arial" w:hAnsi="Arial"/>
          <w:sz w:val="21"/>
          <w:szCs w:val="21"/>
        </w:rPr>
      </w:pPr>
      <w:r w:rsidRPr="00062EF0">
        <w:rPr>
          <w:rFonts w:ascii="Arial" w:hAnsi="Arial"/>
          <w:sz w:val="21"/>
          <w:szCs w:val="21"/>
        </w:rPr>
        <w:t xml:space="preserve">Finalment, es destaca que les </w:t>
      </w:r>
      <w:r w:rsidRPr="00062EF0">
        <w:rPr>
          <w:rFonts w:ascii="Arial" w:hAnsi="Arial"/>
          <w:b/>
          <w:bCs/>
          <w:sz w:val="21"/>
          <w:szCs w:val="21"/>
        </w:rPr>
        <w:t>actuacions incloses</w:t>
      </w:r>
      <w:r w:rsidRPr="00062EF0">
        <w:rPr>
          <w:rFonts w:ascii="Arial" w:hAnsi="Arial"/>
          <w:sz w:val="21"/>
          <w:szCs w:val="21"/>
        </w:rPr>
        <w:t xml:space="preserve"> en l'Estratègia Nacional Antifrau, segons les fases del cicle antifrau, s'han definit des de la prevenció, la detecció, la investigació i la sanció o persecució.</w:t>
      </w:r>
    </w:p>
    <w:p w14:paraId="5587087C" w14:textId="77777777" w:rsidR="00062EF0" w:rsidRPr="00062EF0" w:rsidRDefault="00062EF0" w:rsidP="00062EF0">
      <w:pPr>
        <w:numPr>
          <w:ilvl w:val="0"/>
          <w:numId w:val="58"/>
        </w:numPr>
        <w:spacing w:after="120" w:line="276" w:lineRule="auto"/>
        <w:ind w:left="714" w:hanging="357"/>
        <w:jc w:val="both"/>
        <w:rPr>
          <w:rFonts w:ascii="Arial" w:hAnsi="Arial"/>
          <w:sz w:val="21"/>
          <w:szCs w:val="21"/>
        </w:rPr>
      </w:pPr>
      <w:r w:rsidRPr="00062EF0">
        <w:rPr>
          <w:rFonts w:ascii="Arial" w:hAnsi="Arial"/>
          <w:sz w:val="21"/>
          <w:szCs w:val="21"/>
        </w:rPr>
        <w:t xml:space="preserve">En la fase de Prevenció, es té com a objectiu la </w:t>
      </w:r>
      <w:r w:rsidRPr="00062EF0">
        <w:rPr>
          <w:rFonts w:ascii="Arial" w:hAnsi="Arial"/>
          <w:b/>
          <w:bCs/>
          <w:sz w:val="21"/>
          <w:szCs w:val="21"/>
        </w:rPr>
        <w:t>formació general i específica</w:t>
      </w:r>
      <w:r w:rsidRPr="00062EF0">
        <w:rPr>
          <w:rFonts w:ascii="Arial" w:hAnsi="Arial"/>
          <w:sz w:val="21"/>
          <w:szCs w:val="21"/>
        </w:rPr>
        <w:t xml:space="preserve"> en determinats riscos, elaboració de manuals, i recomanacions per a l'aprovació de codis ètics o creació de llocs antifrau.</w:t>
      </w:r>
    </w:p>
    <w:p w14:paraId="6EF51E7B" w14:textId="77777777" w:rsidR="00062EF0" w:rsidRPr="00062EF0" w:rsidRDefault="00062EF0" w:rsidP="00062EF0">
      <w:pPr>
        <w:numPr>
          <w:ilvl w:val="0"/>
          <w:numId w:val="58"/>
        </w:numPr>
        <w:spacing w:after="120" w:line="276" w:lineRule="auto"/>
        <w:ind w:left="714" w:hanging="357"/>
        <w:jc w:val="both"/>
        <w:rPr>
          <w:rFonts w:ascii="Arial" w:hAnsi="Arial"/>
          <w:sz w:val="21"/>
          <w:szCs w:val="21"/>
        </w:rPr>
      </w:pPr>
      <w:r w:rsidRPr="00062EF0">
        <w:rPr>
          <w:rFonts w:ascii="Arial" w:hAnsi="Arial"/>
          <w:sz w:val="21"/>
          <w:szCs w:val="21"/>
        </w:rPr>
        <w:t xml:space="preserve">En la fase de Detecció, la necessària adaptació del </w:t>
      </w:r>
      <w:r w:rsidRPr="00062EF0">
        <w:rPr>
          <w:rFonts w:ascii="Arial" w:hAnsi="Arial"/>
          <w:b/>
          <w:bCs/>
          <w:sz w:val="21"/>
          <w:szCs w:val="21"/>
        </w:rPr>
        <w:t>canal de denúncies</w:t>
      </w:r>
      <w:r w:rsidRPr="00062EF0">
        <w:rPr>
          <w:rFonts w:ascii="Arial" w:hAnsi="Arial"/>
          <w:sz w:val="21"/>
          <w:szCs w:val="21"/>
        </w:rPr>
        <w:t xml:space="preserve"> del SNCA </w:t>
      </w:r>
      <w:r w:rsidRPr="00062EF0">
        <w:rPr>
          <w:rFonts w:ascii="Arial" w:hAnsi="Arial"/>
          <w:i/>
          <w:iCs/>
          <w:sz w:val="21"/>
          <w:szCs w:val="21"/>
        </w:rPr>
        <w:t>Infofraude</w:t>
      </w:r>
      <w:r w:rsidRPr="00062EF0">
        <w:rPr>
          <w:rFonts w:ascii="Arial" w:hAnsi="Arial"/>
          <w:sz w:val="21"/>
          <w:szCs w:val="21"/>
        </w:rPr>
        <w:t xml:space="preserve"> a la Directiva (UE) 2019/1937 de 23 d'octubre de 2019, relativa a la protecció de les persones que informen sobre infraccions del Dret de la Unió.</w:t>
      </w:r>
    </w:p>
    <w:p w14:paraId="152135E4" w14:textId="77777777" w:rsidR="00062EF0" w:rsidRPr="00062EF0" w:rsidRDefault="00062EF0" w:rsidP="00062EF0">
      <w:pPr>
        <w:numPr>
          <w:ilvl w:val="0"/>
          <w:numId w:val="58"/>
        </w:numPr>
        <w:spacing w:after="120" w:line="276" w:lineRule="auto"/>
        <w:ind w:left="714" w:hanging="357"/>
        <w:jc w:val="both"/>
        <w:rPr>
          <w:rFonts w:ascii="Arial" w:hAnsi="Arial"/>
          <w:sz w:val="21"/>
          <w:szCs w:val="21"/>
        </w:rPr>
      </w:pPr>
      <w:r w:rsidRPr="00062EF0">
        <w:rPr>
          <w:rFonts w:ascii="Arial" w:hAnsi="Arial"/>
          <w:sz w:val="21"/>
          <w:szCs w:val="21"/>
        </w:rPr>
        <w:t xml:space="preserve">En la fase d'Investigació, la </w:t>
      </w:r>
      <w:r w:rsidRPr="00062EF0">
        <w:rPr>
          <w:rFonts w:ascii="Arial" w:hAnsi="Arial"/>
          <w:b/>
          <w:bCs/>
          <w:sz w:val="21"/>
          <w:szCs w:val="21"/>
        </w:rPr>
        <w:t xml:space="preserve">modificació de la normativa reguladora en aplicació de la Directiva (UE) 2019/1937, </w:t>
      </w:r>
      <w:r w:rsidRPr="00062EF0">
        <w:rPr>
          <w:rFonts w:ascii="Arial" w:hAnsi="Arial"/>
          <w:sz w:val="21"/>
          <w:szCs w:val="21"/>
        </w:rPr>
        <w:t>i la millora de capacitats del personal investigador i l'adaptació i consolidació de protocols interns.</w:t>
      </w:r>
    </w:p>
    <w:p w14:paraId="172F9A89" w14:textId="77777777" w:rsidR="00062EF0" w:rsidRPr="00062EF0" w:rsidRDefault="00062EF0" w:rsidP="00062EF0">
      <w:pPr>
        <w:numPr>
          <w:ilvl w:val="0"/>
          <w:numId w:val="58"/>
        </w:numPr>
        <w:spacing w:after="240" w:line="276" w:lineRule="auto"/>
        <w:jc w:val="both"/>
        <w:rPr>
          <w:rFonts w:ascii="Arial" w:hAnsi="Arial"/>
          <w:b/>
          <w:bCs/>
          <w:sz w:val="21"/>
          <w:szCs w:val="21"/>
        </w:rPr>
      </w:pPr>
      <w:r w:rsidRPr="00062EF0">
        <w:rPr>
          <w:rFonts w:ascii="Arial" w:hAnsi="Arial"/>
          <w:sz w:val="21"/>
          <w:szCs w:val="21"/>
        </w:rPr>
        <w:t xml:space="preserve">I en la fase de Sanció, la relació amb la </w:t>
      </w:r>
      <w:r w:rsidRPr="00062EF0">
        <w:rPr>
          <w:rFonts w:ascii="Arial" w:hAnsi="Arial"/>
          <w:b/>
          <w:bCs/>
          <w:sz w:val="21"/>
          <w:szCs w:val="21"/>
        </w:rPr>
        <w:t>Fiscalia Europea</w:t>
      </w:r>
      <w:r w:rsidRPr="00062EF0">
        <w:rPr>
          <w:rFonts w:ascii="Arial" w:hAnsi="Arial"/>
          <w:sz w:val="21"/>
          <w:szCs w:val="21"/>
        </w:rPr>
        <w:t xml:space="preserve">, difusió de la seua entrada en </w:t>
      </w:r>
      <w:r w:rsidRPr="00062EF0">
        <w:rPr>
          <w:rFonts w:ascii="Arial" w:hAnsi="Arial"/>
          <w:b/>
          <w:bCs/>
          <w:sz w:val="21"/>
          <w:szCs w:val="21"/>
        </w:rPr>
        <w:t>funcionament efectiu</w:t>
      </w:r>
      <w:r w:rsidRPr="00062EF0">
        <w:rPr>
          <w:rFonts w:ascii="Arial" w:hAnsi="Arial"/>
          <w:sz w:val="21"/>
          <w:szCs w:val="21"/>
        </w:rPr>
        <w:t xml:space="preserve">, </w:t>
      </w:r>
      <w:r w:rsidRPr="00062EF0">
        <w:rPr>
          <w:rFonts w:ascii="Arial" w:hAnsi="Arial"/>
          <w:b/>
          <w:bCs/>
          <w:sz w:val="21"/>
          <w:szCs w:val="21"/>
        </w:rPr>
        <w:t>resolució de consultes d'òrgans i entitats administratives i seguiment de casos judicialitzats.</w:t>
      </w:r>
    </w:p>
    <w:p w14:paraId="6A44A077" w14:textId="12356A22" w:rsidR="00F3528F" w:rsidRPr="00F3528F" w:rsidRDefault="00F3528F" w:rsidP="00F3528F">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F3528F">
        <w:rPr>
          <w:rFonts w:ascii="Arial" w:eastAsia="Times New Roman" w:hAnsi="Arial" w:cs="Arial"/>
          <w:b/>
          <w:color w:val="9D2235"/>
          <w:sz w:val="24"/>
          <w:szCs w:val="24"/>
        </w:rPr>
        <w:t>Índex de percepció de la corrupció 2021 segons Transparència Internacional</w:t>
      </w:r>
    </w:p>
    <w:p w14:paraId="01FEFFDD" w14:textId="77777777" w:rsidR="00F3528F" w:rsidRPr="00F3528F" w:rsidRDefault="00F3528F" w:rsidP="00F3528F">
      <w:pPr>
        <w:spacing w:after="240" w:line="276" w:lineRule="auto"/>
        <w:jc w:val="both"/>
        <w:rPr>
          <w:rFonts w:ascii="Arial" w:hAnsi="Arial"/>
          <w:b/>
          <w:bCs/>
          <w:sz w:val="21"/>
          <w:szCs w:val="21"/>
        </w:rPr>
      </w:pPr>
      <w:r w:rsidRPr="00F3528F">
        <w:rPr>
          <w:rFonts w:ascii="Arial" w:hAnsi="Arial"/>
          <w:sz w:val="21"/>
          <w:szCs w:val="21"/>
        </w:rPr>
        <w:t xml:space="preserve">En data 25 de gener de 2022, Transparència Internacional va fer públic l'Índex </w:t>
      </w:r>
      <w:hyperlink r:id="rId346" w:history="1">
        <w:r w:rsidRPr="00F3528F">
          <w:rPr>
            <w:rStyle w:val="Hipervnculo"/>
            <w:rFonts w:ascii="Arial" w:hAnsi="Arial"/>
            <w:sz w:val="21"/>
            <w:szCs w:val="21"/>
          </w:rPr>
          <w:t>de Percepció de la Corrupció 2021</w:t>
        </w:r>
      </w:hyperlink>
      <w:r w:rsidRPr="00F3528F">
        <w:rPr>
          <w:rFonts w:ascii="Arial" w:hAnsi="Arial"/>
          <w:b/>
          <w:bCs/>
          <w:sz w:val="21"/>
          <w:szCs w:val="21"/>
        </w:rPr>
        <w:t xml:space="preserve">. </w:t>
      </w:r>
    </w:p>
    <w:p w14:paraId="2EAA7536" w14:textId="77777777" w:rsidR="00F3528F" w:rsidRPr="00F3528F" w:rsidRDefault="00F3528F" w:rsidP="00F3528F">
      <w:pPr>
        <w:spacing w:after="240" w:line="276" w:lineRule="auto"/>
        <w:jc w:val="both"/>
        <w:rPr>
          <w:rFonts w:ascii="Arial" w:hAnsi="Arial"/>
          <w:sz w:val="21"/>
          <w:szCs w:val="21"/>
        </w:rPr>
      </w:pPr>
      <w:r w:rsidRPr="00F3528F">
        <w:rPr>
          <w:rFonts w:ascii="Arial" w:hAnsi="Arial"/>
          <w:sz w:val="21"/>
          <w:szCs w:val="21"/>
        </w:rPr>
        <w:t xml:space="preserve">Espanya obté una puntuació de 61 sobre 100 punts, el que implica la baixada d'un punt respecte del rànquing de l'any anterior (2020). D'aquesta manera, Espanya ocupa el lloc 34, en relació amb 180 països de tot el món. </w:t>
      </w:r>
    </w:p>
    <w:p w14:paraId="5C5F6DBD" w14:textId="77777777" w:rsidR="00F3528F" w:rsidRPr="00F3528F" w:rsidRDefault="00F3528F" w:rsidP="00F3528F">
      <w:pPr>
        <w:spacing w:after="240" w:line="276" w:lineRule="auto"/>
        <w:jc w:val="both"/>
        <w:rPr>
          <w:rFonts w:ascii="Arial" w:hAnsi="Arial"/>
          <w:sz w:val="21"/>
          <w:szCs w:val="21"/>
        </w:rPr>
      </w:pPr>
      <w:r w:rsidRPr="00F3528F">
        <w:rPr>
          <w:rFonts w:ascii="Arial" w:hAnsi="Arial"/>
          <w:sz w:val="21"/>
          <w:szCs w:val="21"/>
        </w:rPr>
        <w:t>Es recorda que l'escala de 0 a 100, que utilitza Transparència Internacional, correspon a valors on 0 significa corrupció molt elevada i el 100 significa lliure de corrupció.</w:t>
      </w:r>
    </w:p>
    <w:p w14:paraId="5401C353" w14:textId="77777777" w:rsidR="00F3528F" w:rsidRPr="00F3528F" w:rsidRDefault="00F3528F" w:rsidP="00F3528F">
      <w:pPr>
        <w:spacing w:after="240" w:line="276" w:lineRule="auto"/>
        <w:jc w:val="both"/>
        <w:rPr>
          <w:rFonts w:ascii="Arial" w:hAnsi="Arial"/>
          <w:sz w:val="21"/>
          <w:szCs w:val="21"/>
        </w:rPr>
      </w:pPr>
      <w:r w:rsidRPr="00F3528F">
        <w:rPr>
          <w:rFonts w:ascii="Arial" w:hAnsi="Arial"/>
          <w:sz w:val="21"/>
          <w:szCs w:val="21"/>
        </w:rPr>
        <w:t>La conclusió de Transparència Internacional respecte a l'evolució en els últims anys és evident. Segons les seues pròpies paraules “els nivells de corrupció estan estancats a tot el món” i Espanya és un clar exemple de la dinàmica que s'està desenvolupant en l'àmbit mundial.</w:t>
      </w:r>
    </w:p>
    <w:p w14:paraId="51019398" w14:textId="2347830D" w:rsidR="007908EA" w:rsidRPr="00960D23" w:rsidRDefault="007908EA" w:rsidP="00C77562">
      <w:pPr>
        <w:pStyle w:val="Prrafodelista"/>
        <w:keepNext/>
        <w:numPr>
          <w:ilvl w:val="1"/>
          <w:numId w:val="16"/>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103" w:name="_Toc99110704"/>
      <w:r w:rsidRPr="00960D23">
        <w:rPr>
          <w:rFonts w:ascii="Arial" w:eastAsia="Times New Roman" w:hAnsi="Arial" w:cs="Arial"/>
          <w:b/>
          <w:color w:val="9D2235"/>
          <w:sz w:val="32"/>
          <w:szCs w:val="32"/>
        </w:rPr>
        <w:t>Protecció de les persones denunciants, informadores o alertadoras de frau o corrupció</w:t>
      </w:r>
      <w:bookmarkEnd w:id="103"/>
    </w:p>
    <w:p w14:paraId="44880210" w14:textId="02D5CF29" w:rsidR="007908EA" w:rsidRPr="00960D23" w:rsidRDefault="007908EA" w:rsidP="00C77562">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r w:rsidRPr="00C77562">
        <w:rPr>
          <w:rFonts w:ascii="Arial" w:eastAsia="Times New Roman" w:hAnsi="Arial" w:cs="Arial"/>
          <w:b/>
          <w:color w:val="9D2235"/>
          <w:sz w:val="28"/>
          <w:szCs w:val="28"/>
        </w:rPr>
        <w:tab/>
      </w:r>
      <w:bookmarkStart w:id="104" w:name="_Toc99110705"/>
      <w:r w:rsidRPr="00960D23">
        <w:rPr>
          <w:rFonts w:ascii="Arial" w:eastAsia="Times New Roman" w:hAnsi="Arial" w:cs="Arial"/>
          <w:b/>
          <w:color w:val="9D2235"/>
          <w:sz w:val="28"/>
          <w:szCs w:val="28"/>
        </w:rPr>
        <w:t>Estatut de protecció</w:t>
      </w:r>
      <w:bookmarkEnd w:id="104"/>
    </w:p>
    <w:p w14:paraId="75F922DE"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 xml:space="preserve">La </w:t>
      </w:r>
      <w:hyperlink r:id="rId347" w:history="1">
        <w:r w:rsidRPr="00201E8E">
          <w:rPr>
            <w:rStyle w:val="Hipervnculo"/>
            <w:rFonts w:ascii="Arial" w:eastAsia="Times New Roman" w:hAnsi="Arial" w:cs="Arial"/>
            <w:bCs/>
            <w:sz w:val="21"/>
            <w:szCs w:val="21"/>
          </w:rPr>
          <w:t>Llei 11/2016, de 28 de novembre, de la Generalitat</w:t>
        </w:r>
      </w:hyperlink>
      <w:r w:rsidRPr="00201E8E">
        <w:rPr>
          <w:rFonts w:ascii="Arial" w:eastAsia="Times New Roman" w:hAnsi="Arial" w:cs="Arial"/>
          <w:bCs/>
          <w:sz w:val="21"/>
          <w:szCs w:val="21"/>
        </w:rPr>
        <w:t xml:space="preserve">, que crea i regula l’AVAF, presta especial atenció a les persones que decideixen informar, alertar o denunciar fets i conductes que pogueren constituir suposats de frau o corrupció. Així, la protecció a les persones denunciants es configura com un dels pilars fonamentals del funcionament i actuacions de l'Agència i es troba regulat en l'article 14 de la Llei 11/2016, així com en els articles 41 a 48 del </w:t>
      </w:r>
      <w:hyperlink r:id="rId348" w:history="1">
        <w:r w:rsidRPr="00201E8E">
          <w:rPr>
            <w:rStyle w:val="Hipervnculo"/>
            <w:rFonts w:ascii="Arial" w:eastAsia="Times New Roman" w:hAnsi="Arial" w:cs="Arial"/>
            <w:bCs/>
            <w:sz w:val="21"/>
            <w:szCs w:val="21"/>
          </w:rPr>
          <w:t>Reglament de funcionament i règim interior</w:t>
        </w:r>
      </w:hyperlink>
      <w:r w:rsidRPr="00201E8E">
        <w:rPr>
          <w:rFonts w:ascii="Arial" w:eastAsia="Times New Roman" w:hAnsi="Arial" w:cs="Arial"/>
          <w:bCs/>
          <w:sz w:val="21"/>
          <w:szCs w:val="21"/>
        </w:rPr>
        <w:t xml:space="preserve"> d'aquesta.</w:t>
      </w:r>
    </w:p>
    <w:p w14:paraId="465F5C38"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Dins d'aquest àmbit de protecció, les actuacions de l'Agència se centren en el desenvolupament de dues funcions essencials: l'assessorament jurídic i la protecció enfront de represàlies.</w:t>
      </w:r>
    </w:p>
    <w:p w14:paraId="62693A29"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 xml:space="preserve">El servei d'assessorament </w:t>
      </w:r>
      <w:r w:rsidRPr="00201E8E">
        <w:rPr>
          <w:rFonts w:ascii="Arial" w:eastAsia="Times New Roman" w:hAnsi="Arial" w:cs="Arial"/>
          <w:b/>
          <w:bCs/>
          <w:sz w:val="21"/>
          <w:szCs w:val="21"/>
        </w:rPr>
        <w:t>jurídic,</w:t>
      </w:r>
      <w:r w:rsidRPr="00201E8E">
        <w:rPr>
          <w:rFonts w:ascii="Arial" w:eastAsia="Times New Roman" w:hAnsi="Arial" w:cs="Arial"/>
          <w:bCs/>
          <w:sz w:val="21"/>
          <w:szCs w:val="21"/>
        </w:rPr>
        <w:t xml:space="preserve"> de caràcter gratuït i confidencial, és prestat per l'Agència a qualsevol persona denunciant de bona fe en relació amb els fets denunciats, la qual cosa permet impulsar la denúncia, redirigir-la a altres òrgans o autoritats competents i fins i tot evitar la presentació de denúncies infundades. Aquest assessorament es proporciona amb independència que s'hi haja o no concedit l'estatut de protecció.</w:t>
      </w:r>
    </w:p>
    <w:p w14:paraId="0194DB89"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 xml:space="preserve">Per part seua, la concessió de l'estatut </w:t>
      </w:r>
      <w:r w:rsidRPr="00201E8E">
        <w:rPr>
          <w:rFonts w:ascii="Arial" w:eastAsia="Times New Roman" w:hAnsi="Arial" w:cs="Arial"/>
          <w:b/>
          <w:bCs/>
          <w:sz w:val="21"/>
          <w:szCs w:val="21"/>
        </w:rPr>
        <w:t>de protecció de persona denunciant</w:t>
      </w:r>
      <w:r w:rsidRPr="00201E8E">
        <w:rPr>
          <w:rFonts w:ascii="Arial" w:eastAsia="Times New Roman" w:hAnsi="Arial" w:cs="Arial"/>
          <w:bCs/>
          <w:sz w:val="21"/>
          <w:szCs w:val="21"/>
        </w:rPr>
        <w:t xml:space="preserve"> s'inicia a petició de la persona interessada, la qual cosa dona lloc a un procediment en el qual l'Agència valora què és el que s'ha denunciat, perquè i perquè se sol·licita la protecció. </w:t>
      </w:r>
    </w:p>
    <w:p w14:paraId="6E039E59"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 xml:space="preserve">En relació amb </w:t>
      </w:r>
      <w:r w:rsidRPr="00201E8E">
        <w:rPr>
          <w:rFonts w:ascii="Arial" w:eastAsia="Times New Roman" w:hAnsi="Arial" w:cs="Arial"/>
          <w:b/>
          <w:bCs/>
          <w:sz w:val="21"/>
          <w:szCs w:val="21"/>
        </w:rPr>
        <w:t>què és</w:t>
      </w:r>
      <w:r w:rsidRPr="00201E8E">
        <w:rPr>
          <w:rFonts w:ascii="Arial" w:eastAsia="Times New Roman" w:hAnsi="Arial" w:cs="Arial"/>
          <w:bCs/>
          <w:sz w:val="21"/>
          <w:szCs w:val="21"/>
        </w:rPr>
        <w:t xml:space="preserve"> el que s'ha denunciat, es comprova si l'assumpte es troba dins de l'àmbit subjectiu d'actuació de l'Agència, previst en l'article 3 de la Llei 11/2016, entre altres, l'administració autonòmica i les entitats locals radicades en la Comunitat Valenciana, les universitats públiques valencianes, les entitats vinculades o dependents de totes les anteriors, els partits polítics, les organitzacions sindicals i les organitzacions empresarials, així com els contractistes i perceptors de subvencions públiques. </w:t>
      </w:r>
    </w:p>
    <w:p w14:paraId="4BB43CED"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 xml:space="preserve">Així mateix, s'estudia si la denúncia afecta l'interés públic i si s'inclou en l'àmbit material de l'Agència, concretat en la </w:t>
      </w:r>
      <w:hyperlink r:id="rId349" w:history="1">
        <w:r w:rsidRPr="00201E8E">
          <w:rPr>
            <w:rStyle w:val="Hipervnculo"/>
            <w:rFonts w:ascii="Arial" w:eastAsia="Times New Roman" w:hAnsi="Arial" w:cs="Arial"/>
            <w:bCs/>
            <w:sz w:val="21"/>
            <w:szCs w:val="21"/>
          </w:rPr>
          <w:t>Resolució núm. 424/2020, de 5 d'octubre, del director de l'Agència</w:t>
        </w:r>
      </w:hyperlink>
      <w:r w:rsidRPr="00201E8E">
        <w:rPr>
          <w:rFonts w:ascii="Arial" w:eastAsia="Times New Roman" w:hAnsi="Arial" w:cs="Arial"/>
          <w:bCs/>
          <w:sz w:val="21"/>
          <w:szCs w:val="21"/>
        </w:rPr>
        <w:t>, analitzant-se si la mateixa té l'aire de versemblança, si l'actuació denunciada és aparentment il·legal i si se centra en algun dels àmbits de control del sector públic, els seus procediments i la despesa, competència de l’AVAF, com són, entre altres: contractació pública, accés a la funció pública i gestió de personal, subvencions, patrimoni públic i urbanisme, i altres serveis públics (com els socials, la sanitat o la seguretat).</w:t>
      </w:r>
    </w:p>
    <w:p w14:paraId="6F42C3A4"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 xml:space="preserve">En relació amb el </w:t>
      </w:r>
      <w:r w:rsidRPr="00201E8E">
        <w:rPr>
          <w:rFonts w:ascii="Arial" w:eastAsia="Times New Roman" w:hAnsi="Arial" w:cs="Arial"/>
          <w:b/>
          <w:bCs/>
          <w:sz w:val="21"/>
          <w:szCs w:val="21"/>
        </w:rPr>
        <w:t>perquè</w:t>
      </w:r>
      <w:r w:rsidRPr="00201E8E">
        <w:rPr>
          <w:rFonts w:ascii="Arial" w:eastAsia="Times New Roman" w:hAnsi="Arial" w:cs="Arial"/>
          <w:bCs/>
          <w:sz w:val="21"/>
          <w:szCs w:val="21"/>
        </w:rPr>
        <w:t xml:space="preserve"> se sol·licita la protecció, l’AVAF examina la concurrència de quatre elements, a saber:</w:t>
      </w:r>
    </w:p>
    <w:p w14:paraId="2B284D4F" w14:textId="77777777" w:rsidR="00201E8E" w:rsidRPr="00201E8E" w:rsidRDefault="00201E8E" w:rsidP="00201E8E">
      <w:pPr>
        <w:numPr>
          <w:ilvl w:val="0"/>
          <w:numId w:val="50"/>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 xml:space="preserve">L'element </w:t>
      </w:r>
      <w:r w:rsidRPr="00201E8E">
        <w:rPr>
          <w:rFonts w:ascii="Arial" w:eastAsia="Times New Roman" w:hAnsi="Arial" w:cs="Arial"/>
          <w:b/>
          <w:bCs/>
          <w:sz w:val="21"/>
          <w:szCs w:val="21"/>
        </w:rPr>
        <w:t>objectiu</w:t>
      </w:r>
      <w:r w:rsidRPr="00201E8E">
        <w:rPr>
          <w:rFonts w:ascii="Arial" w:eastAsia="Times New Roman" w:hAnsi="Arial" w:cs="Arial"/>
          <w:bCs/>
          <w:sz w:val="21"/>
          <w:szCs w:val="21"/>
        </w:rPr>
        <w:t xml:space="preserve"> és l'existència d'un perjudici o mal a la persona denunciant, de caràcter injustificat, cert o imminent, real o potencial.</w:t>
      </w:r>
    </w:p>
    <w:p w14:paraId="302A8DAC" w14:textId="77777777" w:rsidR="00201E8E" w:rsidRPr="00201E8E" w:rsidRDefault="00201E8E" w:rsidP="00201E8E">
      <w:pPr>
        <w:numPr>
          <w:ilvl w:val="0"/>
          <w:numId w:val="50"/>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 xml:space="preserve">L'element </w:t>
      </w:r>
      <w:r w:rsidRPr="00201E8E">
        <w:rPr>
          <w:rFonts w:ascii="Arial" w:eastAsia="Times New Roman" w:hAnsi="Arial" w:cs="Arial"/>
          <w:b/>
          <w:bCs/>
          <w:sz w:val="21"/>
          <w:szCs w:val="21"/>
        </w:rPr>
        <w:t>subjectiu</w:t>
      </w:r>
      <w:r w:rsidRPr="00201E8E">
        <w:rPr>
          <w:rFonts w:ascii="Arial" w:eastAsia="Times New Roman" w:hAnsi="Arial" w:cs="Arial"/>
          <w:bCs/>
          <w:sz w:val="21"/>
          <w:szCs w:val="21"/>
        </w:rPr>
        <w:t xml:space="preserve"> presenta un doble aspecte: la intencionalitat o ànim lesiu del represaliador, després de l'anunci de la denúncia o la seua interposició, i la posició de vulnerabilitat (o inferioritat) de la persona denunciant.</w:t>
      </w:r>
    </w:p>
    <w:p w14:paraId="22015B39" w14:textId="77777777" w:rsidR="00201E8E" w:rsidRPr="00201E8E" w:rsidRDefault="00201E8E" w:rsidP="00201E8E">
      <w:pPr>
        <w:numPr>
          <w:ilvl w:val="0"/>
          <w:numId w:val="50"/>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 xml:space="preserve">L'existència d'una </w:t>
      </w:r>
      <w:r w:rsidRPr="00201E8E">
        <w:rPr>
          <w:rFonts w:ascii="Arial" w:eastAsia="Times New Roman" w:hAnsi="Arial" w:cs="Arial"/>
          <w:b/>
          <w:bCs/>
          <w:sz w:val="21"/>
          <w:szCs w:val="21"/>
        </w:rPr>
        <w:t>relació de causa a efecte</w:t>
      </w:r>
      <w:r w:rsidRPr="00201E8E">
        <w:rPr>
          <w:rFonts w:ascii="Arial" w:eastAsia="Times New Roman" w:hAnsi="Arial" w:cs="Arial"/>
          <w:bCs/>
          <w:sz w:val="21"/>
          <w:szCs w:val="21"/>
        </w:rPr>
        <w:t xml:space="preserve"> entre la denúncia, això és la informació que es proporciona o l'alerta, i la represàlia.</w:t>
      </w:r>
    </w:p>
    <w:p w14:paraId="34EDAB54" w14:textId="77777777" w:rsidR="00201E8E" w:rsidRPr="00201E8E" w:rsidRDefault="00201E8E" w:rsidP="00201E8E">
      <w:pPr>
        <w:numPr>
          <w:ilvl w:val="0"/>
          <w:numId w:val="50"/>
        </w:num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 xml:space="preserve">I l'element </w:t>
      </w:r>
      <w:r w:rsidRPr="00201E8E">
        <w:rPr>
          <w:rFonts w:ascii="Arial" w:eastAsia="Times New Roman" w:hAnsi="Arial" w:cs="Arial"/>
          <w:b/>
          <w:bCs/>
          <w:sz w:val="21"/>
          <w:szCs w:val="21"/>
        </w:rPr>
        <w:t>temporal</w:t>
      </w:r>
      <w:r w:rsidRPr="00201E8E">
        <w:rPr>
          <w:rFonts w:ascii="Arial" w:eastAsia="Times New Roman" w:hAnsi="Arial" w:cs="Arial"/>
          <w:bCs/>
          <w:sz w:val="21"/>
          <w:szCs w:val="21"/>
        </w:rPr>
        <w:t>, referit al moment en el qual sorgeix la conducta represaliadora, que és sempre posterior o coetània en el temps a la denúncia.</w:t>
      </w:r>
    </w:p>
    <w:p w14:paraId="53683806" w14:textId="5913FEB4"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 xml:space="preserve">Finalment, s'analitza també en el procediment per a l'atorgament de l'estatut de protecció de persona denunciant el </w:t>
      </w:r>
      <w:r w:rsidRPr="00201E8E">
        <w:rPr>
          <w:rFonts w:ascii="Arial" w:eastAsia="Times New Roman" w:hAnsi="Arial" w:cs="Arial"/>
          <w:b/>
          <w:bCs/>
          <w:sz w:val="21"/>
          <w:szCs w:val="21"/>
        </w:rPr>
        <w:t>per a què</w:t>
      </w:r>
      <w:r w:rsidRPr="00201E8E">
        <w:rPr>
          <w:rFonts w:ascii="Arial" w:eastAsia="Times New Roman" w:hAnsi="Arial" w:cs="Arial"/>
          <w:bCs/>
          <w:sz w:val="21"/>
          <w:szCs w:val="21"/>
        </w:rPr>
        <w:t>, per a què</w:t>
      </w:r>
      <w:r w:rsidRPr="00201E8E">
        <w:rPr>
          <w:rFonts w:ascii="Arial" w:eastAsia="Times New Roman" w:hAnsi="Arial" w:cs="Arial"/>
          <w:b/>
          <w:bCs/>
          <w:sz w:val="21"/>
          <w:szCs w:val="21"/>
        </w:rPr>
        <w:t xml:space="preserve"> </w:t>
      </w:r>
      <w:r w:rsidRPr="00201E8E">
        <w:rPr>
          <w:rFonts w:ascii="Arial" w:eastAsia="Times New Roman" w:hAnsi="Arial" w:cs="Arial"/>
          <w:bCs/>
          <w:sz w:val="21"/>
          <w:szCs w:val="21"/>
        </w:rPr>
        <w:t xml:space="preserve">se sol·licita la protecció, </w:t>
      </w:r>
      <w:r w:rsidR="00481AB2" w:rsidRPr="00481AB2">
        <w:rPr>
          <w:rFonts w:ascii="Arial" w:eastAsia="Times New Roman" w:hAnsi="Arial" w:cs="Arial"/>
          <w:bCs/>
          <w:sz w:val="21"/>
          <w:szCs w:val="21"/>
        </w:rPr>
        <w:t>perquè s'ha de subratllar</w:t>
      </w:r>
      <w:r w:rsidR="00481AB2">
        <w:rPr>
          <w:rFonts w:ascii="Arial" w:eastAsia="Times New Roman" w:hAnsi="Arial" w:cs="Arial"/>
          <w:bCs/>
          <w:sz w:val="21"/>
          <w:szCs w:val="21"/>
        </w:rPr>
        <w:t xml:space="preserve"> </w:t>
      </w:r>
      <w:r w:rsidRPr="00201E8E">
        <w:rPr>
          <w:rFonts w:ascii="Arial" w:eastAsia="Times New Roman" w:hAnsi="Arial" w:cs="Arial"/>
          <w:bCs/>
          <w:sz w:val="21"/>
          <w:szCs w:val="21"/>
        </w:rPr>
        <w:t>que la resolució de l'Agència que atorga aquest estatut suposa el desplegament d'una sèrie d'actuacions i mesures dirigides a fer efectiva aquesta labor protectora; labor gens fàcil, dins del nostre sistema de Dret i enfront dels qui estan establits en el mateix en una situació de poder o autoritat.</w:t>
      </w:r>
    </w:p>
    <w:p w14:paraId="32BAA6D4"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L’AVAF vela perquè les persones que denuncien no patisquen, durant la investigació ni després d'ella, cap mena d'aïllament, persecució o empitjorament de les condicions laborals o professionals, ni cap mena de mesura que implique qualsevol forma de perjudici o discriminació.</w:t>
      </w:r>
    </w:p>
    <w:p w14:paraId="1616920B"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L'atorgament de l'estatut de protecció a la persona denunciant aparella una sèrie de drets per a la persona protegida, i també deures i responsabilitats.</w:t>
      </w:r>
    </w:p>
    <w:p w14:paraId="003BE890"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Les persones que denuncien han de tindre dret:</w:t>
      </w:r>
    </w:p>
    <w:p w14:paraId="100C77F4" w14:textId="77777777" w:rsidR="00201E8E" w:rsidRPr="00201E8E" w:rsidRDefault="00201E8E" w:rsidP="0061495F">
      <w:pPr>
        <w:numPr>
          <w:ilvl w:val="0"/>
          <w:numId w:val="77"/>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D'assessoria legal.</w:t>
      </w:r>
    </w:p>
    <w:p w14:paraId="49628B89" w14:textId="77777777" w:rsidR="00201E8E" w:rsidRPr="00201E8E" w:rsidRDefault="00201E8E" w:rsidP="0061495F">
      <w:pPr>
        <w:numPr>
          <w:ilvl w:val="0"/>
          <w:numId w:val="77"/>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Al fet que la seua denúncia no supose l'al·legació de la infracció del deure de sigil.</w:t>
      </w:r>
    </w:p>
    <w:p w14:paraId="648FE622" w14:textId="77777777" w:rsidR="00201E8E" w:rsidRPr="00201E8E" w:rsidRDefault="00201E8E" w:rsidP="0061495F">
      <w:pPr>
        <w:numPr>
          <w:ilvl w:val="0"/>
          <w:numId w:val="77"/>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Al coneixement de l'estat de la tramitació de la seua denúncia i els resultats de la investigació.</w:t>
      </w:r>
    </w:p>
    <w:p w14:paraId="7F7C90D2" w14:textId="77777777" w:rsidR="00201E8E" w:rsidRPr="00201E8E" w:rsidRDefault="00201E8E" w:rsidP="0061495F">
      <w:pPr>
        <w:numPr>
          <w:ilvl w:val="0"/>
          <w:numId w:val="77"/>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A l'atenció i suport psicològic.</w:t>
      </w:r>
    </w:p>
    <w:p w14:paraId="68CCCCC3" w14:textId="77777777" w:rsidR="00201E8E" w:rsidRPr="00201E8E" w:rsidRDefault="00201E8E" w:rsidP="0061495F">
      <w:pPr>
        <w:numPr>
          <w:ilvl w:val="0"/>
          <w:numId w:val="77"/>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A al·legar en el seu descàrrec, en qualsevol procés que se seguisca en contra seua, haver presentat una denúncia o haver revelat determinada informació.</w:t>
      </w:r>
    </w:p>
    <w:p w14:paraId="13D83414" w14:textId="77777777" w:rsidR="00201E8E" w:rsidRPr="00201E8E" w:rsidRDefault="00201E8E" w:rsidP="0061495F">
      <w:pPr>
        <w:numPr>
          <w:ilvl w:val="0"/>
          <w:numId w:val="77"/>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A la inversió de la càrrega de la prova en cas que es produïsquen represàlies, corresponent al represaliador que la mesura presa respecte del denunciant no és conseqüència de la denúncia interposada.</w:t>
      </w:r>
    </w:p>
    <w:p w14:paraId="68529192" w14:textId="77777777" w:rsidR="00201E8E" w:rsidRPr="00201E8E" w:rsidRDefault="00201E8E" w:rsidP="0061495F">
      <w:pPr>
        <w:numPr>
          <w:ilvl w:val="0"/>
          <w:numId w:val="77"/>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A la indemnització dels danys i perjudicis causats, també els danys morals.</w:t>
      </w:r>
    </w:p>
    <w:p w14:paraId="42A7719E" w14:textId="77777777" w:rsidR="00201E8E" w:rsidRPr="00201E8E" w:rsidRDefault="00201E8E" w:rsidP="0061495F">
      <w:pPr>
        <w:numPr>
          <w:ilvl w:val="0"/>
          <w:numId w:val="77"/>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A la seua indemnitat laboral.</w:t>
      </w:r>
    </w:p>
    <w:p w14:paraId="2CBEA399" w14:textId="77777777" w:rsidR="00201E8E" w:rsidRPr="00201E8E" w:rsidRDefault="00201E8E" w:rsidP="0061495F">
      <w:pPr>
        <w:numPr>
          <w:ilvl w:val="0"/>
          <w:numId w:val="77"/>
        </w:num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I a la seua seguretat personal i familiar.</w:t>
      </w:r>
    </w:p>
    <w:p w14:paraId="43CDC55B"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Al mateix temps, la persona denunciant deu:</w:t>
      </w:r>
    </w:p>
    <w:p w14:paraId="027C5626" w14:textId="77777777" w:rsidR="00201E8E" w:rsidRPr="00201E8E" w:rsidRDefault="00201E8E" w:rsidP="0061495F">
      <w:pPr>
        <w:numPr>
          <w:ilvl w:val="0"/>
          <w:numId w:val="78"/>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Actuar de bona fe, entesa aquesta com la creença racional que la informació revelada és una certa i que amb la denúncia actua en llaures a salvaguardar el bé comú.</w:t>
      </w:r>
    </w:p>
    <w:p w14:paraId="7701914B" w14:textId="77777777" w:rsidR="00201E8E" w:rsidRPr="00201E8E" w:rsidRDefault="00201E8E" w:rsidP="0061495F">
      <w:pPr>
        <w:numPr>
          <w:ilvl w:val="0"/>
          <w:numId w:val="78"/>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Col·laborar en la investigació.</w:t>
      </w:r>
    </w:p>
    <w:p w14:paraId="122FF1DF" w14:textId="77777777" w:rsidR="00201E8E" w:rsidRPr="00201E8E" w:rsidRDefault="00201E8E" w:rsidP="0061495F">
      <w:pPr>
        <w:numPr>
          <w:ilvl w:val="0"/>
          <w:numId w:val="78"/>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La seua protecció no li eximeix de les responsabilitats en què haja pogut incórrer per fets diferents.</w:t>
      </w:r>
    </w:p>
    <w:p w14:paraId="545EB9B9" w14:textId="77777777" w:rsidR="00201E8E" w:rsidRPr="00201E8E" w:rsidRDefault="00201E8E" w:rsidP="0061495F">
      <w:pPr>
        <w:numPr>
          <w:ilvl w:val="0"/>
          <w:numId w:val="78"/>
        </w:numPr>
        <w:spacing w:after="120" w:line="276" w:lineRule="auto"/>
        <w:ind w:left="714" w:hanging="357"/>
        <w:jc w:val="both"/>
        <w:rPr>
          <w:rFonts w:ascii="Arial" w:eastAsia="Times New Roman" w:hAnsi="Arial" w:cs="Arial"/>
          <w:bCs/>
          <w:sz w:val="21"/>
          <w:szCs w:val="21"/>
        </w:rPr>
      </w:pPr>
      <w:r w:rsidRPr="00201E8E">
        <w:rPr>
          <w:rFonts w:ascii="Arial" w:eastAsia="Times New Roman" w:hAnsi="Arial" w:cs="Arial"/>
          <w:bCs/>
          <w:sz w:val="21"/>
          <w:szCs w:val="21"/>
        </w:rPr>
        <w:t>En el cas que la denúncia revele informació falsa, tergiversada o obtinguda il·lícitament, respondre en l'ordre penal, civil o disciplinari, i també davant l’AVAF perquè això pot ser constitutiu de falta molt greu.</w:t>
      </w:r>
    </w:p>
    <w:p w14:paraId="5107D382" w14:textId="77777777" w:rsidR="00201E8E" w:rsidRPr="00201E8E" w:rsidRDefault="00201E8E" w:rsidP="0061495F">
      <w:pPr>
        <w:numPr>
          <w:ilvl w:val="0"/>
          <w:numId w:val="78"/>
        </w:num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Si es tracta de personal funcionari, té a més els deures que imposa l'Estatut Bàsic dels empleats públics, i els principis ètics i de conducta (en els seus articles 52 a 54 del Reial decret legislatiu 5/2015, de 30 d'octubre, pel qual s'aprova el text refós de la Llei de l'Estatut Bàsic de l'Empleat públic).</w:t>
      </w:r>
    </w:p>
    <w:p w14:paraId="18AAC392"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Amb l'atorgament de l'estatut de protecció a la persona denunciant li correspon a l'Agència realitzar una activitat continuada de seguiment i vigilància personalitzada, cas per cas, que difereix segons les característiques i necessitats, la situació i les circumstàncies de cada persona.</w:t>
      </w:r>
    </w:p>
    <w:p w14:paraId="06CC2BF4" w14:textId="77777777" w:rsidR="00201E8E" w:rsidRPr="00201E8E" w:rsidRDefault="00201E8E" w:rsidP="00201E8E">
      <w:pPr>
        <w:spacing w:after="240" w:line="276" w:lineRule="auto"/>
        <w:jc w:val="both"/>
        <w:rPr>
          <w:rFonts w:ascii="Arial" w:eastAsia="Times New Roman" w:hAnsi="Arial" w:cs="Arial"/>
          <w:bCs/>
          <w:sz w:val="21"/>
          <w:szCs w:val="21"/>
        </w:rPr>
      </w:pPr>
      <w:r w:rsidRPr="00201E8E">
        <w:rPr>
          <w:rFonts w:ascii="Arial" w:eastAsia="Times New Roman" w:hAnsi="Arial" w:cs="Arial"/>
          <w:bCs/>
          <w:sz w:val="21"/>
          <w:szCs w:val="21"/>
        </w:rPr>
        <w:t>En concret, el seguiment de la protecció de la persona denunciant es tradueix en el desenvolupament d'una bateria de mesures, entre les quals destaquen:</w:t>
      </w:r>
    </w:p>
    <w:p w14:paraId="75C2290C" w14:textId="77777777" w:rsidR="00201E8E" w:rsidRPr="00201E8E" w:rsidRDefault="00201E8E" w:rsidP="001B23DE">
      <w:pPr>
        <w:numPr>
          <w:ilvl w:val="0"/>
          <w:numId w:val="79"/>
        </w:numPr>
        <w:spacing w:after="120" w:line="276" w:lineRule="auto"/>
        <w:ind w:left="709" w:hanging="357"/>
        <w:jc w:val="both"/>
        <w:rPr>
          <w:rFonts w:ascii="Arial" w:eastAsia="Times New Roman" w:hAnsi="Arial" w:cs="Arial"/>
          <w:bCs/>
          <w:sz w:val="21"/>
          <w:szCs w:val="21"/>
        </w:rPr>
      </w:pPr>
      <w:r w:rsidRPr="00201E8E">
        <w:rPr>
          <w:rFonts w:ascii="Arial" w:eastAsia="Times New Roman" w:hAnsi="Arial" w:cs="Arial"/>
          <w:bCs/>
          <w:sz w:val="21"/>
          <w:szCs w:val="21"/>
        </w:rPr>
        <w:t>L'assessorament jurídic, pròpiament dit, a la persona protegida i als seus superiors o persones del seu entorn en el context laboral i familiar.</w:t>
      </w:r>
    </w:p>
    <w:p w14:paraId="046B0B1E" w14:textId="77777777" w:rsidR="00201E8E" w:rsidRPr="00201E8E" w:rsidRDefault="00201E8E" w:rsidP="001B23DE">
      <w:pPr>
        <w:numPr>
          <w:ilvl w:val="0"/>
          <w:numId w:val="79"/>
        </w:numPr>
        <w:spacing w:after="120" w:line="276" w:lineRule="auto"/>
        <w:ind w:left="709" w:hanging="357"/>
        <w:jc w:val="both"/>
        <w:rPr>
          <w:rFonts w:ascii="Arial" w:eastAsia="Times New Roman" w:hAnsi="Arial" w:cs="Arial"/>
          <w:bCs/>
          <w:sz w:val="21"/>
          <w:szCs w:val="21"/>
        </w:rPr>
      </w:pPr>
      <w:r w:rsidRPr="00201E8E">
        <w:rPr>
          <w:rFonts w:ascii="Arial" w:eastAsia="Times New Roman" w:hAnsi="Arial" w:cs="Arial"/>
          <w:bCs/>
          <w:sz w:val="21"/>
          <w:szCs w:val="21"/>
        </w:rPr>
        <w:t>Si es detecten indicis de represàlia, s'efectuen requeriments dirigits a les administracions públiques o entitats en les quals la persona denunciant o alertadora presta els seus serveis, corresponent a aquelles provar que la pertorbació no és conseqüència de la denúncia o informació proporcionada; és a dir, s'atén la inversió de la càrrega de la prova.</w:t>
      </w:r>
    </w:p>
    <w:p w14:paraId="32CE5797" w14:textId="77777777" w:rsidR="00201E8E" w:rsidRPr="00201E8E" w:rsidRDefault="00201E8E" w:rsidP="001B23DE">
      <w:pPr>
        <w:numPr>
          <w:ilvl w:val="0"/>
          <w:numId w:val="79"/>
        </w:numPr>
        <w:spacing w:after="120" w:line="276" w:lineRule="auto"/>
        <w:ind w:left="709" w:hanging="357"/>
        <w:jc w:val="both"/>
        <w:rPr>
          <w:rFonts w:ascii="Arial" w:eastAsia="Times New Roman" w:hAnsi="Arial" w:cs="Arial"/>
          <w:bCs/>
          <w:sz w:val="21"/>
          <w:szCs w:val="21"/>
        </w:rPr>
      </w:pPr>
      <w:r w:rsidRPr="00201E8E">
        <w:rPr>
          <w:rFonts w:ascii="Arial" w:eastAsia="Times New Roman" w:hAnsi="Arial" w:cs="Arial"/>
          <w:bCs/>
          <w:sz w:val="21"/>
          <w:szCs w:val="21"/>
        </w:rPr>
        <w:t>També es realitzen propostes i recomanacions, tant a denunciants com al seu entorn i superiors.</w:t>
      </w:r>
    </w:p>
    <w:p w14:paraId="5CC35216" w14:textId="77777777" w:rsidR="00201E8E" w:rsidRPr="00201E8E" w:rsidRDefault="00201E8E" w:rsidP="001B23DE">
      <w:pPr>
        <w:numPr>
          <w:ilvl w:val="0"/>
          <w:numId w:val="79"/>
        </w:numPr>
        <w:spacing w:after="120" w:line="276" w:lineRule="auto"/>
        <w:ind w:left="709" w:hanging="357"/>
        <w:jc w:val="both"/>
        <w:rPr>
          <w:rFonts w:ascii="Arial" w:eastAsia="Times New Roman" w:hAnsi="Arial" w:cs="Arial"/>
          <w:bCs/>
          <w:sz w:val="21"/>
          <w:szCs w:val="21"/>
        </w:rPr>
      </w:pPr>
      <w:r w:rsidRPr="00201E8E">
        <w:rPr>
          <w:rFonts w:ascii="Arial" w:eastAsia="Times New Roman" w:hAnsi="Arial" w:cs="Arial"/>
          <w:bCs/>
          <w:sz w:val="21"/>
          <w:szCs w:val="21"/>
        </w:rPr>
        <w:t>L'acompanyament i preparació de declaracions testificals, que es realitzen davant òrgans judicials penals, on es tramiten les causes proporcionant informació que en la majoria de les ocasions és clau per a la investigació.</w:t>
      </w:r>
    </w:p>
    <w:p w14:paraId="0FAC4AAE" w14:textId="77777777" w:rsidR="00201E8E" w:rsidRPr="00201E8E" w:rsidRDefault="00201E8E" w:rsidP="001B23DE">
      <w:pPr>
        <w:numPr>
          <w:ilvl w:val="0"/>
          <w:numId w:val="79"/>
        </w:numPr>
        <w:spacing w:after="120" w:line="276" w:lineRule="auto"/>
        <w:ind w:left="709" w:hanging="357"/>
        <w:jc w:val="both"/>
        <w:rPr>
          <w:rFonts w:ascii="Arial" w:eastAsia="Times New Roman" w:hAnsi="Arial" w:cs="Arial"/>
          <w:bCs/>
          <w:sz w:val="21"/>
          <w:szCs w:val="21"/>
        </w:rPr>
      </w:pPr>
      <w:r w:rsidRPr="00201E8E">
        <w:rPr>
          <w:rFonts w:ascii="Arial" w:eastAsia="Times New Roman" w:hAnsi="Arial" w:cs="Arial"/>
          <w:bCs/>
          <w:sz w:val="21"/>
          <w:szCs w:val="21"/>
        </w:rPr>
        <w:t>L'emissió d'informes tècnics a sol·licitud Ministeri fiscal o autoritat judicial en procediments judicials en els quals és part la persona protegida.</w:t>
      </w:r>
    </w:p>
    <w:p w14:paraId="7035DD5B" w14:textId="28686B26" w:rsidR="00201E8E" w:rsidRPr="00201E8E" w:rsidRDefault="00201E8E" w:rsidP="001B23DE">
      <w:pPr>
        <w:numPr>
          <w:ilvl w:val="0"/>
          <w:numId w:val="79"/>
        </w:numPr>
        <w:spacing w:after="120" w:line="276" w:lineRule="auto"/>
        <w:ind w:left="709" w:hanging="357"/>
        <w:jc w:val="both"/>
        <w:rPr>
          <w:rFonts w:ascii="Arial" w:eastAsia="Times New Roman" w:hAnsi="Arial" w:cs="Arial"/>
          <w:bCs/>
          <w:sz w:val="21"/>
          <w:szCs w:val="21"/>
        </w:rPr>
      </w:pPr>
      <w:r w:rsidRPr="00201E8E">
        <w:rPr>
          <w:rFonts w:ascii="Arial" w:eastAsia="Times New Roman" w:hAnsi="Arial" w:cs="Arial"/>
          <w:bCs/>
          <w:sz w:val="21"/>
          <w:szCs w:val="21"/>
        </w:rPr>
        <w:t>La imposició de sancions.</w:t>
      </w:r>
    </w:p>
    <w:p w14:paraId="48E35B5C" w14:textId="09DF8AEC" w:rsidR="00201E8E" w:rsidRPr="00201E8E" w:rsidRDefault="00201E8E" w:rsidP="001B23DE">
      <w:pPr>
        <w:numPr>
          <w:ilvl w:val="0"/>
          <w:numId w:val="79"/>
        </w:numPr>
        <w:spacing w:after="120" w:line="276" w:lineRule="auto"/>
        <w:ind w:left="709"/>
        <w:jc w:val="both"/>
        <w:rPr>
          <w:rFonts w:ascii="Arial" w:eastAsia="Times New Roman" w:hAnsi="Arial" w:cs="Arial"/>
          <w:bCs/>
          <w:sz w:val="21"/>
          <w:szCs w:val="21"/>
        </w:rPr>
      </w:pPr>
      <w:r w:rsidRPr="00201E8E">
        <w:rPr>
          <w:rFonts w:ascii="Arial" w:eastAsia="Times New Roman" w:hAnsi="Arial" w:cs="Arial"/>
          <w:bCs/>
          <w:sz w:val="21"/>
          <w:szCs w:val="21"/>
        </w:rPr>
        <w:t>En definitiva, qualsevol altra acció que es puga requerir a fi d'evitar conductes d'assetjament i fustigació (declaracions, entrevistes, actuacions de mediació, etc.).</w:t>
      </w:r>
    </w:p>
    <w:p w14:paraId="30C40378" w14:textId="27C3EFD7" w:rsidR="007908EA" w:rsidRPr="001B23DE" w:rsidRDefault="007908EA" w:rsidP="00960D23">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05" w:name="_Toc99110706"/>
      <w:r w:rsidRPr="001B23DE">
        <w:rPr>
          <w:rFonts w:ascii="Arial" w:eastAsia="Times New Roman" w:hAnsi="Arial" w:cs="Arial"/>
          <w:b/>
          <w:color w:val="9D2235"/>
          <w:sz w:val="28"/>
          <w:szCs w:val="28"/>
        </w:rPr>
        <w:t>Seguiment de la protecció de les persones denunciants</w:t>
      </w:r>
      <w:bookmarkEnd w:id="105"/>
    </w:p>
    <w:p w14:paraId="2FC58411" w14:textId="77777777" w:rsidR="001B23DE" w:rsidRPr="001B23DE" w:rsidRDefault="001B23DE" w:rsidP="001B23DE">
      <w:pPr>
        <w:spacing w:after="240" w:line="276" w:lineRule="auto"/>
        <w:jc w:val="both"/>
        <w:rPr>
          <w:rFonts w:ascii="Arial" w:hAnsi="Arial"/>
          <w:sz w:val="21"/>
          <w:szCs w:val="21"/>
        </w:rPr>
      </w:pPr>
      <w:r w:rsidRPr="001B23DE">
        <w:rPr>
          <w:rFonts w:ascii="Arial" w:hAnsi="Arial"/>
          <w:sz w:val="21"/>
          <w:szCs w:val="21"/>
        </w:rPr>
        <w:t xml:space="preserve">La resolució de l'Agència atorgant l'estatut de protecció a la persona denunciant suposa el desplegament d'una sèrie d'actuacions i mesures dirigides a fer efectiva aquesta labor protectora. </w:t>
      </w:r>
    </w:p>
    <w:p w14:paraId="04B1D269" w14:textId="77777777" w:rsidR="001B23DE" w:rsidRPr="001B23DE" w:rsidRDefault="001B23DE" w:rsidP="001B23DE">
      <w:pPr>
        <w:spacing w:after="240" w:line="276" w:lineRule="auto"/>
        <w:jc w:val="both"/>
        <w:rPr>
          <w:rFonts w:ascii="Arial" w:hAnsi="Arial"/>
          <w:sz w:val="21"/>
          <w:szCs w:val="21"/>
        </w:rPr>
      </w:pPr>
      <w:r w:rsidRPr="001B23DE">
        <w:rPr>
          <w:rFonts w:ascii="Arial" w:hAnsi="Arial"/>
          <w:sz w:val="21"/>
          <w:szCs w:val="21"/>
        </w:rPr>
        <w:t xml:space="preserve">A aquest efecte, la </w:t>
      </w:r>
      <w:hyperlink r:id="rId350" w:history="1">
        <w:r w:rsidRPr="001B23DE">
          <w:rPr>
            <w:rStyle w:val="Hipervnculo"/>
            <w:rFonts w:ascii="Arial" w:hAnsi="Arial"/>
            <w:sz w:val="21"/>
            <w:szCs w:val="21"/>
          </w:rPr>
          <w:t>Llei 11/2016, de 28 de novembre, de la Generalitat, en el seu article 14</w:t>
        </w:r>
      </w:hyperlink>
      <w:r w:rsidRPr="001B23DE">
        <w:rPr>
          <w:rFonts w:ascii="Arial" w:hAnsi="Arial"/>
          <w:b/>
          <w:bCs/>
          <w:sz w:val="21"/>
          <w:szCs w:val="21"/>
        </w:rPr>
        <w:t>,</w:t>
      </w:r>
      <w:r w:rsidRPr="001B23DE">
        <w:rPr>
          <w:rFonts w:ascii="Arial" w:hAnsi="Arial"/>
          <w:sz w:val="21"/>
          <w:szCs w:val="21"/>
        </w:rPr>
        <w:t xml:space="preserve"> faculta a l’AVAF per a exercir les accions correctores o de restabliment que considere oportunes en cada cas, de les quals deu deixar constància en la seua Memòria anual, presentada davant les Corts Valencianes. </w:t>
      </w:r>
    </w:p>
    <w:p w14:paraId="54050A23" w14:textId="77777777" w:rsidR="001B23DE" w:rsidRPr="001B23DE" w:rsidRDefault="001B23DE" w:rsidP="001B23DE">
      <w:pPr>
        <w:spacing w:after="240" w:line="276" w:lineRule="auto"/>
        <w:jc w:val="both"/>
        <w:rPr>
          <w:rFonts w:ascii="Arial" w:hAnsi="Arial"/>
          <w:sz w:val="21"/>
          <w:szCs w:val="21"/>
        </w:rPr>
      </w:pPr>
      <w:r w:rsidRPr="001B23DE">
        <w:rPr>
          <w:rFonts w:ascii="Arial" w:hAnsi="Arial"/>
          <w:sz w:val="21"/>
          <w:szCs w:val="21"/>
        </w:rPr>
        <w:t>Ona vegada atorgat l'estatut de protecció de la persona denunciant, el seguiment de l'Agència es caracteritza per ser una activitat continuada de vigilància, cura i protecció, que no sols es duu a terme durant el procediment d'investigació de les conductes susceptibles de generar responsabilitats, sinó també fins i tot després de finalitzat aquest procediment si les circumstàncies el requereixen, evitant que les persones protegides puguen ser objecte, directament o indirectament, d'actes lesius en els seus drets o interessos.</w:t>
      </w:r>
    </w:p>
    <w:p w14:paraId="49368D41" w14:textId="77777777" w:rsidR="001B23DE" w:rsidRPr="001B23DE" w:rsidRDefault="001B23DE" w:rsidP="001B23DE">
      <w:pPr>
        <w:spacing w:after="240" w:line="276" w:lineRule="auto"/>
        <w:jc w:val="both"/>
        <w:rPr>
          <w:rFonts w:ascii="Arial" w:hAnsi="Arial"/>
          <w:sz w:val="21"/>
          <w:szCs w:val="21"/>
        </w:rPr>
      </w:pPr>
      <w:r w:rsidRPr="001B23DE">
        <w:rPr>
          <w:rFonts w:ascii="Arial" w:hAnsi="Arial"/>
          <w:sz w:val="21"/>
          <w:szCs w:val="21"/>
        </w:rPr>
        <w:t>Seguidament, es relaciona a efectes il·lustratius una mostra d'algunes de les actuacions realitzades durant 2021 per l’AVAF en el marc d'alguns  estatuts de protecció atorgats a persones que denuncien, informen i alerten sobre fets que poden ser constitutius de frau o corrupció, i el seguiment de la situació d'aquestes persones, degudament anonimitzats cadascun dels casos que s'exposen.</w:t>
      </w:r>
    </w:p>
    <w:p w14:paraId="420C7F6A" w14:textId="77777777" w:rsidR="001B23DE" w:rsidRPr="001B23DE" w:rsidRDefault="001B23DE" w:rsidP="00CF2154">
      <w:pPr>
        <w:spacing w:after="120" w:line="276" w:lineRule="auto"/>
        <w:jc w:val="both"/>
        <w:rPr>
          <w:rFonts w:ascii="Arial" w:hAnsi="Arial"/>
          <w:b/>
          <w:bCs/>
          <w:sz w:val="21"/>
          <w:szCs w:val="21"/>
        </w:rPr>
      </w:pPr>
      <w:r w:rsidRPr="001B23DE">
        <w:rPr>
          <w:rFonts w:ascii="Arial" w:hAnsi="Arial"/>
          <w:b/>
          <w:bCs/>
          <w:color w:val="9D2235" w:themeColor="accent1"/>
          <w:sz w:val="21"/>
          <w:szCs w:val="21"/>
        </w:rPr>
        <w:t>CAS 1</w:t>
      </w:r>
      <w:r w:rsidRPr="001B23DE">
        <w:rPr>
          <w:rFonts w:ascii="Arial" w:hAnsi="Arial"/>
          <w:b/>
          <w:bCs/>
          <w:sz w:val="21"/>
          <w:szCs w:val="21"/>
        </w:rPr>
        <w:t xml:space="preserve"> </w:t>
      </w:r>
    </w:p>
    <w:p w14:paraId="10F394C3"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b/>
          <w:bCs/>
          <w:sz w:val="21"/>
          <w:szCs w:val="21"/>
        </w:rPr>
        <w:t>Estat de la denúncia:</w:t>
      </w:r>
      <w:r w:rsidRPr="001B23DE">
        <w:rPr>
          <w:rFonts w:ascii="Arial" w:hAnsi="Arial"/>
          <w:sz w:val="21"/>
          <w:szCs w:val="21"/>
        </w:rPr>
        <w:t xml:space="preserve"> </w:t>
      </w:r>
    </w:p>
    <w:p w14:paraId="6B9EC418"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En la celebració d'una prova selectiva per a l'accés a la funció pública al Grup A1 de l'Administració autonòmica es va sorprendre una alta funcionària de l'administració convocant i ex alt càrrec en matèria de Funció Pública, que estava expressament encarregada de vigilar l'examen i controlar la correcció del procés selectiu, en el moment en el qual la mateixa entregava a una persona aspirant material prohibit amb l'objectiu que aquesta poguera copiar la contestació als temes plantejats en l'oposició. Aquesta actuació va ser detectada per altres dues persones funcionàries administratives que van procedir a efectuar la corresponent denúncia davant aquesta Agència. </w:t>
      </w:r>
    </w:p>
    <w:p w14:paraId="57A4FCC1"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Represàlies: </w:t>
      </w:r>
    </w:p>
    <w:p w14:paraId="6F816A74"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Les persones denunciants, especialment una d'elles, malgrat el seu legítim i lloable propòsit d'aconseguir un procés selectiu més just, no obstant això, van patir pressions amb l'objectiu que desistiren de la seua denúncia que afectava la indicada funcionària del més alt nivell competencial. En concret, les pressions d'una de les denunciants van ser notables, dins del context laboral i de la instrucció disciplinària de l'assumpte, arribant a ser advertida que s'iniciarien actuacions penals contra ella. L'Agència va haver d'advertir al primer instructor de l'expedient disciplinari de la possibilitat que amb això estiguera incorrent en infracció de les contemplades en la Llei 11/2016.</w:t>
      </w:r>
    </w:p>
    <w:p w14:paraId="20DC4BC7"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Actuacions de l'Agència: </w:t>
      </w:r>
    </w:p>
    <w:p w14:paraId="3E53C78B"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L'Agència ha mantingut en aquest procediment un doble perfil. D'una banda, s'ha procedit a protegir les persones denunciants, a les quals es va assessorar jurídicament amb el major abast possible i va assistir en totes les seues actuacions administratives. D'altra banda, l'Agència s'ha mantingut vigilant amb l'objectiu d'evitar la prescripció o caducitat del procediment sancionador seguit contra l'alta funcionària. </w:t>
      </w:r>
    </w:p>
    <w:p w14:paraId="63F092F3"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El procediment sancionador seguit en seu administrativa contra la infractora ha seguit una complexa i llarga tramitació. Des del primer moment va existir una resistència a l'exigència de responsabilitats a la funcionària responsable. L'obstaculització del procediment va sorgir des de la pròpia obertura del procediment i va continuar al llarg de la tramitació del disciplinari mitjançant la realització de constants maniobres dilatòries amb la finalitat d'evitar la conclusió correcta del procediment. Quan havien transcorregut huit mesos des de la iniciació d'aquest procediment, va haver de suspendre's el mateix. La raó d'aquesta suspensió va ser la presentació d'una denúncia penal per un sindicat utilitzant l'acusació popular. El procés penal va finalitzar més de dos anys després amb el dictat de la  </w:t>
      </w:r>
      <w:hyperlink r:id="rId351" w:history="1">
        <w:r w:rsidRPr="001B23DE">
          <w:rPr>
            <w:rStyle w:val="Hipervnculo"/>
            <w:rFonts w:ascii="Arial" w:hAnsi="Arial"/>
            <w:sz w:val="21"/>
            <w:szCs w:val="21"/>
          </w:rPr>
          <w:t>Sentència de l'Audiència Provincial de València núm. 180/202 de 26 de març de 2021</w:t>
        </w:r>
      </w:hyperlink>
      <w:r w:rsidRPr="001B23DE">
        <w:rPr>
          <w:rFonts w:ascii="Arial" w:hAnsi="Arial"/>
          <w:sz w:val="21"/>
          <w:szCs w:val="21"/>
        </w:rPr>
        <w:t xml:space="preserve">. La Sentència d'instància va acordar l'absolució penal, per falta de tipicitat en relació amb els delictes pels quals s'acusava, però establiria en el relat fàctic que “la prova practicada permet concloure que la Sra. XXX va aprofitar que era a l'aula i que tenia a la seua disposició el seu telèfon amb accés a internet per a buscar la resposta a la pregunta de la prova convocada, que la va anotar en uns folis en forma esquemàtica i que se la va passar a qui va resultar ser coneguda i amiga seua, perquè aquesta la poguera utilitzar en el seu examen.” </w:t>
      </w:r>
    </w:p>
    <w:p w14:paraId="523A1533"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 Sentència penal va ser recorreguda en apel·lació, exclusivament en relació amb la condemna en costes de l'acusació popular, donant lloc al dictat de la </w:t>
      </w:r>
      <w:hyperlink r:id="rId352" w:history="1">
        <w:r w:rsidRPr="001B23DE">
          <w:rPr>
            <w:rStyle w:val="Hipervnculo"/>
            <w:rFonts w:ascii="Arial" w:hAnsi="Arial"/>
            <w:sz w:val="21"/>
            <w:szCs w:val="21"/>
          </w:rPr>
          <w:t>Sentència de la Sala civil i Penal del Tribunal Superior de Justícia de la Comunitat Valenciana núm. 204/2021 de 6 de juliol de 2021</w:t>
        </w:r>
      </w:hyperlink>
      <w:r w:rsidRPr="001B23DE">
        <w:rPr>
          <w:rFonts w:ascii="Arial" w:hAnsi="Arial"/>
          <w:sz w:val="21"/>
          <w:szCs w:val="21"/>
        </w:rPr>
        <w:t xml:space="preserve"> en la qual es va revocar la condemna en costes de l'acusació popular i per mitjà d'un </w:t>
      </w:r>
      <w:r w:rsidRPr="001B23DE">
        <w:rPr>
          <w:rFonts w:ascii="Arial" w:hAnsi="Arial"/>
          <w:i/>
          <w:iCs/>
          <w:sz w:val="21"/>
          <w:szCs w:val="21"/>
        </w:rPr>
        <w:t>obiter dicta</w:t>
      </w:r>
      <w:r w:rsidRPr="001B23DE">
        <w:rPr>
          <w:rFonts w:ascii="Arial" w:hAnsi="Arial"/>
          <w:sz w:val="21"/>
          <w:szCs w:val="21"/>
        </w:rPr>
        <w:t xml:space="preserve"> es va qüestionar l'actuació de la funcionària, precisant el Tribunal Superior de Justícia que fins i tot podria haver sigut condemnada la mateixa en via penal mitjançant la utilització del tipus penal d'informació privilegiada de l'article 442 del Codi Penal. </w:t>
      </w:r>
    </w:p>
    <w:p w14:paraId="6DD5EE74"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En definitiva, finalitzat el procediment penal, i a la vista dels fets declarats provats per la Sentència penal, que resulta vinculant per a tots els poders públics, resultava ineludible i indispensable per al compliment de l'ordenament administratiu que continuara fins a la seua bona fi el procediment disciplinari. Sobre aquesta qüestió ha d'assenyalar-se que l'escàs lapse temporal que faltava perquè caducara el procediment obligava al fet que per l'administració s'actuara amb la màxima diligència. A més, existien una sèrie de dubtes que provocaven dilacions per a reprendre el procediment, donant tot això lloc al fet que per aquesta Agència fora emés Informe de data 27 d'abril de 2021 en el qual s'instava l'alçament de la suspensió del procediment disciplinari i s'assenyalava la necessitat de dictar resolució final del mateix a la màxima promptitud per a evitar la caducitat i, en el seu cas, la prescripció, amb advertiment de l'exigència de responsabilitats administratives o penals als responsables que pogueren provocar la caducitat del procediment sancionador.</w:t>
      </w:r>
    </w:p>
    <w:p w14:paraId="57039292"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A la vista de l'Informe d'aquesta Agència, l'administració responsable va procedir a la diligent reobertura del procediment sancionador suspés pel procediment penal, finalitzant amb la imposició d'una sanció de naturalesa molt greu consistent en el trasllat forçós amb canvi de localitat per un període de tres anys, que impedirà a la funcionària infractora obtindre destí per cap procediment en la localitat des de la qual siga traslladada. L'Informe de l'Agència de 27 d'abril de 2021 recomanava aparellar a aquesta infracció la suspensió d'ocupació i sou per un període de tres a sis anys, secundada tal qualificació en jurisprudència del propi Tribunal Superior de Justícia.</w:t>
      </w:r>
    </w:p>
    <w:p w14:paraId="01D1D5D1" w14:textId="77777777" w:rsidR="001B23DE" w:rsidRPr="001B23DE" w:rsidRDefault="001B23DE" w:rsidP="001B23DE">
      <w:pPr>
        <w:spacing w:after="240" w:line="276" w:lineRule="auto"/>
        <w:ind w:left="567"/>
        <w:jc w:val="both"/>
        <w:rPr>
          <w:rFonts w:ascii="Arial" w:hAnsi="Arial"/>
          <w:sz w:val="21"/>
          <w:szCs w:val="21"/>
        </w:rPr>
      </w:pPr>
      <w:r w:rsidRPr="001B23DE">
        <w:rPr>
          <w:rFonts w:ascii="Arial" w:hAnsi="Arial"/>
          <w:sz w:val="21"/>
          <w:szCs w:val="21"/>
        </w:rPr>
        <w:t>A data de presentació de la Memòria, la sancionada ha interposat recurs contenciós administratiu contra la resolució sancionadora, havent d'indicar-se que aquesta Agència ha comparegut en aquest procediment que se segueix davant un jutjat contenciós administratiu de València, amb l'objectiu de sostindre la legalitat i adequació a dret de la sanció imposada.</w:t>
      </w:r>
    </w:p>
    <w:p w14:paraId="1D79A297" w14:textId="77777777" w:rsidR="00CF2154" w:rsidRPr="00CF2154" w:rsidRDefault="00CF2154" w:rsidP="00CF2154">
      <w:pPr>
        <w:spacing w:after="120" w:line="276" w:lineRule="auto"/>
        <w:jc w:val="both"/>
        <w:rPr>
          <w:rFonts w:ascii="Arial" w:hAnsi="Arial"/>
          <w:sz w:val="21"/>
          <w:szCs w:val="21"/>
        </w:rPr>
      </w:pPr>
    </w:p>
    <w:p w14:paraId="08E2521E" w14:textId="77777777" w:rsidR="00CF2154" w:rsidRPr="00CF2154" w:rsidRDefault="00CF2154" w:rsidP="00CF2154">
      <w:pPr>
        <w:spacing w:after="120" w:line="276" w:lineRule="auto"/>
        <w:jc w:val="both"/>
        <w:rPr>
          <w:rFonts w:ascii="Arial" w:hAnsi="Arial"/>
          <w:sz w:val="21"/>
          <w:szCs w:val="21"/>
        </w:rPr>
      </w:pPr>
    </w:p>
    <w:p w14:paraId="3C8CBA57" w14:textId="77777777" w:rsidR="00CF2154" w:rsidRPr="00CF2154" w:rsidRDefault="00CF2154" w:rsidP="00CF2154">
      <w:pPr>
        <w:spacing w:after="120" w:line="276" w:lineRule="auto"/>
        <w:jc w:val="both"/>
        <w:rPr>
          <w:rFonts w:ascii="Arial" w:hAnsi="Arial"/>
          <w:sz w:val="21"/>
          <w:szCs w:val="21"/>
        </w:rPr>
      </w:pPr>
    </w:p>
    <w:p w14:paraId="6964C34B" w14:textId="6D74FFF8" w:rsidR="001B23DE" w:rsidRPr="001B23DE" w:rsidRDefault="001B23DE" w:rsidP="00CF2154">
      <w:pPr>
        <w:spacing w:after="120" w:line="276" w:lineRule="auto"/>
        <w:jc w:val="both"/>
        <w:rPr>
          <w:rFonts w:ascii="Arial" w:hAnsi="Arial"/>
          <w:b/>
          <w:bCs/>
          <w:color w:val="9D2235" w:themeColor="accent1"/>
          <w:sz w:val="21"/>
          <w:szCs w:val="21"/>
        </w:rPr>
      </w:pPr>
      <w:r w:rsidRPr="001B23DE">
        <w:rPr>
          <w:rFonts w:ascii="Arial" w:hAnsi="Arial"/>
          <w:b/>
          <w:bCs/>
          <w:color w:val="9D2235" w:themeColor="accent1"/>
          <w:sz w:val="21"/>
          <w:szCs w:val="21"/>
        </w:rPr>
        <w:t xml:space="preserve">CAS 2 </w:t>
      </w:r>
    </w:p>
    <w:p w14:paraId="2A81CECF"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b/>
          <w:bCs/>
          <w:sz w:val="21"/>
          <w:szCs w:val="21"/>
        </w:rPr>
        <w:t>Estat de la denúncia:</w:t>
      </w:r>
      <w:r w:rsidRPr="001B23DE">
        <w:rPr>
          <w:rFonts w:ascii="Arial" w:hAnsi="Arial"/>
          <w:sz w:val="21"/>
          <w:szCs w:val="21"/>
        </w:rPr>
        <w:t xml:space="preserve"> </w:t>
      </w:r>
    </w:p>
    <w:p w14:paraId="50E79CFC"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Per una mercantil pública es va procedir a iniciar un procés selectiu amb l'objectiu d'efectuar la contractació laboral per a cobrir el lloc de cap/a de Servei de Recursos Humans en l'assenyalada entitat. Al llarg del procediment es van seguir correctament tots els tràmits reglats, fins al moment en el qual per part del tribunal qualificador del procediment es va acordar proposar, amb base a principis de  mèrit i capacitat, la contractació d'una determinada persona. A partir d'aqueix moment els membres del tribunal qualificador van començar a ser pressionats a fi d'enervar la proposta de contractació realitzada, i això amb l'objectiu que es procedira a contractar, no a l'aspirant més ben puntuada, sinó a una altra persona diferent, en la qual concorrien evidents vinculacions polítiques. </w:t>
      </w:r>
    </w:p>
    <w:p w14:paraId="6A954CD2"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L'Agència va iniciar la seua intervenció en prendre coneixement de la situació després de la formulació de denúncia per una pluralitat de persones coneixedores del procés selectiu, tants membres del tribunal seleccionador, com a directius i membres del Consell d'administració de l'entitat mercantil pública. </w:t>
      </w:r>
    </w:p>
    <w:p w14:paraId="2DE8146A"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Represàlies: </w:t>
      </w:r>
    </w:p>
    <w:p w14:paraId="3B640272"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Per part del titular de la direcció jurídica de la mercantil denunciada es va pretendre consumar l'acomiadament de la persona recentment contractada com a cap/a de Serveis de Recursos Humans, així com de la persona que ocupava la Gerència de l'empresa, i això a fi d'intentar alterar el procediment selectiu realitzat. No obstant això, tal procedir no va aconseguir els seus fins, atés que la proposta d'acomiadament, tot i que va ser secundada fins i tot per la Presidència de la mercantil i per la Presidència de l'administració pública de vinculació, no va aconseguir el nombre suficient de vots en el Consell d’administració.</w:t>
      </w:r>
    </w:p>
    <w:p w14:paraId="5AB51CB1"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Actuacions de l'Agència:</w:t>
      </w:r>
    </w:p>
    <w:p w14:paraId="711A8B03"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Per aquesta Agència es va intervindre a sol·licitud del tribunal qualificador del procés selectiu, del gerent de la mercantil i de membres del seu Consell d'administració, havent-se procedit a formular informes de valoració jurídica sobre el procés selectiu i la seua regularitat. Igualment va ser emés informe per a l'assessorament jurídic del gerent de la mercantil en relació amb la disconformitat a dret de la proposta d'acomiadament de la persona candidata seleccionada i sobre l'incorrecte actuar de la persona titular de la direcció jurídica de la mercantil pública. </w:t>
      </w:r>
    </w:p>
    <w:p w14:paraId="09DEF4DC" w14:textId="77777777" w:rsidR="001B23DE" w:rsidRPr="001B23DE" w:rsidRDefault="001B23DE" w:rsidP="00CF2154">
      <w:pPr>
        <w:spacing w:after="240" w:line="276" w:lineRule="auto"/>
        <w:ind w:left="567"/>
        <w:jc w:val="both"/>
        <w:rPr>
          <w:rFonts w:ascii="Arial" w:hAnsi="Arial"/>
          <w:sz w:val="21"/>
          <w:szCs w:val="21"/>
        </w:rPr>
      </w:pPr>
      <w:r w:rsidRPr="001B23DE">
        <w:rPr>
          <w:rFonts w:ascii="Arial" w:hAnsi="Arial"/>
          <w:sz w:val="21"/>
          <w:szCs w:val="21"/>
        </w:rPr>
        <w:t>És de significar que si bé han cessat en el si de la mercantil les actuacions amb les quals es pretenia alterar el procés selectiu, recentment s'ha tingut coneixement que s'ha posat en marxa un procediment laboral per l'aspirant no contractat a fi d'anul·lar el procediment selectiu. Aquest procediment judicial laboral és seguit de prop per aquesta Agència, resultant que a data de redacció de la Memòria s'acaba de donar inici a aquest, raó per la qual s'està valorant la idoneïtat de comparéixer en aquest procediment.</w:t>
      </w:r>
    </w:p>
    <w:p w14:paraId="06CC871B" w14:textId="77777777" w:rsidR="00CF2154" w:rsidRPr="00CF2154" w:rsidRDefault="00CF2154" w:rsidP="00CF2154">
      <w:pPr>
        <w:spacing w:after="120" w:line="276" w:lineRule="auto"/>
        <w:jc w:val="both"/>
        <w:rPr>
          <w:rFonts w:ascii="Arial" w:hAnsi="Arial"/>
          <w:sz w:val="21"/>
          <w:szCs w:val="21"/>
        </w:rPr>
      </w:pPr>
    </w:p>
    <w:p w14:paraId="7B74C7F0" w14:textId="77777777" w:rsidR="00CF2154" w:rsidRPr="00CF2154" w:rsidRDefault="00CF2154" w:rsidP="00CF2154">
      <w:pPr>
        <w:spacing w:after="120" w:line="276" w:lineRule="auto"/>
        <w:jc w:val="both"/>
        <w:rPr>
          <w:rFonts w:ascii="Arial" w:hAnsi="Arial"/>
          <w:sz w:val="21"/>
          <w:szCs w:val="21"/>
        </w:rPr>
      </w:pPr>
    </w:p>
    <w:p w14:paraId="26BCFF72" w14:textId="6F67C81C" w:rsidR="001B23DE" w:rsidRPr="001B23DE" w:rsidRDefault="001B23DE" w:rsidP="00CF2154">
      <w:pPr>
        <w:spacing w:after="120" w:line="276" w:lineRule="auto"/>
        <w:jc w:val="both"/>
        <w:rPr>
          <w:rFonts w:ascii="Arial" w:hAnsi="Arial"/>
          <w:b/>
          <w:bCs/>
          <w:color w:val="9D2235" w:themeColor="accent1"/>
          <w:sz w:val="21"/>
          <w:szCs w:val="21"/>
        </w:rPr>
      </w:pPr>
      <w:r w:rsidRPr="001B23DE">
        <w:rPr>
          <w:rFonts w:ascii="Arial" w:hAnsi="Arial"/>
          <w:b/>
          <w:bCs/>
          <w:color w:val="9D2235" w:themeColor="accent1"/>
          <w:sz w:val="21"/>
          <w:szCs w:val="21"/>
        </w:rPr>
        <w:t xml:space="preserve">CAS 3 </w:t>
      </w:r>
    </w:p>
    <w:p w14:paraId="18658CD1"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Estat de la denúncia: </w:t>
      </w:r>
    </w:p>
    <w:p w14:paraId="0AD7E96C"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El cas que ací ens ocupa va ser referenciat en la nostra Memòria de 2020 sota la denominació “Cas 10”. Es tracta d'una persona denunciant que prestava els seus serveis com a personal laboral en una corporació de dret públic i que va advertir de l'existència d'irregularitats en matèria de contractació presumptament produïdes en la referida entitat. És de significar que, encara hui anys després, el procediment penal continua en fase d'instrucció. </w:t>
      </w:r>
    </w:p>
    <w:p w14:paraId="0104D40D"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Represàlies: </w:t>
      </w:r>
    </w:p>
    <w:p w14:paraId="3147A04F"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La persona denunciant, malgrat ser-li reconeguda la seua protecció per l'Agència, va ser objecte d'acomiadament disciplinari, que després de l'oportú judici va ser declarat improcedent per un Jutjat social. La Sentència d'instància va ser recorreguda en suplicació per la corporació pública resultant que la Sala social del Tribunal Superior de Justícia de la Comunitat Valenciana va desestimar el mateix dictant Sentència per la qual confirmava el caràcter improcedent de l'acomiadament. No obstant això, encara l'entitat pública interposaria recurs de cassació, resultant que el mateix ha sigut inadmés per Acte del Tribunal Suprem, esdevenint ferm en aquest moment la declaració d'improcedència de l'acomiadament patit per la persona denunciant.</w:t>
      </w:r>
    </w:p>
    <w:p w14:paraId="0E7F47DB"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Actuacions de l'Agència: </w:t>
      </w:r>
    </w:p>
    <w:p w14:paraId="43F447FB"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 protecció per l'Agència de la persona denunciant ha consistit en l'assessorament jurídic, perquè la seua denúncia va donar lloc a la incoació d'unes Diligències Prèvies que encara s'estan tramitant en un Jutjat d'Instrucció i, a més, en relació amb la mesura d'acomiadament, a l'elaboració d'un informe que va ser remés al Jutjat social amb caràcter previ al dictamen de la sentència. </w:t>
      </w:r>
    </w:p>
    <w:p w14:paraId="24E391BC" w14:textId="77777777" w:rsidR="001B23DE" w:rsidRPr="001B23DE" w:rsidRDefault="001B23DE" w:rsidP="00CF2154">
      <w:pPr>
        <w:spacing w:after="240" w:line="276" w:lineRule="auto"/>
        <w:ind w:left="567"/>
        <w:jc w:val="both"/>
        <w:rPr>
          <w:rFonts w:ascii="Arial" w:hAnsi="Arial"/>
          <w:sz w:val="21"/>
          <w:szCs w:val="21"/>
        </w:rPr>
      </w:pPr>
      <w:r w:rsidRPr="001B23DE">
        <w:rPr>
          <w:rFonts w:ascii="Arial" w:hAnsi="Arial"/>
          <w:sz w:val="21"/>
          <w:szCs w:val="21"/>
        </w:rPr>
        <w:t>És de significar que en aquest any 2021 ha sigut emés informe per aquesta Agència, amb fonament en l'article 10.3 del seu Reglament de funcionament i règim interior, amb destinació a les assenyalades Diligències Prèvies del Jutjat d'Instrucció en relació amb el caràcter públic dels cabals gestionats per la corporació pública, així com en relació amb la condició d'autoritat a efectes penals de la persona promotora de l'acomiadament.</w:t>
      </w:r>
    </w:p>
    <w:p w14:paraId="3B23B8FF" w14:textId="77777777" w:rsidR="001B23DE" w:rsidRPr="001B23DE" w:rsidRDefault="001B23DE" w:rsidP="00CF2154">
      <w:pPr>
        <w:spacing w:after="120" w:line="276" w:lineRule="auto"/>
        <w:jc w:val="both"/>
        <w:rPr>
          <w:rFonts w:ascii="Arial" w:hAnsi="Arial"/>
          <w:b/>
          <w:bCs/>
          <w:color w:val="9D2235" w:themeColor="accent1"/>
          <w:sz w:val="21"/>
          <w:szCs w:val="21"/>
        </w:rPr>
      </w:pPr>
      <w:r w:rsidRPr="001B23DE">
        <w:rPr>
          <w:rFonts w:ascii="Arial" w:hAnsi="Arial"/>
          <w:b/>
          <w:bCs/>
          <w:color w:val="9D2235" w:themeColor="accent1"/>
          <w:sz w:val="21"/>
          <w:szCs w:val="21"/>
        </w:rPr>
        <w:t>CAS 4</w:t>
      </w:r>
    </w:p>
    <w:p w14:paraId="264B895E"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b/>
          <w:bCs/>
          <w:sz w:val="21"/>
          <w:szCs w:val="21"/>
        </w:rPr>
        <w:t>Estat de la denúncia:</w:t>
      </w:r>
      <w:r w:rsidRPr="001B23DE">
        <w:rPr>
          <w:rFonts w:ascii="Arial" w:hAnsi="Arial"/>
          <w:sz w:val="21"/>
          <w:szCs w:val="21"/>
        </w:rPr>
        <w:t xml:space="preserve"> </w:t>
      </w:r>
    </w:p>
    <w:p w14:paraId="3AE192E5"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Una persona funcionària amb habilitació nacional ha posat en coneixement d'aquesta Agència la intenció d'un Ajuntament d'efectuar una pròrroga, contrària a dret, d'un contracte administratiu per import de desenes de milions d'euros. </w:t>
      </w:r>
    </w:p>
    <w:p w14:paraId="2E473C45"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Represàlies: </w:t>
      </w:r>
    </w:p>
    <w:p w14:paraId="7DDFE06E"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Per part de l'Ajuntament s'estan iniciant actuacions per a modificar la Relació de Llocs de treball a fi d'alterar la situació d'aquesta  persona funcionària d'habilitació nacional mitjançant la conversió del seu lloc, configurat com de concurs, a lliure designació. El canvi en el sistema de provisió persegueix realitzar una major pressió i disposició de cessament de la persona que ocupa ve ocupant el lloc, si els seus informes no s'ajusten a l'interés polític dels sol·licitants.</w:t>
      </w:r>
    </w:p>
    <w:p w14:paraId="10FC38BB"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Actuacions de l'Agència:</w:t>
      </w:r>
    </w:p>
    <w:p w14:paraId="37191ED3" w14:textId="77777777" w:rsidR="001B23DE" w:rsidRPr="001B23DE" w:rsidRDefault="001B23DE" w:rsidP="00CF2154">
      <w:pPr>
        <w:spacing w:after="240" w:line="276" w:lineRule="auto"/>
        <w:ind w:left="567"/>
        <w:jc w:val="both"/>
        <w:rPr>
          <w:rFonts w:ascii="Arial" w:hAnsi="Arial"/>
          <w:sz w:val="21"/>
          <w:szCs w:val="21"/>
        </w:rPr>
      </w:pPr>
      <w:r w:rsidRPr="001B23DE">
        <w:rPr>
          <w:rFonts w:ascii="Arial" w:hAnsi="Arial"/>
          <w:sz w:val="21"/>
          <w:szCs w:val="21"/>
        </w:rPr>
        <w:t>A data de redacció d'aquesta Memòria ha sigut dictada la resolució de protecció a favor de la persona denunciant i per aquesta Agència s'ha procedit a realitzar en el si d'aquesta resolució l'advertiment que qualsevol actuació de represàlia serà disconforme a l'ordenament jurídic i oportunament combatuda. De la mateixa manera s'ha emés informe valorant les actuacions de l'expedient de contractació en el qual s'adverteix de la il·legalitat de la pròrroga pretesa.</w:t>
      </w:r>
    </w:p>
    <w:p w14:paraId="132BAEF3" w14:textId="4A6845E5" w:rsidR="001B23DE" w:rsidRPr="001B23DE" w:rsidRDefault="00CF2154" w:rsidP="00CF2154">
      <w:pPr>
        <w:spacing w:after="120" w:line="276" w:lineRule="auto"/>
        <w:jc w:val="both"/>
        <w:rPr>
          <w:rFonts w:ascii="Arial" w:hAnsi="Arial"/>
          <w:b/>
          <w:bCs/>
          <w:color w:val="9D2235" w:themeColor="accent1"/>
          <w:sz w:val="21"/>
          <w:szCs w:val="21"/>
        </w:rPr>
      </w:pPr>
      <w:r w:rsidRPr="001B23DE">
        <w:rPr>
          <w:rFonts w:ascii="Arial" w:hAnsi="Arial"/>
          <w:b/>
          <w:bCs/>
          <w:color w:val="9D2235" w:themeColor="accent1"/>
          <w:sz w:val="21"/>
          <w:szCs w:val="21"/>
        </w:rPr>
        <w:t>CAS</w:t>
      </w:r>
      <w:r w:rsidR="001B23DE" w:rsidRPr="001B23DE">
        <w:rPr>
          <w:rFonts w:ascii="Arial" w:hAnsi="Arial"/>
          <w:b/>
          <w:bCs/>
          <w:color w:val="9D2235" w:themeColor="accent1"/>
          <w:sz w:val="21"/>
          <w:szCs w:val="21"/>
        </w:rPr>
        <w:t xml:space="preserve"> 5 </w:t>
      </w:r>
    </w:p>
    <w:p w14:paraId="6638F776"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b/>
          <w:bCs/>
          <w:sz w:val="21"/>
          <w:szCs w:val="21"/>
        </w:rPr>
        <w:t>Estat de la denúncia:</w:t>
      </w:r>
      <w:r w:rsidRPr="001B23DE">
        <w:rPr>
          <w:rFonts w:ascii="Arial" w:hAnsi="Arial"/>
          <w:sz w:val="21"/>
          <w:szCs w:val="21"/>
        </w:rPr>
        <w:t xml:space="preserve"> </w:t>
      </w:r>
    </w:p>
    <w:p w14:paraId="327A6726"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 persona que ostenta la condició de denunciant protegida és policia local d'un Ajuntament que va denunciar en seu judicial un delicte de malversació de cabals públics derivat de la falta de control horari i consegüent percepció de complements salarials injustificats en determinats llocs de la policia local de l'entitat local. </w:t>
      </w:r>
    </w:p>
    <w:p w14:paraId="08F4FD46"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Represàlies: </w:t>
      </w:r>
    </w:p>
    <w:p w14:paraId="39A5260B"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La persona denunciant ha sigut suspesa en les seues funcions per l'administració local sense seguir el procediment establit en la legislació reguladora de la funció pública. L'argument de l'Ajuntament s'ha limitat a invocar una suposada incompatibilitat entre les funcions de la persona protegida i una prestació de Seguretat Social que aquest policia local percep des de l'any 2003. L'actuació de l'Ajuntament es va consumar amb el dictat d'un decret de l’Alcaldia de data 11 de gener de 2021, en el qual es va declarar suspesa amb efectes 1 de febrer de 2021 la relació de servei de la persona denunciant en l'administració.</w:t>
      </w:r>
    </w:p>
    <w:p w14:paraId="213D2E52"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Actuacions de l'Agència:</w:t>
      </w:r>
    </w:p>
    <w:p w14:paraId="4326BDFB"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L'actuació municipal està, a data de redacció d'aquesta Memòria, pendent d'enjudiciament per l'ordre jurisdiccional contenciós-administratiu, estant previst el procediment per a juny de l'any 2022.</w:t>
      </w:r>
    </w:p>
    <w:p w14:paraId="4EA1A7A1"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L'Agència, a la vista de la pretensió de l'Ajuntament de suspendre la relació de servei del policia local protegit, va procedir a requerir a l'Ajuntament perquè remetera totes les actuacions realitzades en via administrativa. Una vegada atés el requeriment, i vist l'expedient municipal, per aquesta Agència es va comprovar que l'actuació de l'Ajuntament resultava contrària a dret, la qual cosa es va deixar assenyalat en Informe d'aquesta Agència de data 28 de gener de 2021, ja que no existia procediment sancionador algun incoat contra la persona denunciant i recordant que la suspensió de funcions té una exclusiva connotació sancionadora.</w:t>
      </w:r>
    </w:p>
    <w:p w14:paraId="236552FB" w14:textId="77777777" w:rsidR="001B23DE" w:rsidRPr="001B23DE" w:rsidRDefault="001B23DE" w:rsidP="00CF2154">
      <w:pPr>
        <w:spacing w:after="240" w:line="276" w:lineRule="auto"/>
        <w:ind w:left="567"/>
        <w:jc w:val="both"/>
        <w:rPr>
          <w:rFonts w:ascii="Arial" w:hAnsi="Arial"/>
          <w:sz w:val="21"/>
          <w:szCs w:val="21"/>
        </w:rPr>
      </w:pPr>
      <w:r w:rsidRPr="001B23DE">
        <w:rPr>
          <w:rFonts w:ascii="Arial" w:hAnsi="Arial"/>
          <w:sz w:val="21"/>
          <w:szCs w:val="21"/>
        </w:rPr>
        <w:t xml:space="preserve">L'Informe d'aquesta Agència va ser remés tant a l'entitat local com a la persona interessada, per a la seua incorporació al procediment contenciós-administratiu on serà valorat. </w:t>
      </w:r>
    </w:p>
    <w:p w14:paraId="413075FD" w14:textId="77777777" w:rsidR="001B23DE" w:rsidRPr="001B23DE" w:rsidRDefault="001B23DE" w:rsidP="00CF2154">
      <w:pPr>
        <w:spacing w:after="120" w:line="276" w:lineRule="auto"/>
        <w:jc w:val="both"/>
        <w:rPr>
          <w:rFonts w:ascii="Arial" w:hAnsi="Arial"/>
          <w:b/>
          <w:bCs/>
          <w:color w:val="9D2235" w:themeColor="accent1"/>
          <w:sz w:val="21"/>
          <w:szCs w:val="21"/>
        </w:rPr>
      </w:pPr>
      <w:r w:rsidRPr="001B23DE">
        <w:rPr>
          <w:rFonts w:ascii="Arial" w:hAnsi="Arial"/>
          <w:b/>
          <w:bCs/>
          <w:color w:val="9D2235" w:themeColor="accent1"/>
          <w:sz w:val="21"/>
          <w:szCs w:val="21"/>
        </w:rPr>
        <w:t xml:space="preserve">CAS 6 </w:t>
      </w:r>
    </w:p>
    <w:p w14:paraId="46DF4113"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b/>
          <w:bCs/>
          <w:sz w:val="21"/>
          <w:szCs w:val="21"/>
        </w:rPr>
        <w:t>Estat de la denúncia:</w:t>
      </w:r>
      <w:r w:rsidRPr="001B23DE">
        <w:rPr>
          <w:rFonts w:ascii="Arial" w:hAnsi="Arial"/>
          <w:sz w:val="21"/>
          <w:szCs w:val="21"/>
        </w:rPr>
        <w:t xml:space="preserve"> </w:t>
      </w:r>
    </w:p>
    <w:p w14:paraId="7DD05F06"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 persona protegida per l'Agència, que presta els seus serveis en una entitat local, va efectuar denúncia sobre l'existència d'unes gravíssimes irregularitats en matèria urbanística comeses al seu Ajuntament. La denúncia formulada va donar lloc a l'obertura de Diligències Prèvies per un Jutjat d'Instrucció. El Jutjat ha dictat Acte de data 10 de juny de 2021 que assenyala que els fets certament pogueren ser constitutius dels delictes de prevaricació administrativa però que pel transcurs del temps hauria operat la prescripció, raó que dona lloc a l'arxivament de les actuacions. </w:t>
      </w:r>
    </w:p>
    <w:p w14:paraId="7E20D0E5"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Represàlies: </w:t>
      </w:r>
    </w:p>
    <w:p w14:paraId="4BFAE36B"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 persona protegida, arran de la denúncia formulada en la qual va destapar la trama urbanística oculta durant dècades, ha sigut tractada de manera discriminatòria per l'entitat local, mereixent significar-se que per això ha acudit en nombroses ocasions davant la jurisdicció contenciosa que de manera reiterada ha estimat les seues demandes assenyalant l'incorrecte de l'actuar de l'Ajuntament. En tal sentit pot ser citada </w:t>
      </w:r>
      <w:hyperlink r:id="rId353" w:history="1">
        <w:r w:rsidRPr="001B23DE">
          <w:rPr>
            <w:rStyle w:val="Hipervnculo"/>
            <w:rFonts w:ascii="Arial" w:hAnsi="Arial"/>
            <w:sz w:val="21"/>
            <w:szCs w:val="21"/>
          </w:rPr>
          <w:t>la Sentència núm. 820/21 de data 9 de novembre de 2021 dictada pel Tribunal Superior de Justícia de la Comunitat Valenciana</w:t>
        </w:r>
      </w:hyperlink>
      <w:r w:rsidRPr="001B23DE">
        <w:rPr>
          <w:rFonts w:ascii="Arial" w:hAnsi="Arial"/>
          <w:b/>
          <w:bCs/>
          <w:sz w:val="21"/>
          <w:szCs w:val="21"/>
        </w:rPr>
        <w:t xml:space="preserve"> </w:t>
      </w:r>
      <w:r w:rsidRPr="001B23DE">
        <w:rPr>
          <w:rFonts w:ascii="Arial" w:hAnsi="Arial"/>
          <w:sz w:val="21"/>
          <w:szCs w:val="21"/>
        </w:rPr>
        <w:t xml:space="preserve">en la qual la Sala desestima el recurs d'apel·lació formulat per l'entitat local contra la sentència d'instància que estimava el dret de la persona protegida i a més condemna en costes a l'Ajuntament. </w:t>
      </w:r>
    </w:p>
    <w:p w14:paraId="7B0500F6"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 gravetat de l'assetjament patit per la persona denunciant va motivar que la mateixa formulara denúncia penal contra l'alcalde i altres autoritats, donant lloc a l'obertura de Diligències Prèvies seguides davant el Jutjat d'Instrucció. Després de la tramitació de la investigació penal va ser dictat Acte denegant el sobreseïment interessat per l'alcalde i altres autoritats i acordant l'obertura de judici oral. L'assenyalat Acte va ser impugnat en apel·lació davant l'Audiència Provincial d'Alacant que va dictar Acte de data 23 d'abril de 2021 confirmant la correcció del procediment penal i acordant la continuació d'aquest. </w:t>
      </w:r>
    </w:p>
    <w:p w14:paraId="298B0C57"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Actuacions de l'Agència:</w:t>
      </w:r>
    </w:p>
    <w:p w14:paraId="56653C5F" w14:textId="77777777" w:rsidR="001B23DE" w:rsidRPr="001B23DE" w:rsidRDefault="001B23DE" w:rsidP="00CF2154">
      <w:pPr>
        <w:spacing w:after="240" w:line="276" w:lineRule="auto"/>
        <w:ind w:left="567"/>
        <w:jc w:val="both"/>
        <w:rPr>
          <w:rFonts w:ascii="Arial" w:hAnsi="Arial"/>
          <w:sz w:val="21"/>
          <w:szCs w:val="21"/>
        </w:rPr>
      </w:pPr>
      <w:r w:rsidRPr="001B23DE">
        <w:rPr>
          <w:rFonts w:ascii="Arial" w:hAnsi="Arial"/>
          <w:sz w:val="21"/>
          <w:szCs w:val="21"/>
        </w:rPr>
        <w:t>És de significar que els responsables polítics d'aquest Ajuntament han procedit a interposar recursos contenciosos administratius enfront de la Resolució d'aquesta Agència per la qual es va reconéixer a la persona denunciant l'estatut de protecció. La Secció 4a de la Sala contenciosa administrativa del Tribunal Superior de la Comunitat Valenciana ha dictat Sentència estimant aquests recursos, havent d'indicar-se que aquesta Agència ha procedit a interposar recurs de cassació davant el Tribunal Suprem i subsidiari de cassació autonòmica en entendre que la Sentència del Tribunal Superior de Justícia no s'ajusta a dret. A data de redacció d'aquesta Memòria s'està a l'espera de l'admissió dels assenyalats recursos.</w:t>
      </w:r>
    </w:p>
    <w:p w14:paraId="3B75B084" w14:textId="77777777" w:rsidR="001B23DE" w:rsidRPr="001B23DE" w:rsidRDefault="001B23DE" w:rsidP="00DA2C27">
      <w:pPr>
        <w:spacing w:after="120" w:line="276" w:lineRule="auto"/>
        <w:jc w:val="both"/>
        <w:rPr>
          <w:rFonts w:ascii="Arial" w:hAnsi="Arial"/>
          <w:b/>
          <w:bCs/>
          <w:color w:val="9D2235" w:themeColor="accent1"/>
          <w:sz w:val="21"/>
          <w:szCs w:val="21"/>
        </w:rPr>
      </w:pPr>
      <w:r w:rsidRPr="001B23DE">
        <w:rPr>
          <w:rFonts w:ascii="Arial" w:hAnsi="Arial"/>
          <w:b/>
          <w:bCs/>
          <w:color w:val="9D2235" w:themeColor="accent1"/>
          <w:sz w:val="21"/>
          <w:szCs w:val="21"/>
        </w:rPr>
        <w:t xml:space="preserve">CAS 7 </w:t>
      </w:r>
    </w:p>
    <w:p w14:paraId="2CCAB262"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Estat de la denúncia: </w:t>
      </w:r>
    </w:p>
    <w:p w14:paraId="772A140B"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Les persones denunciants protegides, personal d'una mercantil pública, van denunciar l'existència de contractacions irregulars de personal per part dels dirigents polítics de l'entitat pública. La llarga instrucció ha finalitzat amb l'obertura del judici oral, que es troba assenyalat per a la seua celebració el setembre de 2022. </w:t>
      </w:r>
    </w:p>
    <w:p w14:paraId="27010D7C"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 xml:space="preserve">Represàlies: </w:t>
      </w:r>
    </w:p>
    <w:p w14:paraId="6E6F1FB7" w14:textId="77777777" w:rsidR="001B23DE" w:rsidRPr="001B23DE" w:rsidRDefault="001B23DE" w:rsidP="00CF2154">
      <w:pPr>
        <w:spacing w:after="120" w:line="276" w:lineRule="auto"/>
        <w:ind w:left="567"/>
        <w:jc w:val="both"/>
        <w:rPr>
          <w:rFonts w:ascii="Arial" w:hAnsi="Arial"/>
          <w:sz w:val="21"/>
          <w:szCs w:val="21"/>
        </w:rPr>
      </w:pPr>
      <w:r w:rsidRPr="001B23DE">
        <w:rPr>
          <w:rFonts w:ascii="Arial" w:hAnsi="Arial"/>
          <w:sz w:val="21"/>
          <w:szCs w:val="21"/>
        </w:rPr>
        <w:t xml:space="preserve">La relació laboral de les persones denunciants ha sigut complexa i tortuosa durant els anys en què ha durat la instrucció penal. Les pressions patides pels mateixos han sigut constants i de tota mena, resultant la seua situació ser el supòsit paradigmàtic de persones denunciants de corrupció que són sotmeses a un constant assetjament amb la finalitat de fer que desistisquen de la seua denúncia i per a servir d'advertiment a futurs denunciants. </w:t>
      </w:r>
    </w:p>
    <w:p w14:paraId="58EF5F19" w14:textId="77777777" w:rsidR="001B23DE" w:rsidRPr="001B23DE" w:rsidRDefault="001B23DE" w:rsidP="00CF2154">
      <w:pPr>
        <w:spacing w:after="120" w:line="276" w:lineRule="auto"/>
        <w:ind w:left="567"/>
        <w:jc w:val="both"/>
        <w:rPr>
          <w:rFonts w:ascii="Arial" w:hAnsi="Arial"/>
          <w:b/>
          <w:bCs/>
          <w:sz w:val="21"/>
          <w:szCs w:val="21"/>
        </w:rPr>
      </w:pPr>
      <w:r w:rsidRPr="001B23DE">
        <w:rPr>
          <w:rFonts w:ascii="Arial" w:hAnsi="Arial"/>
          <w:b/>
          <w:bCs/>
          <w:sz w:val="21"/>
          <w:szCs w:val="21"/>
        </w:rPr>
        <w:t>Actuacions de l'Agència:</w:t>
      </w:r>
    </w:p>
    <w:p w14:paraId="722014CD" w14:textId="77777777" w:rsidR="001B23DE" w:rsidRPr="001B23DE" w:rsidRDefault="001B23DE" w:rsidP="00CF2154">
      <w:pPr>
        <w:spacing w:after="240" w:line="276" w:lineRule="auto"/>
        <w:ind w:left="567"/>
        <w:jc w:val="both"/>
        <w:rPr>
          <w:rFonts w:ascii="Arial" w:hAnsi="Arial"/>
          <w:sz w:val="21"/>
          <w:szCs w:val="21"/>
        </w:rPr>
      </w:pPr>
      <w:r w:rsidRPr="001B23DE">
        <w:rPr>
          <w:rFonts w:ascii="Arial" w:hAnsi="Arial"/>
          <w:sz w:val="21"/>
          <w:szCs w:val="21"/>
        </w:rPr>
        <w:t xml:space="preserve">L'Agència ha mantingut al llarg d'aquest exercici nombroses reunions amb les persones denunciants efectuant assessorament sobre qüestions laborals i de naturalesa processal en relació amb la proximitat del judici oral, així com per l'extinció societària de la mercantil pública, que ha influït en la situació laboral de les persones denunciants.  </w:t>
      </w:r>
    </w:p>
    <w:p w14:paraId="0CA03999" w14:textId="77777777" w:rsidR="00F4554F" w:rsidRPr="00F4554F" w:rsidRDefault="00F4554F" w:rsidP="00DA2C27">
      <w:pPr>
        <w:spacing w:after="120" w:line="276" w:lineRule="auto"/>
        <w:jc w:val="both"/>
        <w:rPr>
          <w:rFonts w:ascii="Arial" w:hAnsi="Arial"/>
          <w:b/>
          <w:bCs/>
          <w:color w:val="9D2235" w:themeColor="accent1"/>
          <w:sz w:val="21"/>
          <w:szCs w:val="21"/>
        </w:rPr>
      </w:pPr>
      <w:r w:rsidRPr="00F4554F">
        <w:rPr>
          <w:rFonts w:ascii="Arial" w:hAnsi="Arial"/>
          <w:b/>
          <w:bCs/>
          <w:color w:val="9D2235" w:themeColor="accent1"/>
          <w:sz w:val="21"/>
          <w:szCs w:val="21"/>
        </w:rPr>
        <w:t>CAS 8</w:t>
      </w:r>
    </w:p>
    <w:p w14:paraId="7CFEC127" w14:textId="77777777" w:rsidR="00F4554F" w:rsidRPr="00F4554F" w:rsidRDefault="00F4554F" w:rsidP="00F4554F">
      <w:pPr>
        <w:spacing w:after="120" w:line="276" w:lineRule="auto"/>
        <w:ind w:left="567"/>
        <w:jc w:val="both"/>
        <w:rPr>
          <w:rFonts w:ascii="Arial" w:hAnsi="Arial"/>
          <w:b/>
          <w:bCs/>
          <w:sz w:val="21"/>
          <w:szCs w:val="21"/>
        </w:rPr>
      </w:pPr>
      <w:r w:rsidRPr="00F4554F">
        <w:rPr>
          <w:rFonts w:ascii="Arial" w:hAnsi="Arial"/>
          <w:b/>
          <w:bCs/>
          <w:sz w:val="21"/>
          <w:szCs w:val="21"/>
        </w:rPr>
        <w:t>Estat de la denúncia:</w:t>
      </w:r>
    </w:p>
    <w:p w14:paraId="5444DDFE"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La persona protegida, personal funcionari municipal, va denunciar irregularitats relatives a un programa d'execució de treballs en benefici de la comunitat, del qual era el responsable a l'Ajuntament on prestava serveis. La denúncia va donar lloc a la incoació de Diligències Prèvies que, si bé van ser sobresegudes provisionalment, en l'Auto judicial de l'instructor entenia que, encara que no s'apreciaren indicis racionals de la comissió dels delictes denunciats, això no obstava a la possible apreciació de responsabilitat disciplinària o d'altres conseqüències en l'àmbit administratiu.</w:t>
      </w:r>
    </w:p>
    <w:p w14:paraId="70332972"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Així mateix, la persona protegida va intervindre, en condició de testimoni, en unes anteriors Diligències Prèvies en relació amb altres irregularitats en l'execució d'aquest programa, que van finalitzar en sentència ferma condemnatòria d'un funcionari del mateix Ajuntament.</w:t>
      </w:r>
    </w:p>
    <w:p w14:paraId="5E056F26"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b/>
          <w:bCs/>
          <w:sz w:val="21"/>
          <w:szCs w:val="21"/>
        </w:rPr>
        <w:t>Represàlia (o no represàlies, en el seu cas):</w:t>
      </w:r>
      <w:r w:rsidRPr="00F4554F">
        <w:rPr>
          <w:rFonts w:ascii="Arial" w:hAnsi="Arial"/>
          <w:sz w:val="21"/>
          <w:szCs w:val="21"/>
        </w:rPr>
        <w:t xml:space="preserve"> </w:t>
      </w:r>
    </w:p>
    <w:p w14:paraId="1185E23E" w14:textId="77777777" w:rsidR="00F4554F" w:rsidRPr="00F4554F" w:rsidRDefault="00F4554F" w:rsidP="00F4554F">
      <w:pPr>
        <w:spacing w:after="120" w:line="276" w:lineRule="auto"/>
        <w:ind w:left="567"/>
        <w:jc w:val="both"/>
        <w:rPr>
          <w:rFonts w:ascii="Arial" w:hAnsi="Arial"/>
          <w:sz w:val="21"/>
          <w:szCs w:val="21"/>
        </w:rPr>
      </w:pPr>
      <w:bookmarkStart w:id="106" w:name="_Hlk99022588"/>
      <w:r w:rsidRPr="00F4554F">
        <w:rPr>
          <w:rFonts w:ascii="Arial" w:hAnsi="Arial"/>
          <w:sz w:val="21"/>
          <w:szCs w:val="21"/>
        </w:rPr>
        <w:t>La persona protegida va patir l'obertura d'expedients disciplinaris per fins a set faltes, entre greus i molt greus, i un delicte. Finalment, l'alcalde li va imposar per una falta molt greu la sanció de suspensió d'ocupació i sou de tres anys, sense tindre la competència per a això perquè la mateixa corresponia a la Junta de Govern Local. No obstant això, aquesta falta de competència no va ser recorreguda pel denunciant</w:t>
      </w:r>
      <w:bookmarkEnd w:id="106"/>
      <w:r w:rsidRPr="00F4554F">
        <w:rPr>
          <w:rFonts w:ascii="Arial" w:hAnsi="Arial"/>
          <w:sz w:val="21"/>
          <w:szCs w:val="21"/>
        </w:rPr>
        <w:t xml:space="preserve">. </w:t>
      </w:r>
    </w:p>
    <w:p w14:paraId="709F082C"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La citada sanció té el seu origen en el fet consistent a no acudir a la citació ordenada per una regidora de l'Ajuntament. Aquests fets van ser tipificats per l'Ajuntament, per a la imposició de la sanció, com a desobediència oberta a les ordres o instruccions d'un superior, aplicant-se la sanció de suspensió d'ocupació i sou per tres anys.</w:t>
      </w:r>
    </w:p>
    <w:p w14:paraId="287BD81E"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Enfront de la resolució que imposava aquesta sanció es va interposar recurs davant el Jutjat del Contenciós-Administratiu núm. 1 d'Alacant, que va dictar Sentència 758/2018, de 19 de desembre de 2018, que declarava la nul·litat de la sanció de suspensió d'ocupació i sou de tres anys, acordant en el seu lloc imposar una sanció de suspensió de funcions i retribucions per període de quinze dies. La Sentència estableix:</w:t>
      </w:r>
    </w:p>
    <w:p w14:paraId="6268DDC5"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 xml:space="preserve">“(…)entén la proveyente que ni tal desobediència té l'entitat ni gravetat suficient per a ser incardinada en l'àmbit d'aplicació de l'articule 141.1.j), ni concorre l'element essencial previst en el tipus, que l'ordre provinguera d'un superior, atés que la Regidora (…), si bé té la condició d'autoritat, no pot ser considerada com a superior jeràrquic del recurrent. </w:t>
      </w:r>
    </w:p>
    <w:p w14:paraId="5ADF187D"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Per tot el que s'ha exposat, es considera més ajustat incardinar la conducta de l'actor en la falta greu continguda en l'articule 142.1 a) de la Llei 10/2010 consistent en "La falta d'obediència deguda als seus superiors jeràrquics i autoritats", i per tal raó imposar al mateix la sanció continguda en l'articule 145.1.b) 1° consistent en la suspensió de funcions i retribucions per període de 15 dies.(…)”</w:t>
      </w:r>
    </w:p>
    <w:p w14:paraId="1D7DCBAE" w14:textId="5876DDBC"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 Recorreguda aquesta sentència per l'Ajuntament, la Secció Segona de la Sala del Contenciós- Administratiu del Tribunal Superior de Justícia de la Comunitat Valenciana va dictar Sentència núm. 801/2020</w:t>
      </w:r>
      <w:bookmarkStart w:id="107" w:name="_Hlk99016076"/>
      <w:r w:rsidRPr="00F4554F">
        <w:rPr>
          <w:rFonts w:ascii="Arial" w:hAnsi="Arial"/>
          <w:sz w:val="21"/>
          <w:szCs w:val="21"/>
        </w:rPr>
        <w:t xml:space="preserve">, de 30 de novembre de 2020, </w:t>
      </w:r>
      <w:bookmarkEnd w:id="107"/>
      <w:r w:rsidRPr="00F4554F">
        <w:rPr>
          <w:rFonts w:ascii="Arial" w:hAnsi="Arial"/>
          <w:sz w:val="21"/>
          <w:szCs w:val="21"/>
        </w:rPr>
        <w:t>en la qual s'estimava el recurs plantejat, revocant la sentència de primera instància i mantenint la sanció de tres anys d'ocupació i sou.</w:t>
      </w:r>
    </w:p>
    <w:p w14:paraId="3835A0BA"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La persona protegida ha recorregut la Sentència davant el Tribunal Suprem, trobant-se en aquests moments pendent d'admissió en el seu cas del recurs de cassació.</w:t>
      </w:r>
    </w:p>
    <w:p w14:paraId="1CB26D2A"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D'altra banda, a conseqüència de la denúncia d'irregularitats, en l'àmbit laboral de la persona protegida es van donar unes circumstàncies que li van portar a interposar una denúncia davant el Ministeri Fiscal per assetjament laboral, el qual va sol·licitar la incoació de les corresponents Diligències Prèvies, les quals es troben en tramitació. </w:t>
      </w:r>
    </w:p>
    <w:p w14:paraId="5BB2322B"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Durant la tramitació d'aquestes Diligències Prèvies per assetjament laboral, es va acordar pel Jutjat, entre altres diligències, la reproducció en seu judicial de l'enregistrament. Respecte d'aquest enregistrament la representació de l'alcalde, que està sent investigat, juntament amb altres funcionaris i un regidor, va sol·licitar que es deduïra testimoniatge de particulars contra la persona protegida per delicte d'amenaces i coaccions, havent accedit el Jutjat a tal extrem. </w:t>
      </w:r>
    </w:p>
    <w:p w14:paraId="2E770F1A"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Això va donar lloc a la presentació per la persona protegida d'un recurs contra aquesta resolució del Jutjat, amb l'assessorament de l’AVAF, que ha sigut resolt per la Secció Primera de l'Audiència Provincial d'Alacant declarant la nul·litat per falta de motivació de l'Acte dictat pel Jutjat d'Instrucció i ordenant retrotraure les actuacions. </w:t>
      </w:r>
    </w:p>
    <w:p w14:paraId="7F9EE5FB" w14:textId="77777777" w:rsidR="00F4554F" w:rsidRPr="00F4554F" w:rsidRDefault="00F4554F" w:rsidP="00F4554F">
      <w:pPr>
        <w:spacing w:after="120" w:line="276" w:lineRule="auto"/>
        <w:ind w:left="567"/>
        <w:jc w:val="both"/>
        <w:rPr>
          <w:rFonts w:ascii="Arial" w:hAnsi="Arial"/>
          <w:b/>
          <w:bCs/>
          <w:sz w:val="21"/>
          <w:szCs w:val="21"/>
        </w:rPr>
      </w:pPr>
      <w:r w:rsidRPr="00F4554F">
        <w:rPr>
          <w:rFonts w:ascii="Arial" w:hAnsi="Arial"/>
          <w:b/>
          <w:bCs/>
          <w:sz w:val="21"/>
          <w:szCs w:val="21"/>
        </w:rPr>
        <w:t>Actuacions de l’AVAF:</w:t>
      </w:r>
    </w:p>
    <w:p w14:paraId="0DE9C7F2"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L’AVAF ha realitzat funcions d'assessorament a la persona denunciant i als seus lletrats en relació amb tots els recursos que ha hagut d'emprendre per a defensar-se respecte de la sanció imposada per l'alcalde. </w:t>
      </w:r>
    </w:p>
    <w:p w14:paraId="3EFEFCE1"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Dins del marc del procediment penal per assetjament laboral s'ha emés per aquesta Agència, a sol·licitud del Jutjat d'Instrucció, un informe tècnic sobre la possible represàlia que, segons el parer dels lletrats d'aquesta Agència, constitueix la imposició de la citada sanció de suspensió de tres anys d'ocupació i sou a la persona protegida. En aquest informe i amb base a la dilatada experiència administrativa, aquesta Agència concloïa que la sanció a la persona protegida és desproporcionada, és a dir, que no existeix una proporció entre la no assistència a una compareixença i una sanció de suspensió d'ocupació i sou de tres anys. </w:t>
      </w:r>
    </w:p>
    <w:p w14:paraId="1D6398FE"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Per si no fora prou, analitzades les sancions imposades per l'Ajuntament a altres funcionaris, s'evidencia que respecte d'alguns dels funcionaris denunciats per la persona protegida, algun d'ells fins i tot condemnat penalment, l'Ajuntament no els ha imposat cap sanció, i a altres expedientats, per fets més greus que al denunciant protegit, se'ls havia imposat tan sols una sanció de demèrit. Això suposa un greu crebant al principi d'igualtat de tracte i confirma la desproporció de la sanció imposada a la persona denunciant protegida.</w:t>
      </w:r>
    </w:p>
    <w:p w14:paraId="0C35558A" w14:textId="77777777" w:rsidR="00F4554F" w:rsidRPr="00F4554F" w:rsidRDefault="00F4554F" w:rsidP="00F4554F">
      <w:pPr>
        <w:spacing w:after="240" w:line="276" w:lineRule="auto"/>
        <w:ind w:left="567"/>
        <w:jc w:val="both"/>
        <w:rPr>
          <w:rFonts w:ascii="Arial" w:hAnsi="Arial"/>
          <w:sz w:val="21"/>
          <w:szCs w:val="21"/>
        </w:rPr>
      </w:pPr>
      <w:r w:rsidRPr="00F4554F">
        <w:rPr>
          <w:rFonts w:ascii="Arial" w:hAnsi="Arial"/>
          <w:sz w:val="21"/>
          <w:szCs w:val="21"/>
        </w:rPr>
        <w:t>En virtut d'aquesta sol·licitud d'informe, les persones lletrades que ho van confeccionar de l’AVAF van ser citades per a comparéixer en seu judicial en qualitat de perits, circumstància que ha sigut recolzada per la Secció Desena de l'Audiència Provincial d'Alacant, l'Acte de la qual de 22 de setembre de 2021, va resoldre el recurs d'apel·lació plantejat pels investigats que pretenien que aquestes declaracions ho foren en qualitat de testimoni i no de perits.</w:t>
      </w:r>
    </w:p>
    <w:p w14:paraId="508C9F14" w14:textId="77777777" w:rsidR="00F4554F" w:rsidRPr="00F4554F" w:rsidRDefault="00F4554F" w:rsidP="00DA2C27">
      <w:pPr>
        <w:spacing w:after="120" w:line="276" w:lineRule="auto"/>
        <w:jc w:val="both"/>
        <w:rPr>
          <w:rFonts w:ascii="Arial" w:hAnsi="Arial"/>
          <w:b/>
          <w:bCs/>
          <w:color w:val="9D2235" w:themeColor="accent1"/>
          <w:sz w:val="21"/>
          <w:szCs w:val="21"/>
        </w:rPr>
      </w:pPr>
      <w:r w:rsidRPr="00F4554F">
        <w:rPr>
          <w:rFonts w:ascii="Arial" w:hAnsi="Arial"/>
          <w:b/>
          <w:bCs/>
          <w:color w:val="9D2235" w:themeColor="accent1"/>
          <w:sz w:val="21"/>
          <w:szCs w:val="21"/>
        </w:rPr>
        <w:t>CAS 9</w:t>
      </w:r>
    </w:p>
    <w:p w14:paraId="7C3EB92F" w14:textId="77777777" w:rsidR="00F4554F" w:rsidRPr="00F4554F" w:rsidRDefault="00F4554F" w:rsidP="00F4554F">
      <w:pPr>
        <w:spacing w:after="120" w:line="276" w:lineRule="auto"/>
        <w:ind w:left="567"/>
        <w:jc w:val="both"/>
        <w:rPr>
          <w:rFonts w:ascii="Arial" w:hAnsi="Arial"/>
          <w:b/>
          <w:bCs/>
          <w:sz w:val="21"/>
          <w:szCs w:val="21"/>
        </w:rPr>
      </w:pPr>
      <w:r w:rsidRPr="00F4554F">
        <w:rPr>
          <w:rFonts w:ascii="Arial" w:hAnsi="Arial"/>
          <w:b/>
          <w:bCs/>
          <w:sz w:val="21"/>
          <w:szCs w:val="21"/>
        </w:rPr>
        <w:t>Estat de la denúncia:</w:t>
      </w:r>
    </w:p>
    <w:p w14:paraId="0D532B4D"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En aquest cas la persona protegida va realitzar una denúncia relativa a irregularitats urbanístiques, prevaricació administrativa, falsedat documental i defraudació de cabals públics, que va donar lloc a la incoació de Diligències Prèvies. Després de la pràctica de nombroses diligències i un llarg període d'investigació van ser sobresegudes provisionalment. </w:t>
      </w:r>
    </w:p>
    <w:p w14:paraId="7D9E7E1A"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b/>
          <w:bCs/>
          <w:sz w:val="21"/>
          <w:szCs w:val="21"/>
        </w:rPr>
        <w:t>Represàlia (o no represàlies, en el seu cas):</w:t>
      </w:r>
    </w:p>
    <w:p w14:paraId="4458A61A"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A causa de la presentació de la seua denúncia, aquest denunciant va patir assetjament laboral a l'Ajuntament on prestava els seus serveis, com ha quedat acreditat en la Sentència núm. 763/2020, de 14 de desembre de 2020, Jutjat contenciós administratiu núm. 1 d'Elx, de la qual ressaltem:</w:t>
      </w:r>
    </w:p>
    <w:p w14:paraId="64AF242B"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“(…)QUART.- Resulta igualment rellevant exposar la importància que en el cas d'actuacions haja intervingut l'Agència de Prevenció i Lluita contra el Frau i la Corrupció de la Comunitat Valenciana, la Resolució de data de la qual (…) de 2018 aplica l'estatut de la persona denunciant a l'ací actor, (…)per la seua denúncia de fets presumptament delictius que van donar lloc a la incoació de les Diligències Prèvies obertes en el Jutjat d'Instrucció núm. 2 de Torrevella. La mera aparició en escena de la citada agència de lluita contra la corrupció constitueix un descrèdit del major nivell per a una Entitat Local que llança una ombra de dubte sobre l'actuació d'un Ajuntament, i la resolució del qual no sols ha sigut remesa a la Secció Territorial de Torrevella de la Fiscalia, sinó que pot finalitzar en una posada en coneixement de les mateixes Corts Valencianes a través de la seua memòria anual.</w:t>
      </w:r>
    </w:p>
    <w:p w14:paraId="0A564A1F"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En qualsevol cas, ha de deixar-se constància ací que aquest Jutjador ha tingut molt en compte l'estatut de protecció de la persona denunciant que li va ser reconegut a (…) mitjançant la resolució citada -de 2018, com la publicació de la recent Directiva (UE) 2019/1937 del Parlament Europeu i del Consell, de 23 d'octubre de 2019, relativa a la protecció de les persones que informen sobre infraccions del Dret de la Unió, si bé consta en aquest òrgan judicial que la denúncia formulada per l'actor i que va donar lloc a l'obertura de Diligències Prèvies núm.(…) -en el Jutjat d'Instrucció núm. 2 de Torrevella ha finalitzat mitjançant Acte dictat per aquest Jutjat el (…) 2019 en el qual s'acorda el sobreseïment provisional de la causa, si bé un exhort judicial remés per aquest Jutjat informa de la interposició d'un recurs d'apel·lació enfront del citat acte, estant pendent de sentència per la Secció Setena de l'Audiència Provincial d’Alacant (amb seu a Elx).</w:t>
      </w:r>
    </w:p>
    <w:p w14:paraId="0D9762F0"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(…)reconeixent al recurrent, com a situació jurídica individualitzada, ser víctima d'un procés d'assetjament laboral o assetjament psicològic a l'Ajuntament de Torrevella ,havent d'adoptar-se en un termini màxim de 15 dies naturals a comptar des del següent a la notificació de la present sentència totes les mesures preventives immediates i previstes en el Protocol de Prevenció Contra l'Assetjament Laboral de l'Ajuntament de Torrevella que siguen precises perquè cesse la vulneració dels drets de l'actor, amb reconeixement d'una indemnització pels danys i perjudicis psicològics i morals patits (…)Amb la finalitat d'aconseguir el ple restabliment del dret de la part demandant fins a la restitució in integrum, a la quantitat anterior hauran d'afegir-se els interessos legals corresponents des de la data de presentació de la sol·licitud el 27 de juny de 2018. A tot això ha d'afegir-se els interessos de mora processal ex article 106.2 LJCA, els quals naixen ope legis sense necessitat de petició (…)”</w:t>
      </w:r>
    </w:p>
    <w:p w14:paraId="418E07B5"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Aquesta Sentència va ser publicada per l'Editorial </w:t>
      </w:r>
      <w:hyperlink r:id="rId354" w:history="1">
        <w:r w:rsidRPr="00F4554F">
          <w:rPr>
            <w:rStyle w:val="Hipervnculo"/>
            <w:rFonts w:ascii="Arial" w:hAnsi="Arial"/>
            <w:sz w:val="21"/>
            <w:szCs w:val="21"/>
          </w:rPr>
          <w:t>Wolters Kluwer</w:t>
        </w:r>
      </w:hyperlink>
      <w:r w:rsidRPr="00F4554F">
        <w:rPr>
          <w:rFonts w:ascii="Arial" w:hAnsi="Arial"/>
          <w:sz w:val="21"/>
          <w:szCs w:val="21"/>
        </w:rPr>
        <w:t xml:space="preserve"> i en la pàgina web de la Fundació </w:t>
      </w:r>
      <w:hyperlink r:id="rId355" w:history="1">
        <w:r w:rsidRPr="00F4554F">
          <w:rPr>
            <w:rStyle w:val="Hipervnculo"/>
            <w:rFonts w:ascii="Arial" w:hAnsi="Arial"/>
            <w:sz w:val="21"/>
            <w:szCs w:val="21"/>
          </w:rPr>
          <w:t>Hi ha Dret</w:t>
        </w:r>
      </w:hyperlink>
      <w:r w:rsidRPr="00F4554F">
        <w:rPr>
          <w:rFonts w:ascii="Arial" w:hAnsi="Arial"/>
          <w:sz w:val="21"/>
          <w:szCs w:val="21"/>
        </w:rPr>
        <w:t xml:space="preserve">, juntament amb el comentari a la mateixa realitzat d'un lletrat d'aquesta Agència. </w:t>
      </w:r>
    </w:p>
    <w:p w14:paraId="738455F1" w14:textId="77777777" w:rsidR="00F4554F" w:rsidRPr="00F4554F" w:rsidRDefault="00F4554F" w:rsidP="00F4554F">
      <w:pPr>
        <w:spacing w:after="120" w:line="276" w:lineRule="auto"/>
        <w:ind w:left="567"/>
        <w:jc w:val="both"/>
        <w:rPr>
          <w:rFonts w:ascii="Arial" w:hAnsi="Arial"/>
          <w:b/>
          <w:bCs/>
          <w:sz w:val="21"/>
          <w:szCs w:val="21"/>
        </w:rPr>
      </w:pPr>
      <w:r w:rsidRPr="00F4554F">
        <w:rPr>
          <w:rFonts w:ascii="Arial" w:hAnsi="Arial"/>
          <w:sz w:val="21"/>
          <w:szCs w:val="21"/>
        </w:rPr>
        <w:t xml:space="preserve">Així mateix, aquesta Sentència també ha sigut esmentada en l'Informe </w:t>
      </w:r>
      <w:hyperlink r:id="rId356" w:history="1">
        <w:r w:rsidRPr="00F4554F">
          <w:rPr>
            <w:rStyle w:val="Hipervnculo"/>
            <w:rFonts w:ascii="Arial" w:hAnsi="Arial"/>
            <w:sz w:val="21"/>
            <w:szCs w:val="21"/>
          </w:rPr>
          <w:t>del 13 d'octubre de 2021 de la Sala Segona del Tribunal Suprem, Recurs núm. 10575/2018, Expedient d'Indult núm. 10/2021</w:t>
        </w:r>
      </w:hyperlink>
      <w:r w:rsidRPr="00F4554F">
        <w:rPr>
          <w:rFonts w:ascii="Arial" w:hAnsi="Arial"/>
          <w:b/>
          <w:bCs/>
          <w:sz w:val="21"/>
          <w:szCs w:val="21"/>
        </w:rPr>
        <w:t xml:space="preserve">. </w:t>
      </w:r>
    </w:p>
    <w:p w14:paraId="1422AFFE" w14:textId="33F77458"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 xml:space="preserve">Aquest informe destaca les mancances del nostre ordenament jurídic penal, al mateix temps que es repassa l'article 62 de la Llei 39/2015, els articles 174 et seq. de l'AP LECrim, a més d'apuntar les crítiques </w:t>
      </w:r>
      <w:r w:rsidR="007C5A34">
        <w:rPr>
          <w:rFonts w:ascii="Arial" w:hAnsi="Arial"/>
          <w:sz w:val="21"/>
          <w:szCs w:val="21"/>
        </w:rPr>
        <w:t xml:space="preserve">que </w:t>
      </w:r>
      <w:r w:rsidRPr="00F4554F">
        <w:rPr>
          <w:rFonts w:ascii="Arial" w:hAnsi="Arial"/>
          <w:sz w:val="21"/>
          <w:szCs w:val="21"/>
        </w:rPr>
        <w:t xml:space="preserve">Espanya ve rebent per part d'organismes internacionals i supranacionals a causa de la falta d'un sistema de protecció dels denunciants. Afig l'informe que és necessari recordar els preceptes clau de la Convenció de Nacions Unides contra la Corrupció, l'informe de la Comissió Europea de 2014 i la Directiva 2019/1937, </w:t>
      </w:r>
      <w:r w:rsidR="007C5A34" w:rsidRPr="007C5A34">
        <w:rPr>
          <w:rFonts w:ascii="Arial" w:hAnsi="Arial"/>
          <w:sz w:val="21"/>
          <w:szCs w:val="21"/>
        </w:rPr>
        <w:t>que està sent</w:t>
      </w:r>
      <w:r w:rsidR="007C5A34">
        <w:rPr>
          <w:rFonts w:ascii="Arial" w:hAnsi="Arial"/>
          <w:sz w:val="21"/>
          <w:szCs w:val="21"/>
        </w:rPr>
        <w:t xml:space="preserve"> </w:t>
      </w:r>
      <w:r w:rsidRPr="00F4554F">
        <w:rPr>
          <w:rFonts w:ascii="Arial" w:hAnsi="Arial"/>
          <w:sz w:val="21"/>
          <w:szCs w:val="21"/>
        </w:rPr>
        <w:t>aplicada per òrgans jurisdiccionals, esmentant expressament la Sentència del Jutjat contenciós administratiu núm. 1 d'Elx de 14 de desembre de 2020, dictada en relació amb l'assetjament patit per aquest denunciant protegit.</w:t>
      </w:r>
    </w:p>
    <w:p w14:paraId="02342754"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A continuació, s'exposa un extracte del citat informe del Ministeri Fiscal, que fa seu la Sala Segona del Tribunal Suprem:</w:t>
      </w:r>
    </w:p>
    <w:p w14:paraId="0A911375"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“La UE és plenament conscient de la necessitat de protecció del “whistleblower”, d'aquells que van decidir denunciar corrent enormes riscos A Espanya són freqüents casos de denúncies, com aquest cas de José Luis Peñas o el dels ERE a Andalusia que va emergir gràcies a una denúncia d'un empleat de l'Agència IDEA que va ser acomiadat com a represàlia per aquesta revelació d'informació i l'acomiadament de la qual va ser declarat nul per la Sala social del Tribunal Superior de Justícia d'Andalusia, amb l'obligació de readmissió i d'abonament d'indemnització per vulneració del seu dret fonamental (llibertat d'expressió —article 20.1.a de la Constitució Espanyola (“CE”) i del seu dret a la tutela judicial efectiva en el vessant de la lesió de garantia d'indemnitat — article 24 CE—).</w:t>
      </w:r>
    </w:p>
    <w:p w14:paraId="7AA42BAB"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Davant aquesta situació el passat 26 de novembre de 2019 es va publicar la Directiva (UE) 2019/1937, de 23 d'octubre de 2019, relativa a la protecció de les persones que informen sobre infraccions del Dret de la Unió, també coneguda com a “Directiva whistleblowing”.</w:t>
      </w:r>
    </w:p>
    <w:p w14:paraId="072C39DC"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La nova Directiva pretén garantir que els denunciants puguen denunciar a les autoritats públiques, de qualsevol infracció de la normativa europea que es produïsca en el si d'una organització pal·liant l'escassa, protecció dels denunciants d'infraccions entre els Estats membres i contempla una sèrie de mesures de protecció enfront de les represàlies preses contra els informadors. Entre les àrees que cobreix la nova Directiva, destaquen la contractació pública, blanqueig de capitals, salut pública, seguretat del transport, protecció del medi ambient o competència.</w:t>
      </w:r>
    </w:p>
    <w:p w14:paraId="46B44E6A"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La comissària europea de Justícia, ..., va assenyalar en presentar la Directiva que “[...] la nova regulació sobre whistleblowers suposarà un canvi en les regles del joc, necessitem fer costat a la gent que està disposada a prendre riscos per a destapar violacions serioses del Dret de la Unió. Li ho devem a la gent honesta d'Europa, els whistleblowers necessiten protecció davant la degradació, la possibilitat d'afrontar procediments judicials, perdre els seus treballs i la seua estabilitat econòmica, així com per a defensar el manteniment del seu bon nom i reputació. El 81% dels consultats en l'Eurobaròmetre especial sobre corrupció van contestar que no denunciarien actes de corrupció als quals hagueren tingut accés. El motiu: la por a les conseqüències d'aquestes denúncies”.</w:t>
      </w:r>
    </w:p>
    <w:p w14:paraId="0E3119C5"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No obstant això, el sistema de sancions en cas d'incompliment de les mesures de protecció no ve contemplat en la Directiva, sinó que es delega a la legislació interna dels Estats membres, sota la premissa que aquestes sancions siguen efectives, proporcionades i dissuasives.</w:t>
      </w:r>
    </w:p>
    <w:p w14:paraId="0CB64534"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Les disposicions de la Directiva hauran de ser implantades pels Estats membres amb data 17 de desembre de 2021, amb excepció dels canals de denúncia interna de les entitats privades que tinguen entre 50 i 249 treballadors, que comptaran amb 2 anys més de termini.</w:t>
      </w:r>
    </w:p>
    <w:p w14:paraId="47899CEE"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sz w:val="20"/>
          <w:szCs w:val="20"/>
        </w:rPr>
        <w:t>El 17 de juny de 2020 un grup de treball de la Secció de Dret Públic de la Comissió General de Codificació va començar a preparar la proposta de text articulat. Espanya té fins al 17 de desembre de 2021 per a transposar-ho a la nostra legislació.</w:t>
      </w:r>
    </w:p>
    <w:p w14:paraId="0556236B" w14:textId="77777777" w:rsidR="00F4554F" w:rsidRPr="00F4554F" w:rsidRDefault="00F4554F" w:rsidP="00F4554F">
      <w:pPr>
        <w:spacing w:after="120" w:line="276" w:lineRule="auto"/>
        <w:ind w:left="1418"/>
        <w:jc w:val="both"/>
        <w:rPr>
          <w:rFonts w:ascii="Arial" w:hAnsi="Arial"/>
          <w:sz w:val="20"/>
          <w:szCs w:val="20"/>
        </w:rPr>
      </w:pPr>
      <w:r w:rsidRPr="00F4554F">
        <w:rPr>
          <w:rFonts w:ascii="Arial" w:hAnsi="Arial"/>
          <w:b/>
          <w:bCs/>
          <w:sz w:val="20"/>
          <w:szCs w:val="20"/>
        </w:rPr>
        <w:t>La Directiva ja està sent aplicada pels òrgans jurisdiccionals (Jutjat del Contenciós -Administratiu d'Elx en sentència 14.12.2020</w:t>
      </w:r>
      <w:r w:rsidRPr="00F4554F">
        <w:rPr>
          <w:rFonts w:ascii="Arial" w:hAnsi="Arial"/>
          <w:sz w:val="20"/>
          <w:szCs w:val="20"/>
        </w:rPr>
        <w:t xml:space="preserve"> i la Sala Penal del Tribunal Suprem en sentència 35/2020, de 6 de febrer, del Contencioso-Administratiu 3a del Tribunal Suprem i la seua falta d'aplicació va donar lloc a una denúncia contra la Fiscalia Anticorrupció per l'Associació contra la Corrupció i Defensa de l'Acció Pública (ACODAP) (…).”</w:t>
      </w:r>
    </w:p>
    <w:p w14:paraId="1B4D2D24" w14:textId="6A6789BC" w:rsidR="00F4554F" w:rsidRDefault="00F4554F" w:rsidP="00F4554F">
      <w:pPr>
        <w:spacing w:after="120" w:line="276" w:lineRule="auto"/>
        <w:ind w:left="567"/>
        <w:jc w:val="both"/>
        <w:rPr>
          <w:rFonts w:ascii="Arial" w:hAnsi="Arial"/>
          <w:sz w:val="21"/>
          <w:szCs w:val="21"/>
        </w:rPr>
      </w:pPr>
      <w:r w:rsidRPr="00F4554F">
        <w:rPr>
          <w:rFonts w:ascii="Arial" w:hAnsi="Arial"/>
          <w:sz w:val="21"/>
          <w:szCs w:val="21"/>
        </w:rPr>
        <w:t>En 2021, no consten noves represàlies diferents de les seqüeles que el denunciant arrossega conseqüència de la s pressions rebudes després de la denúncia d'irregularitats. La persona denunciant després de tots aquests successos ha cessat en la prestació de serveis perquè ha sigut declarada en situació d'incapacitat permanent per a la professió habitual.</w:t>
      </w:r>
    </w:p>
    <w:p w14:paraId="1D300519" w14:textId="77777777" w:rsidR="00F4554F" w:rsidRPr="00F4554F" w:rsidRDefault="00F4554F" w:rsidP="00F4554F">
      <w:pPr>
        <w:spacing w:after="120" w:line="276" w:lineRule="auto"/>
        <w:ind w:left="567"/>
        <w:jc w:val="both"/>
        <w:rPr>
          <w:rFonts w:ascii="Arial" w:hAnsi="Arial"/>
          <w:sz w:val="21"/>
          <w:szCs w:val="21"/>
        </w:rPr>
      </w:pPr>
      <w:r w:rsidRPr="00F4554F">
        <w:rPr>
          <w:rFonts w:ascii="Arial" w:hAnsi="Arial"/>
          <w:b/>
          <w:bCs/>
          <w:sz w:val="21"/>
          <w:szCs w:val="21"/>
        </w:rPr>
        <w:t>Actuacions de l'Agència:</w:t>
      </w:r>
      <w:r w:rsidRPr="00F4554F">
        <w:rPr>
          <w:rFonts w:ascii="Arial" w:hAnsi="Arial"/>
          <w:sz w:val="21"/>
          <w:szCs w:val="21"/>
        </w:rPr>
        <w:t xml:space="preserve"> </w:t>
      </w:r>
    </w:p>
    <w:p w14:paraId="56404475" w14:textId="77777777" w:rsidR="00F4554F" w:rsidRPr="00F4554F" w:rsidRDefault="00F4554F" w:rsidP="0087428A">
      <w:pPr>
        <w:spacing w:after="240" w:line="276" w:lineRule="auto"/>
        <w:ind w:left="567"/>
        <w:jc w:val="both"/>
        <w:rPr>
          <w:rFonts w:ascii="Arial" w:hAnsi="Arial"/>
          <w:sz w:val="21"/>
          <w:szCs w:val="21"/>
        </w:rPr>
      </w:pPr>
      <w:r w:rsidRPr="00F4554F">
        <w:rPr>
          <w:rFonts w:ascii="Arial" w:hAnsi="Arial"/>
          <w:sz w:val="21"/>
          <w:szCs w:val="21"/>
        </w:rPr>
        <w:t>La protecció per l'Agència de la persona denunciant, que és personal funcionari de l'administració local, ha consistit en el seguiment de la seua situació i assessorament jurídic.</w:t>
      </w:r>
    </w:p>
    <w:p w14:paraId="6A7B9392" w14:textId="77777777" w:rsidR="0087428A" w:rsidRPr="0087428A" w:rsidRDefault="0087428A" w:rsidP="00DA2C27">
      <w:pPr>
        <w:spacing w:after="120" w:line="276" w:lineRule="auto"/>
        <w:jc w:val="both"/>
        <w:rPr>
          <w:rFonts w:ascii="Arial" w:hAnsi="Arial"/>
          <w:b/>
          <w:bCs/>
          <w:color w:val="9D2235" w:themeColor="accent1"/>
          <w:sz w:val="21"/>
          <w:szCs w:val="21"/>
        </w:rPr>
      </w:pPr>
      <w:r w:rsidRPr="0087428A">
        <w:rPr>
          <w:rFonts w:ascii="Arial" w:hAnsi="Arial"/>
          <w:b/>
          <w:bCs/>
          <w:color w:val="9D2235" w:themeColor="accent1"/>
          <w:sz w:val="21"/>
          <w:szCs w:val="21"/>
        </w:rPr>
        <w:t>CAS 10</w:t>
      </w:r>
    </w:p>
    <w:p w14:paraId="233D37AB" w14:textId="77777777" w:rsidR="0087428A" w:rsidRPr="0087428A" w:rsidRDefault="0087428A" w:rsidP="0087428A">
      <w:pPr>
        <w:spacing w:after="120" w:line="276" w:lineRule="auto"/>
        <w:ind w:left="567"/>
        <w:jc w:val="both"/>
        <w:rPr>
          <w:rFonts w:ascii="Arial" w:hAnsi="Arial"/>
          <w:b/>
          <w:bCs/>
          <w:sz w:val="21"/>
          <w:szCs w:val="21"/>
        </w:rPr>
      </w:pPr>
      <w:r w:rsidRPr="0087428A">
        <w:rPr>
          <w:rFonts w:ascii="Arial" w:hAnsi="Arial"/>
          <w:b/>
          <w:bCs/>
          <w:sz w:val="21"/>
          <w:szCs w:val="21"/>
        </w:rPr>
        <w:t>Estat de la denúncia:</w:t>
      </w:r>
    </w:p>
    <w:p w14:paraId="7E8D6B11"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En aquest assumpte la persona protegida ha interposat diferents denúncies relatives a irregularitats en processos selectius d'Oficials de Policia Local. </w:t>
      </w:r>
    </w:p>
    <w:p w14:paraId="577A669A"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A conseqüència d'aquestes denúncies es van incoar dos procediments penals. </w:t>
      </w:r>
    </w:p>
    <w:p w14:paraId="773D8C9B"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En un d'ells, ha recaigut Acte de sobreseïment provisional de la causa. En aquest Acte el jutjador evidència l'existència d'una irregularitat administrativa en el procés de selecció consistent en “a ampliar la llista d'aspirants que haurien de passar a la següent fase, sense cap motivació”, si bé entén que no s'acrediten els elements del tipus necessaris per a constituir delicte. No obstant això, aquest Acte de sobreseïment provisional ha sigut recorregut i està pendent de resolució</w:t>
      </w:r>
    </w:p>
    <w:p w14:paraId="5907EE9E"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Aquestes irregularitats, a la qual fa referència el citat Acte de sobreseïment en seu penal, van ser depurades en via contenciós-administrativa, havent-se dictat Sentència 389/2019, de 16 de maig de 2019, de la Sala del Contenciós del Tribunal Superior de Justícia de la Comunitat Valenciana, que declarava la nul·litat d'aquest procés de selecció, la qual és ferma.</w:t>
      </w:r>
    </w:p>
    <w:p w14:paraId="3979E622"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L'altre procediment penal, que es va obrir a la seua instància i relatiu a un procés selectiu d'Oficials de Policia Local, es troba en tramitació. </w:t>
      </w:r>
    </w:p>
    <w:p w14:paraId="50FDAC85" w14:textId="77777777" w:rsidR="0087428A" w:rsidRPr="0087428A" w:rsidRDefault="0087428A" w:rsidP="0087428A">
      <w:pPr>
        <w:spacing w:after="120" w:line="276" w:lineRule="auto"/>
        <w:ind w:left="567"/>
        <w:jc w:val="both"/>
        <w:rPr>
          <w:rFonts w:ascii="Arial" w:hAnsi="Arial"/>
          <w:b/>
          <w:bCs/>
          <w:sz w:val="21"/>
          <w:szCs w:val="21"/>
        </w:rPr>
      </w:pPr>
      <w:r w:rsidRPr="0087428A">
        <w:rPr>
          <w:rFonts w:ascii="Arial" w:hAnsi="Arial"/>
          <w:b/>
          <w:bCs/>
          <w:sz w:val="21"/>
          <w:szCs w:val="21"/>
        </w:rPr>
        <w:t xml:space="preserve">Represàlia (o no represàlies, en el seu cas): </w:t>
      </w:r>
    </w:p>
    <w:p w14:paraId="2ED047FA"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Aquesta persona protegida ha patit pressions i represàlies subtils per part dels seus comandaments superiors. </w:t>
      </w:r>
    </w:p>
    <w:p w14:paraId="738AB0B3" w14:textId="77777777" w:rsidR="0087428A" w:rsidRPr="0087428A" w:rsidRDefault="0087428A" w:rsidP="0087428A">
      <w:pPr>
        <w:spacing w:after="120" w:line="276" w:lineRule="auto"/>
        <w:ind w:left="567"/>
        <w:jc w:val="both"/>
        <w:rPr>
          <w:rFonts w:ascii="Arial" w:hAnsi="Arial"/>
          <w:b/>
          <w:bCs/>
          <w:sz w:val="21"/>
          <w:szCs w:val="21"/>
        </w:rPr>
      </w:pPr>
      <w:r w:rsidRPr="0087428A">
        <w:rPr>
          <w:rFonts w:ascii="Arial" w:hAnsi="Arial"/>
          <w:b/>
          <w:bCs/>
          <w:sz w:val="21"/>
          <w:szCs w:val="21"/>
        </w:rPr>
        <w:t>Actuacions de l’AVAF:</w:t>
      </w:r>
    </w:p>
    <w:p w14:paraId="2AA9CAB9" w14:textId="77777777" w:rsidR="0087428A" w:rsidRPr="0087428A" w:rsidRDefault="0087428A" w:rsidP="0087428A">
      <w:pPr>
        <w:spacing w:after="240" w:line="276" w:lineRule="auto"/>
        <w:ind w:left="567"/>
        <w:jc w:val="both"/>
        <w:rPr>
          <w:rFonts w:ascii="Arial" w:hAnsi="Arial"/>
          <w:sz w:val="21"/>
          <w:szCs w:val="21"/>
        </w:rPr>
      </w:pPr>
      <w:r w:rsidRPr="0087428A">
        <w:rPr>
          <w:rFonts w:ascii="Arial" w:hAnsi="Arial"/>
          <w:sz w:val="21"/>
          <w:szCs w:val="21"/>
        </w:rPr>
        <w:t>L'Agència segueix pendent de la seua situació en llaures a previndre possibles lesions als seus drets a conseqüència de les denúncies realitzades. L'Agència li presta assessorament legal.</w:t>
      </w:r>
    </w:p>
    <w:p w14:paraId="797B21C7" w14:textId="77777777" w:rsidR="0087428A" w:rsidRPr="0087428A" w:rsidRDefault="0087428A" w:rsidP="00DA2C27">
      <w:pPr>
        <w:spacing w:after="120" w:line="276" w:lineRule="auto"/>
        <w:jc w:val="both"/>
        <w:rPr>
          <w:rFonts w:ascii="Arial" w:hAnsi="Arial"/>
          <w:b/>
          <w:bCs/>
          <w:color w:val="9D2235" w:themeColor="accent1"/>
          <w:sz w:val="21"/>
          <w:szCs w:val="21"/>
        </w:rPr>
      </w:pPr>
      <w:r w:rsidRPr="0087428A">
        <w:rPr>
          <w:rFonts w:ascii="Arial" w:hAnsi="Arial"/>
          <w:b/>
          <w:bCs/>
          <w:color w:val="9D2235" w:themeColor="accent1"/>
          <w:sz w:val="21"/>
          <w:szCs w:val="21"/>
        </w:rPr>
        <w:t>CAS 11</w:t>
      </w:r>
    </w:p>
    <w:p w14:paraId="3D120AD1" w14:textId="77777777" w:rsidR="0087428A" w:rsidRPr="0087428A" w:rsidRDefault="0087428A" w:rsidP="0087428A">
      <w:pPr>
        <w:spacing w:after="120" w:line="276" w:lineRule="auto"/>
        <w:ind w:left="567"/>
        <w:jc w:val="both"/>
        <w:rPr>
          <w:rFonts w:ascii="Arial" w:hAnsi="Arial"/>
          <w:b/>
          <w:bCs/>
          <w:sz w:val="21"/>
          <w:szCs w:val="21"/>
        </w:rPr>
      </w:pPr>
      <w:r w:rsidRPr="0087428A">
        <w:rPr>
          <w:rFonts w:ascii="Arial" w:hAnsi="Arial"/>
          <w:b/>
          <w:bCs/>
          <w:sz w:val="21"/>
          <w:szCs w:val="21"/>
        </w:rPr>
        <w:t>Estat de la denúncia:</w:t>
      </w:r>
    </w:p>
    <w:p w14:paraId="7835B8B5"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La denúncia interposada per la persona protegida, que és agent de policia local, venia referida a irregularitats comeses per altres companys i superiors jeràrquics en la tramitació de multes de trànsit, així com la falta d'acreditació que els diners cobrats de les mateixes en efectiu fora ingressat en les arques públiques. </w:t>
      </w:r>
    </w:p>
    <w:p w14:paraId="3EEE9490"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A conseqüència d'aquesta denúncia, es van incoar Diligències Prèvies que van ser concloses, havent-se obert judici oral que serà celebrat entre els mesos de maig i juny de 2022. El Ministeri Fiscal sol·licita per als quatre acusats penes que van de cinc mesos a quatre anys de presó, multes i inhabilitació de fins a set anys, més l'abonament de les responsabilitats civils. </w:t>
      </w:r>
    </w:p>
    <w:p w14:paraId="0C452AEB" w14:textId="7ABBA8BA" w:rsid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La persona denunciant ha sigut cridada a judici oral com a testimoni qualificat i clau en la investigació.</w:t>
      </w:r>
    </w:p>
    <w:p w14:paraId="0C44E29B" w14:textId="49B611AD" w:rsidR="00DA2C27" w:rsidRDefault="00DA2C27" w:rsidP="0087428A">
      <w:pPr>
        <w:spacing w:after="120" w:line="276" w:lineRule="auto"/>
        <w:ind w:left="567"/>
        <w:jc w:val="both"/>
        <w:rPr>
          <w:rFonts w:ascii="Arial" w:hAnsi="Arial"/>
          <w:sz w:val="21"/>
          <w:szCs w:val="21"/>
        </w:rPr>
      </w:pPr>
    </w:p>
    <w:p w14:paraId="68D0EA9E" w14:textId="77777777" w:rsidR="00DA2C27" w:rsidRPr="0087428A" w:rsidRDefault="00DA2C27" w:rsidP="0087428A">
      <w:pPr>
        <w:spacing w:after="120" w:line="276" w:lineRule="auto"/>
        <w:ind w:left="567"/>
        <w:jc w:val="both"/>
        <w:rPr>
          <w:rFonts w:ascii="Arial" w:hAnsi="Arial"/>
          <w:sz w:val="21"/>
          <w:szCs w:val="21"/>
        </w:rPr>
      </w:pPr>
    </w:p>
    <w:p w14:paraId="7B0AFDFF" w14:textId="77777777" w:rsidR="0087428A" w:rsidRPr="0087428A" w:rsidRDefault="0087428A" w:rsidP="0087428A">
      <w:pPr>
        <w:spacing w:after="120" w:line="276" w:lineRule="auto"/>
        <w:ind w:left="567"/>
        <w:jc w:val="both"/>
        <w:rPr>
          <w:rFonts w:ascii="Arial" w:hAnsi="Arial"/>
          <w:b/>
          <w:bCs/>
          <w:sz w:val="21"/>
          <w:szCs w:val="21"/>
        </w:rPr>
      </w:pPr>
      <w:r w:rsidRPr="0087428A">
        <w:rPr>
          <w:rFonts w:ascii="Arial" w:hAnsi="Arial"/>
          <w:b/>
          <w:bCs/>
          <w:sz w:val="21"/>
          <w:szCs w:val="21"/>
        </w:rPr>
        <w:t>Represàlia (o no represàlies, en el seu cas):</w:t>
      </w:r>
    </w:p>
    <w:p w14:paraId="6FBF0FA7"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Després de la denúncia realitzada, aquesta persona denunciant va ser sotmesa a un fort assetjament laboral. Es va veure obligat a permutar i canviar el seu lloc de treball a un altre Ajuntament fins a dues ocasions. </w:t>
      </w:r>
    </w:p>
    <w:p w14:paraId="1668CF3F"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A conseqüència d'aquest assetjament, va presentar recurs contenciós administratiu, dictant-se Sentència núm. 851/18, 31 de juliol de 2018 pel Jutjat contenciós administratiu núm. 1 d'Elx, la qual va declarar acreditat l'assetjament i va imposar a l'Ajuntament una indemnització pels danys psíquics i perjudicis morals causats durant anys a aquest funcionari per import de 95.816,22 euros més els interessos legals. No obstant això, aquesta Sentència ha sigut revocada per la Sentència núm. 14/21, d'11 de gener de 2021, de Sala del Contenciós-administratiu del Tribunal Superior de Justícia de la Comunitat Valenciana, la qual ha sigut recorreguda, estant en aquest moment pendent d'admissió en el seu cas del recurs de cassació.</w:t>
      </w:r>
    </w:p>
    <w:p w14:paraId="2969D09E" w14:textId="77777777" w:rsidR="0087428A" w:rsidRPr="0087428A" w:rsidRDefault="0087428A" w:rsidP="0087428A">
      <w:pPr>
        <w:spacing w:after="120" w:line="276" w:lineRule="auto"/>
        <w:ind w:left="567"/>
        <w:jc w:val="both"/>
        <w:rPr>
          <w:rFonts w:ascii="Arial" w:hAnsi="Arial"/>
          <w:b/>
          <w:bCs/>
          <w:sz w:val="21"/>
          <w:szCs w:val="21"/>
        </w:rPr>
      </w:pPr>
      <w:r w:rsidRPr="0087428A">
        <w:rPr>
          <w:rFonts w:ascii="Arial" w:hAnsi="Arial"/>
          <w:b/>
          <w:bCs/>
          <w:sz w:val="21"/>
          <w:szCs w:val="21"/>
        </w:rPr>
        <w:t>Actuacions de l’AVAF:</w:t>
      </w:r>
    </w:p>
    <w:p w14:paraId="5B7506D4"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L’AVAF ha realitzat funcions de suport i especialment d'assessorament jurídic en relació amb els procediments judicials que afecten la seua situació.</w:t>
      </w:r>
    </w:p>
    <w:p w14:paraId="48323EB7" w14:textId="77777777" w:rsidR="0087428A" w:rsidRPr="0087428A" w:rsidRDefault="0087428A" w:rsidP="0087428A">
      <w:pPr>
        <w:spacing w:after="240" w:line="276" w:lineRule="auto"/>
        <w:ind w:left="567"/>
        <w:jc w:val="both"/>
        <w:rPr>
          <w:rFonts w:ascii="Arial" w:hAnsi="Arial"/>
          <w:sz w:val="21"/>
          <w:szCs w:val="21"/>
        </w:rPr>
      </w:pPr>
      <w:r w:rsidRPr="0087428A">
        <w:rPr>
          <w:rFonts w:ascii="Arial" w:hAnsi="Arial"/>
          <w:sz w:val="21"/>
          <w:szCs w:val="21"/>
        </w:rPr>
        <w:t>Ha de ressenyar-se que la reincorporació de la persona protegida al seu lloc de treball en una altra localitat, després d'una baixa laboral, ha suposat una millora del seu estat personal i psicològic en desaparéixer les tensions que patia a l'Ajuntament de procedència.</w:t>
      </w:r>
    </w:p>
    <w:p w14:paraId="64474547" w14:textId="77777777" w:rsidR="0087428A" w:rsidRPr="0087428A" w:rsidRDefault="0087428A" w:rsidP="00DA2C27">
      <w:pPr>
        <w:spacing w:after="120" w:line="276" w:lineRule="auto"/>
        <w:jc w:val="both"/>
        <w:rPr>
          <w:rFonts w:ascii="Arial" w:hAnsi="Arial"/>
          <w:b/>
          <w:bCs/>
          <w:color w:val="9D2235" w:themeColor="accent1"/>
          <w:sz w:val="21"/>
          <w:szCs w:val="21"/>
        </w:rPr>
      </w:pPr>
      <w:r w:rsidRPr="0087428A">
        <w:rPr>
          <w:rFonts w:ascii="Arial" w:hAnsi="Arial"/>
          <w:b/>
          <w:bCs/>
          <w:color w:val="9D2235" w:themeColor="accent1"/>
          <w:sz w:val="21"/>
          <w:szCs w:val="21"/>
        </w:rPr>
        <w:t>CASOS 12 i 13</w:t>
      </w:r>
    </w:p>
    <w:p w14:paraId="45F91950"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b/>
          <w:bCs/>
          <w:sz w:val="21"/>
          <w:szCs w:val="21"/>
        </w:rPr>
        <w:t>Estat de la denúncia:</w:t>
      </w:r>
      <w:r w:rsidRPr="0087428A">
        <w:rPr>
          <w:rFonts w:ascii="Arial" w:hAnsi="Arial"/>
          <w:sz w:val="21"/>
          <w:szCs w:val="21"/>
        </w:rPr>
        <w:t xml:space="preserve"> </w:t>
      </w:r>
    </w:p>
    <w:p w14:paraId="004CFA24"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En aquest cas les persones protegides són dos aspirants en un procés selectiu a agents de policia local que van denunciar davant la mateixa Agència uns fets consistents en la filtració de les preguntes d'un examen d'oposició a favor d'un o dels aspirants, funcionari interí de policia local d'un Ajuntament. </w:t>
      </w:r>
    </w:p>
    <w:p w14:paraId="38FEE779"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Aquesta denúncia va donar lloc a l'obertura del corresponent expedient d'investigació, que va haver de ser interromput després de la decisió de la Fiscalia de sol·licitar l'obertura de Diligències Prèvies.</w:t>
      </w:r>
    </w:p>
    <w:p w14:paraId="57F29691"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Tramitades aquestes Diligències Prèvies i celebrat judici oral, es va dictar Sentència núm. 365/2021 de 14 d'octubre, per la Secció Desena de l'Audiència Provincial d'Alacant que, si bé reconeix els fets provats, estableix l'absolució dels mateixos per no acreditar la seua autoria.</w:t>
      </w:r>
    </w:p>
    <w:p w14:paraId="28A78615" w14:textId="77777777" w:rsidR="0087428A" w:rsidRPr="0087428A" w:rsidRDefault="0087428A" w:rsidP="0087428A">
      <w:pPr>
        <w:spacing w:after="120" w:line="276" w:lineRule="auto"/>
        <w:ind w:left="567"/>
        <w:jc w:val="both"/>
        <w:rPr>
          <w:rFonts w:ascii="Arial" w:hAnsi="Arial"/>
          <w:b/>
          <w:bCs/>
          <w:sz w:val="21"/>
          <w:szCs w:val="21"/>
        </w:rPr>
      </w:pPr>
      <w:r w:rsidRPr="0087428A">
        <w:rPr>
          <w:rFonts w:ascii="Arial" w:hAnsi="Arial"/>
          <w:sz w:val="21"/>
          <w:szCs w:val="21"/>
        </w:rPr>
        <w:t>“</w:t>
      </w:r>
      <w:r w:rsidRPr="0087428A">
        <w:rPr>
          <w:rFonts w:ascii="Arial" w:hAnsi="Arial"/>
          <w:b/>
          <w:bCs/>
          <w:sz w:val="21"/>
          <w:szCs w:val="21"/>
        </w:rPr>
        <w:t>II - FETS PROVATS</w:t>
      </w:r>
    </w:p>
    <w:p w14:paraId="6369C453"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b/>
          <w:bCs/>
          <w:sz w:val="21"/>
          <w:szCs w:val="21"/>
        </w:rPr>
        <w:t>(…) Abans que se celebrara l'examen, en una forma que no ha pogut establir-se de manera indubtable, l'opositor (…), va accedir al contingut de les respostes correctes fent ús de les mateixes durant el desenvolupament de l'examen</w:t>
      </w:r>
      <w:r w:rsidRPr="0087428A">
        <w:rPr>
          <w:rFonts w:ascii="Arial" w:hAnsi="Arial"/>
          <w:sz w:val="21"/>
          <w:szCs w:val="21"/>
        </w:rPr>
        <w:t>. (la negreta és nostra)”</w:t>
      </w:r>
    </w:p>
    <w:p w14:paraId="162211FD" w14:textId="77777777" w:rsidR="0087428A" w:rsidRPr="0087428A" w:rsidRDefault="0087428A" w:rsidP="0087428A">
      <w:pPr>
        <w:spacing w:after="120" w:line="276" w:lineRule="auto"/>
        <w:ind w:left="1418"/>
        <w:jc w:val="both"/>
        <w:rPr>
          <w:rFonts w:ascii="Arial" w:hAnsi="Arial"/>
          <w:b/>
          <w:bCs/>
          <w:sz w:val="20"/>
          <w:szCs w:val="20"/>
        </w:rPr>
      </w:pPr>
      <w:r w:rsidRPr="0087428A">
        <w:rPr>
          <w:rFonts w:ascii="Arial" w:hAnsi="Arial"/>
          <w:b/>
          <w:bCs/>
          <w:sz w:val="20"/>
          <w:szCs w:val="20"/>
        </w:rPr>
        <w:t>“III – FONAMENTS DE DRET</w:t>
      </w:r>
    </w:p>
    <w:p w14:paraId="37947891" w14:textId="77777777" w:rsidR="0087428A" w:rsidRPr="0087428A" w:rsidRDefault="0087428A" w:rsidP="0087428A">
      <w:pPr>
        <w:spacing w:after="120" w:line="276" w:lineRule="auto"/>
        <w:ind w:left="1418"/>
        <w:jc w:val="both"/>
        <w:rPr>
          <w:rFonts w:ascii="Arial" w:hAnsi="Arial"/>
          <w:sz w:val="20"/>
          <w:szCs w:val="20"/>
        </w:rPr>
      </w:pPr>
      <w:r w:rsidRPr="0087428A">
        <w:rPr>
          <w:rFonts w:ascii="Arial" w:hAnsi="Arial"/>
          <w:sz w:val="20"/>
          <w:szCs w:val="20"/>
        </w:rPr>
        <w:t>(…) El Tribunal no té dubte que l'aspirant en el procés selectiu que compareix com acusat va disposar de la informació sobre les respostes de l'examen. Tal convenciment ho abonen les testificals dels altres dos aspirants que concorrien al procés, que han descrit com van poder veure que, fins i tot abans que foren repartides les preguntes, l'acusat (…), començava a contestar les preguntes de les quals encara no disposava; fent-ho amb llapis en la plantilla de respostes que es va repartir amb anterioritat (…)</w:t>
      </w:r>
    </w:p>
    <w:p w14:paraId="5FB8E24C" w14:textId="77777777" w:rsidR="0087428A" w:rsidRPr="0087428A" w:rsidRDefault="0087428A" w:rsidP="0087428A">
      <w:pPr>
        <w:spacing w:after="120" w:line="276" w:lineRule="auto"/>
        <w:ind w:left="1418"/>
        <w:jc w:val="both"/>
        <w:rPr>
          <w:rFonts w:ascii="Arial" w:hAnsi="Arial"/>
          <w:sz w:val="20"/>
          <w:szCs w:val="20"/>
        </w:rPr>
      </w:pPr>
      <w:r w:rsidRPr="0087428A">
        <w:rPr>
          <w:rFonts w:ascii="Arial" w:hAnsi="Arial"/>
          <w:sz w:val="20"/>
          <w:szCs w:val="20"/>
        </w:rPr>
        <w:t>(…) Per tot això, la convicció de què va disposar de les respostes abans de realitzar l'examen no ofereix lloc a dubtes.”</w:t>
      </w:r>
    </w:p>
    <w:p w14:paraId="66D1504D" w14:textId="77777777" w:rsidR="0087428A" w:rsidRPr="0087428A" w:rsidRDefault="0087428A" w:rsidP="0087428A">
      <w:pPr>
        <w:spacing w:after="120" w:line="276" w:lineRule="auto"/>
        <w:ind w:left="567"/>
        <w:jc w:val="both"/>
        <w:rPr>
          <w:rFonts w:ascii="Arial" w:hAnsi="Arial"/>
          <w:b/>
          <w:bCs/>
          <w:sz w:val="21"/>
          <w:szCs w:val="21"/>
        </w:rPr>
      </w:pPr>
      <w:r w:rsidRPr="0087428A">
        <w:rPr>
          <w:rFonts w:ascii="Arial" w:hAnsi="Arial"/>
          <w:b/>
          <w:bCs/>
          <w:sz w:val="21"/>
          <w:szCs w:val="21"/>
        </w:rPr>
        <w:t>Represàlies</w:t>
      </w:r>
    </w:p>
    <w:p w14:paraId="07027E61"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 xml:space="preserve">No s'han detectat represàlies pel fet que aquestes persones denunciants resideixen i treballen en altres localitats. </w:t>
      </w:r>
    </w:p>
    <w:p w14:paraId="5B3A5DC5"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b/>
          <w:bCs/>
          <w:sz w:val="21"/>
          <w:szCs w:val="21"/>
        </w:rPr>
        <w:t>Actuacions de l'Agència:</w:t>
      </w:r>
      <w:r w:rsidRPr="0087428A">
        <w:rPr>
          <w:rFonts w:ascii="Arial" w:hAnsi="Arial"/>
          <w:sz w:val="21"/>
          <w:szCs w:val="21"/>
        </w:rPr>
        <w:t xml:space="preserve"> </w:t>
      </w:r>
    </w:p>
    <w:p w14:paraId="692C2B40" w14:textId="77777777" w:rsidR="0087428A" w:rsidRPr="0087428A" w:rsidRDefault="0087428A" w:rsidP="0087428A">
      <w:pPr>
        <w:spacing w:after="120" w:line="276" w:lineRule="auto"/>
        <w:ind w:left="567"/>
        <w:jc w:val="both"/>
        <w:rPr>
          <w:rFonts w:ascii="Arial" w:hAnsi="Arial"/>
          <w:sz w:val="21"/>
          <w:szCs w:val="21"/>
        </w:rPr>
      </w:pPr>
      <w:r w:rsidRPr="0087428A">
        <w:rPr>
          <w:rFonts w:ascii="Arial" w:hAnsi="Arial"/>
          <w:sz w:val="21"/>
          <w:szCs w:val="21"/>
        </w:rPr>
        <w:t>L’AVAF ha desenvolupat la funció d'assessorament i acompanyament a les persones protegides.</w:t>
      </w:r>
    </w:p>
    <w:p w14:paraId="0F60C661" w14:textId="77777777" w:rsidR="0087428A" w:rsidRPr="0087428A" w:rsidRDefault="0087428A" w:rsidP="0087428A">
      <w:pPr>
        <w:spacing w:after="240" w:line="276" w:lineRule="auto"/>
        <w:ind w:left="567"/>
        <w:jc w:val="both"/>
        <w:rPr>
          <w:rFonts w:ascii="Arial" w:hAnsi="Arial"/>
          <w:sz w:val="21"/>
          <w:szCs w:val="21"/>
        </w:rPr>
      </w:pPr>
      <w:r w:rsidRPr="0087428A">
        <w:rPr>
          <w:rFonts w:ascii="Arial" w:hAnsi="Arial"/>
          <w:sz w:val="21"/>
          <w:szCs w:val="21"/>
        </w:rPr>
        <w:t>Així mateix, aquesta Agència ha sol·licitat a l'Ajuntament, després de l'absolució penal, que inicie el corresponent procediment d'informació i actuacions prèvies per a dilucidar les responsabilitats disciplinàries, tant del membre o membres del tribunal de selecció que van cometre o van consentir els fets, com en el seu cas d'aquells tercers que van poder intervindre en aquests. A més, ha sol·licitat a l'Ajuntament que inicie el corresponent procediment administratiu sancionador contra el funcionari i aspirant en aquest procés selectiu que va tindre accés a l'examen i a les seues respostes. Igualment, l'Agència ha advertit a l'Ajuntament que ha de procedir amb la major celeritat a realitzar aquestes actuacions, evitant en tot cas la prescripció de les infraccions administratives, en cas de produir-se això, s'hauran d'exigir responsabilitats als causants d'aquesta inacció.</w:t>
      </w:r>
    </w:p>
    <w:p w14:paraId="128DAE48" w14:textId="77777777" w:rsidR="0087428A" w:rsidRPr="0087428A" w:rsidRDefault="0087428A" w:rsidP="00DA2C27">
      <w:pPr>
        <w:spacing w:after="120" w:line="276" w:lineRule="auto"/>
        <w:jc w:val="both"/>
        <w:rPr>
          <w:rFonts w:ascii="Arial" w:hAnsi="Arial"/>
          <w:b/>
          <w:bCs/>
          <w:sz w:val="21"/>
          <w:szCs w:val="21"/>
        </w:rPr>
      </w:pPr>
      <w:r w:rsidRPr="0087428A">
        <w:rPr>
          <w:rFonts w:ascii="Arial" w:hAnsi="Arial"/>
          <w:b/>
          <w:bCs/>
          <w:color w:val="9D2235" w:themeColor="accent1"/>
          <w:sz w:val="21"/>
          <w:szCs w:val="21"/>
        </w:rPr>
        <w:t>CAS 14</w:t>
      </w:r>
    </w:p>
    <w:p w14:paraId="6FA97496" w14:textId="77777777" w:rsidR="0087428A" w:rsidRPr="0087428A" w:rsidRDefault="0087428A" w:rsidP="00993317">
      <w:pPr>
        <w:spacing w:after="120" w:line="276" w:lineRule="auto"/>
        <w:ind w:left="567"/>
        <w:jc w:val="both"/>
        <w:rPr>
          <w:rFonts w:ascii="Arial" w:hAnsi="Arial"/>
          <w:sz w:val="21"/>
          <w:szCs w:val="21"/>
        </w:rPr>
      </w:pPr>
      <w:r w:rsidRPr="0087428A">
        <w:rPr>
          <w:rFonts w:ascii="Arial" w:hAnsi="Arial"/>
          <w:b/>
          <w:bCs/>
          <w:sz w:val="21"/>
          <w:szCs w:val="21"/>
        </w:rPr>
        <w:t>Estat de la denúncia:</w:t>
      </w:r>
      <w:r w:rsidRPr="0087428A">
        <w:rPr>
          <w:rFonts w:ascii="Arial" w:hAnsi="Arial"/>
          <w:sz w:val="21"/>
          <w:szCs w:val="21"/>
        </w:rPr>
        <w:t xml:space="preserve"> </w:t>
      </w:r>
    </w:p>
    <w:p w14:paraId="52EA84C5" w14:textId="77777777" w:rsidR="0087428A" w:rsidRPr="0087428A" w:rsidRDefault="0087428A" w:rsidP="00993317">
      <w:pPr>
        <w:spacing w:after="120" w:line="276" w:lineRule="auto"/>
        <w:ind w:left="567"/>
        <w:jc w:val="both"/>
        <w:rPr>
          <w:rFonts w:ascii="Arial" w:hAnsi="Arial"/>
          <w:sz w:val="21"/>
          <w:szCs w:val="21"/>
        </w:rPr>
      </w:pPr>
      <w:r w:rsidRPr="0087428A">
        <w:rPr>
          <w:rFonts w:ascii="Arial" w:hAnsi="Arial"/>
          <w:sz w:val="21"/>
          <w:szCs w:val="21"/>
        </w:rPr>
        <w:t>A aquesta persona denunciant, el cas de la qual és comunicat pel Ministeri Fiscal a l'Agència, se li va atorgar l'estatut de protecció, fundat en la seua condició de testimoni en un procediment penal en el qual s'investiguen determinades irregularitats relatives a la contractació pública de l'Ajuntament on presta els seus serveis. En aquest procediment s'ha acordat l'obertura del judici oral per prevaricació administrativa, frau i tràfic d'influències contra algunes autoritats, funcionaris municipals i familiars.</w:t>
      </w:r>
    </w:p>
    <w:p w14:paraId="7CDA5254" w14:textId="77777777" w:rsidR="0087428A" w:rsidRPr="0087428A" w:rsidRDefault="0087428A" w:rsidP="00993317">
      <w:pPr>
        <w:spacing w:after="120" w:line="276" w:lineRule="auto"/>
        <w:ind w:left="567"/>
        <w:jc w:val="both"/>
        <w:rPr>
          <w:rFonts w:ascii="Arial" w:hAnsi="Arial"/>
          <w:b/>
          <w:bCs/>
          <w:sz w:val="21"/>
          <w:szCs w:val="21"/>
        </w:rPr>
      </w:pPr>
      <w:r w:rsidRPr="0087428A">
        <w:rPr>
          <w:rFonts w:ascii="Arial" w:hAnsi="Arial"/>
          <w:b/>
          <w:bCs/>
          <w:sz w:val="21"/>
          <w:szCs w:val="21"/>
        </w:rPr>
        <w:t>Represàlies</w:t>
      </w:r>
    </w:p>
    <w:p w14:paraId="5E9568CF" w14:textId="77777777" w:rsidR="0087428A" w:rsidRPr="0087428A" w:rsidRDefault="0087428A" w:rsidP="00993317">
      <w:pPr>
        <w:spacing w:after="120" w:line="276" w:lineRule="auto"/>
        <w:ind w:left="567"/>
        <w:jc w:val="both"/>
        <w:rPr>
          <w:rFonts w:ascii="Arial" w:hAnsi="Arial"/>
          <w:sz w:val="21"/>
          <w:szCs w:val="21"/>
        </w:rPr>
      </w:pPr>
      <w:r w:rsidRPr="0087428A">
        <w:rPr>
          <w:rFonts w:ascii="Arial" w:hAnsi="Arial"/>
          <w:sz w:val="21"/>
          <w:szCs w:val="21"/>
        </w:rPr>
        <w:t>La persona denunciant al·lega que està sent denunciada per aquells als quals ella ha denunciat.</w:t>
      </w:r>
    </w:p>
    <w:p w14:paraId="2884E168" w14:textId="77777777" w:rsidR="0087428A" w:rsidRPr="0087428A" w:rsidRDefault="0087428A" w:rsidP="00993317">
      <w:pPr>
        <w:spacing w:after="120" w:line="276" w:lineRule="auto"/>
        <w:ind w:left="567"/>
        <w:jc w:val="both"/>
        <w:rPr>
          <w:rFonts w:ascii="Arial" w:hAnsi="Arial"/>
          <w:b/>
          <w:bCs/>
          <w:sz w:val="21"/>
          <w:szCs w:val="21"/>
        </w:rPr>
      </w:pPr>
      <w:r w:rsidRPr="0087428A">
        <w:rPr>
          <w:rFonts w:ascii="Arial" w:hAnsi="Arial"/>
          <w:b/>
          <w:bCs/>
          <w:sz w:val="21"/>
          <w:szCs w:val="21"/>
        </w:rPr>
        <w:t>Actuacions de l'Agència:</w:t>
      </w:r>
    </w:p>
    <w:p w14:paraId="0CC81EFD" w14:textId="77777777" w:rsidR="0087428A" w:rsidRPr="0087428A" w:rsidRDefault="0087428A" w:rsidP="00993317">
      <w:pPr>
        <w:spacing w:after="120" w:line="276" w:lineRule="auto"/>
        <w:ind w:left="567"/>
        <w:jc w:val="both"/>
        <w:rPr>
          <w:rFonts w:ascii="Arial" w:hAnsi="Arial"/>
          <w:sz w:val="21"/>
          <w:szCs w:val="21"/>
        </w:rPr>
      </w:pPr>
      <w:r w:rsidRPr="0087428A">
        <w:rPr>
          <w:rFonts w:ascii="Arial" w:hAnsi="Arial"/>
          <w:sz w:val="21"/>
          <w:szCs w:val="21"/>
        </w:rPr>
        <w:t>L'AVAF ha realitzat funcions d'assessorament, emetent informe a sol·licitud de la funcionària protegida sobre els drets i obligacions derivats de l'atorgament de l'estatut de protecció.</w:t>
      </w:r>
    </w:p>
    <w:p w14:paraId="2782B09D" w14:textId="0A9C0438" w:rsidR="0087428A" w:rsidRPr="0087428A" w:rsidRDefault="0087428A" w:rsidP="00993317">
      <w:pPr>
        <w:spacing w:after="120" w:line="276" w:lineRule="auto"/>
        <w:ind w:left="567"/>
        <w:jc w:val="both"/>
        <w:rPr>
          <w:rFonts w:ascii="Arial" w:hAnsi="Arial"/>
          <w:sz w:val="21"/>
          <w:szCs w:val="21"/>
        </w:rPr>
      </w:pPr>
      <w:r w:rsidRPr="0087428A">
        <w:rPr>
          <w:rFonts w:ascii="Arial" w:hAnsi="Arial"/>
          <w:sz w:val="21"/>
          <w:szCs w:val="21"/>
        </w:rPr>
        <w:t xml:space="preserve">De la mateixa manera, l'Agència va emetre informe a sol·licitud de l'alcalde de la corporació on presta els seus serveis, en el qual se li indicava que l'atorgament de l'estatut de protecció no suposa cap modificació respecte de les obligacions laborals que té la persona denunciant protegida, d'igual forma que qualsevol altre empleat públic, informant l'Ajuntament en aquest cas que </w:t>
      </w:r>
      <w:r w:rsidR="007C5A34" w:rsidRPr="007C5A34">
        <w:rPr>
          <w:rFonts w:ascii="Arial" w:hAnsi="Arial"/>
          <w:sz w:val="21"/>
          <w:szCs w:val="21"/>
        </w:rPr>
        <w:t>el mateix pot procedir</w:t>
      </w:r>
      <w:r w:rsidRPr="0087428A">
        <w:rPr>
          <w:rFonts w:ascii="Arial" w:hAnsi="Arial"/>
          <w:sz w:val="21"/>
          <w:szCs w:val="21"/>
        </w:rPr>
        <w:t>, en l'exercici de la seua potestat d'autoorganització, a la distribució de les funcions que considere adequades sempre que això es realitze de conformitat amb la normativa vigent.</w:t>
      </w:r>
    </w:p>
    <w:p w14:paraId="2EBE7839" w14:textId="77777777" w:rsidR="0087428A" w:rsidRPr="0087428A" w:rsidRDefault="0087428A" w:rsidP="00993317">
      <w:pPr>
        <w:spacing w:after="240" w:line="276" w:lineRule="auto"/>
        <w:ind w:left="567"/>
        <w:jc w:val="both"/>
        <w:rPr>
          <w:rFonts w:ascii="Arial" w:hAnsi="Arial"/>
          <w:b/>
          <w:bCs/>
          <w:sz w:val="21"/>
          <w:szCs w:val="21"/>
          <w:lang w:val="es-ES"/>
        </w:rPr>
      </w:pPr>
      <w:r w:rsidRPr="0087428A">
        <w:rPr>
          <w:rFonts w:ascii="Arial" w:hAnsi="Arial"/>
          <w:sz w:val="21"/>
          <w:szCs w:val="21"/>
        </w:rPr>
        <w:t>Així mateix, s'ha emés informe dirigit a la persona denunciant en el qual se li recorden les seues obligacions, entre elles les de col·laborar amb les funcions d'aquesta Agència, així com amb l'Administració</w:t>
      </w:r>
      <w:r w:rsidRPr="0087428A">
        <w:rPr>
          <w:rFonts w:ascii="Arial" w:hAnsi="Arial"/>
          <w:sz w:val="21"/>
          <w:szCs w:val="21"/>
          <w:lang w:val="es-ES"/>
        </w:rPr>
        <w:t xml:space="preserve"> de Justícia.</w:t>
      </w:r>
    </w:p>
    <w:p w14:paraId="05EA4AA1" w14:textId="77777777" w:rsidR="00993317" w:rsidRPr="00993317" w:rsidRDefault="00993317" w:rsidP="00DA2C27">
      <w:pPr>
        <w:spacing w:after="120" w:line="276" w:lineRule="auto"/>
        <w:jc w:val="both"/>
        <w:rPr>
          <w:rFonts w:ascii="Arial" w:hAnsi="Arial"/>
          <w:b/>
          <w:bCs/>
          <w:color w:val="9D2235" w:themeColor="accent1"/>
          <w:sz w:val="21"/>
          <w:szCs w:val="21"/>
          <w:lang w:val="es-ES"/>
        </w:rPr>
      </w:pPr>
      <w:r w:rsidRPr="00993317">
        <w:rPr>
          <w:rFonts w:ascii="Arial" w:hAnsi="Arial"/>
          <w:b/>
          <w:bCs/>
          <w:color w:val="9D2235" w:themeColor="accent1"/>
          <w:sz w:val="21"/>
          <w:szCs w:val="21"/>
          <w:lang w:val="es-ES"/>
        </w:rPr>
        <w:t>CAS 15</w:t>
      </w:r>
    </w:p>
    <w:p w14:paraId="4554B58E" w14:textId="77777777" w:rsidR="00993317" w:rsidRPr="00993317" w:rsidRDefault="00993317" w:rsidP="00993317">
      <w:pPr>
        <w:spacing w:after="120" w:line="276" w:lineRule="auto"/>
        <w:ind w:left="567"/>
        <w:jc w:val="both"/>
        <w:rPr>
          <w:rFonts w:ascii="Arial" w:hAnsi="Arial"/>
          <w:sz w:val="21"/>
          <w:szCs w:val="21"/>
        </w:rPr>
      </w:pPr>
      <w:r w:rsidRPr="00993317">
        <w:rPr>
          <w:rFonts w:ascii="Arial" w:hAnsi="Arial"/>
          <w:b/>
          <w:bCs/>
          <w:sz w:val="21"/>
          <w:szCs w:val="21"/>
        </w:rPr>
        <w:t>Estat de la denúncia:</w:t>
      </w:r>
      <w:r w:rsidRPr="00993317">
        <w:rPr>
          <w:rFonts w:ascii="Arial" w:hAnsi="Arial"/>
          <w:sz w:val="21"/>
          <w:szCs w:val="21"/>
        </w:rPr>
        <w:t xml:space="preserve"> </w:t>
      </w:r>
    </w:p>
    <w:p w14:paraId="5DC5D709" w14:textId="77777777" w:rsidR="00993317" w:rsidRPr="00993317" w:rsidRDefault="00993317" w:rsidP="00993317">
      <w:pPr>
        <w:spacing w:after="120" w:line="276" w:lineRule="auto"/>
        <w:ind w:left="567"/>
        <w:jc w:val="both"/>
        <w:rPr>
          <w:rFonts w:ascii="Arial" w:hAnsi="Arial"/>
          <w:sz w:val="21"/>
          <w:szCs w:val="21"/>
        </w:rPr>
      </w:pPr>
      <w:r w:rsidRPr="00993317">
        <w:rPr>
          <w:rFonts w:ascii="Arial" w:hAnsi="Arial"/>
          <w:sz w:val="21"/>
          <w:szCs w:val="21"/>
        </w:rPr>
        <w:t xml:space="preserve">L'estatut de la persona denunciant li va ser concedit a un secretari-interventor municipal que va formular denúncia sobre les actuacions realitzades per una tinenta d'alcalde de la corporació local en relació amb l'abonament d'un contracte d'obres municipals. L'actuació il·lícita era realitzada per la tinenta d'alcalde en concert amb el representant legal d'una mercantil. Aprofitant tots dos les seues respectives posicions en l'administració i en l'empresa mercantil, van procedir a negociar endossos i certificacions de factures que, o bé ja havien sigut cobrades, o bé no havien sigut executades per no haver sigut ni tan sols adjudicades per l'entitat local. A més, també es van elaborar documents per la tinenta d'alcalde en els quals se sol·licitava a entitats bancàries l'ajornament de pagaments, com si es tractara de deutes assumits per la corporació local quan no ho eren. En la documentació falsa s'utilitzava la capçalera de l'Ajuntament, el segell de l'alcaldia i es falsificava la signatura del secretari-interventor municipal. </w:t>
      </w:r>
    </w:p>
    <w:p w14:paraId="24E1EE14" w14:textId="77777777" w:rsidR="00993317" w:rsidRPr="00993317" w:rsidRDefault="00993317" w:rsidP="00993317">
      <w:pPr>
        <w:spacing w:after="120" w:line="276" w:lineRule="auto"/>
        <w:ind w:left="567"/>
        <w:jc w:val="both"/>
        <w:rPr>
          <w:rFonts w:ascii="Arial" w:hAnsi="Arial"/>
          <w:sz w:val="21"/>
          <w:szCs w:val="21"/>
        </w:rPr>
      </w:pPr>
      <w:r w:rsidRPr="00993317">
        <w:rPr>
          <w:rFonts w:ascii="Arial" w:hAnsi="Arial"/>
          <w:sz w:val="21"/>
          <w:szCs w:val="21"/>
        </w:rPr>
        <w:t>El procediment ha finalitzat amb el dictat de la Sentència núm. 165/2021 de 17 de maig de 2021 de la Secció Segona de l'Audiència Provincial d'Alacant, per la qual es condemna a la tinenta d'alcalde i al representant legal de la mercantil com a responsables d'un delicte continuat de falsedat en document públic. Aquesta Sentència ha sigut recorreguda pels condemnats.</w:t>
      </w:r>
    </w:p>
    <w:p w14:paraId="199C249A" w14:textId="77777777" w:rsidR="00993317" w:rsidRPr="00993317" w:rsidRDefault="00993317" w:rsidP="00993317">
      <w:pPr>
        <w:spacing w:after="120" w:line="276" w:lineRule="auto"/>
        <w:ind w:left="567"/>
        <w:jc w:val="both"/>
        <w:rPr>
          <w:rFonts w:ascii="Arial" w:hAnsi="Arial"/>
          <w:b/>
          <w:bCs/>
          <w:sz w:val="21"/>
          <w:szCs w:val="21"/>
        </w:rPr>
      </w:pPr>
      <w:r w:rsidRPr="00993317">
        <w:rPr>
          <w:rFonts w:ascii="Arial" w:hAnsi="Arial"/>
          <w:b/>
          <w:bCs/>
          <w:sz w:val="21"/>
          <w:szCs w:val="21"/>
        </w:rPr>
        <w:t xml:space="preserve">Represàlies: </w:t>
      </w:r>
    </w:p>
    <w:p w14:paraId="1634E624" w14:textId="77777777" w:rsidR="00993317" w:rsidRPr="00993317" w:rsidRDefault="00993317" w:rsidP="00993317">
      <w:pPr>
        <w:spacing w:after="120" w:line="276" w:lineRule="auto"/>
        <w:ind w:left="567"/>
        <w:jc w:val="both"/>
        <w:rPr>
          <w:rFonts w:ascii="Arial" w:hAnsi="Arial"/>
          <w:sz w:val="21"/>
          <w:szCs w:val="21"/>
        </w:rPr>
      </w:pPr>
      <w:r w:rsidRPr="00993317">
        <w:rPr>
          <w:rFonts w:ascii="Arial" w:hAnsi="Arial"/>
          <w:sz w:val="21"/>
          <w:szCs w:val="21"/>
        </w:rPr>
        <w:t xml:space="preserve">El secretari-interventor municipal ha patit constants pressions i represàlies a conseqüència del procediment judicial que ha finalitzat amb la Sentència condemnatòria a la tinenta d'alcalde. La més greu de les actuacions patides per la persona protegida ha sigut la denúncia formulada per tres membres del govern municipal de l'Ajuntament. En relació amb aquesta denúncia, ja es va exposar en la Memòria d'aquesta Agència de l'any 2018 que la mateixa ha de ser qualificada de represàlia segons el parer d'aquesta Agència. </w:t>
      </w:r>
    </w:p>
    <w:p w14:paraId="066D9D6B" w14:textId="77777777" w:rsidR="00993317" w:rsidRPr="00993317" w:rsidRDefault="00993317" w:rsidP="00993317">
      <w:pPr>
        <w:spacing w:after="120" w:line="276" w:lineRule="auto"/>
        <w:ind w:left="567"/>
        <w:jc w:val="both"/>
        <w:rPr>
          <w:rFonts w:ascii="Arial" w:hAnsi="Arial"/>
          <w:sz w:val="21"/>
          <w:szCs w:val="21"/>
        </w:rPr>
      </w:pPr>
      <w:r w:rsidRPr="00993317">
        <w:rPr>
          <w:rFonts w:ascii="Arial" w:hAnsi="Arial"/>
          <w:sz w:val="21"/>
          <w:szCs w:val="21"/>
        </w:rPr>
        <w:t>També s'ha iniciat un procediment disciplinari contra la persona protegida que en l'actualitat es troba en tràmit.</w:t>
      </w:r>
    </w:p>
    <w:p w14:paraId="5246B1B4" w14:textId="77777777" w:rsidR="00993317" w:rsidRPr="00993317" w:rsidRDefault="00993317" w:rsidP="00993317">
      <w:pPr>
        <w:spacing w:after="120" w:line="276" w:lineRule="auto"/>
        <w:ind w:left="567"/>
        <w:jc w:val="both"/>
        <w:rPr>
          <w:rFonts w:ascii="Arial" w:hAnsi="Arial"/>
          <w:b/>
          <w:bCs/>
          <w:sz w:val="21"/>
          <w:szCs w:val="21"/>
        </w:rPr>
      </w:pPr>
      <w:r w:rsidRPr="00993317">
        <w:rPr>
          <w:rFonts w:ascii="Arial" w:hAnsi="Arial"/>
          <w:b/>
          <w:bCs/>
          <w:sz w:val="21"/>
          <w:szCs w:val="21"/>
        </w:rPr>
        <w:t>Actuacions de l'Agència:</w:t>
      </w:r>
    </w:p>
    <w:p w14:paraId="7D1C33A2" w14:textId="77777777" w:rsidR="00993317" w:rsidRPr="00993317" w:rsidRDefault="00993317" w:rsidP="00DA2C27">
      <w:pPr>
        <w:spacing w:after="360" w:line="276" w:lineRule="auto"/>
        <w:ind w:left="567"/>
        <w:jc w:val="both"/>
        <w:rPr>
          <w:rFonts w:ascii="Arial" w:hAnsi="Arial"/>
          <w:sz w:val="21"/>
          <w:szCs w:val="21"/>
        </w:rPr>
      </w:pPr>
      <w:r w:rsidRPr="00993317">
        <w:rPr>
          <w:rFonts w:ascii="Arial" w:hAnsi="Arial"/>
          <w:sz w:val="21"/>
          <w:szCs w:val="21"/>
        </w:rPr>
        <w:t xml:space="preserve">L'Agència manté en estudi les actuacions penals i administratives que afecten la persona denunciant a fi de comprovar que la mateixa no patisca represàlies per la denúncia que en el seu moment va efectuar, i que ha culminat amb la condemna penal als responsables d'aquells il·lícits penals gràcies a la diligència del secretari-interventor municipal en denunciar els fets. </w:t>
      </w:r>
    </w:p>
    <w:p w14:paraId="6AC5DC65" w14:textId="331C0B0F" w:rsidR="007908EA" w:rsidRDefault="000122AC" w:rsidP="00C77562">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r w:rsidRPr="00481819">
        <w:rPr>
          <w:rFonts w:ascii="Arial" w:eastAsia="Times New Roman" w:hAnsi="Arial" w:cs="Arial"/>
          <w:b/>
          <w:color w:val="9D2235"/>
          <w:sz w:val="28"/>
          <w:szCs w:val="28"/>
        </w:rPr>
        <w:tab/>
      </w:r>
      <w:bookmarkStart w:id="108" w:name="_Toc99110707"/>
      <w:r w:rsidRPr="00481819">
        <w:rPr>
          <w:rFonts w:ascii="Arial" w:eastAsia="Times New Roman" w:hAnsi="Arial" w:cs="Arial"/>
          <w:b/>
          <w:color w:val="9D2235"/>
          <w:sz w:val="28"/>
          <w:szCs w:val="28"/>
        </w:rPr>
        <w:t>Resultats estadístics de la protecció de persones denunciants</w:t>
      </w:r>
      <w:bookmarkEnd w:id="108"/>
    </w:p>
    <w:p w14:paraId="55E10C39" w14:textId="77777777" w:rsidR="00DA2C27" w:rsidRPr="00DA2C27" w:rsidRDefault="00DA2C27" w:rsidP="00DA2C27">
      <w:pPr>
        <w:rPr>
          <w:rFonts w:ascii="Arial" w:eastAsia="Times New Roman" w:hAnsi="Arial" w:cs="Arial"/>
          <w:bCs/>
          <w:sz w:val="21"/>
          <w:szCs w:val="21"/>
        </w:rPr>
      </w:pPr>
    </w:p>
    <w:p w14:paraId="0A4ACA06" w14:textId="77777777" w:rsidR="00C93917" w:rsidRDefault="009C3E25" w:rsidP="00C93917">
      <w:pPr>
        <w:keepNext/>
        <w:spacing w:after="240" w:line="276" w:lineRule="auto"/>
        <w:jc w:val="center"/>
      </w:pPr>
      <w:r w:rsidRPr="008C692F">
        <w:rPr>
          <w:noProof/>
        </w:rPr>
        <w:drawing>
          <wp:inline distT="0" distB="0" distL="0" distR="0" wp14:anchorId="1BE5B8BC" wp14:editId="56ECB454">
            <wp:extent cx="4991265" cy="2782620"/>
            <wp:effectExtent l="0" t="0" r="0" b="17780"/>
            <wp:docPr id="37" name="Gráfico 37">
              <a:extLst xmlns:a="http://schemas.openxmlformats.org/drawingml/2006/main">
                <a:ext uri="{FF2B5EF4-FFF2-40B4-BE49-F238E27FC236}">
                  <a16:creationId xmlns:a16="http://schemas.microsoft.com/office/drawing/2014/main" id="{1D8456A8-68AC-4327-BFB6-8563C2666F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14:paraId="579DF243" w14:textId="15BCB6C2" w:rsidR="009C3E25" w:rsidRPr="00C93917" w:rsidRDefault="00C93917" w:rsidP="00C93917">
      <w:pPr>
        <w:pStyle w:val="Descripcin"/>
        <w:jc w:val="center"/>
        <w:rPr>
          <w:rFonts w:ascii="Arial" w:hAnsi="Arial" w:cs="Arial"/>
          <w:smallCaps w:val="0"/>
          <w:sz w:val="18"/>
          <w:szCs w:val="18"/>
        </w:rPr>
      </w:pPr>
      <w:bookmarkStart w:id="109" w:name="_Toc99110963"/>
      <w:r w:rsidRPr="00C93917">
        <w:rPr>
          <w:rFonts w:ascii="Arial" w:hAnsi="Arial" w:cs="Arial"/>
          <w:smallCaps w:val="0"/>
          <w:color w:val="9D2235" w:themeColor="accent1"/>
          <w:sz w:val="18"/>
          <w:szCs w:val="18"/>
        </w:rPr>
        <w:t xml:space="preserve">Gràfic </w:t>
      </w:r>
      <w:r w:rsidRPr="00C93917">
        <w:rPr>
          <w:rFonts w:ascii="Arial" w:hAnsi="Arial" w:cs="Arial"/>
          <w:smallCaps w:val="0"/>
          <w:color w:val="9D2235" w:themeColor="accent1"/>
          <w:sz w:val="18"/>
          <w:szCs w:val="18"/>
        </w:rPr>
        <w:fldChar w:fldCharType="begin" w:fldLock="1"/>
      </w:r>
      <w:r w:rsidRPr="00C93917">
        <w:rPr>
          <w:rFonts w:ascii="Arial" w:hAnsi="Arial" w:cs="Arial"/>
          <w:smallCaps w:val="0"/>
          <w:color w:val="9D2235" w:themeColor="accent1"/>
          <w:sz w:val="18"/>
          <w:szCs w:val="18"/>
        </w:rPr>
        <w:instrText xml:space="preserve"> SEQ Gràfic \* ARABIC </w:instrText>
      </w:r>
      <w:r w:rsidRPr="00C93917">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4</w:t>
      </w:r>
      <w:r w:rsidRPr="00C93917">
        <w:rPr>
          <w:rFonts w:ascii="Arial" w:hAnsi="Arial" w:cs="Arial"/>
          <w:smallCaps w:val="0"/>
          <w:color w:val="9D2235" w:themeColor="accent1"/>
          <w:sz w:val="18"/>
          <w:szCs w:val="18"/>
        </w:rPr>
        <w:fldChar w:fldCharType="end"/>
      </w:r>
      <w:r w:rsidRPr="00C93917">
        <w:rPr>
          <w:rFonts w:ascii="Arial" w:hAnsi="Arial" w:cs="Arial"/>
          <w:smallCaps w:val="0"/>
          <w:color w:val="9D2235" w:themeColor="accent1"/>
          <w:sz w:val="18"/>
          <w:szCs w:val="18"/>
        </w:rPr>
        <w:t xml:space="preserve">.  </w:t>
      </w:r>
      <w:r w:rsidRPr="00C93917">
        <w:rPr>
          <w:rFonts w:ascii="Arial" w:hAnsi="Arial" w:cs="Arial"/>
          <w:smallCaps w:val="0"/>
          <w:sz w:val="18"/>
          <w:szCs w:val="18"/>
        </w:rPr>
        <w:t>Núm. sol·licituds de protecció presentades de</w:t>
      </w:r>
      <w:r w:rsidR="00E93FC1">
        <w:rPr>
          <w:rFonts w:ascii="Arial" w:hAnsi="Arial" w:cs="Arial"/>
          <w:smallCaps w:val="0"/>
          <w:sz w:val="18"/>
          <w:szCs w:val="18"/>
        </w:rPr>
        <w:t>s</w:t>
      </w:r>
      <w:r w:rsidRPr="00C93917">
        <w:rPr>
          <w:rFonts w:ascii="Arial" w:hAnsi="Arial" w:cs="Arial"/>
          <w:smallCaps w:val="0"/>
          <w:sz w:val="18"/>
          <w:szCs w:val="18"/>
        </w:rPr>
        <w:t xml:space="preserve"> de 2017 fins a 2021</w:t>
      </w:r>
      <w:bookmarkEnd w:id="109"/>
    </w:p>
    <w:p w14:paraId="109EFD99" w14:textId="7D4C6778" w:rsidR="009C3E25" w:rsidRDefault="009C3E25" w:rsidP="008B4180">
      <w:pPr>
        <w:spacing w:after="240" w:line="276" w:lineRule="auto"/>
        <w:jc w:val="both"/>
        <w:rPr>
          <w:rFonts w:ascii="Arial" w:hAnsi="Arial"/>
          <w:sz w:val="21"/>
          <w:szCs w:val="21"/>
          <w:lang w:val="es-ES"/>
        </w:rPr>
      </w:pPr>
      <w:bookmarkStart w:id="110" w:name="_Hlk99021752"/>
    </w:p>
    <w:p w14:paraId="772A648C" w14:textId="306035BD" w:rsidR="002C132A" w:rsidRDefault="002C132A" w:rsidP="008B4180">
      <w:pPr>
        <w:spacing w:after="240" w:line="276" w:lineRule="auto"/>
        <w:jc w:val="both"/>
        <w:rPr>
          <w:rFonts w:ascii="Arial" w:hAnsi="Arial"/>
          <w:sz w:val="21"/>
          <w:szCs w:val="21"/>
          <w:lang w:val="es-ES"/>
        </w:rPr>
      </w:pPr>
    </w:p>
    <w:bookmarkEnd w:id="110"/>
    <w:p w14:paraId="75FA5645" w14:textId="1FCC8144" w:rsidR="002C132A" w:rsidRDefault="002C132A" w:rsidP="008B4180">
      <w:pPr>
        <w:spacing w:after="240" w:line="276" w:lineRule="auto"/>
        <w:jc w:val="both"/>
        <w:rPr>
          <w:rFonts w:ascii="Arial" w:hAnsi="Arial"/>
          <w:sz w:val="21"/>
          <w:szCs w:val="21"/>
          <w:lang w:val="es-ES"/>
        </w:rPr>
      </w:pPr>
    </w:p>
    <w:p w14:paraId="0387CC46" w14:textId="0BB4403F" w:rsidR="002C132A" w:rsidRDefault="002C132A" w:rsidP="008B4180">
      <w:pPr>
        <w:spacing w:after="240" w:line="276" w:lineRule="auto"/>
        <w:jc w:val="both"/>
        <w:rPr>
          <w:rFonts w:ascii="Arial" w:hAnsi="Arial"/>
          <w:sz w:val="21"/>
          <w:szCs w:val="21"/>
          <w:lang w:val="es-ES"/>
        </w:rPr>
      </w:pPr>
    </w:p>
    <w:p w14:paraId="1D1167D0" w14:textId="3FC84F82" w:rsidR="002C132A" w:rsidRDefault="002C132A" w:rsidP="008B4180">
      <w:pPr>
        <w:spacing w:after="240" w:line="276" w:lineRule="auto"/>
        <w:jc w:val="both"/>
        <w:rPr>
          <w:rFonts w:ascii="Arial" w:hAnsi="Arial"/>
          <w:sz w:val="21"/>
          <w:szCs w:val="21"/>
          <w:lang w:val="es-ES"/>
        </w:rPr>
      </w:pPr>
    </w:p>
    <w:p w14:paraId="029F09DE" w14:textId="2A4A42BF" w:rsidR="002C132A" w:rsidRDefault="002C132A" w:rsidP="008B4180">
      <w:pPr>
        <w:spacing w:after="240" w:line="276" w:lineRule="auto"/>
        <w:jc w:val="both"/>
        <w:rPr>
          <w:rFonts w:ascii="Arial" w:hAnsi="Arial"/>
          <w:sz w:val="21"/>
          <w:szCs w:val="21"/>
          <w:lang w:val="es-ES"/>
        </w:rPr>
      </w:pPr>
    </w:p>
    <w:p w14:paraId="7DEF5C99" w14:textId="62C047CD" w:rsidR="002C132A" w:rsidRDefault="002C132A" w:rsidP="008B4180">
      <w:pPr>
        <w:spacing w:after="240" w:line="276" w:lineRule="auto"/>
        <w:jc w:val="both"/>
        <w:rPr>
          <w:rFonts w:ascii="Arial" w:hAnsi="Arial"/>
          <w:sz w:val="21"/>
          <w:szCs w:val="21"/>
          <w:lang w:val="es-ES"/>
        </w:rPr>
      </w:pPr>
    </w:p>
    <w:p w14:paraId="058F64CF" w14:textId="691B0ACD" w:rsidR="002C132A" w:rsidRDefault="002C132A" w:rsidP="008B4180">
      <w:pPr>
        <w:spacing w:after="240" w:line="276" w:lineRule="auto"/>
        <w:jc w:val="both"/>
        <w:rPr>
          <w:rFonts w:ascii="Arial" w:hAnsi="Arial"/>
          <w:sz w:val="21"/>
          <w:szCs w:val="21"/>
          <w:lang w:val="es-ES"/>
        </w:rPr>
      </w:pPr>
    </w:p>
    <w:p w14:paraId="41BECDE9" w14:textId="77777777" w:rsidR="002C132A" w:rsidRDefault="002C132A" w:rsidP="008B4180">
      <w:pPr>
        <w:spacing w:after="240" w:line="276" w:lineRule="auto"/>
        <w:jc w:val="both"/>
        <w:rPr>
          <w:rFonts w:ascii="Arial" w:hAnsi="Arial"/>
          <w:sz w:val="21"/>
          <w:szCs w:val="21"/>
          <w:lang w:val="es-ES"/>
        </w:rPr>
      </w:pPr>
    </w:p>
    <w:p w14:paraId="4306A295" w14:textId="77777777" w:rsidR="00C93917" w:rsidRDefault="009C3E25" w:rsidP="00C93917">
      <w:pPr>
        <w:keepNext/>
        <w:spacing w:after="240" w:line="276" w:lineRule="auto"/>
        <w:jc w:val="center"/>
      </w:pPr>
      <w:r w:rsidRPr="008C692F">
        <w:rPr>
          <w:noProof/>
        </w:rPr>
        <w:drawing>
          <wp:inline distT="0" distB="0" distL="0" distR="0" wp14:anchorId="0CC2479C" wp14:editId="1441DD94">
            <wp:extent cx="4991265" cy="2788392"/>
            <wp:effectExtent l="0" t="0" r="0" b="12065"/>
            <wp:docPr id="38" name="Gráfico 38">
              <a:extLst xmlns:a="http://schemas.openxmlformats.org/drawingml/2006/main">
                <a:ext uri="{FF2B5EF4-FFF2-40B4-BE49-F238E27FC236}">
                  <a16:creationId xmlns:a16="http://schemas.microsoft.com/office/drawing/2014/main" id="{6E1C6F3E-2269-472C-8267-2ECE6D44BF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14:paraId="23D2965F" w14:textId="2FF2CCCB" w:rsidR="009C3E25" w:rsidRPr="00E93FC1" w:rsidRDefault="00C93917" w:rsidP="00C93917">
      <w:pPr>
        <w:pStyle w:val="Descripcin"/>
        <w:jc w:val="center"/>
        <w:rPr>
          <w:rFonts w:ascii="Arial" w:hAnsi="Arial" w:cs="Arial"/>
          <w:smallCaps w:val="0"/>
          <w:sz w:val="18"/>
          <w:szCs w:val="18"/>
        </w:rPr>
      </w:pPr>
      <w:bookmarkStart w:id="111" w:name="_Toc99110964"/>
      <w:r w:rsidRPr="00E93FC1">
        <w:rPr>
          <w:rFonts w:ascii="Arial" w:hAnsi="Arial" w:cs="Arial"/>
          <w:smallCaps w:val="0"/>
          <w:color w:val="9D2235" w:themeColor="accent1"/>
          <w:sz w:val="18"/>
          <w:szCs w:val="18"/>
        </w:rPr>
        <w:t xml:space="preserve">Gràfic </w:t>
      </w:r>
      <w:r w:rsidRPr="00E93FC1">
        <w:rPr>
          <w:rFonts w:ascii="Arial" w:hAnsi="Arial" w:cs="Arial"/>
          <w:smallCaps w:val="0"/>
          <w:color w:val="9D2235" w:themeColor="accent1"/>
          <w:sz w:val="18"/>
          <w:szCs w:val="18"/>
        </w:rPr>
        <w:fldChar w:fldCharType="begin" w:fldLock="1"/>
      </w:r>
      <w:r w:rsidRPr="00E93FC1">
        <w:rPr>
          <w:rFonts w:ascii="Arial" w:hAnsi="Arial" w:cs="Arial"/>
          <w:smallCaps w:val="0"/>
          <w:color w:val="9D2235" w:themeColor="accent1"/>
          <w:sz w:val="18"/>
          <w:szCs w:val="18"/>
        </w:rPr>
        <w:instrText xml:space="preserve"> SEQ Gràfic \* ARABIC </w:instrText>
      </w:r>
      <w:r w:rsidRPr="00E93FC1">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5</w:t>
      </w:r>
      <w:r w:rsidRPr="00E93FC1">
        <w:rPr>
          <w:rFonts w:ascii="Arial" w:hAnsi="Arial" w:cs="Arial"/>
          <w:smallCaps w:val="0"/>
          <w:color w:val="9D2235" w:themeColor="accent1"/>
          <w:sz w:val="18"/>
          <w:szCs w:val="18"/>
        </w:rPr>
        <w:fldChar w:fldCharType="end"/>
      </w:r>
      <w:r w:rsidRPr="00E93FC1">
        <w:rPr>
          <w:rFonts w:ascii="Arial" w:hAnsi="Arial" w:cs="Arial"/>
          <w:smallCaps w:val="0"/>
          <w:color w:val="9D2235" w:themeColor="accent1"/>
          <w:sz w:val="18"/>
          <w:szCs w:val="18"/>
        </w:rPr>
        <w:t xml:space="preserve">. </w:t>
      </w:r>
      <w:r w:rsidR="000271FD">
        <w:rPr>
          <w:rFonts w:ascii="Arial" w:hAnsi="Arial" w:cs="Arial"/>
          <w:smallCaps w:val="0"/>
          <w:sz w:val="18"/>
          <w:szCs w:val="18"/>
        </w:rPr>
        <w:t>S</w:t>
      </w:r>
      <w:r w:rsidRPr="00E93FC1">
        <w:rPr>
          <w:rFonts w:ascii="Arial" w:hAnsi="Arial" w:cs="Arial"/>
          <w:smallCaps w:val="0"/>
          <w:sz w:val="18"/>
          <w:szCs w:val="18"/>
        </w:rPr>
        <w:t>ol·licituds de protecció de</w:t>
      </w:r>
      <w:r w:rsidR="00E93FC1">
        <w:rPr>
          <w:rFonts w:ascii="Arial" w:hAnsi="Arial" w:cs="Arial"/>
          <w:smallCaps w:val="0"/>
          <w:sz w:val="18"/>
          <w:szCs w:val="18"/>
        </w:rPr>
        <w:t>s de</w:t>
      </w:r>
      <w:r w:rsidRPr="00E93FC1">
        <w:rPr>
          <w:rFonts w:ascii="Arial" w:hAnsi="Arial" w:cs="Arial"/>
          <w:smallCaps w:val="0"/>
          <w:sz w:val="18"/>
          <w:szCs w:val="18"/>
        </w:rPr>
        <w:t xml:space="preserve"> 2017 a 2021</w:t>
      </w:r>
      <w:r w:rsidR="00E93FC1" w:rsidRPr="00E93FC1">
        <w:rPr>
          <w:rFonts w:ascii="Arial" w:hAnsi="Arial" w:cs="Arial"/>
          <w:smallCaps w:val="0"/>
          <w:sz w:val="18"/>
          <w:szCs w:val="18"/>
        </w:rPr>
        <w:t>, segons l’estat de tramitació de l’expedient administratiu</w:t>
      </w:r>
      <w:bookmarkEnd w:id="111"/>
    </w:p>
    <w:p w14:paraId="0A99A124" w14:textId="5CACCA0D" w:rsidR="009C3E25" w:rsidRDefault="009C3E25" w:rsidP="008B4180">
      <w:pPr>
        <w:spacing w:after="240" w:line="276" w:lineRule="auto"/>
        <w:jc w:val="both"/>
        <w:rPr>
          <w:rFonts w:ascii="Arial" w:hAnsi="Arial"/>
          <w:sz w:val="21"/>
          <w:szCs w:val="21"/>
          <w:lang w:val="es-ES"/>
        </w:rPr>
      </w:pPr>
    </w:p>
    <w:p w14:paraId="6BD0476F" w14:textId="77777777" w:rsidR="002C132A" w:rsidRDefault="002C132A" w:rsidP="008B4180">
      <w:pPr>
        <w:spacing w:after="240" w:line="276" w:lineRule="auto"/>
        <w:jc w:val="both"/>
        <w:rPr>
          <w:rFonts w:ascii="Arial" w:hAnsi="Arial"/>
          <w:sz w:val="21"/>
          <w:szCs w:val="21"/>
          <w:lang w:val="es-ES"/>
        </w:rPr>
      </w:pPr>
    </w:p>
    <w:p w14:paraId="45E79000" w14:textId="77777777" w:rsidR="00B63229" w:rsidRDefault="00B63229" w:rsidP="00B63229">
      <w:pPr>
        <w:keepNext/>
        <w:spacing w:after="240" w:line="276" w:lineRule="auto"/>
        <w:jc w:val="center"/>
      </w:pPr>
      <w:r w:rsidRPr="008C692F">
        <w:rPr>
          <w:noProof/>
        </w:rPr>
        <w:drawing>
          <wp:inline distT="0" distB="0" distL="0" distR="0" wp14:anchorId="06B7D0FE" wp14:editId="54D94151">
            <wp:extent cx="4789170" cy="2902585"/>
            <wp:effectExtent l="0" t="0" r="0" b="0"/>
            <wp:docPr id="40" name="Gráfico 40">
              <a:extLst xmlns:a="http://schemas.openxmlformats.org/drawingml/2006/main">
                <a:ext uri="{FF2B5EF4-FFF2-40B4-BE49-F238E27FC236}">
                  <a16:creationId xmlns:a16="http://schemas.microsoft.com/office/drawing/2014/main" id="{3B747B36-2053-450F-B6B6-2CC24C5E3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14:paraId="00B53840" w14:textId="5E7BC623" w:rsidR="009C3E25" w:rsidRPr="00B63229" w:rsidRDefault="00B63229" w:rsidP="00B63229">
      <w:pPr>
        <w:pStyle w:val="Descripcin"/>
        <w:jc w:val="center"/>
        <w:rPr>
          <w:rFonts w:ascii="Arial" w:hAnsi="Arial" w:cs="Arial"/>
          <w:smallCaps w:val="0"/>
          <w:sz w:val="18"/>
          <w:szCs w:val="18"/>
          <w:lang w:val="es-ES"/>
        </w:rPr>
      </w:pPr>
      <w:bookmarkStart w:id="112" w:name="_Toc99110965"/>
      <w:r w:rsidRPr="00B63229">
        <w:rPr>
          <w:rFonts w:ascii="Arial" w:hAnsi="Arial" w:cs="Arial"/>
          <w:smallCaps w:val="0"/>
          <w:color w:val="9D2235" w:themeColor="accent1"/>
          <w:sz w:val="18"/>
          <w:szCs w:val="18"/>
        </w:rPr>
        <w:t xml:space="preserve">Gràfic </w:t>
      </w:r>
      <w:r w:rsidRPr="00B63229">
        <w:rPr>
          <w:rFonts w:ascii="Arial" w:hAnsi="Arial" w:cs="Arial"/>
          <w:smallCaps w:val="0"/>
          <w:color w:val="9D2235" w:themeColor="accent1"/>
          <w:sz w:val="18"/>
          <w:szCs w:val="18"/>
        </w:rPr>
        <w:fldChar w:fldCharType="begin" w:fldLock="1"/>
      </w:r>
      <w:r w:rsidRPr="00B63229">
        <w:rPr>
          <w:rFonts w:ascii="Arial" w:hAnsi="Arial" w:cs="Arial"/>
          <w:smallCaps w:val="0"/>
          <w:color w:val="9D2235" w:themeColor="accent1"/>
          <w:sz w:val="18"/>
          <w:szCs w:val="18"/>
        </w:rPr>
        <w:instrText xml:space="preserve"> SEQ Gràfic \* ARABIC </w:instrText>
      </w:r>
      <w:r w:rsidRPr="00B63229">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6</w:t>
      </w:r>
      <w:r w:rsidRPr="00B63229">
        <w:rPr>
          <w:rFonts w:ascii="Arial" w:hAnsi="Arial" w:cs="Arial"/>
          <w:smallCaps w:val="0"/>
          <w:color w:val="9D2235" w:themeColor="accent1"/>
          <w:sz w:val="18"/>
          <w:szCs w:val="18"/>
        </w:rPr>
        <w:fldChar w:fldCharType="end"/>
      </w:r>
      <w:r w:rsidRPr="00B63229">
        <w:rPr>
          <w:rFonts w:ascii="Arial" w:hAnsi="Arial" w:cs="Arial"/>
          <w:smallCaps w:val="0"/>
          <w:sz w:val="18"/>
          <w:szCs w:val="18"/>
        </w:rPr>
        <w:t>. Canal o mitjà de presentació de les sol·licituds de protecció des de 2017 a 2021</w:t>
      </w:r>
      <w:bookmarkEnd w:id="112"/>
    </w:p>
    <w:p w14:paraId="298116E5" w14:textId="58582B5A" w:rsidR="00B63229" w:rsidRDefault="00B63229" w:rsidP="008B4180">
      <w:pPr>
        <w:spacing w:after="240" w:line="276" w:lineRule="auto"/>
        <w:jc w:val="both"/>
        <w:rPr>
          <w:rFonts w:ascii="Arial" w:hAnsi="Arial"/>
          <w:sz w:val="21"/>
          <w:szCs w:val="21"/>
          <w:lang w:val="es-ES"/>
        </w:rPr>
      </w:pPr>
    </w:p>
    <w:p w14:paraId="49840592" w14:textId="68D67EC3" w:rsidR="00B63229" w:rsidRDefault="00B63229" w:rsidP="008B4180">
      <w:pPr>
        <w:spacing w:after="240" w:line="276" w:lineRule="auto"/>
        <w:jc w:val="both"/>
        <w:rPr>
          <w:rFonts w:ascii="Arial" w:hAnsi="Arial"/>
          <w:sz w:val="21"/>
          <w:szCs w:val="21"/>
          <w:lang w:val="es-ES"/>
        </w:rPr>
      </w:pPr>
    </w:p>
    <w:p w14:paraId="14EDEB83" w14:textId="0670CEE5" w:rsidR="00B63229" w:rsidRDefault="00B63229" w:rsidP="008B4180">
      <w:pPr>
        <w:spacing w:after="240" w:line="276" w:lineRule="auto"/>
        <w:jc w:val="both"/>
        <w:rPr>
          <w:rFonts w:ascii="Arial" w:hAnsi="Arial"/>
          <w:sz w:val="21"/>
          <w:szCs w:val="21"/>
          <w:lang w:val="es-ES"/>
        </w:rPr>
      </w:pPr>
    </w:p>
    <w:p w14:paraId="4DD336B0" w14:textId="77777777" w:rsidR="00BD6EA3" w:rsidRDefault="00BD6EA3" w:rsidP="00BD6EA3">
      <w:pPr>
        <w:keepNext/>
        <w:spacing w:after="240" w:line="276" w:lineRule="auto"/>
        <w:jc w:val="center"/>
      </w:pPr>
      <w:r>
        <w:rPr>
          <w:noProof/>
        </w:rPr>
        <w:drawing>
          <wp:inline distT="0" distB="0" distL="0" distR="0" wp14:anchorId="6043A0CA" wp14:editId="303BF81B">
            <wp:extent cx="5400040" cy="2954655"/>
            <wp:effectExtent l="0" t="0" r="10160" b="17145"/>
            <wp:docPr id="45" name="Gráfico 45">
              <a:extLst xmlns:a="http://schemas.openxmlformats.org/drawingml/2006/main">
                <a:ext uri="{FF2B5EF4-FFF2-40B4-BE49-F238E27FC236}">
                  <a16:creationId xmlns:a16="http://schemas.microsoft.com/office/drawing/2014/main" id="{904FF1D3-8B4E-4ACF-9C6C-71FA4DAAA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14:paraId="30BDD38D" w14:textId="78DDB1B3" w:rsidR="00B63229" w:rsidRPr="00BD6EA3" w:rsidRDefault="00BD6EA3" w:rsidP="00BD6EA3">
      <w:pPr>
        <w:pStyle w:val="Descripcin"/>
        <w:jc w:val="center"/>
        <w:rPr>
          <w:rFonts w:ascii="Arial" w:hAnsi="Arial" w:cs="Arial"/>
          <w:smallCaps w:val="0"/>
          <w:sz w:val="18"/>
          <w:szCs w:val="18"/>
          <w:lang w:val="es-ES"/>
        </w:rPr>
      </w:pPr>
      <w:bookmarkStart w:id="113" w:name="_Toc99110966"/>
      <w:r w:rsidRPr="00BD6EA3">
        <w:rPr>
          <w:rFonts w:ascii="Arial" w:hAnsi="Arial" w:cs="Arial"/>
          <w:smallCaps w:val="0"/>
          <w:color w:val="9D2235" w:themeColor="accent1"/>
          <w:sz w:val="18"/>
          <w:szCs w:val="18"/>
        </w:rPr>
        <w:t xml:space="preserve">Gràfic </w:t>
      </w:r>
      <w:r w:rsidRPr="00BD6EA3">
        <w:rPr>
          <w:rFonts w:ascii="Arial" w:hAnsi="Arial" w:cs="Arial"/>
          <w:smallCaps w:val="0"/>
          <w:color w:val="9D2235" w:themeColor="accent1"/>
          <w:sz w:val="18"/>
          <w:szCs w:val="18"/>
        </w:rPr>
        <w:fldChar w:fldCharType="begin" w:fldLock="1"/>
      </w:r>
      <w:r w:rsidRPr="00BD6EA3">
        <w:rPr>
          <w:rFonts w:ascii="Arial" w:hAnsi="Arial" w:cs="Arial"/>
          <w:smallCaps w:val="0"/>
          <w:color w:val="9D2235" w:themeColor="accent1"/>
          <w:sz w:val="18"/>
          <w:szCs w:val="18"/>
        </w:rPr>
        <w:instrText xml:space="preserve"> SEQ Gràfic \* ARABIC </w:instrText>
      </w:r>
      <w:r w:rsidRPr="00BD6EA3">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7</w:t>
      </w:r>
      <w:r w:rsidRPr="00BD6EA3">
        <w:rPr>
          <w:rFonts w:ascii="Arial" w:hAnsi="Arial" w:cs="Arial"/>
          <w:smallCaps w:val="0"/>
          <w:color w:val="9D2235" w:themeColor="accent1"/>
          <w:sz w:val="18"/>
          <w:szCs w:val="18"/>
        </w:rPr>
        <w:fldChar w:fldCharType="end"/>
      </w:r>
      <w:r w:rsidRPr="00BD6EA3">
        <w:rPr>
          <w:rFonts w:ascii="Arial" w:hAnsi="Arial" w:cs="Arial"/>
          <w:smallCaps w:val="0"/>
          <w:color w:val="9D2235" w:themeColor="accent1"/>
          <w:sz w:val="18"/>
          <w:szCs w:val="18"/>
        </w:rPr>
        <w:t xml:space="preserve">. </w:t>
      </w:r>
      <w:r w:rsidRPr="00BD6EA3">
        <w:rPr>
          <w:rFonts w:ascii="Arial" w:hAnsi="Arial" w:cs="Arial"/>
          <w:smallCaps w:val="0"/>
          <w:sz w:val="18"/>
          <w:szCs w:val="18"/>
        </w:rPr>
        <w:t>Nombre de sol·licituds de protecció presentades segons la mena d'administració, institució entitat afectada per la denúncia des de 2017 a 2021</w:t>
      </w:r>
      <w:bookmarkEnd w:id="113"/>
    </w:p>
    <w:p w14:paraId="34C78CAE" w14:textId="4FEE3AB6" w:rsidR="00B63229" w:rsidRDefault="00B63229" w:rsidP="008B4180">
      <w:pPr>
        <w:spacing w:after="240" w:line="276" w:lineRule="auto"/>
        <w:jc w:val="both"/>
        <w:rPr>
          <w:rFonts w:ascii="Arial" w:hAnsi="Arial"/>
          <w:sz w:val="21"/>
          <w:szCs w:val="21"/>
          <w:lang w:val="es-ES"/>
        </w:rPr>
      </w:pPr>
    </w:p>
    <w:p w14:paraId="0909B786" w14:textId="77777777" w:rsidR="002C132A" w:rsidRDefault="002C132A" w:rsidP="008B4180">
      <w:pPr>
        <w:spacing w:after="240" w:line="276" w:lineRule="auto"/>
        <w:jc w:val="both"/>
        <w:rPr>
          <w:rFonts w:ascii="Arial" w:hAnsi="Arial"/>
          <w:sz w:val="21"/>
          <w:szCs w:val="21"/>
          <w:lang w:val="es-ES"/>
        </w:rPr>
      </w:pPr>
    </w:p>
    <w:p w14:paraId="0C559020" w14:textId="77777777" w:rsidR="00BD6EA3" w:rsidRDefault="00BD6EA3" w:rsidP="00BD6EA3">
      <w:pPr>
        <w:keepNext/>
        <w:spacing w:after="240" w:line="276" w:lineRule="auto"/>
        <w:jc w:val="center"/>
      </w:pPr>
      <w:r w:rsidRPr="008C692F">
        <w:rPr>
          <w:noProof/>
        </w:rPr>
        <w:drawing>
          <wp:inline distT="0" distB="0" distL="0" distR="0" wp14:anchorId="4E00B0B2" wp14:editId="0B87698B">
            <wp:extent cx="5325956" cy="3177540"/>
            <wp:effectExtent l="0" t="0" r="8255" b="3810"/>
            <wp:docPr id="46" name="Gráfico 46">
              <a:extLst xmlns:a="http://schemas.openxmlformats.org/drawingml/2006/main">
                <a:ext uri="{FF2B5EF4-FFF2-40B4-BE49-F238E27FC236}">
                  <a16:creationId xmlns:a16="http://schemas.microsoft.com/office/drawing/2014/main" id="{2981A59A-35BF-4198-B816-D398ECEB87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14:paraId="7375CB68" w14:textId="5791E38E" w:rsidR="00B63229" w:rsidRPr="00BD6EA3" w:rsidRDefault="00BD6EA3" w:rsidP="00BD6EA3">
      <w:pPr>
        <w:pStyle w:val="Descripcin"/>
        <w:jc w:val="center"/>
        <w:rPr>
          <w:rFonts w:ascii="Arial" w:hAnsi="Arial" w:cs="Arial"/>
          <w:smallCaps w:val="0"/>
          <w:sz w:val="18"/>
          <w:szCs w:val="18"/>
          <w:lang w:val="es-ES"/>
        </w:rPr>
      </w:pPr>
      <w:bookmarkStart w:id="114" w:name="_Toc99110967"/>
      <w:r w:rsidRPr="00BD6EA3">
        <w:rPr>
          <w:rFonts w:ascii="Arial" w:hAnsi="Arial" w:cs="Arial"/>
          <w:smallCaps w:val="0"/>
          <w:color w:val="9D2235" w:themeColor="accent1"/>
          <w:sz w:val="18"/>
          <w:szCs w:val="18"/>
        </w:rPr>
        <w:t xml:space="preserve">Gràfic </w:t>
      </w:r>
      <w:r w:rsidRPr="00BD6EA3">
        <w:rPr>
          <w:rFonts w:ascii="Arial" w:hAnsi="Arial" w:cs="Arial"/>
          <w:smallCaps w:val="0"/>
          <w:color w:val="9D2235" w:themeColor="accent1"/>
          <w:sz w:val="18"/>
          <w:szCs w:val="18"/>
        </w:rPr>
        <w:fldChar w:fldCharType="begin" w:fldLock="1"/>
      </w:r>
      <w:r w:rsidRPr="00BD6EA3">
        <w:rPr>
          <w:rFonts w:ascii="Arial" w:hAnsi="Arial" w:cs="Arial"/>
          <w:smallCaps w:val="0"/>
          <w:color w:val="9D2235" w:themeColor="accent1"/>
          <w:sz w:val="18"/>
          <w:szCs w:val="18"/>
        </w:rPr>
        <w:instrText xml:space="preserve"> SEQ Gràfic \* ARABIC </w:instrText>
      </w:r>
      <w:r w:rsidRPr="00BD6EA3">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8</w:t>
      </w:r>
      <w:r w:rsidRPr="00BD6EA3">
        <w:rPr>
          <w:rFonts w:ascii="Arial" w:hAnsi="Arial" w:cs="Arial"/>
          <w:smallCaps w:val="0"/>
          <w:color w:val="9D2235" w:themeColor="accent1"/>
          <w:sz w:val="18"/>
          <w:szCs w:val="18"/>
        </w:rPr>
        <w:fldChar w:fldCharType="end"/>
      </w:r>
      <w:r w:rsidRPr="00BD6EA3">
        <w:rPr>
          <w:rFonts w:ascii="Arial" w:hAnsi="Arial" w:cs="Arial"/>
          <w:smallCaps w:val="0"/>
          <w:color w:val="9D2235" w:themeColor="accent1"/>
          <w:sz w:val="18"/>
          <w:szCs w:val="18"/>
        </w:rPr>
        <w:t xml:space="preserve">. </w:t>
      </w:r>
      <w:r w:rsidRPr="00BD6EA3">
        <w:rPr>
          <w:rFonts w:ascii="Arial" w:hAnsi="Arial" w:cs="Arial"/>
          <w:smallCaps w:val="0"/>
          <w:sz w:val="18"/>
          <w:szCs w:val="18"/>
        </w:rPr>
        <w:t>Nombre de sol·licituds presentades des de 2017 a 2021 segons la província en la qual se situa l'administració o entitat demandada</w:t>
      </w:r>
      <w:bookmarkEnd w:id="114"/>
    </w:p>
    <w:p w14:paraId="41AFEBAD" w14:textId="14F12B02" w:rsidR="00B63229" w:rsidRDefault="00B63229" w:rsidP="008B4180">
      <w:pPr>
        <w:spacing w:after="240" w:line="276" w:lineRule="auto"/>
        <w:jc w:val="both"/>
        <w:rPr>
          <w:rFonts w:ascii="Arial" w:hAnsi="Arial"/>
          <w:sz w:val="21"/>
          <w:szCs w:val="21"/>
          <w:lang w:val="es-ES"/>
        </w:rPr>
      </w:pPr>
    </w:p>
    <w:p w14:paraId="5E8EB66F" w14:textId="77777777" w:rsidR="00B63229" w:rsidRDefault="00B63229" w:rsidP="008B4180">
      <w:pPr>
        <w:spacing w:after="240" w:line="276" w:lineRule="auto"/>
        <w:jc w:val="both"/>
        <w:rPr>
          <w:rFonts w:ascii="Arial" w:hAnsi="Arial"/>
          <w:sz w:val="21"/>
          <w:szCs w:val="21"/>
          <w:lang w:val="es-ES"/>
        </w:rPr>
      </w:pPr>
    </w:p>
    <w:p w14:paraId="04163BDE" w14:textId="77777777" w:rsidR="00DB7416" w:rsidRDefault="00BD6EA3" w:rsidP="00DB7416">
      <w:pPr>
        <w:keepNext/>
        <w:spacing w:after="240" w:line="276" w:lineRule="auto"/>
        <w:jc w:val="center"/>
      </w:pPr>
      <w:r w:rsidRPr="008C692F">
        <w:rPr>
          <w:noProof/>
        </w:rPr>
        <w:drawing>
          <wp:inline distT="0" distB="0" distL="0" distR="0" wp14:anchorId="13CC03FC" wp14:editId="51563A15">
            <wp:extent cx="5400040" cy="3372830"/>
            <wp:effectExtent l="0" t="0" r="10160" b="18415"/>
            <wp:docPr id="47" name="Gráfico 47">
              <a:extLst xmlns:a="http://schemas.openxmlformats.org/drawingml/2006/main">
                <a:ext uri="{FF2B5EF4-FFF2-40B4-BE49-F238E27FC236}">
                  <a16:creationId xmlns:a16="http://schemas.microsoft.com/office/drawing/2014/main" id="{5F86ED16-0188-464B-8E23-D20D15B236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p>
    <w:p w14:paraId="3979101A" w14:textId="46DD54E6" w:rsidR="00DB7416" w:rsidRDefault="00DB7416" w:rsidP="00DB7416">
      <w:pPr>
        <w:pStyle w:val="Descripcin"/>
        <w:contextualSpacing/>
        <w:jc w:val="center"/>
        <w:rPr>
          <w:rFonts w:ascii="Arial" w:hAnsi="Arial" w:cs="Arial"/>
          <w:smallCaps w:val="0"/>
          <w:sz w:val="18"/>
          <w:szCs w:val="18"/>
        </w:rPr>
      </w:pPr>
      <w:bookmarkStart w:id="115" w:name="_Toc99110968"/>
      <w:r w:rsidRPr="00DB7416">
        <w:rPr>
          <w:rFonts w:ascii="Arial" w:hAnsi="Arial" w:cs="Arial"/>
          <w:smallCaps w:val="0"/>
          <w:color w:val="9D2235" w:themeColor="accent1"/>
          <w:sz w:val="18"/>
          <w:szCs w:val="18"/>
        </w:rPr>
        <w:t xml:space="preserve">Gràfic </w:t>
      </w:r>
      <w:r w:rsidRPr="00DB7416">
        <w:rPr>
          <w:rFonts w:ascii="Arial" w:hAnsi="Arial" w:cs="Arial"/>
          <w:smallCaps w:val="0"/>
          <w:color w:val="9D2235" w:themeColor="accent1"/>
          <w:sz w:val="18"/>
          <w:szCs w:val="18"/>
        </w:rPr>
        <w:fldChar w:fldCharType="begin" w:fldLock="1"/>
      </w:r>
      <w:r w:rsidRPr="00DB7416">
        <w:rPr>
          <w:rFonts w:ascii="Arial" w:hAnsi="Arial" w:cs="Arial"/>
          <w:smallCaps w:val="0"/>
          <w:color w:val="9D2235" w:themeColor="accent1"/>
          <w:sz w:val="18"/>
          <w:szCs w:val="18"/>
        </w:rPr>
        <w:instrText xml:space="preserve"> SEQ Gràfic \* ARABIC </w:instrText>
      </w:r>
      <w:r w:rsidRPr="00DB741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9</w:t>
      </w:r>
      <w:r w:rsidRPr="00DB7416">
        <w:rPr>
          <w:rFonts w:ascii="Arial" w:hAnsi="Arial" w:cs="Arial"/>
          <w:smallCaps w:val="0"/>
          <w:color w:val="9D2235" w:themeColor="accent1"/>
          <w:sz w:val="18"/>
          <w:szCs w:val="18"/>
        </w:rPr>
        <w:fldChar w:fldCharType="end"/>
      </w:r>
      <w:r w:rsidRPr="00DB7416">
        <w:rPr>
          <w:rFonts w:ascii="Arial" w:hAnsi="Arial" w:cs="Arial"/>
          <w:smallCaps w:val="0"/>
          <w:color w:val="9D2235" w:themeColor="accent1"/>
          <w:sz w:val="18"/>
          <w:szCs w:val="18"/>
        </w:rPr>
        <w:t xml:space="preserve">. </w:t>
      </w:r>
      <w:r w:rsidRPr="00DB7416">
        <w:rPr>
          <w:rFonts w:ascii="Arial" w:hAnsi="Arial" w:cs="Arial"/>
          <w:smallCaps w:val="0"/>
          <w:sz w:val="18"/>
          <w:szCs w:val="18"/>
        </w:rPr>
        <w:t>Segons el contingut de la denúncia realitzada pels denunciants protegits</w:t>
      </w:r>
      <w:bookmarkEnd w:id="115"/>
    </w:p>
    <w:p w14:paraId="55C93086" w14:textId="746B9354" w:rsidR="00B63229" w:rsidRPr="00DB7416" w:rsidRDefault="00DB7416" w:rsidP="00DB7416">
      <w:pPr>
        <w:pStyle w:val="Descripcin"/>
        <w:jc w:val="center"/>
        <w:rPr>
          <w:rFonts w:ascii="Arial" w:hAnsi="Arial" w:cs="Arial"/>
          <w:smallCaps w:val="0"/>
          <w:sz w:val="18"/>
          <w:szCs w:val="18"/>
          <w:lang w:val="es-ES"/>
        </w:rPr>
      </w:pPr>
      <w:r w:rsidRPr="00DB7416">
        <w:rPr>
          <w:rFonts w:ascii="Arial" w:hAnsi="Arial" w:cs="Arial"/>
          <w:smallCaps w:val="0"/>
          <w:sz w:val="18"/>
          <w:szCs w:val="18"/>
        </w:rPr>
        <w:t>(anys 2017 a 2021)</w:t>
      </w:r>
    </w:p>
    <w:p w14:paraId="234A117A" w14:textId="77777777" w:rsidR="002C132A" w:rsidRDefault="002C132A" w:rsidP="008B4180">
      <w:pPr>
        <w:spacing w:after="240" w:line="276" w:lineRule="auto"/>
        <w:jc w:val="both"/>
        <w:rPr>
          <w:rFonts w:ascii="Arial" w:hAnsi="Arial"/>
          <w:sz w:val="21"/>
          <w:szCs w:val="21"/>
          <w:lang w:val="es-ES"/>
        </w:rPr>
      </w:pPr>
    </w:p>
    <w:p w14:paraId="7CD2E14D" w14:textId="77777777" w:rsidR="00DB7416" w:rsidRDefault="00DB7416" w:rsidP="00DB7416">
      <w:pPr>
        <w:keepNext/>
        <w:spacing w:after="240" w:line="276" w:lineRule="auto"/>
        <w:jc w:val="center"/>
      </w:pPr>
      <w:r w:rsidRPr="008C692F">
        <w:rPr>
          <w:noProof/>
        </w:rPr>
        <w:drawing>
          <wp:inline distT="0" distB="0" distL="0" distR="0" wp14:anchorId="625E7269" wp14:editId="3B2F37A7">
            <wp:extent cx="5400040" cy="3477992"/>
            <wp:effectExtent l="0" t="0" r="10160" b="8255"/>
            <wp:docPr id="48" name="Gráfico 48">
              <a:extLst xmlns:a="http://schemas.openxmlformats.org/drawingml/2006/main">
                <a:ext uri="{FF2B5EF4-FFF2-40B4-BE49-F238E27FC236}">
                  <a16:creationId xmlns:a16="http://schemas.microsoft.com/office/drawing/2014/main" id="{02252EB6-CE01-4920-BE67-0EC90C4D86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inline>
        </w:drawing>
      </w:r>
    </w:p>
    <w:p w14:paraId="3BB17675" w14:textId="4753695B" w:rsidR="00BD6EA3" w:rsidRPr="00DB7416" w:rsidRDefault="00DB7416" w:rsidP="00DB7416">
      <w:pPr>
        <w:pStyle w:val="Descripcin"/>
        <w:jc w:val="center"/>
        <w:rPr>
          <w:rFonts w:ascii="Arial" w:hAnsi="Arial" w:cs="Arial"/>
          <w:smallCaps w:val="0"/>
          <w:sz w:val="18"/>
          <w:szCs w:val="18"/>
          <w:lang w:val="es-ES"/>
        </w:rPr>
      </w:pPr>
      <w:bookmarkStart w:id="116" w:name="_Toc99110969"/>
      <w:r w:rsidRPr="00DB7416">
        <w:rPr>
          <w:rFonts w:ascii="Arial" w:hAnsi="Arial" w:cs="Arial"/>
          <w:smallCaps w:val="0"/>
          <w:color w:val="9D2235" w:themeColor="accent1"/>
          <w:sz w:val="18"/>
          <w:szCs w:val="18"/>
        </w:rPr>
        <w:t xml:space="preserve">Gràfic </w:t>
      </w:r>
      <w:r w:rsidRPr="00DB7416">
        <w:rPr>
          <w:rFonts w:ascii="Arial" w:hAnsi="Arial" w:cs="Arial"/>
          <w:smallCaps w:val="0"/>
          <w:color w:val="9D2235" w:themeColor="accent1"/>
          <w:sz w:val="18"/>
          <w:szCs w:val="18"/>
        </w:rPr>
        <w:fldChar w:fldCharType="begin" w:fldLock="1"/>
      </w:r>
      <w:r w:rsidRPr="00DB7416">
        <w:rPr>
          <w:rFonts w:ascii="Arial" w:hAnsi="Arial" w:cs="Arial"/>
          <w:smallCaps w:val="0"/>
          <w:color w:val="9D2235" w:themeColor="accent1"/>
          <w:sz w:val="18"/>
          <w:szCs w:val="18"/>
        </w:rPr>
        <w:instrText xml:space="preserve"> SEQ Gràfic \* ARABIC </w:instrText>
      </w:r>
      <w:r w:rsidRPr="00DB741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10</w:t>
      </w:r>
      <w:r w:rsidRPr="00DB7416">
        <w:rPr>
          <w:rFonts w:ascii="Arial" w:hAnsi="Arial" w:cs="Arial"/>
          <w:smallCaps w:val="0"/>
          <w:color w:val="9D2235" w:themeColor="accent1"/>
          <w:sz w:val="18"/>
          <w:szCs w:val="18"/>
        </w:rPr>
        <w:fldChar w:fldCharType="end"/>
      </w:r>
      <w:r w:rsidRPr="00DB7416">
        <w:rPr>
          <w:rFonts w:ascii="Arial" w:hAnsi="Arial" w:cs="Arial"/>
          <w:smallCaps w:val="0"/>
          <w:color w:val="9D2235" w:themeColor="accent1"/>
          <w:sz w:val="18"/>
          <w:szCs w:val="18"/>
        </w:rPr>
        <w:t xml:space="preserve">. </w:t>
      </w:r>
      <w:r w:rsidRPr="00DB7416">
        <w:rPr>
          <w:rFonts w:ascii="Arial" w:hAnsi="Arial" w:cs="Arial"/>
          <w:smallCaps w:val="0"/>
          <w:sz w:val="18"/>
          <w:szCs w:val="18"/>
        </w:rPr>
        <w:t>Nombre de sol·licituds de protecció presentades i concedides (anys 2017 a 2021)</w:t>
      </w:r>
      <w:bookmarkEnd w:id="116"/>
    </w:p>
    <w:p w14:paraId="6240575E" w14:textId="59648C56" w:rsidR="00BD6EA3" w:rsidRDefault="00BD6EA3" w:rsidP="008B4180">
      <w:pPr>
        <w:spacing w:after="240" w:line="276" w:lineRule="auto"/>
        <w:jc w:val="both"/>
        <w:rPr>
          <w:rFonts w:ascii="Arial" w:hAnsi="Arial"/>
          <w:sz w:val="21"/>
          <w:szCs w:val="21"/>
          <w:lang w:val="es-ES"/>
        </w:rPr>
      </w:pPr>
    </w:p>
    <w:p w14:paraId="2E2BEE7F" w14:textId="77777777" w:rsidR="00A53386" w:rsidRDefault="00A53386" w:rsidP="00A53386">
      <w:pPr>
        <w:keepNext/>
        <w:spacing w:after="240" w:line="276" w:lineRule="auto"/>
        <w:jc w:val="center"/>
      </w:pPr>
      <w:r w:rsidRPr="008C692F">
        <w:rPr>
          <w:noProof/>
        </w:rPr>
        <w:drawing>
          <wp:inline distT="0" distB="0" distL="0" distR="0" wp14:anchorId="051F63E6" wp14:editId="20482957">
            <wp:extent cx="4907280" cy="2870200"/>
            <wp:effectExtent l="0" t="0" r="7620" b="6350"/>
            <wp:docPr id="49" name="Gráfico 49">
              <a:extLst xmlns:a="http://schemas.openxmlformats.org/drawingml/2006/main">
                <a:ext uri="{FF2B5EF4-FFF2-40B4-BE49-F238E27FC236}">
                  <a16:creationId xmlns:a16="http://schemas.microsoft.com/office/drawing/2014/main" id="{920AB4AF-95FE-4161-B93A-E40C59894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p w14:paraId="01689B42" w14:textId="706D6077" w:rsidR="00BD6EA3" w:rsidRPr="00A53386" w:rsidRDefault="00A53386" w:rsidP="00A53386">
      <w:pPr>
        <w:pStyle w:val="Descripcin"/>
        <w:jc w:val="center"/>
        <w:rPr>
          <w:rFonts w:ascii="Arial" w:hAnsi="Arial" w:cs="Arial"/>
          <w:smallCaps w:val="0"/>
          <w:sz w:val="18"/>
          <w:szCs w:val="18"/>
          <w:lang w:val="es-ES"/>
        </w:rPr>
      </w:pPr>
      <w:bookmarkStart w:id="117" w:name="_Toc99110970"/>
      <w:r w:rsidRPr="00A53386">
        <w:rPr>
          <w:rFonts w:ascii="Arial" w:hAnsi="Arial" w:cs="Arial"/>
          <w:smallCaps w:val="0"/>
          <w:color w:val="9D2235" w:themeColor="accent1"/>
          <w:sz w:val="18"/>
          <w:szCs w:val="18"/>
        </w:rPr>
        <w:t xml:space="preserve">Gràfic </w:t>
      </w:r>
      <w:r w:rsidRPr="00A53386">
        <w:rPr>
          <w:rFonts w:ascii="Arial" w:hAnsi="Arial" w:cs="Arial"/>
          <w:smallCaps w:val="0"/>
          <w:color w:val="9D2235" w:themeColor="accent1"/>
          <w:sz w:val="18"/>
          <w:szCs w:val="18"/>
        </w:rPr>
        <w:fldChar w:fldCharType="begin" w:fldLock="1"/>
      </w:r>
      <w:r w:rsidRPr="00A53386">
        <w:rPr>
          <w:rFonts w:ascii="Arial" w:hAnsi="Arial" w:cs="Arial"/>
          <w:smallCaps w:val="0"/>
          <w:color w:val="9D2235" w:themeColor="accent1"/>
          <w:sz w:val="18"/>
          <w:szCs w:val="18"/>
        </w:rPr>
        <w:instrText xml:space="preserve"> SEQ Gràfic \* ARABIC </w:instrText>
      </w:r>
      <w:r w:rsidRPr="00A5338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11</w:t>
      </w:r>
      <w:r w:rsidRPr="00A53386">
        <w:rPr>
          <w:rFonts w:ascii="Arial" w:hAnsi="Arial" w:cs="Arial"/>
          <w:smallCaps w:val="0"/>
          <w:color w:val="9D2235" w:themeColor="accent1"/>
          <w:sz w:val="18"/>
          <w:szCs w:val="18"/>
        </w:rPr>
        <w:fldChar w:fldCharType="end"/>
      </w:r>
      <w:r w:rsidRPr="00A53386">
        <w:rPr>
          <w:rFonts w:ascii="Arial" w:hAnsi="Arial" w:cs="Arial"/>
          <w:smallCaps w:val="0"/>
          <w:color w:val="9D2235" w:themeColor="accent1"/>
          <w:sz w:val="18"/>
          <w:szCs w:val="18"/>
        </w:rPr>
        <w:t xml:space="preserve">. </w:t>
      </w:r>
      <w:r w:rsidRPr="00A53386">
        <w:rPr>
          <w:rFonts w:ascii="Arial" w:hAnsi="Arial" w:cs="Arial"/>
          <w:smallCaps w:val="0"/>
          <w:sz w:val="18"/>
          <w:szCs w:val="18"/>
        </w:rPr>
        <w:t>Persones denunciants protegides classificades per gènere (anys 2017 a 2021)</w:t>
      </w:r>
      <w:bookmarkEnd w:id="117"/>
    </w:p>
    <w:p w14:paraId="479E3E31" w14:textId="6B8D4CE9" w:rsidR="00BD6EA3" w:rsidRDefault="00BD6EA3" w:rsidP="008B4180">
      <w:pPr>
        <w:spacing w:after="240" w:line="276" w:lineRule="auto"/>
        <w:jc w:val="both"/>
        <w:rPr>
          <w:rFonts w:ascii="Arial" w:hAnsi="Arial"/>
          <w:sz w:val="21"/>
          <w:szCs w:val="21"/>
          <w:lang w:val="es-ES"/>
        </w:rPr>
      </w:pPr>
    </w:p>
    <w:p w14:paraId="1DA16952" w14:textId="77777777" w:rsidR="002C132A" w:rsidRDefault="002C132A" w:rsidP="008B4180">
      <w:pPr>
        <w:spacing w:after="240" w:line="276" w:lineRule="auto"/>
        <w:jc w:val="both"/>
        <w:rPr>
          <w:rFonts w:ascii="Arial" w:hAnsi="Arial"/>
          <w:sz w:val="21"/>
          <w:szCs w:val="21"/>
          <w:lang w:val="es-ES"/>
        </w:rPr>
      </w:pPr>
    </w:p>
    <w:p w14:paraId="27962C76" w14:textId="77777777" w:rsidR="00A53386" w:rsidRDefault="00A53386" w:rsidP="00A53386">
      <w:pPr>
        <w:keepNext/>
        <w:spacing w:after="240" w:line="276" w:lineRule="auto"/>
        <w:jc w:val="center"/>
      </w:pPr>
      <w:r w:rsidRPr="008C692F">
        <w:rPr>
          <w:noProof/>
        </w:rPr>
        <w:drawing>
          <wp:inline distT="0" distB="0" distL="0" distR="0" wp14:anchorId="6FF51E00" wp14:editId="2B43D1D1">
            <wp:extent cx="5400040" cy="2965596"/>
            <wp:effectExtent l="0" t="0" r="10160" b="6350"/>
            <wp:docPr id="51" name="Gráfico 51">
              <a:extLst xmlns:a="http://schemas.openxmlformats.org/drawingml/2006/main">
                <a:ext uri="{FF2B5EF4-FFF2-40B4-BE49-F238E27FC236}">
                  <a16:creationId xmlns:a16="http://schemas.microsoft.com/office/drawing/2014/main" id="{A2800591-76CE-4B2A-8B44-C3E0B863A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p>
    <w:p w14:paraId="605A7CB3" w14:textId="378573AD" w:rsidR="009C3E25" w:rsidRPr="00A53386" w:rsidRDefault="00A53386" w:rsidP="00A53386">
      <w:pPr>
        <w:pStyle w:val="Descripcin"/>
        <w:jc w:val="center"/>
        <w:rPr>
          <w:rFonts w:ascii="Arial" w:hAnsi="Arial" w:cs="Arial"/>
          <w:smallCaps w:val="0"/>
          <w:sz w:val="18"/>
          <w:szCs w:val="18"/>
          <w:lang w:val="es-ES"/>
        </w:rPr>
      </w:pPr>
      <w:bookmarkStart w:id="118" w:name="_Toc99110971"/>
      <w:r w:rsidRPr="00A53386">
        <w:rPr>
          <w:rFonts w:ascii="Arial" w:hAnsi="Arial" w:cs="Arial"/>
          <w:smallCaps w:val="0"/>
          <w:color w:val="9D2235" w:themeColor="accent1"/>
          <w:sz w:val="18"/>
          <w:szCs w:val="18"/>
        </w:rPr>
        <w:t xml:space="preserve">Gràfic </w:t>
      </w:r>
      <w:r w:rsidRPr="00A53386">
        <w:rPr>
          <w:rFonts w:ascii="Arial" w:hAnsi="Arial" w:cs="Arial"/>
          <w:smallCaps w:val="0"/>
          <w:color w:val="9D2235" w:themeColor="accent1"/>
          <w:sz w:val="18"/>
          <w:szCs w:val="18"/>
        </w:rPr>
        <w:fldChar w:fldCharType="begin" w:fldLock="1"/>
      </w:r>
      <w:r w:rsidRPr="00A53386">
        <w:rPr>
          <w:rFonts w:ascii="Arial" w:hAnsi="Arial" w:cs="Arial"/>
          <w:smallCaps w:val="0"/>
          <w:color w:val="9D2235" w:themeColor="accent1"/>
          <w:sz w:val="18"/>
          <w:szCs w:val="18"/>
        </w:rPr>
        <w:instrText xml:space="preserve"> SEQ Gràfic \* ARABIC </w:instrText>
      </w:r>
      <w:r w:rsidRPr="00A5338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12</w:t>
      </w:r>
      <w:r w:rsidRPr="00A53386">
        <w:rPr>
          <w:rFonts w:ascii="Arial" w:hAnsi="Arial" w:cs="Arial"/>
          <w:smallCaps w:val="0"/>
          <w:color w:val="9D2235" w:themeColor="accent1"/>
          <w:sz w:val="18"/>
          <w:szCs w:val="18"/>
        </w:rPr>
        <w:fldChar w:fldCharType="end"/>
      </w:r>
      <w:r w:rsidRPr="00A53386">
        <w:rPr>
          <w:rFonts w:ascii="Arial" w:hAnsi="Arial" w:cs="Arial"/>
          <w:smallCaps w:val="0"/>
          <w:sz w:val="18"/>
          <w:szCs w:val="18"/>
        </w:rPr>
        <w:t>. Condició laboral dels treballadors als quals se li ha condecit l'estatut de persona denunciant (anys 2017 a 2021)</w:t>
      </w:r>
      <w:bookmarkEnd w:id="118"/>
    </w:p>
    <w:p w14:paraId="06474769" w14:textId="778B2975" w:rsidR="00A53386" w:rsidRDefault="00A53386" w:rsidP="008B4180">
      <w:pPr>
        <w:spacing w:after="240" w:line="276" w:lineRule="auto"/>
        <w:jc w:val="both"/>
        <w:rPr>
          <w:rFonts w:ascii="Arial" w:hAnsi="Arial"/>
          <w:sz w:val="21"/>
          <w:szCs w:val="21"/>
          <w:lang w:val="es-ES"/>
        </w:rPr>
      </w:pPr>
    </w:p>
    <w:p w14:paraId="30C2750D" w14:textId="2F113DD4" w:rsidR="00A53386" w:rsidRDefault="00A53386" w:rsidP="008B4180">
      <w:pPr>
        <w:spacing w:after="240" w:line="276" w:lineRule="auto"/>
        <w:jc w:val="both"/>
        <w:rPr>
          <w:rFonts w:ascii="Arial" w:hAnsi="Arial"/>
          <w:sz w:val="21"/>
          <w:szCs w:val="21"/>
          <w:lang w:val="es-ES"/>
        </w:rPr>
      </w:pPr>
    </w:p>
    <w:p w14:paraId="167A5268" w14:textId="77777777" w:rsidR="00A53386" w:rsidRDefault="00A53386" w:rsidP="00A53386">
      <w:pPr>
        <w:keepNext/>
        <w:spacing w:after="240" w:line="276" w:lineRule="auto"/>
        <w:jc w:val="both"/>
      </w:pPr>
      <w:r w:rsidRPr="008C692F">
        <w:rPr>
          <w:noProof/>
        </w:rPr>
        <w:drawing>
          <wp:inline distT="0" distB="0" distL="0" distR="0" wp14:anchorId="4426BD1E" wp14:editId="39D2E7C0">
            <wp:extent cx="5400040" cy="3451364"/>
            <wp:effectExtent l="0" t="0" r="0" b="0"/>
            <wp:docPr id="52" name="Gráfico 52">
              <a:extLst xmlns:a="http://schemas.openxmlformats.org/drawingml/2006/main">
                <a:ext uri="{FF2B5EF4-FFF2-40B4-BE49-F238E27FC236}">
                  <a16:creationId xmlns:a16="http://schemas.microsoft.com/office/drawing/2014/main" id="{7AC776B4-8B8D-4AA9-A12A-B6679F6C3A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p>
    <w:p w14:paraId="0953A0F8" w14:textId="430B5701" w:rsidR="00A53386" w:rsidRDefault="00A53386" w:rsidP="00A53386">
      <w:pPr>
        <w:pStyle w:val="Descripcin"/>
        <w:jc w:val="center"/>
        <w:rPr>
          <w:rFonts w:ascii="Arial" w:hAnsi="Arial"/>
          <w:sz w:val="21"/>
          <w:szCs w:val="21"/>
          <w:lang w:val="es-ES"/>
        </w:rPr>
      </w:pPr>
      <w:bookmarkStart w:id="119" w:name="_Toc99110972"/>
      <w:r w:rsidRPr="00A53386">
        <w:rPr>
          <w:rFonts w:ascii="Arial" w:hAnsi="Arial" w:cs="Arial"/>
          <w:smallCaps w:val="0"/>
          <w:color w:val="9D2235" w:themeColor="accent1"/>
          <w:sz w:val="18"/>
          <w:szCs w:val="18"/>
        </w:rPr>
        <w:t xml:space="preserve">Gràfic </w:t>
      </w:r>
      <w:r w:rsidRPr="00A53386">
        <w:rPr>
          <w:rFonts w:ascii="Arial" w:hAnsi="Arial" w:cs="Arial"/>
          <w:smallCaps w:val="0"/>
          <w:color w:val="9D2235" w:themeColor="accent1"/>
          <w:sz w:val="18"/>
          <w:szCs w:val="18"/>
        </w:rPr>
        <w:fldChar w:fldCharType="begin" w:fldLock="1"/>
      </w:r>
      <w:r w:rsidRPr="00A53386">
        <w:rPr>
          <w:rFonts w:ascii="Arial" w:hAnsi="Arial" w:cs="Arial"/>
          <w:smallCaps w:val="0"/>
          <w:color w:val="9D2235" w:themeColor="accent1"/>
          <w:sz w:val="18"/>
          <w:szCs w:val="18"/>
        </w:rPr>
        <w:instrText xml:space="preserve"> SEQ Gràfic \* ARABIC </w:instrText>
      </w:r>
      <w:r w:rsidRPr="00A5338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13</w:t>
      </w:r>
      <w:r w:rsidRPr="00A53386">
        <w:rPr>
          <w:rFonts w:ascii="Arial" w:hAnsi="Arial" w:cs="Arial"/>
          <w:smallCaps w:val="0"/>
          <w:color w:val="9D2235" w:themeColor="accent1"/>
          <w:sz w:val="18"/>
          <w:szCs w:val="18"/>
        </w:rPr>
        <w:fldChar w:fldCharType="end"/>
      </w:r>
      <w:r w:rsidRPr="00A53386">
        <w:rPr>
          <w:rFonts w:ascii="Arial" w:hAnsi="Arial" w:cs="Arial"/>
          <w:smallCaps w:val="0"/>
          <w:color w:val="9D2235" w:themeColor="accent1"/>
          <w:sz w:val="18"/>
          <w:szCs w:val="18"/>
        </w:rPr>
        <w:t xml:space="preserve">. </w:t>
      </w:r>
      <w:r w:rsidRPr="00A53386">
        <w:rPr>
          <w:rFonts w:ascii="Arial" w:hAnsi="Arial" w:cs="Arial"/>
          <w:smallCaps w:val="0"/>
          <w:sz w:val="18"/>
          <w:szCs w:val="18"/>
        </w:rPr>
        <w:t>Segons el contingut de la denúncia realitzada pels denunciant protegits en</w:t>
      </w:r>
      <w:r w:rsidR="002C132A">
        <w:rPr>
          <w:rFonts w:ascii="Arial" w:hAnsi="Arial" w:cs="Arial"/>
          <w:smallCaps w:val="0"/>
          <w:sz w:val="18"/>
          <w:szCs w:val="18"/>
        </w:rPr>
        <w:t xml:space="preserve"> </w:t>
      </w:r>
      <w:r w:rsidRPr="00A53386">
        <w:rPr>
          <w:rFonts w:ascii="Arial" w:hAnsi="Arial" w:cs="Arial"/>
          <w:smallCaps w:val="0"/>
          <w:sz w:val="18"/>
          <w:szCs w:val="18"/>
        </w:rPr>
        <w:t>la sol·licitud (anys 2017 a 2021</w:t>
      </w:r>
      <w:r>
        <w:t>)</w:t>
      </w:r>
      <w:bookmarkEnd w:id="119"/>
    </w:p>
    <w:p w14:paraId="446F5B5D" w14:textId="5BA87492" w:rsidR="000122AC" w:rsidRPr="000122AC" w:rsidRDefault="00C77562" w:rsidP="00C77562">
      <w:pPr>
        <w:pStyle w:val="Prrafodelista"/>
        <w:keepNext/>
        <w:numPr>
          <w:ilvl w:val="1"/>
          <w:numId w:val="16"/>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120" w:name="_Toc99110708"/>
      <w:r>
        <w:rPr>
          <w:rFonts w:ascii="Arial" w:eastAsia="Times New Roman" w:hAnsi="Arial" w:cs="Arial"/>
          <w:b/>
          <w:color w:val="9D2235"/>
          <w:sz w:val="32"/>
          <w:szCs w:val="32"/>
        </w:rPr>
        <w:t>A</w:t>
      </w:r>
      <w:r w:rsidRPr="00C77562">
        <w:rPr>
          <w:rFonts w:ascii="Arial" w:eastAsia="Times New Roman" w:hAnsi="Arial" w:cs="Arial"/>
          <w:b/>
          <w:color w:val="9D2235"/>
          <w:sz w:val="32"/>
          <w:szCs w:val="32"/>
        </w:rPr>
        <w:t>ltres assumptes jurídics</w:t>
      </w:r>
      <w:bookmarkEnd w:id="120"/>
    </w:p>
    <w:p w14:paraId="44FCE7A1" w14:textId="77777777" w:rsidR="000122AC" w:rsidRPr="000122AC" w:rsidRDefault="000122AC" w:rsidP="00C77562">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21" w:name="_Toc99110709"/>
      <w:r w:rsidRPr="000122AC">
        <w:rPr>
          <w:rFonts w:ascii="Arial" w:eastAsia="Times New Roman" w:hAnsi="Arial" w:cs="Arial"/>
          <w:b/>
          <w:color w:val="9D2235"/>
          <w:sz w:val="28"/>
          <w:szCs w:val="28"/>
        </w:rPr>
        <w:t>Assessorament jurídic, secretaria d'òrgans col·legiats i altres</w:t>
      </w:r>
      <w:bookmarkEnd w:id="121"/>
    </w:p>
    <w:p w14:paraId="314FFBB4"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 xml:space="preserve">Correspon a la Direcció d'Assumptes Jurídics prestar </w:t>
      </w:r>
      <w:r w:rsidRPr="000122AC">
        <w:rPr>
          <w:rFonts w:ascii="Arial" w:hAnsi="Arial"/>
          <w:b/>
          <w:bCs/>
          <w:sz w:val="21"/>
          <w:szCs w:val="21"/>
        </w:rPr>
        <w:t>assessorament jurídic</w:t>
      </w:r>
      <w:r w:rsidRPr="000122AC">
        <w:rPr>
          <w:rFonts w:ascii="Arial" w:hAnsi="Arial"/>
          <w:sz w:val="21"/>
          <w:szCs w:val="21"/>
        </w:rPr>
        <w:t xml:space="preserve"> a la persona titular de la Direcció de l'Agència i a les diferents unitats administratives que la integren, estudiar i donar resposta a les consultes sobre aspectes legals de les  qüestions que es plantegen, així com emetre informes jurídics específics, preceptius, entre altres, els relatius a expedients de contractació i de tramitació de convenis, i no preceptius.</w:t>
      </w:r>
    </w:p>
    <w:p w14:paraId="6814C478"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 xml:space="preserve">Durant l'exercici 2021, respecte a l'emissió d'informes </w:t>
      </w:r>
      <w:r w:rsidRPr="000122AC">
        <w:rPr>
          <w:rFonts w:ascii="Arial" w:hAnsi="Arial"/>
          <w:b/>
          <w:bCs/>
          <w:sz w:val="21"/>
          <w:szCs w:val="21"/>
        </w:rPr>
        <w:t>de rellevància jurídica</w:t>
      </w:r>
      <w:r w:rsidRPr="000122AC">
        <w:rPr>
          <w:rFonts w:ascii="Arial" w:hAnsi="Arial"/>
          <w:sz w:val="21"/>
          <w:szCs w:val="21"/>
        </w:rPr>
        <w:t>, destaquen els relacionats amb la interpretació de l'article 12 del Reglament de les Corts Valencianes, publicats en la nostra pàgina web, en concret, en els assumptes següents:</w:t>
      </w:r>
    </w:p>
    <w:p w14:paraId="55FB8A70" w14:textId="77777777" w:rsidR="000122AC" w:rsidRPr="000122AC" w:rsidRDefault="00254AEC" w:rsidP="00C77562">
      <w:pPr>
        <w:numPr>
          <w:ilvl w:val="0"/>
          <w:numId w:val="61"/>
        </w:numPr>
        <w:spacing w:after="120" w:line="276" w:lineRule="auto"/>
        <w:ind w:left="714" w:hanging="357"/>
        <w:jc w:val="both"/>
        <w:rPr>
          <w:rFonts w:ascii="Arial" w:hAnsi="Arial"/>
          <w:sz w:val="21"/>
          <w:szCs w:val="21"/>
        </w:rPr>
      </w:pPr>
      <w:hyperlink r:id="rId367" w:history="1">
        <w:r w:rsidR="000122AC" w:rsidRPr="000122AC">
          <w:rPr>
            <w:rStyle w:val="Hipervnculo"/>
            <w:rFonts w:ascii="Arial" w:hAnsi="Arial"/>
            <w:sz w:val="21"/>
            <w:szCs w:val="21"/>
          </w:rPr>
          <w:t>Contestació a l'escrit de 21 de maig de 2021 del Síndic de Greuges, en relació amb la queixa núm. 2100376, de data 1 de juny de 2021</w:t>
        </w:r>
      </w:hyperlink>
      <w:r w:rsidR="000122AC" w:rsidRPr="000122AC">
        <w:rPr>
          <w:rFonts w:ascii="Arial" w:hAnsi="Arial"/>
          <w:sz w:val="21"/>
          <w:szCs w:val="21"/>
        </w:rPr>
        <w:t>.</w:t>
      </w:r>
    </w:p>
    <w:p w14:paraId="0A29AB82" w14:textId="77777777" w:rsidR="000122AC" w:rsidRPr="000122AC" w:rsidRDefault="00254AEC" w:rsidP="00C77562">
      <w:pPr>
        <w:numPr>
          <w:ilvl w:val="0"/>
          <w:numId w:val="61"/>
        </w:numPr>
        <w:spacing w:after="120" w:line="276" w:lineRule="auto"/>
        <w:ind w:left="714" w:hanging="357"/>
        <w:jc w:val="both"/>
        <w:rPr>
          <w:rFonts w:ascii="Arial" w:hAnsi="Arial"/>
          <w:sz w:val="21"/>
          <w:szCs w:val="21"/>
        </w:rPr>
      </w:pPr>
      <w:hyperlink r:id="rId368" w:history="1">
        <w:r w:rsidR="000122AC" w:rsidRPr="000122AC">
          <w:rPr>
            <w:rStyle w:val="Hipervnculo"/>
            <w:rFonts w:ascii="Arial" w:hAnsi="Arial"/>
            <w:sz w:val="21"/>
            <w:szCs w:val="21"/>
          </w:rPr>
          <w:t>Informe sobre la recomanació i consideracions manifestades pel Síndic de Greuges, en relació amb la queixa núm. 2100376, de data 30 d'abril de 2021.</w:t>
        </w:r>
      </w:hyperlink>
    </w:p>
    <w:p w14:paraId="11C4EB7E" w14:textId="77777777" w:rsidR="000122AC" w:rsidRPr="000122AC" w:rsidRDefault="00254AEC" w:rsidP="00C77562">
      <w:pPr>
        <w:numPr>
          <w:ilvl w:val="0"/>
          <w:numId w:val="61"/>
        </w:numPr>
        <w:spacing w:after="120" w:line="276" w:lineRule="auto"/>
        <w:ind w:left="714" w:hanging="357"/>
        <w:jc w:val="both"/>
        <w:rPr>
          <w:rFonts w:ascii="Arial" w:hAnsi="Arial"/>
          <w:sz w:val="21"/>
          <w:szCs w:val="21"/>
        </w:rPr>
      </w:pPr>
      <w:hyperlink r:id="rId369" w:history="1">
        <w:r w:rsidR="000122AC" w:rsidRPr="000122AC">
          <w:rPr>
            <w:rStyle w:val="Hipervnculo"/>
            <w:rFonts w:ascii="Arial" w:hAnsi="Arial"/>
            <w:sz w:val="21"/>
            <w:szCs w:val="21"/>
          </w:rPr>
          <w:t>Informe que emet la Direcció d'Assumptes Jurídics en relació amb l'informe de lletrat de les Corts de 26 de febrer de 2021 sobre les sol·licituds de documentació de l'article 12 del Reglament de les Corts, de data 22 de març de 2021</w:t>
        </w:r>
      </w:hyperlink>
      <w:r w:rsidR="000122AC" w:rsidRPr="000122AC">
        <w:rPr>
          <w:rFonts w:ascii="Arial" w:hAnsi="Arial"/>
          <w:sz w:val="21"/>
          <w:szCs w:val="21"/>
        </w:rPr>
        <w:t>.</w:t>
      </w:r>
    </w:p>
    <w:p w14:paraId="531BE6A4" w14:textId="77777777" w:rsidR="000122AC" w:rsidRPr="000122AC" w:rsidRDefault="00254AEC" w:rsidP="00C77562">
      <w:pPr>
        <w:numPr>
          <w:ilvl w:val="0"/>
          <w:numId w:val="61"/>
        </w:numPr>
        <w:spacing w:after="240" w:line="276" w:lineRule="auto"/>
        <w:jc w:val="both"/>
        <w:rPr>
          <w:rFonts w:ascii="Arial" w:hAnsi="Arial"/>
          <w:sz w:val="21"/>
          <w:szCs w:val="21"/>
        </w:rPr>
      </w:pPr>
      <w:hyperlink r:id="rId370" w:history="1">
        <w:r w:rsidR="000122AC" w:rsidRPr="000122AC">
          <w:rPr>
            <w:rStyle w:val="Hipervnculo"/>
            <w:rFonts w:ascii="Arial" w:hAnsi="Arial"/>
            <w:sz w:val="21"/>
            <w:szCs w:val="21"/>
          </w:rPr>
          <w:t>Informe dirigit al Síndic de Greuges en contestació a la queixa núm. 2100376, de data 2 de març de 2021</w:t>
        </w:r>
      </w:hyperlink>
      <w:r w:rsidR="000122AC" w:rsidRPr="000122AC">
        <w:rPr>
          <w:rFonts w:ascii="Arial" w:hAnsi="Arial"/>
          <w:sz w:val="21"/>
          <w:szCs w:val="21"/>
        </w:rPr>
        <w:t>.</w:t>
      </w:r>
    </w:p>
    <w:p w14:paraId="7AB2BCDE"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Quant a la matèria de personal, s'han emés els següents informes jurídics a sol·licitud de l'Àrea d'Administració, Recursos Humans i Gestió Econòmica:</w:t>
      </w:r>
    </w:p>
    <w:p w14:paraId="651C70A2" w14:textId="77777777" w:rsidR="000122AC" w:rsidRPr="000122AC" w:rsidRDefault="000122AC" w:rsidP="00C77562">
      <w:pPr>
        <w:numPr>
          <w:ilvl w:val="0"/>
          <w:numId w:val="60"/>
        </w:numPr>
        <w:spacing w:after="120" w:line="276" w:lineRule="auto"/>
        <w:ind w:left="714" w:hanging="357"/>
        <w:jc w:val="both"/>
        <w:rPr>
          <w:rFonts w:ascii="Arial" w:hAnsi="Arial"/>
          <w:sz w:val="21"/>
          <w:szCs w:val="21"/>
        </w:rPr>
      </w:pPr>
      <w:r w:rsidRPr="000122AC">
        <w:rPr>
          <w:rFonts w:ascii="Arial" w:hAnsi="Arial"/>
          <w:sz w:val="21"/>
          <w:szCs w:val="21"/>
        </w:rPr>
        <w:t xml:space="preserve">Informe de data 28 de juny de 2021, respecte dels documents traslladats per l'Àrea d'Administració, Recursos Humans i Gestió Econòmica relatius a les Bases generals per a la provisió dels llocs de treball de l'Agència, així com a la Proposada model de convocatòria del concurs específic a la qual s'adjunta les bases específiques d'aquesta. </w:t>
      </w:r>
    </w:p>
    <w:p w14:paraId="711C51C8" w14:textId="77777777" w:rsidR="000122AC" w:rsidRPr="000122AC" w:rsidRDefault="000122AC" w:rsidP="00C77562">
      <w:pPr>
        <w:numPr>
          <w:ilvl w:val="0"/>
          <w:numId w:val="60"/>
        </w:numPr>
        <w:spacing w:after="120" w:line="276" w:lineRule="auto"/>
        <w:ind w:left="714" w:hanging="357"/>
        <w:jc w:val="both"/>
        <w:rPr>
          <w:rFonts w:ascii="Arial" w:hAnsi="Arial"/>
          <w:sz w:val="21"/>
          <w:szCs w:val="21"/>
        </w:rPr>
      </w:pPr>
      <w:r w:rsidRPr="000122AC">
        <w:rPr>
          <w:rFonts w:ascii="Arial" w:hAnsi="Arial"/>
          <w:sz w:val="21"/>
          <w:szCs w:val="21"/>
        </w:rPr>
        <w:t>Informe de data 20 d'octubre de 2021, sobre la proposta model convocatòria de lloc de treball mitjançant concurs específic “Resolució del director de l'Agència de Prevenció i Lluita contra el Frau i la Corrupció de la Comunitat Valenciana, per la qual es convoca concurs específic per a la provisió del lloc de treball número 26 de la Relació de Llocs de Treball d'aquesta Agencia, amb la denominació de cap/a d'equip de gestió econòmica i contractació, obert a funcionaris/as de les administracions públiques”.</w:t>
      </w:r>
    </w:p>
    <w:p w14:paraId="0082DC05" w14:textId="77777777" w:rsidR="000122AC" w:rsidRPr="000122AC" w:rsidRDefault="000122AC" w:rsidP="00C77562">
      <w:pPr>
        <w:numPr>
          <w:ilvl w:val="0"/>
          <w:numId w:val="60"/>
        </w:numPr>
        <w:spacing w:after="240" w:line="276" w:lineRule="auto"/>
        <w:jc w:val="both"/>
        <w:rPr>
          <w:rFonts w:ascii="Arial" w:hAnsi="Arial"/>
          <w:sz w:val="21"/>
          <w:szCs w:val="21"/>
        </w:rPr>
      </w:pPr>
      <w:r w:rsidRPr="000122AC">
        <w:rPr>
          <w:rFonts w:ascii="Arial" w:hAnsi="Arial"/>
          <w:sz w:val="21"/>
          <w:szCs w:val="21"/>
        </w:rPr>
        <w:t xml:space="preserve">Informe de data 23 de novembre de 2021, en relació amb la “Proposta de resolució del director de l'Agència de Prevenció i Lluita contra el Frau i la Corrupció de la Comunitat Valenciana, per la qual es convoca concurs específic per a la provisió del lloc de treball número 23 de la relació de llocs de treball d'aquesta Agència, amb la denominació de Tècnic/a Superior de Gestió Administrativa, obert a funcionaris/as de les Administracions Públiques”. </w:t>
      </w:r>
    </w:p>
    <w:p w14:paraId="1631A6AC"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 xml:space="preserve">Així mateix, en compliment del Pla anual normatiu de l'Agència per a 2021, per la Direcció d'Assumptes Jurídics, es va elaborar i va tramitar l'expedient de modificació puntual del Reglament de funcionament i règim interior de 27 de juny de 2019 que, com s'ha indicat anteriorment, va donar lloc a l'aprovació de la </w:t>
      </w:r>
      <w:hyperlink r:id="rId371" w:history="1">
        <w:r w:rsidRPr="000122AC">
          <w:rPr>
            <w:rStyle w:val="Hipervnculo"/>
            <w:rFonts w:ascii="Arial" w:hAnsi="Arial"/>
            <w:sz w:val="21"/>
            <w:szCs w:val="21"/>
          </w:rPr>
          <w:t>Resolució núm. 917/2021, de 16 de desembre, del director de l'Agència, per la qual s'aprova una modificació puntual del Reglament de funcionament i règim interior referida a l'organització interna d'aquesta Agència</w:t>
        </w:r>
      </w:hyperlink>
      <w:r w:rsidRPr="000122AC">
        <w:rPr>
          <w:rFonts w:ascii="Arial" w:hAnsi="Arial"/>
          <w:sz w:val="21"/>
          <w:szCs w:val="21"/>
        </w:rPr>
        <w:t>, publicada en el DOGV núm. 9250, de 5 de gener 2022.</w:t>
      </w:r>
    </w:p>
    <w:p w14:paraId="1C54BDEC"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 xml:space="preserve">Per a finalitzar l'any, es va tramitar l'expedient que va donar lloc a l'aprovació de la </w:t>
      </w:r>
      <w:hyperlink r:id="rId372" w:history="1">
        <w:r w:rsidRPr="000122AC">
          <w:rPr>
            <w:rStyle w:val="Hipervnculo"/>
            <w:rFonts w:ascii="Arial" w:hAnsi="Arial"/>
            <w:sz w:val="21"/>
            <w:szCs w:val="21"/>
          </w:rPr>
          <w:t>Resolució núm. 1007/2021, de 30 de desembre, del director de l’AVAF, sobre el Pla anual normatiu de l'Agència per a l'any 2022</w:t>
        </w:r>
      </w:hyperlink>
      <w:r w:rsidRPr="000122AC">
        <w:rPr>
          <w:rFonts w:ascii="Arial" w:hAnsi="Arial"/>
          <w:sz w:val="21"/>
          <w:szCs w:val="21"/>
        </w:rPr>
        <w:t>, publicada en el nostre portal de transparència.</w:t>
      </w:r>
    </w:p>
    <w:p w14:paraId="7058ED52" w14:textId="77777777" w:rsidR="000122AC" w:rsidRPr="000122AC" w:rsidRDefault="000122AC" w:rsidP="000122AC">
      <w:pPr>
        <w:spacing w:after="240" w:line="276" w:lineRule="auto"/>
        <w:jc w:val="both"/>
        <w:rPr>
          <w:rFonts w:ascii="Arial" w:hAnsi="Arial"/>
          <w:b/>
          <w:bCs/>
          <w:sz w:val="21"/>
          <w:szCs w:val="21"/>
        </w:rPr>
      </w:pPr>
      <w:r w:rsidRPr="000122AC">
        <w:rPr>
          <w:rFonts w:ascii="Arial" w:hAnsi="Arial"/>
          <w:sz w:val="21"/>
          <w:szCs w:val="21"/>
        </w:rPr>
        <w:t xml:space="preserve">D'altra banda, en compliment d'una altra de les funcions que, de conformitat amb l'article 21.1.g) del </w:t>
      </w:r>
      <w:hyperlink r:id="rId373" w:history="1">
        <w:r w:rsidRPr="000122AC">
          <w:rPr>
            <w:rStyle w:val="Hipervnculo"/>
            <w:rFonts w:ascii="Arial" w:hAnsi="Arial"/>
            <w:sz w:val="21"/>
            <w:szCs w:val="21"/>
          </w:rPr>
          <w:t>Reglament de funcionament i règim interior de l'Agència</w:t>
        </w:r>
      </w:hyperlink>
      <w:r w:rsidRPr="000122AC">
        <w:rPr>
          <w:rFonts w:ascii="Arial" w:hAnsi="Arial"/>
          <w:sz w:val="21"/>
          <w:szCs w:val="21"/>
        </w:rPr>
        <w:t xml:space="preserve">, té atribuïda la Direcció d'Assumptes Jurídics, relativa a </w:t>
      </w:r>
      <w:r w:rsidRPr="000122AC">
        <w:rPr>
          <w:rFonts w:ascii="Arial" w:hAnsi="Arial"/>
          <w:b/>
          <w:bCs/>
          <w:sz w:val="21"/>
          <w:szCs w:val="21"/>
        </w:rPr>
        <w:t xml:space="preserve">funció certificadora de les actuacions generades per l'Agència, així com la de secretaria general, </w:t>
      </w:r>
      <w:r w:rsidRPr="000122AC">
        <w:rPr>
          <w:rFonts w:ascii="Arial" w:hAnsi="Arial"/>
          <w:sz w:val="21"/>
          <w:szCs w:val="21"/>
        </w:rPr>
        <w:t>s'han realitzat les actuacions que a continuació es relaten.</w:t>
      </w:r>
      <w:r w:rsidRPr="000122AC">
        <w:rPr>
          <w:rFonts w:ascii="Arial" w:hAnsi="Arial"/>
          <w:b/>
          <w:bCs/>
          <w:sz w:val="21"/>
          <w:szCs w:val="21"/>
        </w:rPr>
        <w:t xml:space="preserve"> </w:t>
      </w:r>
    </w:p>
    <w:p w14:paraId="1E954B9E"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 xml:space="preserve">En relació amb la funció de </w:t>
      </w:r>
      <w:r w:rsidRPr="000122AC">
        <w:rPr>
          <w:rFonts w:ascii="Arial" w:hAnsi="Arial"/>
          <w:b/>
          <w:bCs/>
          <w:sz w:val="21"/>
          <w:szCs w:val="21"/>
        </w:rPr>
        <w:t>secretaria de la Taula de Negociació de l'Agència</w:t>
      </w:r>
      <w:r w:rsidRPr="000122AC">
        <w:rPr>
          <w:rFonts w:ascii="Arial" w:hAnsi="Arial"/>
          <w:sz w:val="21"/>
          <w:szCs w:val="21"/>
        </w:rPr>
        <w:t>, integrada per representants de la pròpia Agència i de les organitzacions sindicals FeSP-UGT, CC.OO. i Stas-Intersindical Valenciana, cal subratllar que s'han mantingut durant 2021 diverses reunions a fi de tractar temes que són objecte de negociació col·lectiva, d'acord amb el que es disposa en l'article 37 del Reial decret legislatiu 5/2015, de 30 d'octubre, pel qual s'aprova el text refós de la Llei de l'Estatut Bàsic de l'Empleat públic, i l'article 188 de la Llei 4/2021, de 16 d'abril, de la Funció Pública Valenciana.</w:t>
      </w:r>
    </w:p>
    <w:p w14:paraId="6082A45E"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Així, la Taula de Negociació de l'Agència s'ha reunit en tres ocasions, concretament, en dates 21 de juliol, 29 de juliol i 14 d'octubre de 2021, respecte de les quals s'ha alçat la corresponent acta de la reunió.</w:t>
      </w:r>
    </w:p>
    <w:p w14:paraId="0D0D4531" w14:textId="2AB5B854"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 xml:space="preserve">En aquestes reunions, s'ha tractat la negociació de les  </w:t>
      </w:r>
      <w:hyperlink r:id="rId374" w:history="1">
        <w:r w:rsidRPr="000122AC">
          <w:rPr>
            <w:rStyle w:val="Hipervnculo"/>
            <w:rFonts w:ascii="Arial" w:hAnsi="Arial"/>
            <w:sz w:val="21"/>
            <w:szCs w:val="21"/>
          </w:rPr>
          <w:t>bases generals per a la provisió dels llocs de treball de l'Agència de Prevenció i Lluita contra el Frau i la Corrupció de la Comunitat Valenciana</w:t>
        </w:r>
      </w:hyperlink>
      <w:r w:rsidRPr="000122AC">
        <w:rPr>
          <w:rFonts w:ascii="Arial" w:hAnsi="Arial"/>
          <w:sz w:val="21"/>
          <w:szCs w:val="21"/>
        </w:rPr>
        <w:t xml:space="preserve">, el sistema de provisió de la qual és el concurs específic i barem de mèrits, aprovades mitjançant la Resolució núm. 565/2021, de 29 de juliol, del director de l'Agència i publicades en el </w:t>
      </w:r>
      <w:r w:rsidRPr="000122AC">
        <w:rPr>
          <w:rFonts w:ascii="Arial" w:hAnsi="Arial"/>
          <w:i/>
          <w:iCs/>
          <w:sz w:val="21"/>
          <w:szCs w:val="21"/>
        </w:rPr>
        <w:t xml:space="preserve">Diari Oficial de la Generalitat Valenciana  </w:t>
      </w:r>
      <w:r w:rsidRPr="000122AC">
        <w:rPr>
          <w:rFonts w:ascii="Arial" w:hAnsi="Arial"/>
          <w:sz w:val="21"/>
          <w:szCs w:val="21"/>
        </w:rPr>
        <w:t xml:space="preserve">núm. 9147, de 10.08.2021; la </w:t>
      </w:r>
      <w:hyperlink r:id="rId375" w:history="1">
        <w:r w:rsidRPr="000122AC">
          <w:rPr>
            <w:rStyle w:val="Hipervnculo"/>
            <w:rFonts w:ascii="Arial" w:hAnsi="Arial"/>
            <w:sz w:val="21"/>
            <w:szCs w:val="21"/>
          </w:rPr>
          <w:t>modificació puntual</w:t>
        </w:r>
      </w:hyperlink>
      <w:r w:rsidRPr="000122AC">
        <w:rPr>
          <w:rFonts w:ascii="Arial" w:hAnsi="Arial"/>
          <w:sz w:val="21"/>
          <w:szCs w:val="21"/>
        </w:rPr>
        <w:t xml:space="preserve"> de la seua</w:t>
      </w:r>
      <w:r w:rsidRPr="000122AC">
        <w:rPr>
          <w:rFonts w:ascii="Arial" w:hAnsi="Arial"/>
          <w:i/>
          <w:iCs/>
          <w:sz w:val="21"/>
          <w:szCs w:val="21"/>
        </w:rPr>
        <w:t xml:space="preserve"> base cinquena, Primera fase, b) Formació. 3. Coneixements de valencià</w:t>
      </w:r>
      <w:r w:rsidRPr="000122AC">
        <w:rPr>
          <w:rFonts w:ascii="Arial" w:hAnsi="Arial"/>
          <w:sz w:val="21"/>
          <w:szCs w:val="21"/>
        </w:rPr>
        <w:t xml:space="preserve">, que resolia un recurs de reposició interposat contra aquella i va ser aprovada per Resolució núm. 733/2021, de 20 d'octubre, del director de l'Agència, publicada en el </w:t>
      </w:r>
      <w:r w:rsidRPr="000122AC">
        <w:rPr>
          <w:rFonts w:ascii="Arial" w:hAnsi="Arial"/>
          <w:i/>
          <w:iCs/>
          <w:sz w:val="21"/>
          <w:szCs w:val="21"/>
        </w:rPr>
        <w:t xml:space="preserve">Diari Oficial de la Generalitat Valenciana </w:t>
      </w:r>
      <w:r w:rsidRPr="000122AC">
        <w:rPr>
          <w:rFonts w:ascii="Arial" w:hAnsi="Arial"/>
          <w:sz w:val="21"/>
          <w:szCs w:val="21"/>
        </w:rPr>
        <w:t>núm</w:t>
      </w:r>
      <w:r w:rsidR="00B97862">
        <w:rPr>
          <w:rFonts w:ascii="Arial" w:hAnsi="Arial"/>
          <w:sz w:val="21"/>
          <w:szCs w:val="21"/>
        </w:rPr>
        <w:t>.</w:t>
      </w:r>
      <w:r w:rsidRPr="000122AC">
        <w:rPr>
          <w:rFonts w:ascii="Arial" w:hAnsi="Arial"/>
          <w:sz w:val="21"/>
          <w:szCs w:val="21"/>
        </w:rPr>
        <w:t xml:space="preserve"> 9207, de 3.11.2021. També, en Taula de Negociació es va procedir a l'elevació i dació de comptes dels acords d'aprovació del Pla de Prevenció de Riscos Laborals i del Pla d'Emergències de l'Agència.</w:t>
      </w:r>
    </w:p>
    <w:p w14:paraId="72FE6EB6"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Igualment, s'ha participat en la Comissió de Seguiment i Avaluació de la carrera professional de l'Agència, a través de la que es dona compte als representants sindicals dels reconeixements individualitzats del desenvolupament professional aconseguit pel  personal funcionari de carrera que presta serveis en aquesta, el seu seguiment i els corresponents ascensos.</w:t>
      </w:r>
    </w:p>
    <w:p w14:paraId="22B7AE8A"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 xml:space="preserve">D'altra banda, en virtut del disposat en l'article 25.1 lletra f) del </w:t>
      </w:r>
      <w:hyperlink r:id="rId376" w:history="1">
        <w:r w:rsidRPr="000122AC">
          <w:rPr>
            <w:rStyle w:val="Hipervnculo"/>
            <w:rFonts w:ascii="Arial" w:hAnsi="Arial"/>
            <w:sz w:val="21"/>
            <w:szCs w:val="21"/>
          </w:rPr>
          <w:t>Reglament de funcionament i règim interior,</w:t>
        </w:r>
      </w:hyperlink>
      <w:r w:rsidRPr="000122AC">
        <w:rPr>
          <w:rFonts w:ascii="Arial" w:hAnsi="Arial"/>
          <w:sz w:val="21"/>
          <w:szCs w:val="21"/>
        </w:rPr>
        <w:t xml:space="preserve"> li correspon a la Direcció d'Assumptes Jurídics exercir la </w:t>
      </w:r>
      <w:r w:rsidRPr="000122AC">
        <w:rPr>
          <w:rFonts w:ascii="Arial" w:hAnsi="Arial"/>
          <w:b/>
          <w:bCs/>
          <w:sz w:val="21"/>
          <w:szCs w:val="21"/>
        </w:rPr>
        <w:t>secretaria del Consell de Participació de l'Agència,</w:t>
      </w:r>
      <w:r w:rsidRPr="000122AC">
        <w:rPr>
          <w:rFonts w:ascii="Arial" w:hAnsi="Arial"/>
          <w:sz w:val="21"/>
          <w:szCs w:val="21"/>
        </w:rPr>
        <w:t xml:space="preserve"> que actua com a òrgan assessor i de consulta de la mateixa i com a via per a la participació de la societat civil i de persones expertes, dins de l'àmbit de la prevenció i lluita contra el frau i la corrupció, la transparència en l'activitat pública i la qualitat democràtica, en llaures al millor compliment de les seues funcions i fins. La finalitat d'aquest Consell de Participació és impulsar la vinculació de l'Agència amb la societat civil i la ciutadania facilitant la seua comunicació i relació.</w:t>
      </w:r>
    </w:p>
    <w:p w14:paraId="1E48FFF4"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 xml:space="preserve">La </w:t>
      </w:r>
      <w:hyperlink r:id="rId377" w:history="1">
        <w:r w:rsidRPr="000122AC">
          <w:rPr>
            <w:rStyle w:val="Hipervnculo"/>
            <w:rFonts w:ascii="Arial" w:hAnsi="Arial"/>
            <w:sz w:val="21"/>
            <w:szCs w:val="21"/>
          </w:rPr>
          <w:t>Resolució de 15 d'octubre de 2019 determina la composició del Consell de Participació de l’AVAF</w:t>
        </w:r>
      </w:hyperlink>
      <w:r w:rsidRPr="000122AC">
        <w:rPr>
          <w:rFonts w:ascii="Arial" w:hAnsi="Arial"/>
          <w:sz w:val="21"/>
          <w:szCs w:val="21"/>
        </w:rPr>
        <w:t xml:space="preserve"> (DOGV núm. 8665, de 28.10.2019).</w:t>
      </w:r>
    </w:p>
    <w:p w14:paraId="26FC8D78" w14:textId="77777777" w:rsidR="000122AC" w:rsidRPr="000122AC" w:rsidRDefault="000122AC" w:rsidP="000122AC">
      <w:pPr>
        <w:spacing w:after="240" w:line="276" w:lineRule="auto"/>
        <w:jc w:val="both"/>
        <w:rPr>
          <w:rFonts w:ascii="Arial" w:hAnsi="Arial"/>
          <w:sz w:val="21"/>
          <w:szCs w:val="21"/>
        </w:rPr>
      </w:pPr>
      <w:r w:rsidRPr="000122AC">
        <w:rPr>
          <w:rFonts w:ascii="Arial" w:hAnsi="Arial"/>
          <w:sz w:val="21"/>
          <w:szCs w:val="21"/>
        </w:rPr>
        <w:t>Durant 2021 s'han celebrat de manera telemàtica, a causa de les condicions sanitàries, reunions plenàries del Consell de Participació els dies 28 d'abril, 5 de maig i 17 de novembre de 2021.</w:t>
      </w:r>
    </w:p>
    <w:p w14:paraId="30AF0B8A" w14:textId="77777777" w:rsidR="00887D1C" w:rsidRPr="00887D1C" w:rsidRDefault="00887D1C" w:rsidP="00887D1C">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22" w:name="_Toc99110710"/>
      <w:r w:rsidRPr="00696142">
        <w:rPr>
          <w:rFonts w:ascii="Arial" w:eastAsia="Times New Roman" w:hAnsi="Arial" w:cs="Arial"/>
          <w:b/>
          <w:color w:val="9D2235"/>
          <w:sz w:val="28"/>
          <w:szCs w:val="28"/>
        </w:rPr>
        <w:t>Convenis</w:t>
      </w:r>
      <w:r w:rsidRPr="00887D1C">
        <w:rPr>
          <w:rFonts w:ascii="Arial" w:eastAsia="Times New Roman" w:hAnsi="Arial" w:cs="Arial"/>
          <w:b/>
          <w:color w:val="9D2235"/>
          <w:sz w:val="28"/>
          <w:szCs w:val="28"/>
        </w:rPr>
        <w:t xml:space="preserve"> i altres col·laboracions</w:t>
      </w:r>
      <w:bookmarkEnd w:id="122"/>
    </w:p>
    <w:p w14:paraId="1774ED1A" w14:textId="77777777"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 xml:space="preserve">Així mateix, entre les funcions atribuïdes a la Direcció d'Assumptes Jurídics, que es troben enumerades en l'apartat 1 de l'article 21 del Reglament de funcionament i règim interior de l'Agència, la seua lletra h) es refereix a la tramitació dels convenis a subscriure per l'Agència, en col·laboració amb les propostes, l'impuls i el seguiment que realitzen les unitats administratives proponents en raó a les seues funcions. </w:t>
      </w:r>
    </w:p>
    <w:p w14:paraId="77D9390A" w14:textId="77777777" w:rsidR="00887D1C" w:rsidRPr="00887D1C" w:rsidRDefault="00887D1C" w:rsidP="00887D1C">
      <w:pPr>
        <w:spacing w:after="240" w:line="276" w:lineRule="auto"/>
        <w:jc w:val="both"/>
        <w:rPr>
          <w:rFonts w:ascii="Arial" w:hAnsi="Arial"/>
          <w:b/>
          <w:bCs/>
          <w:sz w:val="21"/>
          <w:szCs w:val="21"/>
        </w:rPr>
      </w:pPr>
      <w:r w:rsidRPr="00887D1C">
        <w:rPr>
          <w:rFonts w:ascii="Arial" w:hAnsi="Arial"/>
          <w:sz w:val="21"/>
          <w:szCs w:val="21"/>
        </w:rPr>
        <w:t xml:space="preserve">En desenvolupament d'aquesta tasca, es realitza la gestió del Registre de Convenis de l'Agència, en el qual conforme al que es disposa en l'article </w:t>
      </w:r>
      <w:hyperlink r:id="rId378" w:history="1">
        <w:r w:rsidRPr="00887D1C">
          <w:rPr>
            <w:rStyle w:val="Hipervnculo"/>
            <w:rFonts w:ascii="Arial" w:hAnsi="Arial"/>
            <w:sz w:val="21"/>
            <w:szCs w:val="21"/>
          </w:rPr>
          <w:t>87 del Reglament</w:t>
        </w:r>
      </w:hyperlink>
      <w:r w:rsidRPr="00887D1C">
        <w:rPr>
          <w:rFonts w:ascii="Arial" w:hAnsi="Arial"/>
          <w:b/>
          <w:bCs/>
          <w:sz w:val="21"/>
          <w:szCs w:val="21"/>
        </w:rPr>
        <w:t>,</w:t>
      </w:r>
      <w:r w:rsidRPr="00887D1C">
        <w:rPr>
          <w:rFonts w:ascii="Arial" w:hAnsi="Arial"/>
          <w:sz w:val="21"/>
          <w:szCs w:val="21"/>
        </w:rPr>
        <w:t xml:space="preserve"> s'inscriuen els convenis subscrits per aquesta, així com qualsevol incidència relativa a la seua interpretació, execució, modificació, pròrroga, suspensió i extinció. Per a afavorir la tramitació interna de convenis marc, convenis de col·laboració i protocols, es va aprovar la </w:t>
      </w:r>
      <w:hyperlink r:id="rId379" w:history="1">
        <w:r w:rsidRPr="00887D1C">
          <w:rPr>
            <w:rStyle w:val="Hipervnculo"/>
            <w:rFonts w:ascii="Arial" w:hAnsi="Arial"/>
            <w:sz w:val="21"/>
            <w:szCs w:val="21"/>
          </w:rPr>
          <w:t>Guia de tramitació de Convenis de l’AVAF.</w:t>
        </w:r>
      </w:hyperlink>
    </w:p>
    <w:p w14:paraId="170D3A8F" w14:textId="2E676753"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En el citat Registre de Convenis consten tots els signats per la persona titular de la Direcció de l'Agència, els quals a més estan publicats en la web</w:t>
      </w:r>
      <w:r w:rsidRPr="00887D1C">
        <w:rPr>
          <w:rFonts w:ascii="Arial" w:hAnsi="Arial"/>
          <w:b/>
          <w:bCs/>
          <w:sz w:val="21"/>
          <w:szCs w:val="21"/>
        </w:rPr>
        <w:t xml:space="preserve"> </w:t>
      </w:r>
      <w:hyperlink r:id="rId380" w:history="1">
        <w:r w:rsidR="00582301">
          <w:rPr>
            <w:rStyle w:val="Hipervnculo"/>
            <w:rFonts w:ascii="Arial" w:hAnsi="Arial"/>
            <w:sz w:val="21"/>
            <w:szCs w:val="21"/>
          </w:rPr>
          <w:t>https://www.antifraucv.es/va/informacio-de-rellevancia-juridica/</w:t>
        </w:r>
      </w:hyperlink>
    </w:p>
    <w:p w14:paraId="2D1331F3" w14:textId="77777777"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Els convenis subscrits per l’AVAF vigents a 31 de desembre de 2021 ascendeixen a un total de 16, i són els que figuren en la taula que es consigna a continuació.</w:t>
      </w:r>
    </w:p>
    <w:p w14:paraId="78DBEA7D" w14:textId="0184F74E" w:rsidR="00887D1C" w:rsidRPr="00887D1C" w:rsidRDefault="00887D1C" w:rsidP="00887D1C">
      <w:pPr>
        <w:pStyle w:val="Descripcin"/>
        <w:keepNext/>
        <w:rPr>
          <w:rFonts w:ascii="Arial" w:hAnsi="Arial" w:cs="Arial"/>
          <w:smallCaps w:val="0"/>
          <w:sz w:val="18"/>
          <w:szCs w:val="18"/>
        </w:rPr>
      </w:pPr>
      <w:bookmarkStart w:id="123" w:name="_Toc99110851"/>
      <w:r w:rsidRPr="00887D1C">
        <w:rPr>
          <w:rFonts w:ascii="Arial" w:hAnsi="Arial" w:cs="Arial"/>
          <w:smallCaps w:val="0"/>
          <w:color w:val="9D2235" w:themeColor="accent1"/>
          <w:sz w:val="18"/>
          <w:szCs w:val="18"/>
        </w:rPr>
        <w:t xml:space="preserve">Taula </w:t>
      </w:r>
      <w:r w:rsidRPr="00887D1C">
        <w:rPr>
          <w:rFonts w:ascii="Arial" w:hAnsi="Arial" w:cs="Arial"/>
          <w:smallCaps w:val="0"/>
          <w:color w:val="9D2235" w:themeColor="accent1"/>
          <w:sz w:val="18"/>
          <w:szCs w:val="18"/>
        </w:rPr>
        <w:fldChar w:fldCharType="begin" w:fldLock="1"/>
      </w:r>
      <w:r w:rsidRPr="00887D1C">
        <w:rPr>
          <w:rFonts w:ascii="Arial" w:hAnsi="Arial" w:cs="Arial"/>
          <w:smallCaps w:val="0"/>
          <w:color w:val="9D2235" w:themeColor="accent1"/>
          <w:sz w:val="18"/>
          <w:szCs w:val="18"/>
        </w:rPr>
        <w:instrText xml:space="preserve"> SEQ Taula \* ARABIC </w:instrText>
      </w:r>
      <w:r w:rsidRPr="00887D1C">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6</w:t>
      </w:r>
      <w:r w:rsidRPr="00887D1C">
        <w:rPr>
          <w:rFonts w:ascii="Arial" w:hAnsi="Arial" w:cs="Arial"/>
          <w:smallCaps w:val="0"/>
          <w:color w:val="9D2235" w:themeColor="accent1"/>
          <w:sz w:val="18"/>
          <w:szCs w:val="18"/>
        </w:rPr>
        <w:fldChar w:fldCharType="end"/>
      </w:r>
      <w:r w:rsidRPr="00887D1C">
        <w:rPr>
          <w:rFonts w:ascii="Arial" w:hAnsi="Arial" w:cs="Arial"/>
          <w:smallCaps w:val="0"/>
          <w:color w:val="9D2235" w:themeColor="accent1"/>
          <w:sz w:val="18"/>
          <w:szCs w:val="18"/>
        </w:rPr>
        <w:t xml:space="preserve">. </w:t>
      </w:r>
      <w:r w:rsidRPr="00887D1C">
        <w:rPr>
          <w:rFonts w:ascii="Arial" w:hAnsi="Arial" w:cs="Arial"/>
          <w:smallCaps w:val="0"/>
          <w:sz w:val="18"/>
          <w:szCs w:val="18"/>
        </w:rPr>
        <w:t>Convenis vigents a 31 de desembre de 2021</w:t>
      </w:r>
      <w:bookmarkEnd w:id="123"/>
    </w:p>
    <w:tbl>
      <w:tblPr>
        <w:tblStyle w:val="Tablanormal21"/>
        <w:tblW w:w="0" w:type="auto"/>
        <w:tblBorders>
          <w:top w:val="none" w:sz="0" w:space="0" w:color="auto"/>
          <w:insideH w:val="single" w:sz="4" w:space="0" w:color="7F7F7F"/>
        </w:tblBorders>
        <w:tblLook w:val="04A0" w:firstRow="1" w:lastRow="0" w:firstColumn="1" w:lastColumn="0" w:noHBand="0" w:noVBand="1"/>
      </w:tblPr>
      <w:tblGrid>
        <w:gridCol w:w="702"/>
        <w:gridCol w:w="1240"/>
        <w:gridCol w:w="907"/>
        <w:gridCol w:w="2521"/>
        <w:gridCol w:w="1060"/>
        <w:gridCol w:w="1211"/>
        <w:gridCol w:w="863"/>
      </w:tblGrid>
      <w:tr w:rsidR="00887D1C" w:rsidRPr="00887D1C" w14:paraId="65ADB6B8" w14:textId="77777777" w:rsidTr="00115DB4">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12" w:space="0" w:color="9D2235"/>
            </w:tcBorders>
            <w:shd w:val="clear" w:color="auto" w:fill="auto"/>
            <w:hideMark/>
          </w:tcPr>
          <w:p w14:paraId="12B1B62D" w14:textId="77777777" w:rsidR="00887D1C" w:rsidRPr="00887D1C" w:rsidRDefault="00887D1C" w:rsidP="00887D1C">
            <w:pPr>
              <w:suppressAutoHyphens/>
              <w:spacing w:after="120"/>
              <w:jc w:val="center"/>
              <w:rPr>
                <w:rFonts w:ascii="Liberation Sans1" w:hAnsi="Liberation Sans1" w:cs="Times New Roman" w:hint="eastAsia"/>
                <w:color w:val="9D2235"/>
                <w:kern w:val="2"/>
                <w:sz w:val="12"/>
                <w:szCs w:val="12"/>
              </w:rPr>
            </w:pPr>
            <w:r w:rsidRPr="00887D1C">
              <w:rPr>
                <w:rFonts w:ascii="Arial" w:hAnsi="Arial" w:cs="Lucida Sans"/>
                <w:color w:val="9D2235"/>
                <w:kern w:val="2"/>
                <w:sz w:val="12"/>
                <w:szCs w:val="12"/>
              </w:rPr>
              <w:t>Núm. Reg/any</w:t>
            </w:r>
          </w:p>
        </w:tc>
        <w:tc>
          <w:tcPr>
            <w:tcW w:w="0" w:type="auto"/>
            <w:tcBorders>
              <w:top w:val="nil"/>
              <w:bottom w:val="single" w:sz="12" w:space="0" w:color="9D2235"/>
            </w:tcBorders>
            <w:shd w:val="clear" w:color="auto" w:fill="auto"/>
            <w:hideMark/>
          </w:tcPr>
          <w:p w14:paraId="46A68974" w14:textId="77777777" w:rsidR="00887D1C" w:rsidRPr="00230E98" w:rsidRDefault="00887D1C" w:rsidP="00887D1C">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230E98">
              <w:rPr>
                <w:rFonts w:ascii="Arial" w:hAnsi="Arial" w:cs="Lucida Sans"/>
                <w:color w:val="9D2235"/>
                <w:kern w:val="2"/>
                <w:sz w:val="12"/>
                <w:szCs w:val="12"/>
              </w:rPr>
              <w:t>Títol</w:t>
            </w:r>
          </w:p>
        </w:tc>
        <w:tc>
          <w:tcPr>
            <w:tcW w:w="0" w:type="auto"/>
            <w:tcBorders>
              <w:top w:val="nil"/>
              <w:bottom w:val="single" w:sz="12" w:space="0" w:color="9D2235"/>
            </w:tcBorders>
            <w:shd w:val="clear" w:color="auto" w:fill="auto"/>
            <w:hideMark/>
          </w:tcPr>
          <w:p w14:paraId="7DF40E50" w14:textId="77777777" w:rsidR="00887D1C" w:rsidRPr="00887D1C" w:rsidRDefault="00887D1C" w:rsidP="00887D1C">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887D1C">
              <w:rPr>
                <w:rFonts w:ascii="Arial" w:hAnsi="Arial" w:cs="Lucida Sans"/>
                <w:color w:val="9D2235"/>
                <w:kern w:val="2"/>
                <w:sz w:val="12"/>
                <w:szCs w:val="12"/>
              </w:rPr>
              <w:t>Data subscripció</w:t>
            </w:r>
          </w:p>
        </w:tc>
        <w:tc>
          <w:tcPr>
            <w:tcW w:w="0" w:type="auto"/>
            <w:tcBorders>
              <w:top w:val="nil"/>
              <w:bottom w:val="single" w:sz="12" w:space="0" w:color="9D2235"/>
            </w:tcBorders>
            <w:shd w:val="clear" w:color="auto" w:fill="auto"/>
            <w:hideMark/>
          </w:tcPr>
          <w:p w14:paraId="16D617D7" w14:textId="77777777" w:rsidR="00887D1C" w:rsidRPr="00887D1C" w:rsidRDefault="00887D1C" w:rsidP="00887D1C">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887D1C">
              <w:rPr>
                <w:rFonts w:ascii="Arial" w:hAnsi="Arial" w:cs="Lucida Sans"/>
                <w:color w:val="9D2235"/>
                <w:kern w:val="2"/>
                <w:sz w:val="12"/>
                <w:szCs w:val="12"/>
              </w:rPr>
              <w:t>Objecte conveni</w:t>
            </w:r>
          </w:p>
        </w:tc>
        <w:tc>
          <w:tcPr>
            <w:tcW w:w="0" w:type="auto"/>
            <w:tcBorders>
              <w:top w:val="nil"/>
              <w:bottom w:val="single" w:sz="12" w:space="0" w:color="9D2235"/>
            </w:tcBorders>
            <w:shd w:val="clear" w:color="auto" w:fill="auto"/>
            <w:hideMark/>
          </w:tcPr>
          <w:p w14:paraId="2E5D417D" w14:textId="77777777" w:rsidR="00887D1C" w:rsidRPr="00887D1C" w:rsidRDefault="00887D1C" w:rsidP="00887D1C">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887D1C">
              <w:rPr>
                <w:rFonts w:ascii="Arial" w:hAnsi="Arial" w:cs="Lucida Sans"/>
                <w:color w:val="9D2235"/>
                <w:kern w:val="2"/>
                <w:sz w:val="12"/>
                <w:szCs w:val="12"/>
              </w:rPr>
              <w:t>Finançament</w:t>
            </w:r>
          </w:p>
        </w:tc>
        <w:tc>
          <w:tcPr>
            <w:tcW w:w="0" w:type="auto"/>
            <w:tcBorders>
              <w:top w:val="nil"/>
              <w:bottom w:val="single" w:sz="12" w:space="0" w:color="9D2235"/>
            </w:tcBorders>
            <w:shd w:val="clear" w:color="auto" w:fill="auto"/>
            <w:hideMark/>
          </w:tcPr>
          <w:p w14:paraId="4AA61C98" w14:textId="77777777" w:rsidR="00887D1C" w:rsidRPr="00887D1C" w:rsidRDefault="00887D1C" w:rsidP="00887D1C">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887D1C">
              <w:rPr>
                <w:rFonts w:ascii="Arial" w:hAnsi="Arial" w:cs="Lucida Sans"/>
                <w:color w:val="9D2235"/>
                <w:kern w:val="2"/>
                <w:sz w:val="12"/>
                <w:szCs w:val="12"/>
              </w:rPr>
              <w:t>Termini i tipus vigència</w:t>
            </w:r>
          </w:p>
        </w:tc>
        <w:tc>
          <w:tcPr>
            <w:tcW w:w="0" w:type="auto"/>
            <w:tcBorders>
              <w:top w:val="nil"/>
              <w:bottom w:val="single" w:sz="12" w:space="0" w:color="9D2235"/>
            </w:tcBorders>
            <w:shd w:val="clear" w:color="auto" w:fill="auto"/>
            <w:hideMark/>
          </w:tcPr>
          <w:p w14:paraId="61A3D84C" w14:textId="77777777" w:rsidR="00887D1C" w:rsidRPr="00887D1C" w:rsidRDefault="00887D1C" w:rsidP="00887D1C">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887D1C">
              <w:rPr>
                <w:rFonts w:ascii="Arial" w:hAnsi="Arial" w:cs="Lucida Sans"/>
                <w:color w:val="9D2235"/>
                <w:kern w:val="2"/>
                <w:sz w:val="12"/>
                <w:szCs w:val="12"/>
              </w:rPr>
              <w:t>Estat de vigència</w:t>
            </w:r>
          </w:p>
        </w:tc>
      </w:tr>
      <w:tr w:rsidR="00887D1C" w:rsidRPr="00887D1C" w14:paraId="11892C51" w14:textId="77777777" w:rsidTr="00115DB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9D2235"/>
              <w:bottom w:val="nil"/>
            </w:tcBorders>
            <w:hideMark/>
          </w:tcPr>
          <w:p w14:paraId="5447AC40"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1/2018</w:t>
            </w:r>
          </w:p>
        </w:tc>
        <w:tc>
          <w:tcPr>
            <w:tcW w:w="0" w:type="auto"/>
            <w:tcBorders>
              <w:top w:val="single" w:sz="12" w:space="0" w:color="9D2235"/>
              <w:bottom w:val="nil"/>
            </w:tcBorders>
            <w:hideMark/>
          </w:tcPr>
          <w:p w14:paraId="5CA7F34F" w14:textId="77777777" w:rsidR="00887D1C" w:rsidRPr="00230E98" w:rsidRDefault="00254AE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81" w:history="1">
              <w:r w:rsidR="00887D1C" w:rsidRPr="00230E98">
                <w:rPr>
                  <w:rFonts w:ascii="Arial" w:hAnsi="Arial" w:cs="Lucida Sans"/>
                  <w:color w:val="0000FF"/>
                  <w:kern w:val="2"/>
                  <w:sz w:val="12"/>
                  <w:szCs w:val="12"/>
                  <w:u w:val="single"/>
                </w:rPr>
                <w:t>Conveni marc entre l'Oficina Antifrau de Catalunya i l’AVAF</w:t>
              </w:r>
            </w:hyperlink>
          </w:p>
        </w:tc>
        <w:tc>
          <w:tcPr>
            <w:tcW w:w="0" w:type="auto"/>
            <w:tcBorders>
              <w:top w:val="single" w:sz="12" w:space="0" w:color="9D2235"/>
              <w:bottom w:val="nil"/>
            </w:tcBorders>
            <w:hideMark/>
          </w:tcPr>
          <w:p w14:paraId="322DF24B"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21/03/2018</w:t>
            </w:r>
          </w:p>
        </w:tc>
        <w:tc>
          <w:tcPr>
            <w:tcW w:w="0" w:type="auto"/>
            <w:tcBorders>
              <w:top w:val="single" w:sz="12" w:space="0" w:color="9D2235"/>
              <w:bottom w:val="nil"/>
            </w:tcBorders>
            <w:hideMark/>
          </w:tcPr>
          <w:p w14:paraId="27B503DC"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Establir un marc estable de comunicació i col·laboració entre la OAC i l’AVAF que permeta aconseguir un conjunt d'objectius d'interés comú</w:t>
            </w:r>
          </w:p>
        </w:tc>
        <w:tc>
          <w:tcPr>
            <w:tcW w:w="0" w:type="auto"/>
            <w:tcBorders>
              <w:top w:val="single" w:sz="12" w:space="0" w:color="9D2235"/>
              <w:bottom w:val="nil"/>
            </w:tcBorders>
            <w:hideMark/>
          </w:tcPr>
          <w:p w14:paraId="6661D5E0"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single" w:sz="12" w:space="0" w:color="9D2235"/>
              <w:bottom w:val="nil"/>
            </w:tcBorders>
            <w:hideMark/>
          </w:tcPr>
          <w:p w14:paraId="5256F31A"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single" w:sz="12" w:space="0" w:color="9D2235"/>
              <w:bottom w:val="nil"/>
            </w:tcBorders>
            <w:hideMark/>
          </w:tcPr>
          <w:p w14:paraId="6CB90888"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highlight w:val="cyan"/>
              </w:rPr>
            </w:pPr>
            <w:r w:rsidRPr="00887D1C">
              <w:rPr>
                <w:rFonts w:ascii="Arial" w:hAnsi="Arial" w:cs="Lucida Sans"/>
                <w:kern w:val="2"/>
                <w:sz w:val="12"/>
                <w:szCs w:val="12"/>
              </w:rPr>
              <w:t>Vigent fins a 21/03/2022</w:t>
            </w:r>
          </w:p>
        </w:tc>
      </w:tr>
      <w:tr w:rsidR="00887D1C" w:rsidRPr="00887D1C" w14:paraId="177A6BE6" w14:textId="77777777" w:rsidTr="00115DB4">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5675C9E9"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2/2018</w:t>
            </w:r>
          </w:p>
        </w:tc>
        <w:tc>
          <w:tcPr>
            <w:tcW w:w="0" w:type="auto"/>
            <w:tcBorders>
              <w:top w:val="nil"/>
              <w:bottom w:val="nil"/>
            </w:tcBorders>
            <w:shd w:val="clear" w:color="auto" w:fill="F2F2F2"/>
            <w:hideMark/>
          </w:tcPr>
          <w:p w14:paraId="7FCFC91B" w14:textId="77777777" w:rsidR="00887D1C" w:rsidRPr="00230E98" w:rsidRDefault="00254AE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82" w:history="1">
              <w:r w:rsidR="00887D1C" w:rsidRPr="00230E98">
                <w:rPr>
                  <w:rFonts w:ascii="Arial" w:hAnsi="Arial" w:cs="Lucida Sans"/>
                  <w:color w:val="0000FF"/>
                  <w:kern w:val="2"/>
                  <w:sz w:val="12"/>
                  <w:szCs w:val="12"/>
                  <w:u w:val="single"/>
                </w:rPr>
                <w:t>Conveni marc entre l'Ajuntament de Barcelona i l’AVAF</w:t>
              </w:r>
            </w:hyperlink>
          </w:p>
        </w:tc>
        <w:tc>
          <w:tcPr>
            <w:tcW w:w="0" w:type="auto"/>
            <w:tcBorders>
              <w:top w:val="nil"/>
              <w:bottom w:val="nil"/>
            </w:tcBorders>
            <w:shd w:val="clear" w:color="auto" w:fill="F2F2F2"/>
            <w:hideMark/>
          </w:tcPr>
          <w:p w14:paraId="61630C5D"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21/09/2018</w:t>
            </w:r>
          </w:p>
        </w:tc>
        <w:tc>
          <w:tcPr>
            <w:tcW w:w="0" w:type="auto"/>
            <w:tcBorders>
              <w:top w:val="nil"/>
              <w:bottom w:val="nil"/>
            </w:tcBorders>
            <w:shd w:val="clear" w:color="auto" w:fill="F2F2F2"/>
            <w:hideMark/>
          </w:tcPr>
          <w:p w14:paraId="2FDE39DB"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Establir un marc estable de comunicació entre les parts, que permeta el compliment dels objectius respectius i l'eficiència en la utilització dels recursos públics, i millorar el servei que es presta a la ciutadania.</w:t>
            </w:r>
          </w:p>
        </w:tc>
        <w:tc>
          <w:tcPr>
            <w:tcW w:w="0" w:type="auto"/>
            <w:tcBorders>
              <w:top w:val="nil"/>
              <w:bottom w:val="nil"/>
            </w:tcBorders>
            <w:shd w:val="clear" w:color="auto" w:fill="F2F2F2"/>
            <w:hideMark/>
          </w:tcPr>
          <w:p w14:paraId="7B5E59E0"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shd w:val="clear" w:color="auto" w:fill="F2F2F2"/>
            <w:hideMark/>
          </w:tcPr>
          <w:p w14:paraId="6DAAE5FA"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shd w:val="clear" w:color="auto" w:fill="F2F2F2"/>
            <w:hideMark/>
          </w:tcPr>
          <w:p w14:paraId="50458E8C"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21/09/2022</w:t>
            </w:r>
          </w:p>
        </w:tc>
      </w:tr>
      <w:tr w:rsidR="00887D1C" w:rsidRPr="00887D1C" w14:paraId="38ADDDBB" w14:textId="77777777" w:rsidTr="00115DB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4E8A24A1"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3/2018</w:t>
            </w:r>
          </w:p>
        </w:tc>
        <w:tc>
          <w:tcPr>
            <w:tcW w:w="0" w:type="auto"/>
            <w:tcBorders>
              <w:top w:val="nil"/>
              <w:bottom w:val="nil"/>
            </w:tcBorders>
            <w:hideMark/>
          </w:tcPr>
          <w:p w14:paraId="24AC18AB" w14:textId="77777777" w:rsidR="00887D1C" w:rsidRPr="00230E98" w:rsidRDefault="00254AE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83" w:history="1">
              <w:r w:rsidR="00887D1C" w:rsidRPr="00230E98">
                <w:rPr>
                  <w:rFonts w:ascii="Arial" w:hAnsi="Arial" w:cs="Lucida Sans"/>
                  <w:color w:val="0000FF"/>
                  <w:kern w:val="2"/>
                  <w:sz w:val="12"/>
                  <w:szCs w:val="12"/>
                  <w:u w:val="single"/>
                </w:rPr>
                <w:t>Conveni marc entre l’AVAF i l'Oficina de Prevenció i Lluita contra la Corrupció dels Illes Balears</w:t>
              </w:r>
            </w:hyperlink>
          </w:p>
        </w:tc>
        <w:tc>
          <w:tcPr>
            <w:tcW w:w="0" w:type="auto"/>
            <w:tcBorders>
              <w:top w:val="nil"/>
              <w:bottom w:val="nil"/>
            </w:tcBorders>
            <w:hideMark/>
          </w:tcPr>
          <w:p w14:paraId="793B2C56"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29/06/2018</w:t>
            </w:r>
          </w:p>
        </w:tc>
        <w:tc>
          <w:tcPr>
            <w:tcW w:w="0" w:type="auto"/>
            <w:tcBorders>
              <w:top w:val="nil"/>
              <w:bottom w:val="nil"/>
            </w:tcBorders>
            <w:hideMark/>
          </w:tcPr>
          <w:p w14:paraId="6E20E5BC"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Establir un marc estable de comunicació i col·laboració entre l’AVAF i l'Oficina de Prevenció i Lluita contra la Corrupció dels Illes Balears</w:t>
            </w:r>
          </w:p>
        </w:tc>
        <w:tc>
          <w:tcPr>
            <w:tcW w:w="0" w:type="auto"/>
            <w:tcBorders>
              <w:top w:val="nil"/>
              <w:bottom w:val="nil"/>
            </w:tcBorders>
            <w:hideMark/>
          </w:tcPr>
          <w:p w14:paraId="7F1A5F4B"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hideMark/>
          </w:tcPr>
          <w:p w14:paraId="31C6C625"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hideMark/>
          </w:tcPr>
          <w:p w14:paraId="31AC43B2"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29/06/2022</w:t>
            </w:r>
          </w:p>
        </w:tc>
      </w:tr>
      <w:tr w:rsidR="00887D1C" w:rsidRPr="00887D1C" w14:paraId="17EB0D80" w14:textId="77777777" w:rsidTr="00115DB4">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01200F27"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1/2019</w:t>
            </w:r>
          </w:p>
        </w:tc>
        <w:tc>
          <w:tcPr>
            <w:tcW w:w="0" w:type="auto"/>
            <w:tcBorders>
              <w:top w:val="nil"/>
              <w:bottom w:val="nil"/>
            </w:tcBorders>
            <w:shd w:val="clear" w:color="auto" w:fill="F2F2F2"/>
            <w:hideMark/>
          </w:tcPr>
          <w:p w14:paraId="45F1F1D5" w14:textId="24379C91" w:rsidR="00887D1C" w:rsidRPr="00230E98" w:rsidRDefault="00254AE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84" w:anchor="boc/iniciativa/clau/189773343928292" w:history="1">
              <w:r w:rsidR="00887D1C" w:rsidRPr="00230E98">
                <w:rPr>
                  <w:rFonts w:ascii="Arial" w:hAnsi="Arial" w:cs="Lucida Sans"/>
                  <w:color w:val="0000FF"/>
                  <w:kern w:val="2"/>
                  <w:sz w:val="12"/>
                  <w:szCs w:val="12"/>
                  <w:u w:val="single"/>
                </w:rPr>
                <w:t>Conveni marc entre l’AVAF i l'Associació Tactical Whistleblower</w:t>
              </w:r>
            </w:hyperlink>
            <w:r w:rsidR="00887D1C" w:rsidRPr="00230E98">
              <w:rPr>
                <w:rFonts w:ascii="Arial" w:hAnsi="Arial" w:cs="Lucida Sans"/>
                <w:kern w:val="2"/>
                <w:sz w:val="12"/>
                <w:szCs w:val="12"/>
              </w:rPr>
              <w:t xml:space="preserve"> </w:t>
            </w:r>
          </w:p>
        </w:tc>
        <w:tc>
          <w:tcPr>
            <w:tcW w:w="0" w:type="auto"/>
            <w:tcBorders>
              <w:top w:val="nil"/>
              <w:bottom w:val="nil"/>
            </w:tcBorders>
            <w:shd w:val="clear" w:color="auto" w:fill="F2F2F2"/>
            <w:hideMark/>
          </w:tcPr>
          <w:p w14:paraId="6DD747BA"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09/07/2019</w:t>
            </w:r>
          </w:p>
        </w:tc>
        <w:tc>
          <w:tcPr>
            <w:tcW w:w="0" w:type="auto"/>
            <w:tcBorders>
              <w:top w:val="nil"/>
              <w:bottom w:val="nil"/>
            </w:tcBorders>
            <w:shd w:val="clear" w:color="auto" w:fill="F2F2F2"/>
            <w:hideMark/>
          </w:tcPr>
          <w:p w14:paraId="76E79D95"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color w:val="00000A"/>
                <w:kern w:val="2"/>
                <w:sz w:val="12"/>
                <w:szCs w:val="12"/>
              </w:rPr>
              <w:t>Establir un canal permanent de comunicació i col·laboració per a millorar l'eficàcia en el compliment dels objectius d'interés comú.</w:t>
            </w:r>
          </w:p>
        </w:tc>
        <w:tc>
          <w:tcPr>
            <w:tcW w:w="0" w:type="auto"/>
            <w:tcBorders>
              <w:top w:val="nil"/>
              <w:bottom w:val="nil"/>
            </w:tcBorders>
            <w:shd w:val="clear" w:color="auto" w:fill="F2F2F2"/>
            <w:hideMark/>
          </w:tcPr>
          <w:p w14:paraId="2E955670"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shd w:val="clear" w:color="auto" w:fill="F2F2F2"/>
            <w:hideMark/>
          </w:tcPr>
          <w:p w14:paraId="3221E386"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shd w:val="clear" w:color="auto" w:fill="F2F2F2"/>
            <w:hideMark/>
          </w:tcPr>
          <w:p w14:paraId="5922678A"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09/07/2023</w:t>
            </w:r>
          </w:p>
        </w:tc>
      </w:tr>
      <w:tr w:rsidR="00887D1C" w:rsidRPr="00887D1C" w14:paraId="05D66F75" w14:textId="77777777" w:rsidTr="00115DB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2F719E59"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2/2019</w:t>
            </w:r>
          </w:p>
        </w:tc>
        <w:tc>
          <w:tcPr>
            <w:tcW w:w="0" w:type="auto"/>
            <w:tcBorders>
              <w:top w:val="nil"/>
              <w:bottom w:val="nil"/>
            </w:tcBorders>
            <w:hideMark/>
          </w:tcPr>
          <w:p w14:paraId="34D494AC" w14:textId="02A08180" w:rsidR="00887D1C" w:rsidRPr="00230E98" w:rsidRDefault="00254AE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85" w:anchor="boc/iniciativa/clau/189925353066762" w:history="1">
              <w:r w:rsidR="00887D1C" w:rsidRPr="00230E98">
                <w:rPr>
                  <w:rFonts w:ascii="Arial" w:hAnsi="Arial" w:cs="Lucida Sans"/>
                  <w:color w:val="0000FF"/>
                  <w:kern w:val="2"/>
                  <w:sz w:val="12"/>
                  <w:szCs w:val="12"/>
                  <w:u w:val="single"/>
                </w:rPr>
                <w:t>Conveni marc de col·laboració entre la Universitat de València  i l’AVAF</w:t>
              </w:r>
            </w:hyperlink>
          </w:p>
        </w:tc>
        <w:tc>
          <w:tcPr>
            <w:tcW w:w="0" w:type="auto"/>
            <w:tcBorders>
              <w:top w:val="nil"/>
              <w:bottom w:val="nil"/>
            </w:tcBorders>
            <w:hideMark/>
          </w:tcPr>
          <w:p w14:paraId="5A586A3E"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14/10/2019</w:t>
            </w:r>
          </w:p>
        </w:tc>
        <w:tc>
          <w:tcPr>
            <w:tcW w:w="0" w:type="auto"/>
            <w:tcBorders>
              <w:top w:val="nil"/>
              <w:bottom w:val="nil"/>
            </w:tcBorders>
            <w:hideMark/>
          </w:tcPr>
          <w:p w14:paraId="0CF0AB9C"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Establiment d'un marc d'actuació per a la col·laboració en activitats de formació de personal, d'investigació aplicada, i de visibilitat a través dels vicerectorats competents.</w:t>
            </w:r>
          </w:p>
        </w:tc>
        <w:tc>
          <w:tcPr>
            <w:tcW w:w="0" w:type="auto"/>
            <w:tcBorders>
              <w:top w:val="nil"/>
              <w:bottom w:val="nil"/>
            </w:tcBorders>
            <w:hideMark/>
          </w:tcPr>
          <w:p w14:paraId="07F44668"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hideMark/>
          </w:tcPr>
          <w:p w14:paraId="413DC93D"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hideMark/>
          </w:tcPr>
          <w:p w14:paraId="7A5E119B"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14/10/2023</w:t>
            </w:r>
          </w:p>
        </w:tc>
      </w:tr>
      <w:tr w:rsidR="00887D1C" w:rsidRPr="00887D1C" w14:paraId="3C4A394E" w14:textId="77777777" w:rsidTr="00115DB4">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F2F2F2"/>
            <w:hideMark/>
          </w:tcPr>
          <w:p w14:paraId="0E7E90A2"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1/2020</w:t>
            </w:r>
          </w:p>
        </w:tc>
        <w:tc>
          <w:tcPr>
            <w:tcW w:w="0" w:type="auto"/>
            <w:tcBorders>
              <w:top w:val="nil"/>
              <w:bottom w:val="nil"/>
            </w:tcBorders>
            <w:shd w:val="clear" w:color="auto" w:fill="F2F2F2"/>
            <w:hideMark/>
          </w:tcPr>
          <w:p w14:paraId="287F4203" w14:textId="48AD976F" w:rsidR="00887D1C" w:rsidRPr="00230E98" w:rsidRDefault="00254AE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86" w:anchor="boc/iniciativa/clau/190130337997352" w:history="1">
              <w:r w:rsidR="00887D1C" w:rsidRPr="00230E98">
                <w:rPr>
                  <w:rFonts w:ascii="Arial" w:hAnsi="Arial" w:cs="Lucida Sans"/>
                  <w:color w:val="0000FF"/>
                  <w:kern w:val="2"/>
                  <w:sz w:val="12"/>
                  <w:szCs w:val="12"/>
                  <w:u w:val="single"/>
                </w:rPr>
                <w:t>Conveni marc de col·laboració entre la Universitat CEU Cardenal Herrera i l’AVAF</w:t>
              </w:r>
            </w:hyperlink>
          </w:p>
        </w:tc>
        <w:tc>
          <w:tcPr>
            <w:tcW w:w="0" w:type="auto"/>
            <w:tcBorders>
              <w:top w:val="nil"/>
              <w:bottom w:val="nil"/>
            </w:tcBorders>
            <w:shd w:val="clear" w:color="auto" w:fill="F2F2F2"/>
            <w:hideMark/>
          </w:tcPr>
          <w:p w14:paraId="3514388B"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11/03/2020</w:t>
            </w:r>
          </w:p>
        </w:tc>
        <w:tc>
          <w:tcPr>
            <w:tcW w:w="0" w:type="auto"/>
            <w:tcBorders>
              <w:top w:val="nil"/>
              <w:bottom w:val="nil"/>
            </w:tcBorders>
            <w:shd w:val="clear" w:color="auto" w:fill="F2F2F2"/>
            <w:hideMark/>
          </w:tcPr>
          <w:p w14:paraId="63CA02F6"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 xml:space="preserve">Fixar el marc de col·laboració cultural, educativa i científica, així com d'assistència mútua </w:t>
            </w:r>
          </w:p>
        </w:tc>
        <w:tc>
          <w:tcPr>
            <w:tcW w:w="0" w:type="auto"/>
            <w:tcBorders>
              <w:top w:val="nil"/>
              <w:bottom w:val="nil"/>
            </w:tcBorders>
            <w:shd w:val="clear" w:color="auto" w:fill="F2F2F2"/>
            <w:hideMark/>
          </w:tcPr>
          <w:p w14:paraId="57E088BC"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shd w:val="clear" w:color="auto" w:fill="F2F2F2"/>
            <w:hideMark/>
          </w:tcPr>
          <w:p w14:paraId="5BEA6751"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right w:val="nil"/>
            </w:tcBorders>
            <w:shd w:val="clear" w:color="auto" w:fill="F2F2F2"/>
            <w:hideMark/>
          </w:tcPr>
          <w:p w14:paraId="4A8A7228"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11/03/2024</w:t>
            </w:r>
          </w:p>
        </w:tc>
      </w:tr>
      <w:tr w:rsidR="00887D1C" w:rsidRPr="00887D1C" w14:paraId="7F237685" w14:textId="77777777" w:rsidTr="00115DB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068537D6"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2/2020</w:t>
            </w:r>
          </w:p>
        </w:tc>
        <w:tc>
          <w:tcPr>
            <w:tcW w:w="0" w:type="auto"/>
            <w:tcBorders>
              <w:top w:val="nil"/>
              <w:bottom w:val="nil"/>
            </w:tcBorders>
            <w:hideMark/>
          </w:tcPr>
          <w:p w14:paraId="3FBBBFB2" w14:textId="49479912" w:rsidR="00887D1C" w:rsidRPr="00230E98" w:rsidRDefault="00254AE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87" w:anchor="boc/iniciativa/clau/190130338037972" w:history="1">
              <w:r w:rsidR="00887D1C" w:rsidRPr="00230E98">
                <w:rPr>
                  <w:rFonts w:ascii="Arial" w:hAnsi="Arial" w:cs="Lucida Sans"/>
                  <w:color w:val="0000FF"/>
                  <w:kern w:val="2"/>
                  <w:sz w:val="12"/>
                  <w:szCs w:val="12"/>
                  <w:u w:val="single"/>
                </w:rPr>
                <w:t>Conveni de col·laboració entre la Universitat de València  i l’AVAF</w:t>
              </w:r>
            </w:hyperlink>
          </w:p>
        </w:tc>
        <w:tc>
          <w:tcPr>
            <w:tcW w:w="0" w:type="auto"/>
            <w:tcBorders>
              <w:top w:val="nil"/>
              <w:bottom w:val="nil"/>
            </w:tcBorders>
            <w:hideMark/>
          </w:tcPr>
          <w:p w14:paraId="20B5D6EC"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29/06/2020</w:t>
            </w:r>
          </w:p>
        </w:tc>
        <w:tc>
          <w:tcPr>
            <w:tcW w:w="0" w:type="auto"/>
            <w:tcBorders>
              <w:top w:val="nil"/>
              <w:bottom w:val="nil"/>
            </w:tcBorders>
            <w:hideMark/>
          </w:tcPr>
          <w:p w14:paraId="7B02EB9B"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 xml:space="preserve">Establir les bases de col·laboració entre el Vicerectorat de Projecció Territorial i Societat per a desenvolupar el projecte “Activitats formatives per al Bon Govern i la Ciutadania, en el territori valencià”, </w:t>
            </w:r>
          </w:p>
        </w:tc>
        <w:tc>
          <w:tcPr>
            <w:tcW w:w="0" w:type="auto"/>
            <w:tcBorders>
              <w:top w:val="nil"/>
              <w:bottom w:val="nil"/>
            </w:tcBorders>
            <w:hideMark/>
          </w:tcPr>
          <w:p w14:paraId="3A158B46"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 xml:space="preserve">Compromís econòmic de fins a 15.000€ anuals. </w:t>
            </w:r>
          </w:p>
        </w:tc>
        <w:tc>
          <w:tcPr>
            <w:tcW w:w="0" w:type="auto"/>
            <w:tcBorders>
              <w:top w:val="nil"/>
              <w:bottom w:val="nil"/>
            </w:tcBorders>
            <w:hideMark/>
          </w:tcPr>
          <w:p w14:paraId="678CE0E8"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2 anys, amb possibilitat de pròrroga.</w:t>
            </w:r>
          </w:p>
        </w:tc>
        <w:tc>
          <w:tcPr>
            <w:tcW w:w="0" w:type="auto"/>
            <w:tcBorders>
              <w:top w:val="nil"/>
              <w:bottom w:val="nil"/>
            </w:tcBorders>
            <w:hideMark/>
          </w:tcPr>
          <w:p w14:paraId="229D1460"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29/06/2022</w:t>
            </w:r>
          </w:p>
        </w:tc>
      </w:tr>
      <w:tr w:rsidR="00887D1C" w:rsidRPr="00887D1C" w14:paraId="48B3DB85" w14:textId="77777777" w:rsidTr="00115DB4">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0E86CFBE"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3/2020</w:t>
            </w:r>
          </w:p>
        </w:tc>
        <w:tc>
          <w:tcPr>
            <w:tcW w:w="0" w:type="auto"/>
            <w:tcBorders>
              <w:top w:val="nil"/>
              <w:bottom w:val="nil"/>
            </w:tcBorders>
            <w:shd w:val="clear" w:color="auto" w:fill="F2F2F2"/>
            <w:hideMark/>
          </w:tcPr>
          <w:p w14:paraId="64DC7693" w14:textId="5C4C55D4" w:rsidR="00887D1C" w:rsidRPr="00230E98" w:rsidRDefault="00254AE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88" w:anchor="boc/iniciativa/clau/190074343606452" w:history="1">
              <w:r w:rsidR="00887D1C" w:rsidRPr="00230E98">
                <w:rPr>
                  <w:rFonts w:ascii="Arial" w:hAnsi="Arial" w:cs="Lucida Sans"/>
                  <w:color w:val="0000FF"/>
                  <w:kern w:val="2"/>
                  <w:sz w:val="12"/>
                  <w:szCs w:val="12"/>
                  <w:u w:val="single"/>
                </w:rPr>
                <w:t>Protocol de Col·laboració Funcional entre la Sindicatura de Comptes de la Comunitat Valenciana i l’AVAF</w:t>
              </w:r>
            </w:hyperlink>
          </w:p>
        </w:tc>
        <w:tc>
          <w:tcPr>
            <w:tcW w:w="0" w:type="auto"/>
            <w:tcBorders>
              <w:top w:val="nil"/>
              <w:bottom w:val="nil"/>
            </w:tcBorders>
            <w:shd w:val="clear" w:color="auto" w:fill="F2F2F2"/>
            <w:hideMark/>
          </w:tcPr>
          <w:p w14:paraId="78BDDB56"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24/04/2020</w:t>
            </w:r>
          </w:p>
        </w:tc>
        <w:tc>
          <w:tcPr>
            <w:tcW w:w="0" w:type="auto"/>
            <w:tcBorders>
              <w:top w:val="nil"/>
              <w:bottom w:val="nil"/>
            </w:tcBorders>
            <w:shd w:val="clear" w:color="auto" w:fill="F2F2F2"/>
            <w:hideMark/>
          </w:tcPr>
          <w:p w14:paraId="26946EB3"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Millorar la incidència de les activitats respectives en la prevenció del frau i la corrupció, mitjançant la coordinació de les seues funcions respectives.</w:t>
            </w:r>
          </w:p>
        </w:tc>
        <w:tc>
          <w:tcPr>
            <w:tcW w:w="0" w:type="auto"/>
            <w:tcBorders>
              <w:top w:val="nil"/>
              <w:bottom w:val="nil"/>
            </w:tcBorders>
            <w:shd w:val="clear" w:color="auto" w:fill="F2F2F2"/>
            <w:hideMark/>
          </w:tcPr>
          <w:p w14:paraId="276797A1"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shd w:val="clear" w:color="auto" w:fill="F2F2F2"/>
            <w:hideMark/>
          </w:tcPr>
          <w:p w14:paraId="4C30C3B8"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Vigència mínima de 4 anys, amb revisió per a addicions o modificacions que es consideren oportunes</w:t>
            </w:r>
          </w:p>
        </w:tc>
        <w:tc>
          <w:tcPr>
            <w:tcW w:w="0" w:type="auto"/>
            <w:tcBorders>
              <w:top w:val="nil"/>
              <w:bottom w:val="nil"/>
            </w:tcBorders>
            <w:shd w:val="clear" w:color="auto" w:fill="F2F2F2"/>
            <w:hideMark/>
          </w:tcPr>
          <w:p w14:paraId="05D14795"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24/04/2024</w:t>
            </w:r>
          </w:p>
        </w:tc>
      </w:tr>
      <w:tr w:rsidR="00887D1C" w:rsidRPr="00887D1C" w14:paraId="30E6D1D9" w14:textId="77777777" w:rsidTr="00115DB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36F96697"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4/2020</w:t>
            </w:r>
          </w:p>
        </w:tc>
        <w:tc>
          <w:tcPr>
            <w:tcW w:w="0" w:type="auto"/>
            <w:tcBorders>
              <w:top w:val="nil"/>
              <w:bottom w:val="nil"/>
            </w:tcBorders>
            <w:hideMark/>
          </w:tcPr>
          <w:p w14:paraId="18E19091" w14:textId="055A5957" w:rsidR="00887D1C" w:rsidRPr="00230E98" w:rsidRDefault="00254AE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89" w:anchor="boc/iniciativa/clau/190228374059092" w:history="1">
              <w:r w:rsidR="00887D1C" w:rsidRPr="00230E98">
                <w:rPr>
                  <w:rFonts w:ascii="Arial" w:hAnsi="Arial" w:cs="Lucida Sans"/>
                  <w:color w:val="0000FF"/>
                  <w:kern w:val="2"/>
                  <w:sz w:val="12"/>
                  <w:szCs w:val="12"/>
                  <w:u w:val="single"/>
                </w:rPr>
                <w:t>Conveni marc entre el Consell General del Notariat i l’AVAF</w:t>
              </w:r>
            </w:hyperlink>
          </w:p>
        </w:tc>
        <w:tc>
          <w:tcPr>
            <w:tcW w:w="0" w:type="auto"/>
            <w:tcBorders>
              <w:top w:val="nil"/>
              <w:bottom w:val="nil"/>
            </w:tcBorders>
            <w:hideMark/>
          </w:tcPr>
          <w:p w14:paraId="2073B8C2"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07/10/2020</w:t>
            </w:r>
          </w:p>
        </w:tc>
        <w:tc>
          <w:tcPr>
            <w:tcW w:w="0" w:type="auto"/>
            <w:tcBorders>
              <w:top w:val="nil"/>
              <w:bottom w:val="nil"/>
            </w:tcBorders>
            <w:hideMark/>
          </w:tcPr>
          <w:p w14:paraId="1283B928"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Accedir a les bases de dades de titulars reals i persones amb responsabilitat pública del Consell General del Notariat</w:t>
            </w:r>
          </w:p>
        </w:tc>
        <w:tc>
          <w:tcPr>
            <w:tcW w:w="0" w:type="auto"/>
            <w:tcBorders>
              <w:top w:val="nil"/>
              <w:bottom w:val="nil"/>
            </w:tcBorders>
            <w:hideMark/>
          </w:tcPr>
          <w:p w14:paraId="6262DC5E"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hideMark/>
          </w:tcPr>
          <w:p w14:paraId="05ACDBC4"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hideMark/>
          </w:tcPr>
          <w:p w14:paraId="5377AAF8"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07/10/2024</w:t>
            </w:r>
          </w:p>
        </w:tc>
      </w:tr>
      <w:tr w:rsidR="00887D1C" w:rsidRPr="00887D1C" w14:paraId="52E5C929" w14:textId="77777777" w:rsidTr="00115DB4">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220D3EEF"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1/2021</w:t>
            </w:r>
          </w:p>
        </w:tc>
        <w:tc>
          <w:tcPr>
            <w:tcW w:w="0" w:type="auto"/>
            <w:tcBorders>
              <w:top w:val="nil"/>
              <w:bottom w:val="nil"/>
            </w:tcBorders>
            <w:shd w:val="clear" w:color="auto" w:fill="F2F2F2"/>
            <w:hideMark/>
          </w:tcPr>
          <w:p w14:paraId="71342D24" w14:textId="4BFDB0DC" w:rsidR="00887D1C" w:rsidRPr="00230E98" w:rsidRDefault="00254AE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90" w:anchor="boc/iniciativa/clau/190313322139832" w:history="1">
              <w:r w:rsidR="00887D1C" w:rsidRPr="00230E98">
                <w:rPr>
                  <w:rFonts w:ascii="Arial" w:hAnsi="Arial" w:cs="Lucida Sans"/>
                  <w:color w:val="0000FF"/>
                  <w:kern w:val="2"/>
                  <w:sz w:val="12"/>
                  <w:szCs w:val="12"/>
                  <w:u w:val="single"/>
                </w:rPr>
                <w:t>Conveni marc entre l’AVAF i la World Compliance Association (d'ara en avant, WCA</w:t>
              </w:r>
            </w:hyperlink>
            <w:r w:rsidR="00887D1C" w:rsidRPr="00230E98">
              <w:rPr>
                <w:rFonts w:ascii="Arial" w:hAnsi="Arial" w:cs="Lucida Sans"/>
                <w:kern w:val="2"/>
                <w:sz w:val="12"/>
                <w:szCs w:val="12"/>
              </w:rPr>
              <w:t>)</w:t>
            </w:r>
          </w:p>
        </w:tc>
        <w:tc>
          <w:tcPr>
            <w:tcW w:w="0" w:type="auto"/>
            <w:tcBorders>
              <w:top w:val="nil"/>
              <w:bottom w:val="nil"/>
            </w:tcBorders>
            <w:shd w:val="clear" w:color="auto" w:fill="F2F2F2"/>
            <w:hideMark/>
          </w:tcPr>
          <w:p w14:paraId="79B4A181"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11/01/2021</w:t>
            </w:r>
          </w:p>
        </w:tc>
        <w:tc>
          <w:tcPr>
            <w:tcW w:w="0" w:type="auto"/>
            <w:tcBorders>
              <w:top w:val="nil"/>
              <w:bottom w:val="nil"/>
            </w:tcBorders>
            <w:shd w:val="clear" w:color="auto" w:fill="F2F2F2"/>
            <w:hideMark/>
          </w:tcPr>
          <w:p w14:paraId="21A4D391"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color w:val="1C1C1C"/>
                <w:kern w:val="2"/>
                <w:sz w:val="12"/>
                <w:szCs w:val="12"/>
              </w:rPr>
              <w:t xml:space="preserve">Establir un canal permanent de comunicació i col·laboració per a millorar l'eficàcia en el compliment dels objectius d'interés comú. </w:t>
            </w:r>
          </w:p>
        </w:tc>
        <w:tc>
          <w:tcPr>
            <w:tcW w:w="0" w:type="auto"/>
            <w:tcBorders>
              <w:top w:val="nil"/>
              <w:bottom w:val="nil"/>
            </w:tcBorders>
            <w:shd w:val="clear" w:color="auto" w:fill="F2F2F2"/>
            <w:hideMark/>
          </w:tcPr>
          <w:p w14:paraId="4B552556"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shd w:val="clear" w:color="auto" w:fill="F2F2F2"/>
            <w:hideMark/>
          </w:tcPr>
          <w:p w14:paraId="1C862EE8"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shd w:val="clear" w:color="auto" w:fill="F2F2F2"/>
            <w:hideMark/>
          </w:tcPr>
          <w:p w14:paraId="62C24BE0"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Vigència fins a 11/01/25</w:t>
            </w:r>
          </w:p>
        </w:tc>
      </w:tr>
      <w:tr w:rsidR="00887D1C" w:rsidRPr="00887D1C" w14:paraId="02B7CAE4" w14:textId="77777777" w:rsidTr="00115DB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5462FC3D"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2/2021</w:t>
            </w:r>
          </w:p>
        </w:tc>
        <w:tc>
          <w:tcPr>
            <w:tcW w:w="0" w:type="auto"/>
            <w:tcBorders>
              <w:top w:val="nil"/>
              <w:bottom w:val="nil"/>
            </w:tcBorders>
            <w:hideMark/>
          </w:tcPr>
          <w:p w14:paraId="7473A1E6" w14:textId="4572A7BD" w:rsidR="00887D1C" w:rsidRPr="00230E98" w:rsidRDefault="00254AE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91" w:anchor="boc/iniciativa/clau/190347352463162" w:history="1">
              <w:r w:rsidR="00887D1C" w:rsidRPr="00230E98">
                <w:rPr>
                  <w:rFonts w:ascii="Arial" w:hAnsi="Arial" w:cs="Lucida Sans"/>
                  <w:color w:val="0000FF"/>
                  <w:kern w:val="2"/>
                  <w:sz w:val="12"/>
                  <w:szCs w:val="12"/>
                  <w:u w:val="single"/>
                </w:rPr>
                <w:t>Conveni de cooperació educativa entre l’AVAF i la Universitat CEU Cardenal Herrera</w:t>
              </w:r>
            </w:hyperlink>
          </w:p>
        </w:tc>
        <w:tc>
          <w:tcPr>
            <w:tcW w:w="0" w:type="auto"/>
            <w:tcBorders>
              <w:top w:val="nil"/>
              <w:bottom w:val="nil"/>
            </w:tcBorders>
            <w:hideMark/>
          </w:tcPr>
          <w:p w14:paraId="1316EA6C"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10/02/2021</w:t>
            </w:r>
          </w:p>
        </w:tc>
        <w:tc>
          <w:tcPr>
            <w:tcW w:w="0" w:type="auto"/>
            <w:tcBorders>
              <w:top w:val="nil"/>
              <w:bottom w:val="nil"/>
            </w:tcBorders>
            <w:hideMark/>
          </w:tcPr>
          <w:p w14:paraId="712BDA11"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Establir un programa de cooperació educativa per a la realització de pràctiques formatives, sense relació laboral, en les dependències de l'Agència, per part d'estudiants del CEU UCH que permeta als mateixos  aplicar i complementar els coneixements adquirits en la seua formació acadèmica, afavorint l'adquisició de competències que els preparen per a l'exercici d'activitats professionals, faciliten la seua ocupabilitat i fomenten la seua capacitat d'emprenedoria.</w:t>
            </w:r>
          </w:p>
        </w:tc>
        <w:tc>
          <w:tcPr>
            <w:tcW w:w="0" w:type="auto"/>
            <w:tcBorders>
              <w:top w:val="nil"/>
              <w:bottom w:val="nil"/>
            </w:tcBorders>
            <w:hideMark/>
          </w:tcPr>
          <w:p w14:paraId="3A59BE27"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hideMark/>
          </w:tcPr>
          <w:p w14:paraId="1FE0C14D"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hideMark/>
          </w:tcPr>
          <w:p w14:paraId="0C64665E"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10/02/2025</w:t>
            </w:r>
          </w:p>
        </w:tc>
      </w:tr>
      <w:tr w:rsidR="00887D1C" w:rsidRPr="00887D1C" w14:paraId="43CADA37" w14:textId="77777777" w:rsidTr="00115DB4">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5FEF3CC8"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3/2021</w:t>
            </w:r>
          </w:p>
        </w:tc>
        <w:tc>
          <w:tcPr>
            <w:tcW w:w="0" w:type="auto"/>
            <w:tcBorders>
              <w:top w:val="nil"/>
              <w:bottom w:val="nil"/>
            </w:tcBorders>
            <w:shd w:val="clear" w:color="auto" w:fill="F2F2F2"/>
            <w:hideMark/>
          </w:tcPr>
          <w:p w14:paraId="77FBA816" w14:textId="0F6190C7" w:rsidR="00887D1C" w:rsidRPr="00230E98" w:rsidRDefault="00254AE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92" w:anchor="boc/iniciativa/clau/190403339258152" w:history="1">
              <w:r w:rsidR="00887D1C" w:rsidRPr="00230E98">
                <w:rPr>
                  <w:rFonts w:ascii="Arial" w:hAnsi="Arial" w:cs="Lucida Sans"/>
                  <w:color w:val="0000FF"/>
                  <w:kern w:val="2"/>
                  <w:sz w:val="12"/>
                  <w:szCs w:val="12"/>
                  <w:u w:val="single"/>
                </w:rPr>
                <w:t>Conveni de col·laboració entre l’AVAF i la Fundació Ciutadana Civio</w:t>
              </w:r>
            </w:hyperlink>
          </w:p>
        </w:tc>
        <w:tc>
          <w:tcPr>
            <w:tcW w:w="0" w:type="auto"/>
            <w:tcBorders>
              <w:top w:val="nil"/>
              <w:bottom w:val="nil"/>
            </w:tcBorders>
            <w:shd w:val="clear" w:color="auto" w:fill="F2F2F2"/>
            <w:hideMark/>
          </w:tcPr>
          <w:p w14:paraId="0C6C4643"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09/04/2021</w:t>
            </w:r>
          </w:p>
        </w:tc>
        <w:tc>
          <w:tcPr>
            <w:tcW w:w="0" w:type="auto"/>
            <w:tcBorders>
              <w:top w:val="nil"/>
              <w:bottom w:val="nil"/>
            </w:tcBorders>
            <w:shd w:val="clear" w:color="auto" w:fill="F2F2F2"/>
            <w:hideMark/>
          </w:tcPr>
          <w:p w14:paraId="30D02BF7"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color w:val="1C1C1C"/>
                <w:kern w:val="2"/>
                <w:sz w:val="12"/>
                <w:szCs w:val="12"/>
              </w:rPr>
              <w:t>Col·laborar en el desenvolupament del projecte SceMaps, mitjançant la posada en pràctica en l’AVAF de l'enquesta MACPI amb la finalitat d'avaluar si les possibles vulnerabilitats en l'àmbit de la lluita contra la corrupció s'aborden mitjançant polítiques adequades de corrupció, analitzar l'efectivitat de les mesures existents i proposar mesures preventives més eficients.</w:t>
            </w:r>
          </w:p>
        </w:tc>
        <w:tc>
          <w:tcPr>
            <w:tcW w:w="0" w:type="auto"/>
            <w:tcBorders>
              <w:top w:val="nil"/>
              <w:bottom w:val="nil"/>
            </w:tcBorders>
            <w:shd w:val="clear" w:color="auto" w:fill="F2F2F2"/>
            <w:hideMark/>
          </w:tcPr>
          <w:p w14:paraId="3D338257"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shd w:val="clear" w:color="auto" w:fill="F2F2F2"/>
            <w:hideMark/>
          </w:tcPr>
          <w:p w14:paraId="7C1C14C0"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shd w:val="clear" w:color="auto" w:fill="F2F2F2"/>
            <w:hideMark/>
          </w:tcPr>
          <w:p w14:paraId="5C54FF16"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Vigència fins a 09/04/2025</w:t>
            </w:r>
          </w:p>
        </w:tc>
      </w:tr>
      <w:tr w:rsidR="00887D1C" w:rsidRPr="00887D1C" w14:paraId="5B440B7A" w14:textId="77777777" w:rsidTr="00115DB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5822470C" w14:textId="638DDB33"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4/202</w:t>
            </w:r>
            <w:r w:rsidR="00404FF7">
              <w:rPr>
                <w:rFonts w:ascii="Arial" w:hAnsi="Arial" w:cs="Lucida Sans"/>
                <w:kern w:val="2"/>
                <w:sz w:val="12"/>
                <w:szCs w:val="12"/>
              </w:rPr>
              <w:t>1</w:t>
            </w:r>
          </w:p>
        </w:tc>
        <w:tc>
          <w:tcPr>
            <w:tcW w:w="0" w:type="auto"/>
            <w:tcBorders>
              <w:top w:val="nil"/>
              <w:bottom w:val="nil"/>
            </w:tcBorders>
            <w:hideMark/>
          </w:tcPr>
          <w:p w14:paraId="360C73BF" w14:textId="0AB5AAC2" w:rsidR="00887D1C" w:rsidRPr="00230E98" w:rsidRDefault="00254AE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93" w:anchor="boc/iniciativa/clau/190496337457262" w:history="1">
              <w:r w:rsidR="00887D1C" w:rsidRPr="00230E98">
                <w:rPr>
                  <w:rFonts w:ascii="Arial" w:hAnsi="Arial" w:cs="Lucida Sans"/>
                  <w:color w:val="0000FF"/>
                  <w:kern w:val="2"/>
                  <w:sz w:val="12"/>
                  <w:szCs w:val="12"/>
                  <w:u w:val="single"/>
                </w:rPr>
                <w:t>Conveni Marc entre la Universitat Politècnica i l’AVAF</w:t>
              </w:r>
            </w:hyperlink>
          </w:p>
        </w:tc>
        <w:tc>
          <w:tcPr>
            <w:tcW w:w="0" w:type="auto"/>
            <w:tcBorders>
              <w:top w:val="nil"/>
              <w:bottom w:val="nil"/>
            </w:tcBorders>
            <w:hideMark/>
          </w:tcPr>
          <w:p w14:paraId="16C13ECE"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13/07/2021</w:t>
            </w:r>
          </w:p>
        </w:tc>
        <w:tc>
          <w:tcPr>
            <w:tcW w:w="0" w:type="auto"/>
            <w:tcBorders>
              <w:top w:val="nil"/>
              <w:bottom w:val="nil"/>
            </w:tcBorders>
            <w:hideMark/>
          </w:tcPr>
          <w:p w14:paraId="0E932534"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Establir el marc de col·laboració cultural, educativa i científica, així com l'assistència mútua.</w:t>
            </w:r>
          </w:p>
        </w:tc>
        <w:tc>
          <w:tcPr>
            <w:tcW w:w="0" w:type="auto"/>
            <w:tcBorders>
              <w:top w:val="nil"/>
              <w:bottom w:val="nil"/>
            </w:tcBorders>
            <w:hideMark/>
          </w:tcPr>
          <w:p w14:paraId="3E06F07E"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hideMark/>
          </w:tcPr>
          <w:p w14:paraId="2B44D8E2"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hideMark/>
          </w:tcPr>
          <w:p w14:paraId="0B41180B"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13/07/2025</w:t>
            </w:r>
          </w:p>
        </w:tc>
      </w:tr>
      <w:tr w:rsidR="00887D1C" w:rsidRPr="00887D1C" w14:paraId="5FA109B2" w14:textId="77777777" w:rsidTr="00115DB4">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5C792AF9"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5/2021</w:t>
            </w:r>
          </w:p>
        </w:tc>
        <w:tc>
          <w:tcPr>
            <w:tcW w:w="0" w:type="auto"/>
            <w:tcBorders>
              <w:top w:val="nil"/>
              <w:bottom w:val="nil"/>
            </w:tcBorders>
            <w:shd w:val="clear" w:color="auto" w:fill="F2F2F2"/>
            <w:hideMark/>
          </w:tcPr>
          <w:p w14:paraId="2F7282A0" w14:textId="02AC24AD" w:rsidR="00887D1C" w:rsidRPr="00230E98" w:rsidRDefault="00254AE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94" w:anchor="boc/iniciativa/clau/190604322565182" w:history="1">
              <w:r w:rsidR="00887D1C" w:rsidRPr="00230E98">
                <w:rPr>
                  <w:rFonts w:ascii="Arial" w:hAnsi="Arial" w:cs="Lucida Sans"/>
                  <w:color w:val="0000FF"/>
                  <w:kern w:val="2"/>
                  <w:sz w:val="12"/>
                  <w:szCs w:val="12"/>
                  <w:u w:val="single"/>
                </w:rPr>
                <w:t>Conveni de col·laboració acadèmica, científica i cultural entre l’AVAF i la Universitat de Salamanca</w:t>
              </w:r>
            </w:hyperlink>
          </w:p>
        </w:tc>
        <w:tc>
          <w:tcPr>
            <w:tcW w:w="0" w:type="auto"/>
            <w:tcBorders>
              <w:top w:val="nil"/>
              <w:bottom w:val="nil"/>
            </w:tcBorders>
            <w:shd w:val="clear" w:color="auto" w:fill="F2F2F2"/>
            <w:hideMark/>
          </w:tcPr>
          <w:p w14:paraId="570A0ABE"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06/09/2021</w:t>
            </w:r>
          </w:p>
        </w:tc>
        <w:tc>
          <w:tcPr>
            <w:tcW w:w="0" w:type="auto"/>
            <w:tcBorders>
              <w:top w:val="nil"/>
              <w:bottom w:val="nil"/>
            </w:tcBorders>
            <w:shd w:val="clear" w:color="auto" w:fill="F2F2F2"/>
            <w:hideMark/>
          </w:tcPr>
          <w:p w14:paraId="374AF3F7"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color w:val="1C1C1C"/>
                <w:kern w:val="2"/>
                <w:sz w:val="12"/>
                <w:szCs w:val="12"/>
              </w:rPr>
              <w:t>Establir les bases per a una col·laboració en els àmbits acadèmic, científic i cultural d'interés comú.</w:t>
            </w:r>
          </w:p>
        </w:tc>
        <w:tc>
          <w:tcPr>
            <w:tcW w:w="0" w:type="auto"/>
            <w:tcBorders>
              <w:top w:val="nil"/>
              <w:bottom w:val="nil"/>
            </w:tcBorders>
            <w:shd w:val="clear" w:color="auto" w:fill="F2F2F2"/>
            <w:hideMark/>
          </w:tcPr>
          <w:p w14:paraId="517E1582"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shd w:val="clear" w:color="auto" w:fill="F2F2F2"/>
            <w:hideMark/>
          </w:tcPr>
          <w:p w14:paraId="6D0C00B4"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shd w:val="clear" w:color="auto" w:fill="F2F2F2"/>
            <w:hideMark/>
          </w:tcPr>
          <w:p w14:paraId="0083E97D"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Vigència fins a 06/09/2025</w:t>
            </w:r>
          </w:p>
        </w:tc>
      </w:tr>
      <w:tr w:rsidR="00887D1C" w:rsidRPr="00887D1C" w14:paraId="4B9AFA2D" w14:textId="77777777" w:rsidTr="00115DB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3FFDCEBA"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6/2021</w:t>
            </w:r>
          </w:p>
        </w:tc>
        <w:tc>
          <w:tcPr>
            <w:tcW w:w="0" w:type="auto"/>
            <w:tcBorders>
              <w:top w:val="nil"/>
              <w:bottom w:val="nil"/>
            </w:tcBorders>
            <w:hideMark/>
          </w:tcPr>
          <w:p w14:paraId="06F08B71" w14:textId="2F9DE9E6" w:rsidR="00887D1C" w:rsidRPr="00230E98" w:rsidRDefault="00254AE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95" w:anchor="boc/iniciativa/clau/190628497232482" w:history="1">
              <w:r w:rsidR="00887D1C" w:rsidRPr="00230E98">
                <w:rPr>
                  <w:rFonts w:ascii="Arial" w:hAnsi="Arial" w:cs="Lucida Sans"/>
                  <w:color w:val="0000FF"/>
                  <w:kern w:val="2"/>
                  <w:sz w:val="12"/>
                  <w:szCs w:val="12"/>
                  <w:u w:val="single"/>
                </w:rPr>
                <w:t>Protocol de col·laboració funcional entre l’AVAF i l'Ajuntament de València</w:t>
              </w:r>
            </w:hyperlink>
          </w:p>
        </w:tc>
        <w:tc>
          <w:tcPr>
            <w:tcW w:w="0" w:type="auto"/>
            <w:tcBorders>
              <w:top w:val="nil"/>
              <w:bottom w:val="nil"/>
            </w:tcBorders>
            <w:hideMark/>
          </w:tcPr>
          <w:p w14:paraId="552227AB"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19/11/2021</w:t>
            </w:r>
          </w:p>
        </w:tc>
        <w:tc>
          <w:tcPr>
            <w:tcW w:w="0" w:type="auto"/>
            <w:tcBorders>
              <w:top w:val="nil"/>
              <w:bottom w:val="nil"/>
            </w:tcBorders>
            <w:hideMark/>
          </w:tcPr>
          <w:p w14:paraId="1A58BF1D"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Arial" w:hAnsi="Arial" w:cs="Lucida Sans"/>
                <w:kern w:val="2"/>
                <w:sz w:val="12"/>
                <w:szCs w:val="12"/>
              </w:rPr>
            </w:pPr>
            <w:r w:rsidRPr="00887D1C">
              <w:rPr>
                <w:rFonts w:ascii="Arial" w:hAnsi="Arial" w:cs="Lucida Sans"/>
                <w:kern w:val="2"/>
                <w:sz w:val="12"/>
                <w:szCs w:val="12"/>
              </w:rPr>
              <w:t xml:space="preserve">Establir les mesures necessàries per a obrir les línies de col·laboració funcional entre totes dues parts que coadjuven al millor compliment de les diferents funcions i finalitats que tenen atribuïdes. </w:t>
            </w:r>
          </w:p>
          <w:p w14:paraId="59A875E7"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Arial" w:hAnsi="Arial" w:cs="Lucida Sans"/>
                <w:kern w:val="2"/>
                <w:sz w:val="12"/>
                <w:szCs w:val="12"/>
              </w:rPr>
            </w:pPr>
            <w:r w:rsidRPr="00887D1C">
              <w:rPr>
                <w:rFonts w:ascii="Arial" w:hAnsi="Arial" w:cs="Lucida Sans"/>
                <w:kern w:val="2"/>
                <w:sz w:val="12"/>
                <w:szCs w:val="12"/>
              </w:rPr>
              <w:t xml:space="preserve">Col·laborar mútuament en el foment de les activitats de prevenció del frau i la corrupció i d'integritat i ètica pública per a millorar les funcions i fins respectius que tenen encomanats. </w:t>
            </w:r>
          </w:p>
          <w:p w14:paraId="2EC00BDD" w14:textId="77777777" w:rsidR="00887D1C" w:rsidRPr="00887D1C" w:rsidRDefault="00887D1C" w:rsidP="00887D1C">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Reconéixer com a canal extern de les seues denúncies la Bústia de Denúncies de l’AVAF i adherir-se a aquest, amb la finalitat de donar compliment a les exigències de la Directiva 2019/1937(UE). Foment de la implementació d'un Pla d'Integritat per a l'ajuntament.</w:t>
            </w:r>
          </w:p>
        </w:tc>
        <w:tc>
          <w:tcPr>
            <w:tcW w:w="0" w:type="auto"/>
            <w:tcBorders>
              <w:top w:val="nil"/>
              <w:bottom w:val="nil"/>
            </w:tcBorders>
            <w:hideMark/>
          </w:tcPr>
          <w:p w14:paraId="1893FB2C"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hideMark/>
          </w:tcPr>
          <w:p w14:paraId="00179151"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hideMark/>
          </w:tcPr>
          <w:p w14:paraId="232E8B19" w14:textId="77777777" w:rsidR="00887D1C" w:rsidRPr="00887D1C" w:rsidRDefault="00887D1C" w:rsidP="00887D1C">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Vigent fins a 19/11/2025</w:t>
            </w:r>
          </w:p>
        </w:tc>
      </w:tr>
      <w:tr w:rsidR="00887D1C" w:rsidRPr="00887D1C" w14:paraId="32B775B9" w14:textId="77777777" w:rsidTr="00115DB4">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137C6B63" w14:textId="77777777" w:rsidR="00887D1C" w:rsidRPr="00887D1C" w:rsidRDefault="00887D1C" w:rsidP="00887D1C">
            <w:pPr>
              <w:suppressAutoHyphens/>
              <w:spacing w:after="120"/>
              <w:jc w:val="center"/>
              <w:rPr>
                <w:rFonts w:ascii="Liberation Sans1" w:hAnsi="Liberation Sans1" w:cs="Times New Roman" w:hint="eastAsia"/>
                <w:kern w:val="2"/>
                <w:sz w:val="12"/>
                <w:szCs w:val="12"/>
              </w:rPr>
            </w:pPr>
            <w:r w:rsidRPr="00887D1C">
              <w:rPr>
                <w:rFonts w:ascii="Arial" w:hAnsi="Arial" w:cs="Lucida Sans"/>
                <w:kern w:val="2"/>
                <w:sz w:val="12"/>
                <w:szCs w:val="12"/>
              </w:rPr>
              <w:t>7/2021</w:t>
            </w:r>
          </w:p>
        </w:tc>
        <w:tc>
          <w:tcPr>
            <w:tcW w:w="0" w:type="auto"/>
            <w:tcBorders>
              <w:top w:val="nil"/>
              <w:bottom w:val="nil"/>
            </w:tcBorders>
            <w:shd w:val="clear" w:color="auto" w:fill="F2F2F2"/>
            <w:hideMark/>
          </w:tcPr>
          <w:p w14:paraId="2730830B" w14:textId="43F5E815" w:rsidR="00887D1C" w:rsidRPr="00230E98" w:rsidRDefault="00254AE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96" w:anchor="boc/iniciativa/clau/190649311801252" w:history="1">
              <w:r w:rsidR="00887D1C" w:rsidRPr="00230E98">
                <w:rPr>
                  <w:rFonts w:ascii="Arial" w:hAnsi="Arial" w:cs="Lucida Sans"/>
                  <w:color w:val="0000FF"/>
                  <w:kern w:val="2"/>
                  <w:sz w:val="12"/>
                  <w:szCs w:val="12"/>
                  <w:u w:val="single"/>
                </w:rPr>
                <w:t>Protocol de col·laboració funcional entre l’AVAF i la Diputació Provincial de Castelló</w:t>
              </w:r>
            </w:hyperlink>
          </w:p>
        </w:tc>
        <w:tc>
          <w:tcPr>
            <w:tcW w:w="0" w:type="auto"/>
            <w:tcBorders>
              <w:top w:val="nil"/>
              <w:bottom w:val="nil"/>
            </w:tcBorders>
            <w:shd w:val="clear" w:color="auto" w:fill="F2F2F2"/>
            <w:hideMark/>
          </w:tcPr>
          <w:p w14:paraId="0B1FFAD1"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02/12/2021</w:t>
            </w:r>
          </w:p>
        </w:tc>
        <w:tc>
          <w:tcPr>
            <w:tcW w:w="0" w:type="auto"/>
            <w:tcBorders>
              <w:top w:val="nil"/>
              <w:bottom w:val="nil"/>
            </w:tcBorders>
            <w:shd w:val="clear" w:color="auto" w:fill="F2F2F2"/>
            <w:hideMark/>
          </w:tcPr>
          <w:p w14:paraId="64E5D1C8"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Arial" w:hAnsi="Arial" w:cs="Lucida Sans"/>
                <w:color w:val="1C1C1C"/>
                <w:kern w:val="2"/>
                <w:sz w:val="12"/>
                <w:szCs w:val="12"/>
              </w:rPr>
            </w:pPr>
            <w:r w:rsidRPr="00887D1C">
              <w:rPr>
                <w:rFonts w:ascii="Arial" w:hAnsi="Arial" w:cs="Lucida Sans"/>
                <w:color w:val="1C1C1C"/>
                <w:kern w:val="2"/>
                <w:sz w:val="12"/>
                <w:szCs w:val="12"/>
              </w:rPr>
              <w:t>Establir les mesures necessàries per a obrir les línies de col·laboració funcional entre totes dues parts que coadjuven al millor compliment de les diferents funcions i finalitats que tenen atribuïdes.</w:t>
            </w:r>
          </w:p>
          <w:p w14:paraId="5FADC5CA"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Arial" w:hAnsi="Arial" w:cs="Lucida Sans"/>
                <w:color w:val="1C1C1C"/>
                <w:kern w:val="2"/>
                <w:sz w:val="12"/>
                <w:szCs w:val="12"/>
              </w:rPr>
            </w:pPr>
            <w:r w:rsidRPr="00887D1C">
              <w:rPr>
                <w:rFonts w:ascii="Arial" w:hAnsi="Arial" w:cs="Lucida Sans"/>
                <w:color w:val="1C1C1C"/>
                <w:kern w:val="2"/>
                <w:sz w:val="12"/>
                <w:szCs w:val="12"/>
              </w:rPr>
              <w:t>Col·laborarà mútuament en el foment de les activitats de prevenció del frau i la corrupció i d'integritat i ètica pública per a millorar les funcions i fins que tenen encomanats.</w:t>
            </w:r>
          </w:p>
          <w:p w14:paraId="2889B1F2" w14:textId="77777777" w:rsidR="00887D1C" w:rsidRPr="00887D1C" w:rsidRDefault="00887D1C" w:rsidP="00887D1C">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 xml:space="preserve">Reconéixer com a canal extern de les seues denúncies la Bústia de Denúncies de l’AVAF i adherir-se a aquest, amb la finalitat de donar compliment a les exigències de la Directiva 2019/1937(UE). </w:t>
            </w:r>
          </w:p>
        </w:tc>
        <w:tc>
          <w:tcPr>
            <w:tcW w:w="0" w:type="auto"/>
            <w:tcBorders>
              <w:top w:val="nil"/>
              <w:bottom w:val="nil"/>
            </w:tcBorders>
            <w:shd w:val="clear" w:color="auto" w:fill="F2F2F2"/>
            <w:hideMark/>
          </w:tcPr>
          <w:p w14:paraId="457C6968"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Sense obligacions econòmiques</w:t>
            </w:r>
          </w:p>
        </w:tc>
        <w:tc>
          <w:tcPr>
            <w:tcW w:w="0" w:type="auto"/>
            <w:tcBorders>
              <w:top w:val="nil"/>
              <w:bottom w:val="nil"/>
            </w:tcBorders>
            <w:shd w:val="clear" w:color="auto" w:fill="F2F2F2"/>
            <w:hideMark/>
          </w:tcPr>
          <w:p w14:paraId="50E4821D"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4 anys, amb possibilitat de pròrroga</w:t>
            </w:r>
          </w:p>
        </w:tc>
        <w:tc>
          <w:tcPr>
            <w:tcW w:w="0" w:type="auto"/>
            <w:tcBorders>
              <w:top w:val="nil"/>
              <w:bottom w:val="nil"/>
            </w:tcBorders>
            <w:shd w:val="clear" w:color="auto" w:fill="F2F2F2"/>
            <w:hideMark/>
          </w:tcPr>
          <w:p w14:paraId="69606960" w14:textId="77777777" w:rsidR="00887D1C" w:rsidRPr="00887D1C" w:rsidRDefault="00887D1C" w:rsidP="00887D1C">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887D1C">
              <w:rPr>
                <w:rFonts w:ascii="Arial" w:hAnsi="Arial" w:cs="Lucida Sans"/>
                <w:kern w:val="2"/>
                <w:sz w:val="12"/>
                <w:szCs w:val="12"/>
              </w:rPr>
              <w:t>Vigència fins a 02/12/2025</w:t>
            </w:r>
          </w:p>
        </w:tc>
      </w:tr>
    </w:tbl>
    <w:p w14:paraId="02709B0F" w14:textId="34F95050" w:rsidR="005A5339" w:rsidRDefault="005A5339" w:rsidP="00887D1C">
      <w:pPr>
        <w:spacing w:after="120" w:line="276" w:lineRule="auto"/>
        <w:jc w:val="both"/>
        <w:rPr>
          <w:rFonts w:ascii="Arial" w:hAnsi="Arial"/>
          <w:sz w:val="21"/>
          <w:szCs w:val="21"/>
        </w:rPr>
      </w:pPr>
    </w:p>
    <w:p w14:paraId="18F11E63" w14:textId="77777777"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Fruit de la signatura del Conveni de col·laboració acadèmica, científica i cultural amb la Universitat de Salamanca, ha tingut lloc, durant el segon semestre de 2021, una estada d'investigació en l'AVAF per part d'una doctoranda d'aquesta Universitat, amb excel·lents resultats. Així mateix, amb motiu d'aquest Conveni, a la fi de gener de 2022, el director de l'Agència va impartir una conferència en la Universitat de Salamanca sobre “El nou marc jurídic de la integritat pública arran de la Directiva Whistleblowers i l'Ordre HFP 1030/2021. La funció de les Agències Antifrau, que ha tingut lloc en el marc dels Cursos d'Especialització en Dret”, dins del Programa "Compliance i gestió de riscos legals", codirigit pel Deganat de la Facultat de Ciències Agràries i Ambientals d'aquella Universitat.</w:t>
      </w:r>
    </w:p>
    <w:p w14:paraId="044A1AF8" w14:textId="77777777"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 xml:space="preserve">D'altra banda, cal destacar que, després de l'aprovació de l'Ordre  </w:t>
      </w:r>
      <w:hyperlink r:id="rId397" w:anchor=":~:text=A%2D2021%2D15860-,Orden%20HFP%2F1030%2F2021%2C%20de%2029%20de%20septiembre%2C,a%20119879%20(50%20p%C3%A1gs.%20)" w:history="1">
        <w:r w:rsidRPr="00887D1C">
          <w:rPr>
            <w:rStyle w:val="Hipervnculo"/>
            <w:rFonts w:ascii="Arial" w:hAnsi="Arial"/>
            <w:sz w:val="21"/>
            <w:szCs w:val="21"/>
          </w:rPr>
          <w:t>HFP/1030/2021, de 29 de setembre, per la qual es configura el sistema de gestió del Pla de Recuperació, Transformació i Resiliència</w:t>
        </w:r>
      </w:hyperlink>
      <w:r w:rsidRPr="00887D1C">
        <w:rPr>
          <w:rFonts w:ascii="Arial" w:hAnsi="Arial"/>
          <w:sz w:val="21"/>
          <w:szCs w:val="21"/>
        </w:rPr>
        <w:t xml:space="preserve"> (BOE núm. 234, de 30 de setembre de 2021), nombroses entitats locals s'han posat en contacte amb aquesta Agència interessant-se per subscriure amb ella un Protocol de Col·laboració Funcional, amb la finalitat d'establir les mesures necessàries per a obrir línies de cooperació que coadjuven al foment d’actuacions de prevenció del frau i la corrupció i d'integritat i ètica pública amb les quals millorar les funcions i fins que tenen encomanats; tot això en el compliment, addicional, de les exigències de la Directiva 2019/1937(UE) i reconeixent a l’AVAF com a canal extern de les seues denúncies a través de la seua Bústia de denúncies situat en la seua pàgina web.</w:t>
      </w:r>
    </w:p>
    <w:p w14:paraId="5C79E531" w14:textId="77777777"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A través de la signatura d'aquests Protocols de Col·laboració Funcional, l’AVAF assisteix i assessora les entitats signants en relació, entre altres temes, amb el fomente i la implementació de plans d'integritat, facilitant proposades de contingut mínim i assessorant en l'elaboració d'autodiagnòstic s previs de riscos, la posada a la disposició de mecanismes de prevenció i elaboració de catàlegs de riscos, l'assessorament en l'elaboració de codis ètics i la realització d'activitats formatives. A tot això ens referim en l'epígraf 5.2.6. d'aquesta Memòria. També contemplen aquests Protocols la possibilitat d'unir-se a la bústia externa de denúncies de l’AVAF i l'assessorament tècnic i jurídic en relació amb la instal·lació de bústies internes de denúncies a través d'un programari lliure i gratuït que permet la comunicació o denúncia anònima.</w:t>
      </w:r>
    </w:p>
    <w:p w14:paraId="68BD1A43" w14:textId="6DEF613B"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 xml:space="preserve">Fins a la data d'elaboració d'aquesta Memòria d’activitats de l'Agència, s'han signat Protocols de Col·laboració Funcional, en 2021, amb </w:t>
      </w:r>
      <w:hyperlink r:id="rId398" w:anchor="boc/iniciativa/clau/190628497232482" w:history="1">
        <w:r w:rsidRPr="00BA1ACE">
          <w:rPr>
            <w:rStyle w:val="Hipervnculo"/>
            <w:rFonts w:ascii="Arial" w:hAnsi="Arial"/>
            <w:sz w:val="21"/>
            <w:szCs w:val="21"/>
          </w:rPr>
          <w:t>l'Ajuntament de València</w:t>
        </w:r>
      </w:hyperlink>
      <w:r w:rsidRPr="00887D1C">
        <w:rPr>
          <w:rFonts w:ascii="Arial" w:hAnsi="Arial"/>
          <w:sz w:val="21"/>
          <w:szCs w:val="21"/>
        </w:rPr>
        <w:t xml:space="preserve"> i la </w:t>
      </w:r>
      <w:hyperlink r:id="rId399" w:anchor="boc/iniciativa/clau/190649311801252" w:history="1">
        <w:r w:rsidRPr="00887D1C">
          <w:rPr>
            <w:rStyle w:val="Hipervnculo"/>
            <w:rFonts w:ascii="Arial" w:hAnsi="Arial"/>
            <w:sz w:val="21"/>
            <w:szCs w:val="21"/>
          </w:rPr>
          <w:t>Diputació Provincial de Castelló</w:t>
        </w:r>
      </w:hyperlink>
      <w:r w:rsidRPr="00887D1C">
        <w:rPr>
          <w:rFonts w:ascii="Arial" w:hAnsi="Arial"/>
          <w:sz w:val="21"/>
          <w:szCs w:val="21"/>
        </w:rPr>
        <w:t xml:space="preserve"> i, </w:t>
      </w:r>
      <w:r w:rsidRPr="00DD6D6B">
        <w:rPr>
          <w:rFonts w:ascii="Arial" w:hAnsi="Arial"/>
          <w:sz w:val="21"/>
          <w:szCs w:val="21"/>
        </w:rPr>
        <w:t xml:space="preserve">en 2022, amb </w:t>
      </w:r>
      <w:hyperlink r:id="rId400" w:anchor="boc/iniciativa/clau/190727330593752" w:history="1">
        <w:r w:rsidRPr="00DD6D6B">
          <w:rPr>
            <w:rStyle w:val="Hipervnculo"/>
            <w:rFonts w:ascii="Arial" w:hAnsi="Arial"/>
            <w:sz w:val="21"/>
            <w:szCs w:val="21"/>
          </w:rPr>
          <w:t>l'Ajuntament de l'Eliana</w:t>
        </w:r>
      </w:hyperlink>
      <w:r w:rsidR="00DD6D6B">
        <w:rPr>
          <w:rFonts w:ascii="Arial" w:hAnsi="Arial"/>
          <w:sz w:val="21"/>
          <w:szCs w:val="21"/>
        </w:rPr>
        <w:t>.</w:t>
      </w:r>
    </w:p>
    <w:p w14:paraId="186EE2CC" w14:textId="6D7FDF73"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 xml:space="preserve">Finalment, cal assenyalar que en els primers mesos d'aquest any 2022, l'Agència ha subscrit un conveni amb </w:t>
      </w:r>
      <w:hyperlink r:id="rId401" w:anchor="boc/iniciativa/clau/190697344755412" w:history="1">
        <w:r w:rsidRPr="00887D1C">
          <w:rPr>
            <w:rStyle w:val="Hipervnculo"/>
            <w:rFonts w:ascii="Arial" w:hAnsi="Arial"/>
            <w:sz w:val="21"/>
            <w:szCs w:val="21"/>
          </w:rPr>
          <w:t>Universitat d'Alacant</w:t>
        </w:r>
      </w:hyperlink>
      <w:r w:rsidRPr="00887D1C">
        <w:rPr>
          <w:rFonts w:ascii="Arial" w:hAnsi="Arial"/>
          <w:sz w:val="21"/>
          <w:szCs w:val="21"/>
        </w:rPr>
        <w:t xml:space="preserve">, l'objecte de la qual és establir el marc de col·laboració cultural, educativa i científica, així com l'assistència mútua entre totes dues entitats, fixant llits per a la realització en comú d'activitats de divulgació, de formació i d'investigació que redunden en benefici comú. </w:t>
      </w:r>
    </w:p>
    <w:p w14:paraId="12307614" w14:textId="2CFF9585" w:rsidR="00887D1C" w:rsidRDefault="00887D1C" w:rsidP="00887D1C">
      <w:pPr>
        <w:spacing w:after="240" w:line="276" w:lineRule="auto"/>
        <w:jc w:val="both"/>
        <w:rPr>
          <w:rFonts w:ascii="Arial" w:hAnsi="Arial"/>
          <w:sz w:val="21"/>
          <w:szCs w:val="21"/>
        </w:rPr>
      </w:pPr>
      <w:r w:rsidRPr="00887D1C">
        <w:rPr>
          <w:rFonts w:ascii="Arial" w:hAnsi="Arial"/>
          <w:sz w:val="21"/>
          <w:szCs w:val="21"/>
        </w:rPr>
        <w:t xml:space="preserve">Així mateix, el passat 7 de març, per l’AVAF s'ha </w:t>
      </w:r>
      <w:r w:rsidRPr="00230E98">
        <w:rPr>
          <w:rFonts w:ascii="Arial" w:hAnsi="Arial"/>
          <w:sz w:val="21"/>
          <w:szCs w:val="21"/>
        </w:rPr>
        <w:t xml:space="preserve">subscrit un conveni amb el </w:t>
      </w:r>
      <w:hyperlink r:id="rId402" w:anchor="boc/iniciativa/clau/190727330601252" w:history="1">
        <w:r w:rsidRPr="00230E98">
          <w:rPr>
            <w:rStyle w:val="Hipervnculo"/>
            <w:rFonts w:ascii="Arial" w:hAnsi="Arial"/>
            <w:sz w:val="21"/>
            <w:szCs w:val="21"/>
          </w:rPr>
          <w:t>Col·legi de Registradors de la Propietat i Mercantils d'Espanya per a la consulta de la titularitat real de societats mercantils a través del Registre Mercantil</w:t>
        </w:r>
      </w:hyperlink>
      <w:r w:rsidRPr="00230E98">
        <w:rPr>
          <w:rFonts w:ascii="Arial" w:hAnsi="Arial"/>
          <w:sz w:val="21"/>
          <w:szCs w:val="21"/>
        </w:rPr>
        <w:t>. Així</w:t>
      </w:r>
      <w:r w:rsidRPr="00887D1C">
        <w:rPr>
          <w:rFonts w:ascii="Arial" w:hAnsi="Arial"/>
          <w:sz w:val="21"/>
          <w:szCs w:val="21"/>
        </w:rPr>
        <w:t xml:space="preserve">, amb aquest conveni es defineixen les condicions d'accés i característiques tècniques del servei a través del qual l'Agència accedirà a la consulta sobre la titularitat real d'entitats inscrites en els registres mercantils per mitjà de dos sistemes alternatius oferits pel Col·legi de Registradors. </w:t>
      </w:r>
    </w:p>
    <w:p w14:paraId="6417DD77" w14:textId="09EC3258" w:rsidR="00DF34F7" w:rsidRPr="00DF34F7" w:rsidRDefault="00DF34F7" w:rsidP="00887D1C">
      <w:pPr>
        <w:spacing w:after="240" w:line="276" w:lineRule="auto"/>
        <w:jc w:val="both"/>
        <w:rPr>
          <w:rFonts w:ascii="Arial" w:hAnsi="Arial"/>
          <w:sz w:val="21"/>
          <w:szCs w:val="21"/>
        </w:rPr>
      </w:pPr>
      <w:r w:rsidRPr="00DF34F7">
        <w:rPr>
          <w:rFonts w:ascii="Arial" w:hAnsi="Arial" w:cs="Arial"/>
          <w:sz w:val="21"/>
          <w:szCs w:val="21"/>
          <w:shd w:val="clear" w:color="auto" w:fill="FFFFFF"/>
        </w:rPr>
        <w:t>Finalment, en data 16 de març de 2022, l'</w:t>
      </w:r>
      <w:r w:rsidRPr="00DF34F7">
        <w:rPr>
          <w:rStyle w:val="hiddenspellerror"/>
          <w:rFonts w:ascii="Arial" w:hAnsi="Arial" w:cs="Arial"/>
          <w:sz w:val="21"/>
          <w:szCs w:val="21"/>
          <w:shd w:val="clear" w:color="auto" w:fill="FFFFFF"/>
        </w:rPr>
        <w:t>AVAF</w:t>
      </w:r>
      <w:r>
        <w:rPr>
          <w:rFonts w:ascii="Arial" w:hAnsi="Arial" w:cs="Arial"/>
          <w:sz w:val="21"/>
          <w:szCs w:val="21"/>
          <w:shd w:val="clear" w:color="auto" w:fill="FFFFFF"/>
        </w:rPr>
        <w:t xml:space="preserve"> </w:t>
      </w:r>
      <w:r w:rsidRPr="00DF34F7">
        <w:rPr>
          <w:rFonts w:ascii="Arial" w:hAnsi="Arial" w:cs="Arial"/>
          <w:sz w:val="21"/>
          <w:szCs w:val="21"/>
          <w:shd w:val="clear" w:color="auto" w:fill="FFFFFF"/>
        </w:rPr>
        <w:t xml:space="preserve">va subscriure la </w:t>
      </w:r>
      <w:hyperlink r:id="rId403" w:history="1">
        <w:r w:rsidRPr="00DF34F7">
          <w:rPr>
            <w:rStyle w:val="Hipervnculo"/>
            <w:rFonts w:ascii="Arial" w:hAnsi="Arial" w:cs="Arial"/>
            <w:sz w:val="21"/>
            <w:szCs w:val="21"/>
            <w:shd w:val="clear" w:color="auto" w:fill="FFFFFF"/>
          </w:rPr>
          <w:t>Pròrroga del Conveni marc amb l'Oficina Antifrau de Catalunya (OAC)</w:t>
        </w:r>
      </w:hyperlink>
      <w:r w:rsidRPr="00DF34F7">
        <w:rPr>
          <w:rFonts w:ascii="Arial" w:hAnsi="Arial" w:cs="Arial"/>
          <w:sz w:val="21"/>
          <w:szCs w:val="21"/>
          <w:shd w:val="clear" w:color="auto" w:fill="FFFFFF"/>
        </w:rPr>
        <w:t>, per a mantindre canal permanent de comunicació i col·laboració per a millorar l'eficàcia en el compliment d'objectius d'interés</w:t>
      </w:r>
      <w:r>
        <w:rPr>
          <w:rFonts w:ascii="Arial" w:hAnsi="Arial" w:cs="Arial"/>
          <w:sz w:val="21"/>
          <w:szCs w:val="21"/>
          <w:shd w:val="clear" w:color="auto" w:fill="FFFFFF"/>
        </w:rPr>
        <w:t xml:space="preserve"> </w:t>
      </w:r>
      <w:r w:rsidRPr="00DF34F7">
        <w:rPr>
          <w:rStyle w:val="hiddengrammarerror"/>
          <w:rFonts w:ascii="Arial" w:hAnsi="Arial" w:cs="Arial"/>
          <w:sz w:val="21"/>
          <w:szCs w:val="21"/>
          <w:shd w:val="clear" w:color="auto" w:fill="FFFFFF"/>
        </w:rPr>
        <w:t>co</w:t>
      </w:r>
      <w:r>
        <w:rPr>
          <w:rStyle w:val="hiddengrammarerror"/>
          <w:rFonts w:ascii="Arial" w:hAnsi="Arial" w:cs="Arial"/>
          <w:sz w:val="21"/>
          <w:szCs w:val="21"/>
          <w:shd w:val="clear" w:color="auto" w:fill="FFFFFF"/>
        </w:rPr>
        <w:t>mú.</w:t>
      </w:r>
    </w:p>
    <w:p w14:paraId="5E4E10DD" w14:textId="3EFB3FBE" w:rsidR="00887D1C" w:rsidRPr="00887D1C" w:rsidRDefault="00887D1C" w:rsidP="00887D1C">
      <w:pPr>
        <w:spacing w:after="240" w:line="276" w:lineRule="auto"/>
        <w:jc w:val="both"/>
        <w:rPr>
          <w:rFonts w:ascii="Arial" w:hAnsi="Arial"/>
          <w:sz w:val="21"/>
          <w:szCs w:val="21"/>
        </w:rPr>
      </w:pPr>
      <w:r w:rsidRPr="00887D1C">
        <w:rPr>
          <w:rFonts w:ascii="Arial" w:hAnsi="Arial"/>
          <w:sz w:val="21"/>
          <w:szCs w:val="21"/>
        </w:rPr>
        <w:t xml:space="preserve">Tots els convenis subscrits per l’AVAF són objecte de publicació en el </w:t>
      </w:r>
      <w:r w:rsidRPr="00887D1C">
        <w:rPr>
          <w:rFonts w:ascii="Arial" w:hAnsi="Arial"/>
          <w:i/>
          <w:iCs/>
          <w:sz w:val="21"/>
          <w:szCs w:val="21"/>
        </w:rPr>
        <w:t>Butlletí Oficial de</w:t>
      </w:r>
      <w:r w:rsidR="00470225">
        <w:rPr>
          <w:rFonts w:ascii="Arial" w:hAnsi="Arial"/>
          <w:i/>
          <w:iCs/>
          <w:sz w:val="21"/>
          <w:szCs w:val="21"/>
        </w:rPr>
        <w:t xml:space="preserve"> les</w:t>
      </w:r>
      <w:r w:rsidRPr="00887D1C">
        <w:rPr>
          <w:rFonts w:ascii="Arial" w:hAnsi="Arial"/>
          <w:i/>
          <w:iCs/>
          <w:sz w:val="21"/>
          <w:szCs w:val="21"/>
        </w:rPr>
        <w:t xml:space="preserve"> Corts Valencianes</w:t>
      </w:r>
      <w:r w:rsidRPr="00887D1C">
        <w:rPr>
          <w:rFonts w:ascii="Arial" w:hAnsi="Arial"/>
          <w:sz w:val="21"/>
          <w:szCs w:val="21"/>
        </w:rPr>
        <w:t xml:space="preserve"> (BOCV) i en el portal de transparència disponible en la seua pàgina web.</w:t>
      </w:r>
    </w:p>
    <w:p w14:paraId="6F6C4EB8" w14:textId="3B35E729" w:rsidR="00887D1C" w:rsidRPr="00887D1C" w:rsidRDefault="00DF34F7" w:rsidP="00887D1C">
      <w:pPr>
        <w:spacing w:after="240" w:line="276" w:lineRule="auto"/>
        <w:jc w:val="both"/>
        <w:rPr>
          <w:rFonts w:ascii="Arial" w:hAnsi="Arial"/>
          <w:sz w:val="21"/>
          <w:szCs w:val="21"/>
        </w:rPr>
      </w:pPr>
      <w:r w:rsidRPr="00DF34F7">
        <w:rPr>
          <w:rFonts w:ascii="Arial" w:hAnsi="Arial"/>
          <w:sz w:val="21"/>
          <w:szCs w:val="21"/>
        </w:rPr>
        <w:t>A data de tancament d'aquesta Memòria el total de convenis marc, convenis de col·laboració i protocols de col·laboració subscrits per l</w:t>
      </w:r>
      <w:r>
        <w:rPr>
          <w:rFonts w:ascii="Arial" w:hAnsi="Arial"/>
          <w:sz w:val="21"/>
          <w:szCs w:val="21"/>
        </w:rPr>
        <w:t>’</w:t>
      </w:r>
      <w:r w:rsidRPr="00DF34F7">
        <w:rPr>
          <w:rFonts w:ascii="Arial" w:hAnsi="Arial"/>
          <w:sz w:val="21"/>
          <w:szCs w:val="21"/>
        </w:rPr>
        <w:t>AVAF ascendeix a 19. Dels quals, durant 2021, s'han subscrit 7 i en el que portem de 2022 s'han subscrit a més 3</w:t>
      </w:r>
      <w:r w:rsidR="00887D1C" w:rsidRPr="00887D1C">
        <w:rPr>
          <w:rFonts w:ascii="Arial" w:hAnsi="Arial"/>
          <w:sz w:val="21"/>
          <w:szCs w:val="21"/>
        </w:rPr>
        <w:t>.</w:t>
      </w:r>
    </w:p>
    <w:p w14:paraId="2D25BF5A" w14:textId="77777777" w:rsidR="00602092" w:rsidRPr="00696142" w:rsidRDefault="00602092" w:rsidP="00602092">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24" w:name="_Toc67646251"/>
      <w:bookmarkStart w:id="125" w:name="_Toc99110711"/>
      <w:r w:rsidRPr="00696142">
        <w:rPr>
          <w:rFonts w:ascii="Arial" w:eastAsia="Times New Roman" w:hAnsi="Arial" w:cs="Arial"/>
          <w:b/>
          <w:color w:val="9D2235"/>
          <w:sz w:val="28"/>
          <w:szCs w:val="28"/>
        </w:rPr>
        <w:t>Potestat sancionadora</w:t>
      </w:r>
      <w:bookmarkEnd w:id="124"/>
      <w:bookmarkEnd w:id="125"/>
    </w:p>
    <w:p w14:paraId="2E646B36" w14:textId="77777777" w:rsidR="00602092" w:rsidRPr="00602092" w:rsidRDefault="00602092" w:rsidP="00602092">
      <w:pPr>
        <w:spacing w:after="240" w:line="276" w:lineRule="auto"/>
        <w:jc w:val="both"/>
        <w:rPr>
          <w:rFonts w:ascii="Arial" w:hAnsi="Arial"/>
          <w:sz w:val="21"/>
          <w:szCs w:val="21"/>
        </w:rPr>
      </w:pPr>
      <w:r w:rsidRPr="00602092">
        <w:rPr>
          <w:rFonts w:ascii="Arial" w:hAnsi="Arial"/>
          <w:sz w:val="21"/>
          <w:szCs w:val="21"/>
        </w:rPr>
        <w:t xml:space="preserve">Entre les potestats atribuïdes a l’AVAF, es troba la potestat sancionadora regulada en el Capítol III de la  </w:t>
      </w:r>
      <w:hyperlink r:id="rId404" w:history="1">
        <w:r w:rsidRPr="00602092">
          <w:rPr>
            <w:rStyle w:val="Hipervnculo"/>
            <w:rFonts w:ascii="Arial" w:hAnsi="Arial"/>
            <w:sz w:val="21"/>
            <w:szCs w:val="21"/>
          </w:rPr>
          <w:t>Llei 11/2016, de 28 de novembre, de la Generalitat</w:t>
        </w:r>
      </w:hyperlink>
      <w:r w:rsidRPr="00602092">
        <w:rPr>
          <w:rFonts w:ascii="Arial" w:hAnsi="Arial"/>
          <w:sz w:val="21"/>
          <w:szCs w:val="21"/>
          <w:u w:val="single"/>
        </w:rPr>
        <w:t>,</w:t>
      </w:r>
      <w:r w:rsidRPr="00602092">
        <w:rPr>
          <w:rFonts w:ascii="Arial" w:hAnsi="Arial"/>
          <w:sz w:val="21"/>
          <w:szCs w:val="21"/>
        </w:rPr>
        <w:t xml:space="preserve"> titulat “Del règim sancionador”. En concret, els articles 17 a 21 tipifiquen les infraccions, distingint entre lleus, greus i molt greus; introdueixen les sancions corresponents a les infraccions consistents en multes de 200 fins a 400.000 euros; enumeren els principis per a la seua graduació; estableixen l'aplicació supletòria de les regles del procediment administratiu comú; i atorguen la competència per a la imposició de sancions a la persona titular de la Direcció de l'Agència. És de destacar l'obligació, contemplada en la Llei 11/2016, de publicar les sancions per infraccions greus o molt greus en el </w:t>
      </w:r>
      <w:r w:rsidRPr="00602092">
        <w:rPr>
          <w:rFonts w:ascii="Arial" w:hAnsi="Arial"/>
          <w:i/>
          <w:iCs/>
          <w:sz w:val="21"/>
          <w:szCs w:val="21"/>
        </w:rPr>
        <w:t xml:space="preserve">Diari Oficial de la Generalitat Valenciana  </w:t>
      </w:r>
      <w:r w:rsidRPr="00602092">
        <w:rPr>
          <w:rFonts w:ascii="Arial" w:hAnsi="Arial"/>
          <w:sz w:val="21"/>
          <w:szCs w:val="21"/>
        </w:rPr>
        <w:t xml:space="preserve"> per a coneixement general. </w:t>
      </w:r>
    </w:p>
    <w:p w14:paraId="6E54B858" w14:textId="77777777" w:rsidR="00602092" w:rsidRPr="00602092" w:rsidRDefault="00602092" w:rsidP="00602092">
      <w:pPr>
        <w:spacing w:after="240" w:line="276" w:lineRule="auto"/>
        <w:jc w:val="both"/>
        <w:rPr>
          <w:rFonts w:ascii="Arial" w:hAnsi="Arial"/>
          <w:sz w:val="21"/>
          <w:szCs w:val="21"/>
        </w:rPr>
      </w:pPr>
      <w:r w:rsidRPr="00602092">
        <w:rPr>
          <w:rFonts w:ascii="Arial" w:hAnsi="Arial"/>
          <w:sz w:val="21"/>
          <w:szCs w:val="21"/>
        </w:rPr>
        <w:t xml:space="preserve">En desenvolupament dels esmentats preceptes, el </w:t>
      </w:r>
      <w:hyperlink r:id="rId405" w:history="1">
        <w:r w:rsidRPr="00602092">
          <w:rPr>
            <w:rStyle w:val="Hipervnculo"/>
            <w:rFonts w:ascii="Arial" w:hAnsi="Arial"/>
            <w:sz w:val="21"/>
            <w:szCs w:val="21"/>
          </w:rPr>
          <w:t>Reglament de funcionament i règim interior de l'Agència</w:t>
        </w:r>
      </w:hyperlink>
      <w:r w:rsidRPr="00602092">
        <w:rPr>
          <w:rFonts w:ascii="Arial" w:hAnsi="Arial"/>
          <w:sz w:val="21"/>
          <w:szCs w:val="21"/>
        </w:rPr>
        <w:t xml:space="preserve"> desenvolupa el procediment sancionador en el seu títol VIII (articles 49 a 57), que contempla els principis procedimentals, la regulació de les actuacions prèvies i de l'adopció de l'acord d'iniciació del procediment, la possibilitat d'adoptar mesures de caràcter provisional, la instrucció, la proposta de resolució i audiència, la resolució del procediment i els seus efectes i la ejecutoriedad, i també la possibilitat de realitzar una tramitació simplificada en cas d'infraccions lleus.</w:t>
      </w:r>
    </w:p>
    <w:p w14:paraId="4744DD7F" w14:textId="77777777" w:rsidR="00602092" w:rsidRPr="00602092" w:rsidRDefault="00602092" w:rsidP="00602092">
      <w:pPr>
        <w:spacing w:after="240" w:line="276" w:lineRule="auto"/>
        <w:jc w:val="both"/>
        <w:rPr>
          <w:rFonts w:ascii="Arial" w:hAnsi="Arial"/>
          <w:sz w:val="21"/>
          <w:szCs w:val="21"/>
        </w:rPr>
      </w:pPr>
      <w:r w:rsidRPr="00602092">
        <w:rPr>
          <w:rFonts w:ascii="Arial" w:hAnsi="Arial"/>
          <w:sz w:val="21"/>
          <w:szCs w:val="21"/>
        </w:rPr>
        <w:t>Aquesta potestat sancionadora queda clarament diferenciada de la potestat disciplinària, inclosa en la normativa administrativa del nostre ordenament jurídic i que resulta plenament respectada en la Llei 11/2016, que dissenya un sistema en què la potestat sancionadora és exercida per la  pròpia Agència, mentre que en supòsits en què aquesta aprecie responsabilitat disciplinària es remeten les actuacions, d'acord igualment amb la Llei 11/2016, a l'administració titular de tal potestat disciplinària. L'una i l'altra, constitueixen òbviament règims diferents i diferenciats. Aquesta dualitat ve establida amb rang legal en el vigent article 25 de la Llei 40/2015, que distingeix entra la potestat sancionadora de les Administracions Públiques i la potestat disciplinària respecte del personal al seu servei.</w:t>
      </w:r>
    </w:p>
    <w:p w14:paraId="62BA8FB8" w14:textId="77777777" w:rsidR="00602092" w:rsidRPr="00602092" w:rsidRDefault="00602092" w:rsidP="00602092">
      <w:pPr>
        <w:spacing w:after="240" w:line="276" w:lineRule="auto"/>
        <w:jc w:val="both"/>
        <w:rPr>
          <w:rFonts w:ascii="Arial" w:hAnsi="Arial"/>
          <w:sz w:val="21"/>
          <w:szCs w:val="21"/>
        </w:rPr>
      </w:pPr>
      <w:r w:rsidRPr="00602092">
        <w:rPr>
          <w:rFonts w:ascii="Arial" w:hAnsi="Arial"/>
          <w:sz w:val="21"/>
          <w:szCs w:val="21"/>
        </w:rPr>
        <w:t>L'objectiu de la potestat sancionadora és garantir el compliment efectiu de l'ordre jurídic vigent, en concret de la Llei 11/2016, mitjançant la possibilitat d'imposar sancions a aquells responsables que impedeixen la repressió d'actuacions i omissions que contravenen la legalitat jurídica, com són la realització de filtracions en procediments d'investigació, la presentació de denúncies falses o la falta del deure de col·laborar amb l'Agència en procediments d'investigació, traduïda en obstacles a les seues actuacions, la negativa a proporcionar informació, el retard en el lliurament o l'aportació de documentació incompleta, així com l'incompliment de les mesures de protecció de les persones denunciants.</w:t>
      </w:r>
    </w:p>
    <w:p w14:paraId="6E3E3C74" w14:textId="77777777" w:rsidR="00602092" w:rsidRPr="00602092" w:rsidRDefault="00602092" w:rsidP="00602092">
      <w:pPr>
        <w:spacing w:after="240" w:line="276" w:lineRule="auto"/>
        <w:jc w:val="both"/>
        <w:rPr>
          <w:rFonts w:ascii="Arial" w:hAnsi="Arial"/>
          <w:sz w:val="21"/>
          <w:szCs w:val="21"/>
        </w:rPr>
      </w:pPr>
      <w:r w:rsidRPr="00602092">
        <w:rPr>
          <w:rFonts w:ascii="Arial" w:hAnsi="Arial"/>
          <w:sz w:val="21"/>
          <w:szCs w:val="21"/>
        </w:rPr>
        <w:t>La Llei 11/2016 recull com a possibles responsables a les persones físiques o jurídiques, qualsevol que siga la seua naturalesa, i les autoritats, directius i el personal al servei de les entitats previstes en l'article 3 de la citada Llei (àmbit subjectiu d'actuació de l’AVAF), que realitzen accions o que incórreguen en les omissions tipificades en aquesta Llei, amb dol, culpa o negligència, fins i tot a títol de simple inobservança.</w:t>
      </w:r>
    </w:p>
    <w:p w14:paraId="3AB9703C" w14:textId="77777777" w:rsidR="00602092" w:rsidRPr="00602092" w:rsidRDefault="00602092" w:rsidP="00602092">
      <w:pPr>
        <w:spacing w:after="240" w:line="276" w:lineRule="auto"/>
        <w:jc w:val="both"/>
        <w:rPr>
          <w:rFonts w:ascii="Arial" w:hAnsi="Arial"/>
          <w:sz w:val="21"/>
          <w:szCs w:val="21"/>
        </w:rPr>
      </w:pPr>
      <w:r w:rsidRPr="00602092">
        <w:rPr>
          <w:rFonts w:ascii="Arial" w:hAnsi="Arial"/>
          <w:sz w:val="21"/>
          <w:szCs w:val="21"/>
        </w:rPr>
        <w:t>L'article 17 de la Llei 11/2016, precepte que emmarca el règim sancionador, assenyala que correspondrà la imposició de sancions quan en les accions o omissions dels actes típics de la infracció s'incórrega en dol, culpa o negligència. En conseqüència, aquestes actuacions o omissions han de ser contràries als principis de l'ordenament jurídic constituint una realització arbitrària del Dret Administratiu. A tall d'exemple, desatendre requeriments d'informació realitzats amb empara en una norma legal vigent, com ho és la Llei 11/2016, suposa desobeir la mateixa, i amb això l'Estat de Dret que emana de la Constitució.</w:t>
      </w:r>
    </w:p>
    <w:p w14:paraId="3CED376F" w14:textId="6DA32384" w:rsidR="00696142" w:rsidRPr="00696142" w:rsidRDefault="00CC55E2" w:rsidP="00602092">
      <w:pPr>
        <w:spacing w:after="240" w:line="276" w:lineRule="auto"/>
        <w:jc w:val="both"/>
        <w:rPr>
          <w:rFonts w:ascii="Arial" w:hAnsi="Arial"/>
          <w:sz w:val="21"/>
          <w:szCs w:val="21"/>
        </w:rPr>
      </w:pPr>
      <w:r>
        <w:rPr>
          <w:rFonts w:ascii="Arial" w:eastAsia="SimSun" w:hAnsi="Arial" w:cs="Arial"/>
          <w:kern w:val="2"/>
          <w:sz w:val="21"/>
          <w:szCs w:val="21"/>
          <w:lang w:eastAsia="zh-CN" w:bidi="hi-IN"/>
        </w:rPr>
        <w:t>Durant 2021, l'Agència ha hagut d'incoar i tramitar un procediment sancionador, que ha donat lloc a la imposició d'una sanció per infracció greu a un secretari municipal de l'Administració Local. La resolució sancionadora ha sigut objecte de recurs contenciós administratiu, al qual s'ha addicionat una sol·licitud de mesura cautelar, consistent en què no es publique en el Diari Oficial de la Generalitat Valenciana la sanció imposada. A data de publicació d'aquesta Memòria la indicada mesura cautelar es troba pendent d'enjudiciament, raó per la qual no procedeix, fins que l'òrgan judicial resolga la mateixa, especificar més detalls d'aquest expedient sancionador, respecte del qual, en el seu cas, s'adonarà en la pròxima Memòria d'activitats, si bé es destaca que aquest expedient es va incoar per incompliment de l'article 7 de la Llei 1/2016, que recull el deure de col·laboració amb l'Agència, en relació amb la infracció greu contemplada en l'article 18.1.a), negar-se injustificadament a l'enviament de la informació requerida per l’AVAF, i amb imposició de multa de 5.000 euros conforme a l'article 19.1.2, i publicació en el Diari Oficial de la Generalitat Valenciana.</w:t>
      </w:r>
    </w:p>
    <w:p w14:paraId="7080AE71" w14:textId="77777777" w:rsidR="00602092" w:rsidRPr="00602092" w:rsidRDefault="00602092" w:rsidP="00602092">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26" w:name="_Toc67646252"/>
      <w:bookmarkStart w:id="127" w:name="_Toc99110712"/>
      <w:r w:rsidRPr="00602092">
        <w:rPr>
          <w:rFonts w:ascii="Arial" w:eastAsia="Times New Roman" w:hAnsi="Arial" w:cs="Arial"/>
          <w:b/>
          <w:color w:val="9D2235"/>
          <w:sz w:val="28"/>
          <w:szCs w:val="28"/>
        </w:rPr>
        <w:t>Procediments judicials</w:t>
      </w:r>
      <w:bookmarkEnd w:id="126"/>
      <w:bookmarkEnd w:id="127"/>
    </w:p>
    <w:p w14:paraId="0C81F0B7" w14:textId="77777777" w:rsidR="00602092" w:rsidRPr="00602092" w:rsidRDefault="00602092" w:rsidP="00602092">
      <w:pPr>
        <w:spacing w:after="240" w:line="276" w:lineRule="auto"/>
        <w:jc w:val="both"/>
        <w:rPr>
          <w:rFonts w:ascii="Arial" w:hAnsi="Arial"/>
          <w:sz w:val="21"/>
          <w:szCs w:val="21"/>
        </w:rPr>
      </w:pPr>
      <w:r w:rsidRPr="00602092">
        <w:rPr>
          <w:rFonts w:ascii="Arial" w:hAnsi="Arial"/>
          <w:sz w:val="21"/>
          <w:szCs w:val="21"/>
        </w:rPr>
        <w:t xml:space="preserve">A conseqüència de la impugnació efectuada per diferents persones físiques o jurídiques d'algunes de les actuacions i resolucions realitzades per l’AVAF en l'exercici de les seues funcions, aquesta ha hagut de defensar-se en diferents </w:t>
      </w:r>
      <w:r w:rsidRPr="00602092">
        <w:rPr>
          <w:rFonts w:ascii="Arial" w:hAnsi="Arial"/>
          <w:b/>
          <w:bCs/>
          <w:sz w:val="21"/>
          <w:szCs w:val="21"/>
        </w:rPr>
        <w:t xml:space="preserve">procediments judicials. </w:t>
      </w:r>
      <w:r w:rsidRPr="00602092">
        <w:rPr>
          <w:rFonts w:ascii="Arial" w:hAnsi="Arial"/>
          <w:sz w:val="21"/>
          <w:szCs w:val="21"/>
        </w:rPr>
        <w:t>En aquests, l'Agència ha comparegut en les actuacions com a part demandada, presentant els corresponents escrits processals i realitzant les actuacions oportunes en defensa de la validesa dels actes recorreguts.</w:t>
      </w:r>
    </w:p>
    <w:p w14:paraId="6FFC41CB" w14:textId="77777777" w:rsidR="00602092" w:rsidRPr="00602092" w:rsidRDefault="00602092" w:rsidP="00602092">
      <w:pPr>
        <w:spacing w:after="240" w:line="276" w:lineRule="auto"/>
        <w:jc w:val="both"/>
        <w:rPr>
          <w:rFonts w:ascii="Arial" w:hAnsi="Arial"/>
          <w:sz w:val="21"/>
          <w:szCs w:val="21"/>
        </w:rPr>
      </w:pPr>
      <w:bookmarkStart w:id="128" w:name="_Hlk65153946"/>
      <w:r w:rsidRPr="00602092">
        <w:rPr>
          <w:rFonts w:ascii="Arial" w:hAnsi="Arial"/>
          <w:sz w:val="21"/>
          <w:szCs w:val="21"/>
        </w:rPr>
        <w:t>Respecte a les gestions i mitjans electrònics per a agilitar la tramitació en via judicial, l'Agència disposa del sistema de gestió de notificacions telemàtiques i enviament d'escrits desenvolupat pel Ministeri de Justícia (</w:t>
      </w:r>
      <w:hyperlink r:id="rId406" w:history="1">
        <w:r w:rsidRPr="00602092">
          <w:rPr>
            <w:rStyle w:val="Hipervnculo"/>
            <w:rFonts w:ascii="Arial" w:hAnsi="Arial"/>
            <w:sz w:val="21"/>
            <w:szCs w:val="21"/>
          </w:rPr>
          <w:t>LexNET</w:t>
        </w:r>
      </w:hyperlink>
      <w:r w:rsidRPr="00602092">
        <w:rPr>
          <w:rFonts w:ascii="Arial" w:hAnsi="Arial"/>
          <w:sz w:val="21"/>
          <w:szCs w:val="21"/>
        </w:rPr>
        <w:t>), l'ús del qual es troba regulat en el Reial decret 84/2007, de 26 de gener, sobre implantació en l'Administració de Justícia del sistema informàtic de telecomunicacions Lexnet per a la presentació d'escrits i documents, el trasllat de còpies i la realització d'actes de comunicació processal per mitjans telemàtics</w:t>
      </w:r>
      <w:r w:rsidRPr="00602092">
        <w:rPr>
          <w:rFonts w:ascii="Arial" w:hAnsi="Arial"/>
          <w:b/>
          <w:bCs/>
          <w:sz w:val="21"/>
          <w:szCs w:val="21"/>
        </w:rPr>
        <w:t>.</w:t>
      </w:r>
    </w:p>
    <w:bookmarkEnd w:id="128"/>
    <w:p w14:paraId="5B8AD9F1" w14:textId="3B74F41E" w:rsidR="005A5339" w:rsidRDefault="00602092" w:rsidP="00602092">
      <w:pPr>
        <w:spacing w:after="240" w:line="276" w:lineRule="auto"/>
        <w:jc w:val="both"/>
        <w:rPr>
          <w:rFonts w:ascii="Arial" w:hAnsi="Arial"/>
          <w:sz w:val="21"/>
          <w:szCs w:val="21"/>
        </w:rPr>
      </w:pPr>
      <w:r w:rsidRPr="00602092">
        <w:rPr>
          <w:rFonts w:ascii="Arial" w:hAnsi="Arial"/>
          <w:sz w:val="21"/>
          <w:szCs w:val="21"/>
        </w:rPr>
        <w:t>Els procediments judicials que han sigut tramitats i resolts durant 2021 o que es troben en tramitació a 31 de desembre es concreten de forma resumida en la següent taula:</w:t>
      </w:r>
    </w:p>
    <w:p w14:paraId="09FCACBF" w14:textId="3D7BDF6C" w:rsidR="00602092" w:rsidRDefault="00602092" w:rsidP="004C3F07">
      <w:pPr>
        <w:spacing w:after="240" w:line="276" w:lineRule="auto"/>
        <w:jc w:val="both"/>
        <w:rPr>
          <w:rFonts w:ascii="Arial" w:hAnsi="Arial"/>
          <w:sz w:val="21"/>
          <w:szCs w:val="21"/>
        </w:rPr>
      </w:pPr>
    </w:p>
    <w:p w14:paraId="54370960" w14:textId="5E6F8B3A" w:rsidR="00602092" w:rsidRDefault="00602092" w:rsidP="004C3F07">
      <w:pPr>
        <w:spacing w:after="240" w:line="276" w:lineRule="auto"/>
        <w:jc w:val="both"/>
        <w:rPr>
          <w:rFonts w:ascii="Arial" w:hAnsi="Arial"/>
          <w:sz w:val="21"/>
          <w:szCs w:val="21"/>
        </w:rPr>
      </w:pPr>
    </w:p>
    <w:p w14:paraId="4D5471E9" w14:textId="13139FE6" w:rsidR="00602092" w:rsidRPr="00602092" w:rsidRDefault="00602092" w:rsidP="00602092">
      <w:pPr>
        <w:pStyle w:val="Descripcin"/>
        <w:keepNext/>
        <w:rPr>
          <w:rFonts w:ascii="Arial" w:hAnsi="Arial" w:cs="Arial"/>
          <w:smallCaps w:val="0"/>
          <w:sz w:val="18"/>
          <w:szCs w:val="18"/>
        </w:rPr>
      </w:pPr>
      <w:bookmarkStart w:id="129" w:name="_Toc99110852"/>
      <w:r w:rsidRPr="00602092">
        <w:rPr>
          <w:rFonts w:ascii="Arial" w:hAnsi="Arial" w:cs="Arial"/>
          <w:smallCaps w:val="0"/>
          <w:color w:val="9D2235" w:themeColor="accent1"/>
          <w:sz w:val="18"/>
          <w:szCs w:val="18"/>
        </w:rPr>
        <w:t xml:space="preserve">Taula </w:t>
      </w:r>
      <w:r w:rsidRPr="00602092">
        <w:rPr>
          <w:rFonts w:ascii="Arial" w:hAnsi="Arial" w:cs="Arial"/>
          <w:smallCaps w:val="0"/>
          <w:color w:val="9D2235" w:themeColor="accent1"/>
          <w:sz w:val="18"/>
          <w:szCs w:val="18"/>
        </w:rPr>
        <w:fldChar w:fldCharType="begin" w:fldLock="1"/>
      </w:r>
      <w:r w:rsidRPr="00602092">
        <w:rPr>
          <w:rFonts w:ascii="Arial" w:hAnsi="Arial" w:cs="Arial"/>
          <w:smallCaps w:val="0"/>
          <w:color w:val="9D2235" w:themeColor="accent1"/>
          <w:sz w:val="18"/>
          <w:szCs w:val="18"/>
        </w:rPr>
        <w:instrText xml:space="preserve"> SEQ Taula \* ARABIC </w:instrText>
      </w:r>
      <w:r w:rsidRPr="00602092">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7</w:t>
      </w:r>
      <w:r w:rsidRPr="00602092">
        <w:rPr>
          <w:rFonts w:ascii="Arial" w:hAnsi="Arial" w:cs="Arial"/>
          <w:smallCaps w:val="0"/>
          <w:color w:val="9D2235" w:themeColor="accent1"/>
          <w:sz w:val="18"/>
          <w:szCs w:val="18"/>
        </w:rPr>
        <w:fldChar w:fldCharType="end"/>
      </w:r>
      <w:r w:rsidRPr="00602092">
        <w:rPr>
          <w:rFonts w:ascii="Arial" w:hAnsi="Arial" w:cs="Arial"/>
          <w:smallCaps w:val="0"/>
          <w:color w:val="9D2235" w:themeColor="accent1"/>
          <w:sz w:val="18"/>
          <w:szCs w:val="18"/>
        </w:rPr>
        <w:t xml:space="preserve">. </w:t>
      </w:r>
      <w:r w:rsidRPr="00602092">
        <w:rPr>
          <w:rFonts w:ascii="Arial" w:hAnsi="Arial" w:cs="Arial"/>
          <w:smallCaps w:val="0"/>
          <w:sz w:val="18"/>
          <w:szCs w:val="18"/>
        </w:rPr>
        <w:t>Procediments judicials</w:t>
      </w:r>
      <w:bookmarkEnd w:id="129"/>
    </w:p>
    <w:tbl>
      <w:tblPr>
        <w:tblW w:w="5000" w:type="pct"/>
        <w:tblCellMar>
          <w:left w:w="70" w:type="dxa"/>
          <w:right w:w="70" w:type="dxa"/>
        </w:tblCellMar>
        <w:tblLook w:val="04A0" w:firstRow="1" w:lastRow="0" w:firstColumn="1" w:lastColumn="0" w:noHBand="0" w:noVBand="1"/>
      </w:tblPr>
      <w:tblGrid>
        <w:gridCol w:w="502"/>
        <w:gridCol w:w="1002"/>
        <w:gridCol w:w="1235"/>
        <w:gridCol w:w="1566"/>
        <w:gridCol w:w="2352"/>
        <w:gridCol w:w="1847"/>
      </w:tblGrid>
      <w:tr w:rsidR="00602092" w:rsidRPr="00602092" w14:paraId="763842C7" w14:textId="77777777" w:rsidTr="00602092">
        <w:trPr>
          <w:trHeight w:val="462"/>
        </w:trPr>
        <w:tc>
          <w:tcPr>
            <w:tcW w:w="295" w:type="pct"/>
            <w:tcBorders>
              <w:top w:val="nil"/>
              <w:left w:val="nil"/>
              <w:right w:val="nil"/>
            </w:tcBorders>
            <w:shd w:val="clear" w:color="auto" w:fill="auto"/>
            <w:vAlign w:val="center"/>
            <w:hideMark/>
          </w:tcPr>
          <w:p w14:paraId="313A3722" w14:textId="77777777" w:rsidR="00602092" w:rsidRPr="00602092" w:rsidRDefault="00602092" w:rsidP="00602092">
            <w:pPr>
              <w:spacing w:after="0" w:line="240" w:lineRule="auto"/>
              <w:jc w:val="center"/>
              <w:rPr>
                <w:rFonts w:ascii="Arial" w:eastAsia="Times New Roman" w:hAnsi="Arial" w:cs="Arial"/>
                <w:b/>
                <w:bCs/>
                <w:color w:val="9D2235"/>
                <w:sz w:val="12"/>
                <w:szCs w:val="12"/>
                <w:lang w:eastAsia="es-ES"/>
              </w:rPr>
            </w:pPr>
            <w:r w:rsidRPr="00602092">
              <w:rPr>
                <w:rFonts w:ascii="Arial" w:eastAsia="Times New Roman" w:hAnsi="Arial" w:cs="Arial"/>
                <w:b/>
                <w:bCs/>
                <w:color w:val="9D2235"/>
                <w:sz w:val="12"/>
                <w:szCs w:val="12"/>
                <w:lang w:eastAsia="es-ES"/>
              </w:rPr>
              <w:t>Expte. AVAF</w:t>
            </w:r>
          </w:p>
        </w:tc>
        <w:tc>
          <w:tcPr>
            <w:tcW w:w="589" w:type="pct"/>
            <w:tcBorders>
              <w:top w:val="nil"/>
              <w:left w:val="nil"/>
              <w:right w:val="nil"/>
            </w:tcBorders>
            <w:shd w:val="clear" w:color="auto" w:fill="auto"/>
            <w:vAlign w:val="center"/>
            <w:hideMark/>
          </w:tcPr>
          <w:p w14:paraId="2161E3D4" w14:textId="77777777" w:rsidR="00602092" w:rsidRPr="00602092" w:rsidRDefault="00602092" w:rsidP="00602092">
            <w:pPr>
              <w:spacing w:after="0" w:line="240" w:lineRule="auto"/>
              <w:jc w:val="center"/>
              <w:rPr>
                <w:rFonts w:ascii="Arial" w:eastAsia="Times New Roman" w:hAnsi="Arial" w:cs="Arial"/>
                <w:b/>
                <w:bCs/>
                <w:color w:val="9D2235"/>
                <w:sz w:val="12"/>
                <w:szCs w:val="12"/>
                <w:lang w:eastAsia="es-ES"/>
              </w:rPr>
            </w:pPr>
            <w:r w:rsidRPr="00602092">
              <w:rPr>
                <w:rFonts w:ascii="Arial" w:eastAsia="Times New Roman" w:hAnsi="Arial" w:cs="Arial"/>
                <w:b/>
                <w:bCs/>
                <w:color w:val="9D2235"/>
                <w:sz w:val="12"/>
                <w:szCs w:val="12"/>
                <w:lang w:eastAsia="es-ES"/>
              </w:rPr>
              <w:t>Demandant</w:t>
            </w:r>
          </w:p>
        </w:tc>
        <w:tc>
          <w:tcPr>
            <w:tcW w:w="726" w:type="pct"/>
            <w:tcBorders>
              <w:top w:val="nil"/>
              <w:left w:val="nil"/>
              <w:right w:val="nil"/>
            </w:tcBorders>
            <w:shd w:val="clear" w:color="auto" w:fill="auto"/>
            <w:vAlign w:val="center"/>
            <w:hideMark/>
          </w:tcPr>
          <w:p w14:paraId="436E0106" w14:textId="77777777" w:rsidR="00602092" w:rsidRPr="00602092" w:rsidRDefault="00602092" w:rsidP="00602092">
            <w:pPr>
              <w:spacing w:after="0" w:line="240" w:lineRule="auto"/>
              <w:jc w:val="center"/>
              <w:rPr>
                <w:rFonts w:ascii="Arial" w:eastAsia="Times New Roman" w:hAnsi="Arial" w:cs="Arial"/>
                <w:b/>
                <w:bCs/>
                <w:color w:val="9D2235"/>
                <w:sz w:val="12"/>
                <w:szCs w:val="12"/>
                <w:lang w:eastAsia="es-ES"/>
              </w:rPr>
            </w:pPr>
            <w:r w:rsidRPr="00602092">
              <w:rPr>
                <w:rFonts w:ascii="Arial" w:eastAsia="Times New Roman" w:hAnsi="Arial" w:cs="Arial"/>
                <w:b/>
                <w:bCs/>
                <w:color w:val="9D2235"/>
                <w:sz w:val="12"/>
                <w:szCs w:val="12"/>
                <w:lang w:eastAsia="es-ES"/>
              </w:rPr>
              <w:t>Procediment judicial</w:t>
            </w:r>
          </w:p>
        </w:tc>
        <w:tc>
          <w:tcPr>
            <w:tcW w:w="921" w:type="pct"/>
            <w:tcBorders>
              <w:top w:val="nil"/>
              <w:left w:val="nil"/>
              <w:right w:val="nil"/>
            </w:tcBorders>
            <w:shd w:val="clear" w:color="auto" w:fill="auto"/>
            <w:vAlign w:val="center"/>
            <w:hideMark/>
          </w:tcPr>
          <w:p w14:paraId="6E2A282E" w14:textId="77777777" w:rsidR="00602092" w:rsidRPr="00602092" w:rsidRDefault="00602092" w:rsidP="00602092">
            <w:pPr>
              <w:spacing w:after="0" w:line="240" w:lineRule="auto"/>
              <w:jc w:val="center"/>
              <w:rPr>
                <w:rFonts w:ascii="Arial" w:eastAsia="Times New Roman" w:hAnsi="Arial" w:cs="Arial"/>
                <w:b/>
                <w:bCs/>
                <w:color w:val="9D2235"/>
                <w:sz w:val="12"/>
                <w:szCs w:val="12"/>
                <w:lang w:eastAsia="es-ES"/>
              </w:rPr>
            </w:pPr>
            <w:r w:rsidRPr="00602092">
              <w:rPr>
                <w:rFonts w:ascii="Arial" w:eastAsia="Times New Roman" w:hAnsi="Arial" w:cs="Arial"/>
                <w:b/>
                <w:bCs/>
                <w:color w:val="9D2235"/>
                <w:sz w:val="12"/>
                <w:szCs w:val="12"/>
                <w:lang w:eastAsia="es-ES"/>
              </w:rPr>
              <w:t>Òrgan judicial</w:t>
            </w:r>
          </w:p>
        </w:tc>
        <w:tc>
          <w:tcPr>
            <w:tcW w:w="1383" w:type="pct"/>
            <w:tcBorders>
              <w:top w:val="nil"/>
              <w:left w:val="nil"/>
              <w:right w:val="nil"/>
            </w:tcBorders>
            <w:shd w:val="clear" w:color="auto" w:fill="auto"/>
            <w:vAlign w:val="center"/>
            <w:hideMark/>
          </w:tcPr>
          <w:p w14:paraId="62546738" w14:textId="77777777" w:rsidR="00602092" w:rsidRPr="00602092" w:rsidRDefault="00602092" w:rsidP="00602092">
            <w:pPr>
              <w:spacing w:after="0" w:line="240" w:lineRule="auto"/>
              <w:jc w:val="center"/>
              <w:rPr>
                <w:rFonts w:ascii="Arial" w:eastAsia="Times New Roman" w:hAnsi="Arial" w:cs="Arial"/>
                <w:b/>
                <w:bCs/>
                <w:color w:val="9D2235"/>
                <w:sz w:val="12"/>
                <w:szCs w:val="12"/>
                <w:lang w:eastAsia="es-ES"/>
              </w:rPr>
            </w:pPr>
            <w:r w:rsidRPr="00602092">
              <w:rPr>
                <w:rFonts w:ascii="Arial" w:eastAsia="Times New Roman" w:hAnsi="Arial" w:cs="Arial"/>
                <w:b/>
                <w:bCs/>
                <w:color w:val="9D2235"/>
                <w:sz w:val="12"/>
                <w:szCs w:val="12"/>
                <w:lang w:eastAsia="es-ES"/>
              </w:rPr>
              <w:t>Objecte del recurs</w:t>
            </w:r>
          </w:p>
        </w:tc>
        <w:tc>
          <w:tcPr>
            <w:tcW w:w="1087" w:type="pct"/>
            <w:tcBorders>
              <w:top w:val="nil"/>
              <w:left w:val="nil"/>
              <w:right w:val="nil"/>
            </w:tcBorders>
            <w:shd w:val="clear" w:color="auto" w:fill="auto"/>
            <w:vAlign w:val="center"/>
            <w:hideMark/>
          </w:tcPr>
          <w:p w14:paraId="5B08A895" w14:textId="77777777" w:rsidR="00602092" w:rsidRPr="00602092" w:rsidRDefault="00602092" w:rsidP="00602092">
            <w:pPr>
              <w:spacing w:after="0" w:line="240" w:lineRule="auto"/>
              <w:jc w:val="center"/>
              <w:rPr>
                <w:rFonts w:ascii="Arial" w:eastAsia="Times New Roman" w:hAnsi="Arial" w:cs="Arial"/>
                <w:b/>
                <w:bCs/>
                <w:color w:val="9D2235"/>
                <w:sz w:val="12"/>
                <w:szCs w:val="12"/>
                <w:lang w:eastAsia="es-ES"/>
              </w:rPr>
            </w:pPr>
            <w:r w:rsidRPr="00602092">
              <w:rPr>
                <w:rFonts w:ascii="Arial" w:eastAsia="Times New Roman" w:hAnsi="Arial" w:cs="Arial"/>
                <w:b/>
                <w:bCs/>
                <w:color w:val="9D2235"/>
                <w:sz w:val="12"/>
                <w:szCs w:val="12"/>
                <w:lang w:eastAsia="es-ES"/>
              </w:rPr>
              <w:t>Estat</w:t>
            </w:r>
          </w:p>
        </w:tc>
      </w:tr>
      <w:tr w:rsidR="00602092" w:rsidRPr="00602092" w14:paraId="0512E783" w14:textId="77777777" w:rsidTr="00602092">
        <w:trPr>
          <w:trHeight w:val="675"/>
        </w:trPr>
        <w:tc>
          <w:tcPr>
            <w:tcW w:w="295" w:type="pct"/>
            <w:tcBorders>
              <w:left w:val="nil"/>
              <w:bottom w:val="nil"/>
              <w:right w:val="nil"/>
            </w:tcBorders>
            <w:shd w:val="clear" w:color="auto" w:fill="D9D9D9"/>
            <w:vAlign w:val="center"/>
            <w:hideMark/>
          </w:tcPr>
          <w:p w14:paraId="6766C6A6" w14:textId="77777777" w:rsidR="00602092" w:rsidRPr="00602092" w:rsidRDefault="00602092" w:rsidP="00602092">
            <w:pPr>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4-2019 i 5-2019</w:t>
            </w:r>
          </w:p>
        </w:tc>
        <w:tc>
          <w:tcPr>
            <w:tcW w:w="589" w:type="pct"/>
            <w:tcBorders>
              <w:left w:val="nil"/>
              <w:bottom w:val="nil"/>
              <w:right w:val="nil"/>
            </w:tcBorders>
            <w:shd w:val="clear" w:color="auto" w:fill="D9D9D9"/>
            <w:vAlign w:val="center"/>
            <w:hideMark/>
          </w:tcPr>
          <w:p w14:paraId="6CDFBFF8"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AJUNTAMENT DE LOS MONTESINOS I ALCALDE</w:t>
            </w:r>
          </w:p>
        </w:tc>
        <w:tc>
          <w:tcPr>
            <w:tcW w:w="726" w:type="pct"/>
            <w:tcBorders>
              <w:left w:val="nil"/>
              <w:bottom w:val="nil"/>
              <w:right w:val="nil"/>
            </w:tcBorders>
            <w:shd w:val="clear" w:color="auto" w:fill="D9D9D9"/>
            <w:vAlign w:val="center"/>
            <w:hideMark/>
          </w:tcPr>
          <w:p w14:paraId="5ED47BFC"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ordinari 99-2019 acumulat al Procediment Ordinari 427-2018</w:t>
            </w:r>
          </w:p>
        </w:tc>
        <w:tc>
          <w:tcPr>
            <w:tcW w:w="921" w:type="pct"/>
            <w:tcBorders>
              <w:left w:val="nil"/>
              <w:bottom w:val="nil"/>
              <w:right w:val="nil"/>
            </w:tcBorders>
            <w:shd w:val="clear" w:color="auto" w:fill="D9D9D9"/>
            <w:vAlign w:val="center"/>
            <w:hideMark/>
          </w:tcPr>
          <w:p w14:paraId="18A56C29"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Tribunal Superior de Justícia Comunitat Valenciana, Sala contenciosa administrativa, Secció Quarta</w:t>
            </w:r>
          </w:p>
        </w:tc>
        <w:tc>
          <w:tcPr>
            <w:tcW w:w="1383" w:type="pct"/>
            <w:tcBorders>
              <w:left w:val="nil"/>
              <w:bottom w:val="nil"/>
              <w:right w:val="nil"/>
            </w:tcBorders>
            <w:shd w:val="clear" w:color="auto" w:fill="D9D9D9"/>
            <w:vAlign w:val="center"/>
            <w:hideMark/>
          </w:tcPr>
          <w:p w14:paraId="1D330CCE"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Resolució per la qual s'acorda atorgar l'estatut de protecció de persona denunciant</w:t>
            </w:r>
          </w:p>
        </w:tc>
        <w:tc>
          <w:tcPr>
            <w:tcW w:w="1087" w:type="pct"/>
            <w:tcBorders>
              <w:left w:val="nil"/>
              <w:bottom w:val="nil"/>
              <w:right w:val="nil"/>
            </w:tcBorders>
            <w:shd w:val="clear" w:color="auto" w:fill="D9D9D9"/>
            <w:vAlign w:val="center"/>
            <w:hideMark/>
          </w:tcPr>
          <w:p w14:paraId="4A7EFF3F"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Sentència núm. 574/2021, de 16 de novembre (no signe). Recorreguda mitjançant interposició de recurs de cassació estatal i autonòmic</w:t>
            </w:r>
          </w:p>
        </w:tc>
      </w:tr>
      <w:tr w:rsidR="00602092" w:rsidRPr="00602092" w14:paraId="6CC5030B" w14:textId="77777777" w:rsidTr="00602092">
        <w:trPr>
          <w:trHeight w:val="450"/>
        </w:trPr>
        <w:tc>
          <w:tcPr>
            <w:tcW w:w="295" w:type="pct"/>
            <w:tcBorders>
              <w:top w:val="nil"/>
              <w:left w:val="nil"/>
              <w:right w:val="nil"/>
            </w:tcBorders>
            <w:shd w:val="clear" w:color="auto" w:fill="FFFFFF"/>
            <w:vAlign w:val="center"/>
            <w:hideMark/>
          </w:tcPr>
          <w:p w14:paraId="414834FA" w14:textId="77777777" w:rsidR="00602092" w:rsidRPr="00602092" w:rsidRDefault="00602092" w:rsidP="00602092">
            <w:pPr>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7-2019</w:t>
            </w:r>
          </w:p>
        </w:tc>
        <w:tc>
          <w:tcPr>
            <w:tcW w:w="589" w:type="pct"/>
            <w:tcBorders>
              <w:top w:val="nil"/>
              <w:left w:val="nil"/>
              <w:right w:val="nil"/>
            </w:tcBorders>
            <w:shd w:val="clear" w:color="auto" w:fill="FFFFFF"/>
            <w:vAlign w:val="center"/>
            <w:hideMark/>
          </w:tcPr>
          <w:p w14:paraId="0A2530FE"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FUNCIONARI/A</w:t>
            </w:r>
          </w:p>
        </w:tc>
        <w:tc>
          <w:tcPr>
            <w:tcW w:w="726" w:type="pct"/>
            <w:tcBorders>
              <w:top w:val="nil"/>
              <w:left w:val="nil"/>
              <w:right w:val="nil"/>
            </w:tcBorders>
            <w:shd w:val="clear" w:color="auto" w:fill="FFFFFF"/>
            <w:vAlign w:val="center"/>
            <w:hideMark/>
          </w:tcPr>
          <w:p w14:paraId="4FD52F67"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abreujat 305-2020</w:t>
            </w:r>
          </w:p>
        </w:tc>
        <w:tc>
          <w:tcPr>
            <w:tcW w:w="921" w:type="pct"/>
            <w:tcBorders>
              <w:top w:val="nil"/>
              <w:left w:val="nil"/>
              <w:right w:val="nil"/>
            </w:tcBorders>
            <w:shd w:val="clear" w:color="auto" w:fill="FFFFFF"/>
            <w:vAlign w:val="center"/>
            <w:hideMark/>
          </w:tcPr>
          <w:p w14:paraId="408865EC"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Jutjat Contenciós-administratiu núm. 5 València</w:t>
            </w:r>
          </w:p>
        </w:tc>
        <w:tc>
          <w:tcPr>
            <w:tcW w:w="1383" w:type="pct"/>
            <w:tcBorders>
              <w:top w:val="nil"/>
              <w:left w:val="nil"/>
              <w:right w:val="nil"/>
            </w:tcBorders>
            <w:shd w:val="clear" w:color="auto" w:fill="FFFFFF"/>
            <w:vAlign w:val="center"/>
            <w:hideMark/>
          </w:tcPr>
          <w:p w14:paraId="4BBAF0F7"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Cessament d'un lloc de treball de l'AVAF</w:t>
            </w:r>
          </w:p>
        </w:tc>
        <w:tc>
          <w:tcPr>
            <w:tcW w:w="1087" w:type="pct"/>
            <w:tcBorders>
              <w:top w:val="nil"/>
              <w:left w:val="nil"/>
              <w:right w:val="nil"/>
            </w:tcBorders>
            <w:shd w:val="clear" w:color="auto" w:fill="FFFFFF"/>
            <w:vAlign w:val="center"/>
            <w:hideMark/>
          </w:tcPr>
          <w:p w14:paraId="5DBB1297"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Sentència núm. 345/2021, de 3 de juny.</w:t>
            </w:r>
          </w:p>
        </w:tc>
      </w:tr>
      <w:tr w:rsidR="00602092" w:rsidRPr="00602092" w14:paraId="29CF28D2" w14:textId="77777777" w:rsidTr="00602092">
        <w:trPr>
          <w:trHeight w:val="900"/>
        </w:trPr>
        <w:tc>
          <w:tcPr>
            <w:tcW w:w="295" w:type="pct"/>
            <w:tcBorders>
              <w:top w:val="nil"/>
              <w:left w:val="nil"/>
              <w:bottom w:val="nil"/>
              <w:right w:val="nil"/>
            </w:tcBorders>
            <w:shd w:val="clear" w:color="auto" w:fill="D9D9D9"/>
            <w:vAlign w:val="center"/>
            <w:hideMark/>
          </w:tcPr>
          <w:p w14:paraId="5D12B52E" w14:textId="77777777" w:rsidR="00602092" w:rsidRPr="00602092" w:rsidRDefault="00602092" w:rsidP="00602092">
            <w:pPr>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8-2019</w:t>
            </w:r>
          </w:p>
        </w:tc>
        <w:tc>
          <w:tcPr>
            <w:tcW w:w="589" w:type="pct"/>
            <w:tcBorders>
              <w:top w:val="nil"/>
              <w:left w:val="nil"/>
              <w:bottom w:val="nil"/>
              <w:right w:val="nil"/>
            </w:tcBorders>
            <w:shd w:val="clear" w:color="auto" w:fill="D9D9D9"/>
            <w:vAlign w:val="center"/>
            <w:hideMark/>
          </w:tcPr>
          <w:p w14:paraId="31BD8D0A"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AVAF</w:t>
            </w:r>
          </w:p>
        </w:tc>
        <w:tc>
          <w:tcPr>
            <w:tcW w:w="726" w:type="pct"/>
            <w:tcBorders>
              <w:top w:val="nil"/>
              <w:left w:val="nil"/>
              <w:bottom w:val="nil"/>
              <w:right w:val="nil"/>
            </w:tcBorders>
            <w:shd w:val="clear" w:color="auto" w:fill="D9D9D9"/>
            <w:vAlign w:val="center"/>
            <w:hideMark/>
          </w:tcPr>
          <w:p w14:paraId="4FD87E9D"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especial drets fonamentals</w:t>
            </w:r>
            <w:r w:rsidRPr="00602092">
              <w:rPr>
                <w:rFonts w:ascii="Arial" w:eastAsia="Times New Roman" w:hAnsi="Arial" w:cs="Arial"/>
                <w:sz w:val="12"/>
                <w:szCs w:val="12"/>
                <w:lang w:eastAsia="es-ES"/>
              </w:rPr>
              <w:br/>
              <w:t>347-2019</w:t>
            </w:r>
          </w:p>
        </w:tc>
        <w:tc>
          <w:tcPr>
            <w:tcW w:w="921" w:type="pct"/>
            <w:tcBorders>
              <w:top w:val="nil"/>
              <w:left w:val="nil"/>
              <w:bottom w:val="nil"/>
              <w:right w:val="nil"/>
            </w:tcBorders>
            <w:shd w:val="clear" w:color="auto" w:fill="D9D9D9"/>
            <w:vAlign w:val="center"/>
            <w:hideMark/>
          </w:tcPr>
          <w:p w14:paraId="3F7E3FE7"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Tribunal Superior de Justícia Comunitat Valenciana, Sala contenciosa administrativa, Secció Quarta</w:t>
            </w:r>
          </w:p>
        </w:tc>
        <w:tc>
          <w:tcPr>
            <w:tcW w:w="1383" w:type="pct"/>
            <w:tcBorders>
              <w:top w:val="nil"/>
              <w:left w:val="nil"/>
              <w:bottom w:val="nil"/>
              <w:right w:val="nil"/>
            </w:tcBorders>
            <w:shd w:val="clear" w:color="auto" w:fill="D9D9D9"/>
            <w:vAlign w:val="center"/>
            <w:hideMark/>
          </w:tcPr>
          <w:p w14:paraId="696645DA"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Acte de la Secció d'Admissió de la Sala Especial del Contenciós Administratiu del Tribunal Superior de Justícia Comunitat Valenciana, en recurs de cassació autonòmica núm. 235/21</w:t>
            </w:r>
          </w:p>
        </w:tc>
        <w:tc>
          <w:tcPr>
            <w:tcW w:w="1087" w:type="pct"/>
            <w:tcBorders>
              <w:top w:val="nil"/>
              <w:left w:val="nil"/>
              <w:bottom w:val="nil"/>
              <w:right w:val="nil"/>
            </w:tcBorders>
            <w:shd w:val="clear" w:color="auto" w:fill="D9D9D9"/>
            <w:vAlign w:val="center"/>
            <w:hideMark/>
          </w:tcPr>
          <w:p w14:paraId="13929A3C"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Inadmés recurs de cassació</w:t>
            </w:r>
          </w:p>
          <w:p w14:paraId="7A33A1B2"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Interposat recurs d'empara núm. 5834-2021, davant Secció Segona, Sala Primera del Tribunal Constitucional (art. 24CE)</w:t>
            </w:r>
          </w:p>
        </w:tc>
      </w:tr>
      <w:tr w:rsidR="00602092" w:rsidRPr="00602092" w14:paraId="131369DA" w14:textId="77777777" w:rsidTr="00602092">
        <w:trPr>
          <w:trHeight w:val="675"/>
        </w:trPr>
        <w:tc>
          <w:tcPr>
            <w:tcW w:w="295" w:type="pct"/>
            <w:tcBorders>
              <w:top w:val="nil"/>
              <w:left w:val="nil"/>
              <w:right w:val="nil"/>
            </w:tcBorders>
            <w:shd w:val="clear" w:color="auto" w:fill="FFFFFF"/>
            <w:vAlign w:val="center"/>
            <w:hideMark/>
          </w:tcPr>
          <w:p w14:paraId="0B5DBD36" w14:textId="77777777" w:rsidR="00602092" w:rsidRPr="00602092" w:rsidRDefault="00602092" w:rsidP="00602092">
            <w:pPr>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1-2020</w:t>
            </w:r>
          </w:p>
        </w:tc>
        <w:tc>
          <w:tcPr>
            <w:tcW w:w="589" w:type="pct"/>
            <w:tcBorders>
              <w:top w:val="nil"/>
              <w:left w:val="nil"/>
              <w:right w:val="nil"/>
            </w:tcBorders>
            <w:shd w:val="clear" w:color="auto" w:fill="FFFFFF"/>
            <w:vAlign w:val="center"/>
            <w:hideMark/>
          </w:tcPr>
          <w:p w14:paraId="26306795"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SINDICAT DE POLICIES</w:t>
            </w:r>
          </w:p>
        </w:tc>
        <w:tc>
          <w:tcPr>
            <w:tcW w:w="726" w:type="pct"/>
            <w:tcBorders>
              <w:top w:val="nil"/>
              <w:left w:val="nil"/>
              <w:right w:val="nil"/>
            </w:tcBorders>
            <w:shd w:val="clear" w:color="auto" w:fill="FFFFFF"/>
            <w:vAlign w:val="center"/>
            <w:hideMark/>
          </w:tcPr>
          <w:p w14:paraId="2A0283FD"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abreujat 642-2020</w:t>
            </w:r>
          </w:p>
        </w:tc>
        <w:tc>
          <w:tcPr>
            <w:tcW w:w="921" w:type="pct"/>
            <w:tcBorders>
              <w:top w:val="nil"/>
              <w:left w:val="nil"/>
              <w:right w:val="nil"/>
            </w:tcBorders>
            <w:shd w:val="clear" w:color="auto" w:fill="FFFFFF"/>
            <w:vAlign w:val="center"/>
            <w:hideMark/>
          </w:tcPr>
          <w:p w14:paraId="3D8E57FA"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Jutjat Contenciós-administratiu núm.10 València</w:t>
            </w:r>
          </w:p>
        </w:tc>
        <w:tc>
          <w:tcPr>
            <w:tcW w:w="1383" w:type="pct"/>
            <w:tcBorders>
              <w:top w:val="nil"/>
              <w:left w:val="nil"/>
              <w:right w:val="nil"/>
            </w:tcBorders>
            <w:shd w:val="clear" w:color="auto" w:fill="FFFFFF"/>
            <w:vAlign w:val="center"/>
            <w:hideMark/>
          </w:tcPr>
          <w:p w14:paraId="18D1EE36"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Resolució desestimació per silenci negatiu de la sol·licitud d'estatut de protecció</w:t>
            </w:r>
          </w:p>
        </w:tc>
        <w:tc>
          <w:tcPr>
            <w:tcW w:w="1087" w:type="pct"/>
            <w:tcBorders>
              <w:top w:val="nil"/>
              <w:left w:val="nil"/>
              <w:right w:val="nil"/>
            </w:tcBorders>
            <w:shd w:val="clear" w:color="auto" w:fill="FFFFFF"/>
            <w:vAlign w:val="center"/>
            <w:hideMark/>
          </w:tcPr>
          <w:p w14:paraId="48AC3FAB"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Sentència núm. 242/2021, de 24 de maig. Desestimació del recurs</w:t>
            </w:r>
          </w:p>
        </w:tc>
      </w:tr>
      <w:tr w:rsidR="00602092" w:rsidRPr="00602092" w14:paraId="3A5FBDE1" w14:textId="77777777" w:rsidTr="00602092">
        <w:trPr>
          <w:trHeight w:val="675"/>
        </w:trPr>
        <w:tc>
          <w:tcPr>
            <w:tcW w:w="295" w:type="pct"/>
            <w:tcBorders>
              <w:top w:val="nil"/>
              <w:left w:val="nil"/>
              <w:right w:val="nil"/>
            </w:tcBorders>
            <w:shd w:val="clear" w:color="auto" w:fill="D9D9D9"/>
            <w:vAlign w:val="center"/>
            <w:hideMark/>
          </w:tcPr>
          <w:p w14:paraId="6AD084CB" w14:textId="77777777" w:rsidR="00602092" w:rsidRPr="00602092" w:rsidRDefault="00602092" w:rsidP="00602092">
            <w:pPr>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2-2020</w:t>
            </w:r>
          </w:p>
        </w:tc>
        <w:tc>
          <w:tcPr>
            <w:tcW w:w="589" w:type="pct"/>
            <w:tcBorders>
              <w:top w:val="nil"/>
              <w:left w:val="nil"/>
              <w:right w:val="nil"/>
            </w:tcBorders>
            <w:shd w:val="clear" w:color="auto" w:fill="D9D9D9"/>
            <w:vAlign w:val="center"/>
            <w:hideMark/>
          </w:tcPr>
          <w:p w14:paraId="5C834D37"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DIPUTAT/A CORTS VALENCIANES</w:t>
            </w:r>
          </w:p>
        </w:tc>
        <w:tc>
          <w:tcPr>
            <w:tcW w:w="726" w:type="pct"/>
            <w:tcBorders>
              <w:top w:val="nil"/>
              <w:left w:val="nil"/>
              <w:right w:val="nil"/>
            </w:tcBorders>
            <w:shd w:val="clear" w:color="auto" w:fill="D9D9D9"/>
            <w:vAlign w:val="center"/>
            <w:hideMark/>
          </w:tcPr>
          <w:p w14:paraId="34361F5B"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ordinari 225-2020</w:t>
            </w:r>
          </w:p>
        </w:tc>
        <w:tc>
          <w:tcPr>
            <w:tcW w:w="921" w:type="pct"/>
            <w:tcBorders>
              <w:top w:val="nil"/>
              <w:left w:val="nil"/>
              <w:right w:val="nil"/>
            </w:tcBorders>
            <w:shd w:val="clear" w:color="auto" w:fill="D9D9D9"/>
            <w:vAlign w:val="center"/>
            <w:hideMark/>
          </w:tcPr>
          <w:p w14:paraId="1B5DC0E0"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Tribunal Superior de Justícia Comunitat Valenciana, Sala Contenciosa administrativa, Secció Quarta</w:t>
            </w:r>
          </w:p>
        </w:tc>
        <w:tc>
          <w:tcPr>
            <w:tcW w:w="1383" w:type="pct"/>
            <w:tcBorders>
              <w:top w:val="nil"/>
              <w:left w:val="nil"/>
              <w:right w:val="nil"/>
            </w:tcBorders>
            <w:shd w:val="clear" w:color="auto" w:fill="D9D9D9"/>
            <w:vAlign w:val="center"/>
            <w:hideMark/>
          </w:tcPr>
          <w:p w14:paraId="76BD0A8B"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Accés a documentació expedientes d'investigació</w:t>
            </w:r>
          </w:p>
        </w:tc>
        <w:tc>
          <w:tcPr>
            <w:tcW w:w="1087" w:type="pct"/>
            <w:tcBorders>
              <w:top w:val="nil"/>
              <w:left w:val="nil"/>
              <w:right w:val="nil"/>
            </w:tcBorders>
            <w:shd w:val="clear" w:color="auto" w:fill="D9D9D9"/>
            <w:vAlign w:val="center"/>
            <w:hideMark/>
          </w:tcPr>
          <w:p w14:paraId="4D4A670A" w14:textId="77777777" w:rsidR="00602092" w:rsidRPr="00602092" w:rsidRDefault="00602092" w:rsidP="00602092">
            <w:pPr>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 xml:space="preserve">Satisfacció extraprocessal Acte d'arxiu núm. 258/2021 de 7 de juliol. </w:t>
            </w:r>
          </w:p>
        </w:tc>
      </w:tr>
      <w:tr w:rsidR="00602092" w:rsidRPr="00602092" w14:paraId="0189311A" w14:textId="77777777" w:rsidTr="00602092">
        <w:trPr>
          <w:trHeight w:val="675"/>
        </w:trPr>
        <w:tc>
          <w:tcPr>
            <w:tcW w:w="295" w:type="pct"/>
            <w:tcBorders>
              <w:top w:val="nil"/>
              <w:left w:val="nil"/>
              <w:right w:val="nil"/>
            </w:tcBorders>
            <w:shd w:val="clear" w:color="auto" w:fill="FFFFFF"/>
            <w:vAlign w:val="center"/>
            <w:hideMark/>
          </w:tcPr>
          <w:p w14:paraId="06043303" w14:textId="77777777" w:rsidR="00602092" w:rsidRPr="00602092" w:rsidRDefault="00602092" w:rsidP="00602092">
            <w:pPr>
              <w:suppressAutoHyphens/>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3-2020</w:t>
            </w:r>
          </w:p>
        </w:tc>
        <w:tc>
          <w:tcPr>
            <w:tcW w:w="589" w:type="pct"/>
            <w:tcBorders>
              <w:top w:val="nil"/>
              <w:left w:val="nil"/>
              <w:right w:val="nil"/>
            </w:tcBorders>
            <w:shd w:val="clear" w:color="auto" w:fill="FFFFFF"/>
            <w:vAlign w:val="center"/>
            <w:hideMark/>
          </w:tcPr>
          <w:p w14:paraId="6A25BE7F"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DIPUTAT/A CORTS VALENCIANES</w:t>
            </w:r>
          </w:p>
        </w:tc>
        <w:tc>
          <w:tcPr>
            <w:tcW w:w="726" w:type="pct"/>
            <w:tcBorders>
              <w:top w:val="nil"/>
              <w:left w:val="nil"/>
              <w:right w:val="nil"/>
            </w:tcBorders>
            <w:shd w:val="clear" w:color="auto" w:fill="FFFFFF"/>
            <w:vAlign w:val="center"/>
            <w:hideMark/>
          </w:tcPr>
          <w:p w14:paraId="450A081F"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ordinari 275-2020</w:t>
            </w:r>
          </w:p>
        </w:tc>
        <w:tc>
          <w:tcPr>
            <w:tcW w:w="921" w:type="pct"/>
            <w:tcBorders>
              <w:top w:val="nil"/>
              <w:left w:val="nil"/>
              <w:right w:val="nil"/>
            </w:tcBorders>
            <w:shd w:val="clear" w:color="auto" w:fill="FFFFFF"/>
            <w:vAlign w:val="center"/>
            <w:hideMark/>
          </w:tcPr>
          <w:p w14:paraId="2CE65C03"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Tribunal Superior de Justícia Comunitat Valenciana, Sala Contenciosa administrativa, Secció Quarta</w:t>
            </w:r>
          </w:p>
        </w:tc>
        <w:tc>
          <w:tcPr>
            <w:tcW w:w="1383" w:type="pct"/>
            <w:tcBorders>
              <w:top w:val="nil"/>
              <w:left w:val="nil"/>
              <w:right w:val="nil"/>
            </w:tcBorders>
            <w:shd w:val="clear" w:color="auto" w:fill="FFFFFF"/>
            <w:vAlign w:val="center"/>
            <w:hideMark/>
          </w:tcPr>
          <w:p w14:paraId="1C64B543"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Accés a documentació expedientes d'investigació</w:t>
            </w:r>
          </w:p>
        </w:tc>
        <w:tc>
          <w:tcPr>
            <w:tcW w:w="1087" w:type="pct"/>
            <w:tcBorders>
              <w:top w:val="nil"/>
              <w:left w:val="nil"/>
              <w:right w:val="nil"/>
            </w:tcBorders>
            <w:shd w:val="clear" w:color="auto" w:fill="FFFFFF"/>
            <w:vAlign w:val="center"/>
            <w:hideMark/>
          </w:tcPr>
          <w:p w14:paraId="5E8A7A78"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 xml:space="preserve">Satisfacció extraprocessal. Acte d'arxiu núm. 257/2021, de 7 de juliol. </w:t>
            </w:r>
          </w:p>
        </w:tc>
      </w:tr>
      <w:tr w:rsidR="00602092" w:rsidRPr="00602092" w14:paraId="7F3B6657" w14:textId="77777777" w:rsidTr="00602092">
        <w:trPr>
          <w:trHeight w:val="675"/>
        </w:trPr>
        <w:tc>
          <w:tcPr>
            <w:tcW w:w="295" w:type="pct"/>
            <w:tcBorders>
              <w:top w:val="nil"/>
              <w:left w:val="nil"/>
              <w:bottom w:val="nil"/>
              <w:right w:val="nil"/>
            </w:tcBorders>
            <w:shd w:val="clear" w:color="auto" w:fill="D9D9D9"/>
            <w:vAlign w:val="center"/>
          </w:tcPr>
          <w:p w14:paraId="072D6E51" w14:textId="77777777" w:rsidR="00602092" w:rsidRPr="00602092" w:rsidRDefault="00602092" w:rsidP="00602092">
            <w:pPr>
              <w:suppressAutoHyphens/>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1-2021</w:t>
            </w:r>
          </w:p>
        </w:tc>
        <w:tc>
          <w:tcPr>
            <w:tcW w:w="589" w:type="pct"/>
            <w:tcBorders>
              <w:top w:val="nil"/>
              <w:left w:val="nil"/>
              <w:bottom w:val="nil"/>
              <w:right w:val="nil"/>
            </w:tcBorders>
            <w:shd w:val="clear" w:color="auto" w:fill="D9D9D9"/>
            <w:vAlign w:val="center"/>
          </w:tcPr>
          <w:p w14:paraId="74EDD1EC"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DIPUTAT/A CORTS VALENCIANES</w:t>
            </w:r>
          </w:p>
        </w:tc>
        <w:tc>
          <w:tcPr>
            <w:tcW w:w="726" w:type="pct"/>
            <w:tcBorders>
              <w:top w:val="nil"/>
              <w:left w:val="nil"/>
              <w:bottom w:val="nil"/>
              <w:right w:val="nil"/>
            </w:tcBorders>
            <w:shd w:val="clear" w:color="auto" w:fill="D9D9D9"/>
            <w:vAlign w:val="center"/>
          </w:tcPr>
          <w:p w14:paraId="629B2E6D"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especial drets fonamentals</w:t>
            </w:r>
            <w:r w:rsidRPr="00602092">
              <w:rPr>
                <w:rFonts w:ascii="Arial" w:eastAsia="Times New Roman" w:hAnsi="Arial" w:cs="Arial"/>
                <w:sz w:val="12"/>
                <w:szCs w:val="12"/>
                <w:lang w:eastAsia="es-ES"/>
              </w:rPr>
              <w:br/>
              <w:t>50-2021</w:t>
            </w:r>
          </w:p>
        </w:tc>
        <w:tc>
          <w:tcPr>
            <w:tcW w:w="921" w:type="pct"/>
            <w:tcBorders>
              <w:top w:val="nil"/>
              <w:left w:val="nil"/>
              <w:bottom w:val="nil"/>
              <w:right w:val="nil"/>
            </w:tcBorders>
            <w:shd w:val="clear" w:color="auto" w:fill="D9D9D9"/>
            <w:vAlign w:val="center"/>
          </w:tcPr>
          <w:p w14:paraId="7650EC2D"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Tribunal Superior de Justícia Comunitat Valenciana, Sala Contenciosa administrativa, Secció Quarta</w:t>
            </w:r>
          </w:p>
        </w:tc>
        <w:tc>
          <w:tcPr>
            <w:tcW w:w="1383" w:type="pct"/>
            <w:tcBorders>
              <w:top w:val="nil"/>
              <w:left w:val="nil"/>
              <w:bottom w:val="nil"/>
              <w:right w:val="nil"/>
            </w:tcBorders>
            <w:shd w:val="clear" w:color="auto" w:fill="D9D9D9"/>
            <w:vAlign w:val="center"/>
          </w:tcPr>
          <w:p w14:paraId="19817FB9"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Accés a documentació expedientes d'investigació</w:t>
            </w:r>
          </w:p>
        </w:tc>
        <w:tc>
          <w:tcPr>
            <w:tcW w:w="1087" w:type="pct"/>
            <w:tcBorders>
              <w:top w:val="nil"/>
              <w:left w:val="nil"/>
              <w:bottom w:val="nil"/>
              <w:right w:val="nil"/>
            </w:tcBorders>
            <w:shd w:val="clear" w:color="auto" w:fill="D9D9D9"/>
            <w:vAlign w:val="center"/>
          </w:tcPr>
          <w:p w14:paraId="180D9BF9"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Satisfacció extraprocessal.</w:t>
            </w:r>
          </w:p>
          <w:p w14:paraId="5D256909" w14:textId="77777777" w:rsidR="00602092" w:rsidRPr="00602092" w:rsidRDefault="00602092" w:rsidP="00602092">
            <w:pPr>
              <w:suppressAutoHyphens/>
              <w:spacing w:after="0" w:line="240" w:lineRule="auto"/>
              <w:jc w:val="both"/>
              <w:rPr>
                <w:rFonts w:ascii="Arial" w:eastAsia="Times New Roman" w:hAnsi="Arial" w:cs="Arial"/>
                <w:sz w:val="12"/>
                <w:szCs w:val="12"/>
                <w:highlight w:val="cyan"/>
                <w:lang w:eastAsia="es-ES"/>
              </w:rPr>
            </w:pPr>
            <w:r w:rsidRPr="00602092">
              <w:rPr>
                <w:rFonts w:ascii="Arial" w:eastAsia="Times New Roman" w:hAnsi="Arial" w:cs="Arial"/>
                <w:sz w:val="12"/>
                <w:szCs w:val="12"/>
                <w:lang w:eastAsia="es-ES"/>
              </w:rPr>
              <w:t xml:space="preserve">Acte d'arxiu núm. 324/2021, de 6 de setembre. </w:t>
            </w:r>
          </w:p>
        </w:tc>
      </w:tr>
      <w:tr w:rsidR="00602092" w:rsidRPr="00602092" w14:paraId="59A1632B" w14:textId="77777777" w:rsidTr="00602092">
        <w:trPr>
          <w:trHeight w:val="675"/>
        </w:trPr>
        <w:tc>
          <w:tcPr>
            <w:tcW w:w="295" w:type="pct"/>
            <w:tcBorders>
              <w:top w:val="nil"/>
              <w:left w:val="nil"/>
              <w:right w:val="nil"/>
            </w:tcBorders>
            <w:shd w:val="clear" w:color="auto" w:fill="FFFFFF"/>
            <w:vAlign w:val="center"/>
          </w:tcPr>
          <w:p w14:paraId="24D22346" w14:textId="77777777" w:rsidR="00602092" w:rsidRPr="00602092" w:rsidRDefault="00602092" w:rsidP="00602092">
            <w:pPr>
              <w:suppressAutoHyphens/>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2-2021</w:t>
            </w:r>
          </w:p>
        </w:tc>
        <w:tc>
          <w:tcPr>
            <w:tcW w:w="589" w:type="pct"/>
            <w:tcBorders>
              <w:top w:val="nil"/>
              <w:left w:val="nil"/>
              <w:right w:val="nil"/>
            </w:tcBorders>
            <w:shd w:val="clear" w:color="auto" w:fill="FFFFFF"/>
            <w:vAlign w:val="center"/>
          </w:tcPr>
          <w:p w14:paraId="2C9FFE16" w14:textId="77777777" w:rsidR="00602092" w:rsidRPr="00602092" w:rsidRDefault="00602092" w:rsidP="00602092">
            <w:pPr>
              <w:suppressAutoHyphens/>
              <w:spacing w:after="0" w:line="240" w:lineRule="auto"/>
              <w:rPr>
                <w:rFonts w:ascii="Arial" w:eastAsia="Times New Roman" w:hAnsi="Arial" w:cs="Arial"/>
                <w:sz w:val="12"/>
                <w:szCs w:val="12"/>
                <w:highlight w:val="cyan"/>
                <w:lang w:eastAsia="es-ES"/>
              </w:rPr>
            </w:pPr>
            <w:r w:rsidRPr="00602092">
              <w:rPr>
                <w:rFonts w:ascii="Arial" w:eastAsia="Times New Roman" w:hAnsi="Arial" w:cs="Arial"/>
                <w:sz w:val="12"/>
                <w:szCs w:val="12"/>
                <w:lang w:eastAsia="es-ES"/>
              </w:rPr>
              <w:t xml:space="preserve">ALCALDE AJUNTAMENT ORIHUELA </w:t>
            </w:r>
          </w:p>
        </w:tc>
        <w:tc>
          <w:tcPr>
            <w:tcW w:w="726" w:type="pct"/>
            <w:tcBorders>
              <w:top w:val="nil"/>
              <w:left w:val="nil"/>
              <w:right w:val="nil"/>
            </w:tcBorders>
            <w:shd w:val="clear" w:color="auto" w:fill="FFFFFF"/>
            <w:vAlign w:val="center"/>
          </w:tcPr>
          <w:p w14:paraId="10E35AAD"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ordinari</w:t>
            </w:r>
          </w:p>
        </w:tc>
        <w:tc>
          <w:tcPr>
            <w:tcW w:w="921" w:type="pct"/>
            <w:tcBorders>
              <w:top w:val="nil"/>
              <w:left w:val="nil"/>
              <w:right w:val="nil"/>
            </w:tcBorders>
            <w:shd w:val="clear" w:color="auto" w:fill="FFFFFF"/>
            <w:vAlign w:val="center"/>
          </w:tcPr>
          <w:p w14:paraId="7D1A59AA"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Tribunal Superior de Justícia Comunitat Valenciana, Sala Contenciosa administrativa, Secció Cinquena</w:t>
            </w:r>
          </w:p>
        </w:tc>
        <w:tc>
          <w:tcPr>
            <w:tcW w:w="1383" w:type="pct"/>
            <w:tcBorders>
              <w:top w:val="nil"/>
              <w:left w:val="nil"/>
              <w:right w:val="nil"/>
            </w:tcBorders>
            <w:shd w:val="clear" w:color="auto" w:fill="FFFFFF"/>
            <w:vAlign w:val="center"/>
          </w:tcPr>
          <w:p w14:paraId="76EEBF26"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Informe pericial AVAF</w:t>
            </w:r>
          </w:p>
        </w:tc>
        <w:tc>
          <w:tcPr>
            <w:tcW w:w="1087" w:type="pct"/>
            <w:tcBorders>
              <w:top w:val="nil"/>
              <w:left w:val="nil"/>
              <w:right w:val="nil"/>
            </w:tcBorders>
            <w:shd w:val="clear" w:color="auto" w:fill="FFFFFF"/>
            <w:vAlign w:val="center"/>
          </w:tcPr>
          <w:p w14:paraId="40280054"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 xml:space="preserve">Inadmissió recurs per Acte núm. 117/2021, d'1 de juny. Desestimat recurs de reposició interposat pel demandant per Acte de 15 de juliol. </w:t>
            </w:r>
          </w:p>
        </w:tc>
      </w:tr>
      <w:tr w:rsidR="00602092" w:rsidRPr="00602092" w14:paraId="34B10D05" w14:textId="77777777" w:rsidTr="00602092">
        <w:trPr>
          <w:trHeight w:val="675"/>
        </w:trPr>
        <w:tc>
          <w:tcPr>
            <w:tcW w:w="295" w:type="pct"/>
            <w:tcBorders>
              <w:top w:val="nil"/>
              <w:left w:val="nil"/>
              <w:bottom w:val="nil"/>
              <w:right w:val="nil"/>
            </w:tcBorders>
            <w:shd w:val="clear" w:color="auto" w:fill="D9D9D9"/>
            <w:vAlign w:val="center"/>
          </w:tcPr>
          <w:p w14:paraId="1F663B7E" w14:textId="77777777" w:rsidR="00602092" w:rsidRPr="00602092" w:rsidRDefault="00602092" w:rsidP="00602092">
            <w:pPr>
              <w:suppressAutoHyphens/>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3-2021</w:t>
            </w:r>
          </w:p>
        </w:tc>
        <w:tc>
          <w:tcPr>
            <w:tcW w:w="589" w:type="pct"/>
            <w:tcBorders>
              <w:top w:val="nil"/>
              <w:left w:val="nil"/>
              <w:bottom w:val="nil"/>
              <w:right w:val="nil"/>
            </w:tcBorders>
            <w:shd w:val="clear" w:color="auto" w:fill="D9D9D9"/>
            <w:vAlign w:val="center"/>
          </w:tcPr>
          <w:p w14:paraId="30052691"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ALCALDE I AJUNTAMENT</w:t>
            </w:r>
          </w:p>
          <w:p w14:paraId="50A561B1"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DE BENIDORM</w:t>
            </w:r>
          </w:p>
        </w:tc>
        <w:tc>
          <w:tcPr>
            <w:tcW w:w="726" w:type="pct"/>
            <w:tcBorders>
              <w:top w:val="nil"/>
              <w:left w:val="nil"/>
              <w:bottom w:val="nil"/>
              <w:right w:val="nil"/>
            </w:tcBorders>
            <w:shd w:val="clear" w:color="auto" w:fill="D9D9D9"/>
            <w:vAlign w:val="center"/>
          </w:tcPr>
          <w:p w14:paraId="73A1950B"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PENAL. Diligències Penals 783/2021</w:t>
            </w:r>
          </w:p>
        </w:tc>
        <w:tc>
          <w:tcPr>
            <w:tcW w:w="921" w:type="pct"/>
            <w:tcBorders>
              <w:top w:val="nil"/>
              <w:left w:val="nil"/>
              <w:bottom w:val="nil"/>
              <w:right w:val="nil"/>
            </w:tcBorders>
            <w:shd w:val="clear" w:color="auto" w:fill="D9D9D9"/>
            <w:vAlign w:val="center"/>
          </w:tcPr>
          <w:p w14:paraId="18DFCDB8"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Jutjat d'Instrucció núm. 3 de Benidorm</w:t>
            </w:r>
          </w:p>
        </w:tc>
        <w:tc>
          <w:tcPr>
            <w:tcW w:w="1383" w:type="pct"/>
            <w:tcBorders>
              <w:top w:val="nil"/>
              <w:left w:val="nil"/>
              <w:bottom w:val="nil"/>
              <w:right w:val="nil"/>
            </w:tcBorders>
            <w:shd w:val="clear" w:color="auto" w:fill="D9D9D9"/>
            <w:vAlign w:val="center"/>
          </w:tcPr>
          <w:p w14:paraId="5CE3D619"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Operatiu d'intervenció ex article 6 Llei 11/2016</w:t>
            </w:r>
          </w:p>
        </w:tc>
        <w:tc>
          <w:tcPr>
            <w:tcW w:w="1087" w:type="pct"/>
            <w:tcBorders>
              <w:top w:val="nil"/>
              <w:left w:val="nil"/>
              <w:bottom w:val="nil"/>
              <w:right w:val="nil"/>
            </w:tcBorders>
            <w:shd w:val="clear" w:color="auto" w:fill="D9D9D9"/>
            <w:vAlign w:val="center"/>
          </w:tcPr>
          <w:p w14:paraId="2B995726"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Acte de 8 de febrer de 2022 de sobreseïment provisional i arxivament. Recorregut en reforma i sol·licitat sobreseïment lliure.</w:t>
            </w:r>
          </w:p>
        </w:tc>
      </w:tr>
      <w:tr w:rsidR="00602092" w:rsidRPr="00602092" w14:paraId="1864D806" w14:textId="77777777" w:rsidTr="00602092">
        <w:trPr>
          <w:trHeight w:val="675"/>
        </w:trPr>
        <w:tc>
          <w:tcPr>
            <w:tcW w:w="295" w:type="pct"/>
            <w:tcBorders>
              <w:top w:val="nil"/>
              <w:left w:val="nil"/>
              <w:right w:val="nil"/>
            </w:tcBorders>
            <w:shd w:val="clear" w:color="auto" w:fill="FFFFFF"/>
            <w:vAlign w:val="center"/>
          </w:tcPr>
          <w:p w14:paraId="074D45D9" w14:textId="77777777" w:rsidR="00602092" w:rsidRPr="00602092" w:rsidRDefault="00602092" w:rsidP="00602092">
            <w:pPr>
              <w:suppressAutoHyphens/>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4-2021</w:t>
            </w:r>
          </w:p>
        </w:tc>
        <w:tc>
          <w:tcPr>
            <w:tcW w:w="589" w:type="pct"/>
            <w:tcBorders>
              <w:top w:val="nil"/>
              <w:left w:val="nil"/>
              <w:right w:val="nil"/>
            </w:tcBorders>
            <w:shd w:val="clear" w:color="auto" w:fill="FFFFFF"/>
            <w:vAlign w:val="center"/>
          </w:tcPr>
          <w:p w14:paraId="3A7D3ED2" w14:textId="77777777" w:rsidR="00602092" w:rsidRPr="00602092" w:rsidRDefault="00602092" w:rsidP="00602092">
            <w:pPr>
              <w:suppressAutoHyphens/>
              <w:spacing w:after="0" w:line="240" w:lineRule="auto"/>
              <w:rPr>
                <w:rFonts w:ascii="Arial" w:eastAsia="Calibri" w:hAnsi="Arial" w:cs="Arial"/>
                <w:color w:val="000000"/>
                <w:sz w:val="12"/>
                <w:szCs w:val="12"/>
              </w:rPr>
            </w:pPr>
            <w:r w:rsidRPr="00602092">
              <w:rPr>
                <w:rFonts w:ascii="Arial" w:eastAsia="Calibri" w:hAnsi="Arial" w:cs="Arial"/>
                <w:color w:val="000000"/>
                <w:sz w:val="12"/>
                <w:szCs w:val="12"/>
              </w:rPr>
              <w:t>AVAF</w:t>
            </w:r>
          </w:p>
        </w:tc>
        <w:tc>
          <w:tcPr>
            <w:tcW w:w="726" w:type="pct"/>
            <w:tcBorders>
              <w:top w:val="nil"/>
              <w:left w:val="nil"/>
              <w:right w:val="nil"/>
            </w:tcBorders>
            <w:shd w:val="clear" w:color="auto" w:fill="FFFFFF"/>
            <w:vAlign w:val="center"/>
          </w:tcPr>
          <w:p w14:paraId="71DFBF79"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CONSTITUCIONAL. 5834/2021</w:t>
            </w:r>
          </w:p>
          <w:p w14:paraId="2FC18636"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Recurs d'empara</w:t>
            </w:r>
          </w:p>
        </w:tc>
        <w:tc>
          <w:tcPr>
            <w:tcW w:w="921" w:type="pct"/>
            <w:tcBorders>
              <w:top w:val="nil"/>
              <w:left w:val="nil"/>
              <w:right w:val="nil"/>
            </w:tcBorders>
            <w:shd w:val="clear" w:color="auto" w:fill="FFFFFF"/>
            <w:vAlign w:val="center"/>
          </w:tcPr>
          <w:p w14:paraId="2E4685D5"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Tribunal Constitucional</w:t>
            </w:r>
          </w:p>
        </w:tc>
        <w:tc>
          <w:tcPr>
            <w:tcW w:w="1383" w:type="pct"/>
            <w:tcBorders>
              <w:top w:val="nil"/>
              <w:left w:val="nil"/>
              <w:right w:val="nil"/>
            </w:tcBorders>
            <w:shd w:val="clear" w:color="auto" w:fill="FFFFFF"/>
            <w:vAlign w:val="center"/>
          </w:tcPr>
          <w:p w14:paraId="62890967" w14:textId="77777777" w:rsidR="00602092" w:rsidRPr="00602092" w:rsidRDefault="00602092" w:rsidP="00602092">
            <w:pPr>
              <w:spacing w:after="0" w:line="240" w:lineRule="auto"/>
              <w:jc w:val="both"/>
              <w:rPr>
                <w:rFonts w:ascii="Arial" w:eastAsia="SimSun" w:hAnsi="Arial" w:cs="Arial"/>
                <w:color w:val="000000"/>
                <w:kern w:val="2"/>
                <w:sz w:val="12"/>
                <w:szCs w:val="12"/>
                <w:lang w:eastAsia="zh-CN" w:bidi="hi-IN"/>
              </w:rPr>
            </w:pPr>
            <w:r w:rsidRPr="00602092">
              <w:rPr>
                <w:rFonts w:ascii="Arial" w:eastAsia="SimSun" w:hAnsi="Arial" w:cs="Arial"/>
                <w:color w:val="000000"/>
                <w:kern w:val="2"/>
                <w:sz w:val="12"/>
                <w:szCs w:val="12"/>
                <w:lang w:eastAsia="zh-CN" w:bidi="hi-IN"/>
              </w:rPr>
              <w:t>Acte núm. 143/21, de 28 de juny de 2021 del Tribunal Superior de Justícia Comunitat Valenciana, Sala Especial Contenciosa administrativa. Cassació Autonòmica 1/235/2021.</w:t>
            </w:r>
          </w:p>
          <w:p w14:paraId="3E3AAA21" w14:textId="77777777" w:rsidR="00602092" w:rsidRPr="00602092" w:rsidRDefault="00602092" w:rsidP="00602092">
            <w:pPr>
              <w:spacing w:after="0" w:line="240" w:lineRule="auto"/>
              <w:jc w:val="both"/>
              <w:rPr>
                <w:rFonts w:ascii="Liberation Sans" w:eastAsia="Times New Roman" w:hAnsi="Liberation Sans" w:cs="Liberation Sans"/>
                <w:sz w:val="12"/>
                <w:szCs w:val="12"/>
                <w:lang w:eastAsia="es-ES"/>
              </w:rPr>
            </w:pPr>
            <w:r w:rsidRPr="00602092">
              <w:rPr>
                <w:rFonts w:ascii="Arial" w:eastAsia="SimSun" w:hAnsi="Arial" w:cs="Arial"/>
                <w:color w:val="000000"/>
                <w:kern w:val="2"/>
                <w:sz w:val="12"/>
                <w:szCs w:val="12"/>
                <w:lang w:eastAsia="zh-CN" w:bidi="hi-IN"/>
              </w:rPr>
              <w:t>Dret al recurs denegat: article 24 CE.</w:t>
            </w:r>
          </w:p>
        </w:tc>
        <w:tc>
          <w:tcPr>
            <w:tcW w:w="1087" w:type="pct"/>
            <w:tcBorders>
              <w:top w:val="nil"/>
              <w:left w:val="nil"/>
              <w:right w:val="nil"/>
            </w:tcBorders>
            <w:shd w:val="clear" w:color="auto" w:fill="FFFFFF"/>
            <w:vAlign w:val="center"/>
          </w:tcPr>
          <w:p w14:paraId="6B9D9B89"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En tràmit</w:t>
            </w:r>
          </w:p>
        </w:tc>
      </w:tr>
      <w:tr w:rsidR="00602092" w:rsidRPr="00602092" w14:paraId="5E8D4D1D" w14:textId="77777777" w:rsidTr="00602092">
        <w:trPr>
          <w:trHeight w:val="675"/>
        </w:trPr>
        <w:tc>
          <w:tcPr>
            <w:tcW w:w="295" w:type="pct"/>
            <w:tcBorders>
              <w:top w:val="nil"/>
              <w:left w:val="nil"/>
              <w:bottom w:val="nil"/>
              <w:right w:val="nil"/>
            </w:tcBorders>
            <w:shd w:val="clear" w:color="auto" w:fill="D9D9D9"/>
            <w:vAlign w:val="center"/>
          </w:tcPr>
          <w:p w14:paraId="6FC01E64" w14:textId="77777777" w:rsidR="00602092" w:rsidRPr="00602092" w:rsidRDefault="00602092" w:rsidP="00602092">
            <w:pPr>
              <w:suppressAutoHyphens/>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5-2021</w:t>
            </w:r>
          </w:p>
        </w:tc>
        <w:tc>
          <w:tcPr>
            <w:tcW w:w="589" w:type="pct"/>
            <w:tcBorders>
              <w:top w:val="nil"/>
              <w:left w:val="nil"/>
              <w:bottom w:val="nil"/>
              <w:right w:val="nil"/>
            </w:tcBorders>
            <w:shd w:val="clear" w:color="auto" w:fill="D9D9D9"/>
            <w:vAlign w:val="center"/>
          </w:tcPr>
          <w:p w14:paraId="385AD5B8"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ALCALDE I AJUNTAMENT</w:t>
            </w:r>
          </w:p>
          <w:p w14:paraId="0FC5C332"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DE BENIDORM</w:t>
            </w:r>
          </w:p>
        </w:tc>
        <w:tc>
          <w:tcPr>
            <w:tcW w:w="726" w:type="pct"/>
            <w:tcBorders>
              <w:top w:val="nil"/>
              <w:left w:val="nil"/>
              <w:bottom w:val="nil"/>
              <w:right w:val="nil"/>
            </w:tcBorders>
            <w:shd w:val="clear" w:color="auto" w:fill="D9D9D9"/>
            <w:vAlign w:val="center"/>
          </w:tcPr>
          <w:p w14:paraId="30DE165A"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ordinari 356/2021</w:t>
            </w:r>
          </w:p>
        </w:tc>
        <w:tc>
          <w:tcPr>
            <w:tcW w:w="921" w:type="pct"/>
            <w:tcBorders>
              <w:top w:val="nil"/>
              <w:left w:val="nil"/>
              <w:bottom w:val="nil"/>
              <w:right w:val="nil"/>
            </w:tcBorders>
            <w:shd w:val="clear" w:color="auto" w:fill="D9D9D9"/>
            <w:vAlign w:val="center"/>
          </w:tcPr>
          <w:p w14:paraId="530C5595"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Jutjat Contenciós-administratiu núm. 5 de València</w:t>
            </w:r>
          </w:p>
        </w:tc>
        <w:tc>
          <w:tcPr>
            <w:tcW w:w="1383" w:type="pct"/>
            <w:tcBorders>
              <w:top w:val="nil"/>
              <w:left w:val="nil"/>
              <w:bottom w:val="nil"/>
              <w:right w:val="nil"/>
            </w:tcBorders>
            <w:shd w:val="clear" w:color="auto" w:fill="D9D9D9"/>
            <w:vAlign w:val="center"/>
          </w:tcPr>
          <w:p w14:paraId="1B3C1BA2"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Resolució del director de l’AVAF expedient d'investigació</w:t>
            </w:r>
          </w:p>
        </w:tc>
        <w:tc>
          <w:tcPr>
            <w:tcW w:w="1087" w:type="pct"/>
            <w:tcBorders>
              <w:top w:val="nil"/>
              <w:left w:val="nil"/>
              <w:bottom w:val="nil"/>
              <w:right w:val="nil"/>
            </w:tcBorders>
            <w:shd w:val="clear" w:color="auto" w:fill="D9D9D9"/>
            <w:vAlign w:val="center"/>
          </w:tcPr>
          <w:p w14:paraId="6BFCDBE8"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En tràmit</w:t>
            </w:r>
          </w:p>
        </w:tc>
      </w:tr>
      <w:tr w:rsidR="00602092" w:rsidRPr="00602092" w14:paraId="3FDDC253" w14:textId="77777777" w:rsidTr="00602092">
        <w:trPr>
          <w:trHeight w:val="675"/>
        </w:trPr>
        <w:tc>
          <w:tcPr>
            <w:tcW w:w="295" w:type="pct"/>
            <w:tcBorders>
              <w:top w:val="nil"/>
              <w:left w:val="nil"/>
              <w:right w:val="nil"/>
            </w:tcBorders>
            <w:shd w:val="clear" w:color="auto" w:fill="FFFFFF"/>
            <w:vAlign w:val="center"/>
          </w:tcPr>
          <w:p w14:paraId="6DD438DC" w14:textId="77777777" w:rsidR="00602092" w:rsidRPr="00602092" w:rsidRDefault="00602092" w:rsidP="00602092">
            <w:pPr>
              <w:suppressAutoHyphens/>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6-2021</w:t>
            </w:r>
          </w:p>
        </w:tc>
        <w:tc>
          <w:tcPr>
            <w:tcW w:w="589" w:type="pct"/>
            <w:tcBorders>
              <w:top w:val="nil"/>
              <w:left w:val="nil"/>
              <w:right w:val="nil"/>
            </w:tcBorders>
            <w:shd w:val="clear" w:color="auto" w:fill="FFFFFF"/>
            <w:vAlign w:val="center"/>
          </w:tcPr>
          <w:p w14:paraId="01963C46"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DIPUTAT/A CORTS VALENCIANES</w:t>
            </w:r>
          </w:p>
        </w:tc>
        <w:tc>
          <w:tcPr>
            <w:tcW w:w="726" w:type="pct"/>
            <w:tcBorders>
              <w:top w:val="nil"/>
              <w:left w:val="nil"/>
              <w:right w:val="nil"/>
            </w:tcBorders>
            <w:shd w:val="clear" w:color="auto" w:fill="FFFFFF"/>
            <w:vAlign w:val="center"/>
          </w:tcPr>
          <w:p w14:paraId="7B92EFB7"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especial drets fonamentals</w:t>
            </w:r>
            <w:r w:rsidRPr="00602092">
              <w:rPr>
                <w:rFonts w:ascii="Arial" w:eastAsia="Times New Roman" w:hAnsi="Arial" w:cs="Arial"/>
                <w:sz w:val="12"/>
                <w:szCs w:val="12"/>
                <w:lang w:eastAsia="es-ES"/>
              </w:rPr>
              <w:br/>
              <w:t>277-2021</w:t>
            </w:r>
          </w:p>
        </w:tc>
        <w:tc>
          <w:tcPr>
            <w:tcW w:w="921" w:type="pct"/>
            <w:tcBorders>
              <w:top w:val="nil"/>
              <w:left w:val="nil"/>
              <w:right w:val="nil"/>
            </w:tcBorders>
            <w:shd w:val="clear" w:color="auto" w:fill="FFFFFF"/>
            <w:vAlign w:val="center"/>
          </w:tcPr>
          <w:p w14:paraId="4F0338B7"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Tribunal Superior de Justícia Comunitat Valenciana, Sala Contenciosa administrativa, Secció Quarta</w:t>
            </w:r>
          </w:p>
        </w:tc>
        <w:tc>
          <w:tcPr>
            <w:tcW w:w="1383" w:type="pct"/>
            <w:tcBorders>
              <w:top w:val="nil"/>
              <w:left w:val="nil"/>
              <w:right w:val="nil"/>
            </w:tcBorders>
            <w:shd w:val="clear" w:color="auto" w:fill="FFFFFF"/>
            <w:vAlign w:val="center"/>
          </w:tcPr>
          <w:p w14:paraId="49A3A5D0"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Desestimació presumpta sol·licitud accés a la informació article 12 del Reglament de les Corts Valencianes</w:t>
            </w:r>
          </w:p>
        </w:tc>
        <w:tc>
          <w:tcPr>
            <w:tcW w:w="1087" w:type="pct"/>
            <w:tcBorders>
              <w:top w:val="nil"/>
              <w:left w:val="nil"/>
              <w:right w:val="nil"/>
            </w:tcBorders>
            <w:shd w:val="clear" w:color="auto" w:fill="FFFFFF"/>
            <w:vAlign w:val="center"/>
          </w:tcPr>
          <w:p w14:paraId="261CF488"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En tràmit. Sol·licitada satisfacció extraprocessal.</w:t>
            </w:r>
          </w:p>
        </w:tc>
      </w:tr>
      <w:tr w:rsidR="00602092" w:rsidRPr="00602092" w14:paraId="17E53255" w14:textId="77777777" w:rsidTr="00602092">
        <w:trPr>
          <w:trHeight w:val="675"/>
        </w:trPr>
        <w:tc>
          <w:tcPr>
            <w:tcW w:w="295" w:type="pct"/>
            <w:tcBorders>
              <w:top w:val="nil"/>
              <w:left w:val="nil"/>
              <w:bottom w:val="nil"/>
              <w:right w:val="nil"/>
            </w:tcBorders>
            <w:shd w:val="clear" w:color="auto" w:fill="D9D9D9"/>
            <w:vAlign w:val="center"/>
          </w:tcPr>
          <w:p w14:paraId="3974B77B" w14:textId="77777777" w:rsidR="00602092" w:rsidRPr="00602092" w:rsidRDefault="00602092" w:rsidP="00602092">
            <w:pPr>
              <w:suppressAutoHyphens/>
              <w:spacing w:after="0" w:line="240" w:lineRule="auto"/>
              <w:jc w:val="both"/>
              <w:rPr>
                <w:rFonts w:ascii="Arial" w:eastAsia="Times New Roman" w:hAnsi="Arial" w:cs="Arial"/>
                <w:b/>
                <w:bCs/>
                <w:sz w:val="12"/>
                <w:szCs w:val="12"/>
                <w:lang w:eastAsia="es-ES"/>
              </w:rPr>
            </w:pPr>
            <w:r w:rsidRPr="00602092">
              <w:rPr>
                <w:rFonts w:ascii="Arial" w:eastAsia="Times New Roman" w:hAnsi="Arial" w:cs="Arial"/>
                <w:b/>
                <w:bCs/>
                <w:sz w:val="12"/>
                <w:szCs w:val="12"/>
                <w:lang w:eastAsia="es-ES"/>
              </w:rPr>
              <w:t>7-2021</w:t>
            </w:r>
          </w:p>
        </w:tc>
        <w:tc>
          <w:tcPr>
            <w:tcW w:w="589" w:type="pct"/>
            <w:tcBorders>
              <w:top w:val="nil"/>
              <w:left w:val="nil"/>
              <w:bottom w:val="nil"/>
              <w:right w:val="nil"/>
            </w:tcBorders>
            <w:shd w:val="clear" w:color="auto" w:fill="D9D9D9"/>
            <w:vAlign w:val="center"/>
          </w:tcPr>
          <w:p w14:paraId="4DAFAE8B"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FUNCIONARI/A</w:t>
            </w:r>
          </w:p>
        </w:tc>
        <w:tc>
          <w:tcPr>
            <w:tcW w:w="726" w:type="pct"/>
            <w:tcBorders>
              <w:top w:val="nil"/>
              <w:left w:val="nil"/>
              <w:bottom w:val="nil"/>
              <w:right w:val="nil"/>
            </w:tcBorders>
            <w:shd w:val="clear" w:color="auto" w:fill="D9D9D9"/>
            <w:vAlign w:val="center"/>
          </w:tcPr>
          <w:p w14:paraId="67C7E190" w14:textId="77777777" w:rsidR="00602092" w:rsidRPr="00602092" w:rsidRDefault="00602092" w:rsidP="00602092">
            <w:pPr>
              <w:suppressAutoHyphens/>
              <w:spacing w:after="0" w:line="240" w:lineRule="auto"/>
              <w:rPr>
                <w:rFonts w:ascii="Arial" w:eastAsia="Times New Roman" w:hAnsi="Arial" w:cs="Arial"/>
                <w:sz w:val="12"/>
                <w:szCs w:val="12"/>
                <w:lang w:eastAsia="es-ES"/>
              </w:rPr>
            </w:pPr>
            <w:r w:rsidRPr="00602092">
              <w:rPr>
                <w:rFonts w:ascii="Arial" w:eastAsia="Times New Roman" w:hAnsi="Arial" w:cs="Arial"/>
                <w:sz w:val="12"/>
                <w:szCs w:val="12"/>
                <w:lang w:eastAsia="es-ES"/>
              </w:rPr>
              <w:t>C-A. Procediment Abreujat 437/2021</w:t>
            </w:r>
          </w:p>
        </w:tc>
        <w:tc>
          <w:tcPr>
            <w:tcW w:w="921" w:type="pct"/>
            <w:tcBorders>
              <w:top w:val="nil"/>
              <w:left w:val="nil"/>
              <w:bottom w:val="nil"/>
              <w:right w:val="nil"/>
            </w:tcBorders>
            <w:shd w:val="clear" w:color="auto" w:fill="D9D9D9"/>
            <w:vAlign w:val="center"/>
          </w:tcPr>
          <w:p w14:paraId="7A252DB2"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Jutjat Contenciós-administratiu núm. 8 València</w:t>
            </w:r>
          </w:p>
        </w:tc>
        <w:tc>
          <w:tcPr>
            <w:tcW w:w="1383" w:type="pct"/>
            <w:tcBorders>
              <w:top w:val="nil"/>
              <w:left w:val="nil"/>
              <w:bottom w:val="nil"/>
              <w:right w:val="nil"/>
            </w:tcBorders>
            <w:shd w:val="clear" w:color="auto" w:fill="D9D9D9"/>
            <w:vAlign w:val="center"/>
          </w:tcPr>
          <w:p w14:paraId="7F570470"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Sanció disciplinària Generalitat Valenciana</w:t>
            </w:r>
          </w:p>
        </w:tc>
        <w:tc>
          <w:tcPr>
            <w:tcW w:w="1087" w:type="pct"/>
            <w:tcBorders>
              <w:top w:val="nil"/>
              <w:left w:val="nil"/>
              <w:bottom w:val="nil"/>
              <w:right w:val="nil"/>
            </w:tcBorders>
            <w:shd w:val="clear" w:color="auto" w:fill="D9D9D9"/>
            <w:vAlign w:val="center"/>
          </w:tcPr>
          <w:p w14:paraId="485249C7" w14:textId="77777777" w:rsidR="00602092" w:rsidRPr="00602092" w:rsidRDefault="00602092" w:rsidP="00602092">
            <w:pPr>
              <w:suppressAutoHyphens/>
              <w:spacing w:after="0" w:line="240" w:lineRule="auto"/>
              <w:jc w:val="both"/>
              <w:rPr>
                <w:rFonts w:ascii="Arial" w:eastAsia="Times New Roman" w:hAnsi="Arial" w:cs="Arial"/>
                <w:sz w:val="12"/>
                <w:szCs w:val="12"/>
                <w:lang w:eastAsia="es-ES"/>
              </w:rPr>
            </w:pPr>
            <w:r w:rsidRPr="00602092">
              <w:rPr>
                <w:rFonts w:ascii="Arial" w:eastAsia="Times New Roman" w:hAnsi="Arial" w:cs="Arial"/>
                <w:sz w:val="12"/>
                <w:szCs w:val="12"/>
                <w:lang w:eastAsia="es-ES"/>
              </w:rPr>
              <w:t>En tràmit</w:t>
            </w:r>
          </w:p>
        </w:tc>
      </w:tr>
    </w:tbl>
    <w:p w14:paraId="783D2ABA" w14:textId="5D9D08AC" w:rsidR="00602092" w:rsidRDefault="00602092" w:rsidP="004C3F07">
      <w:pPr>
        <w:spacing w:after="240" w:line="276" w:lineRule="auto"/>
        <w:jc w:val="both"/>
        <w:rPr>
          <w:rFonts w:ascii="Arial" w:hAnsi="Arial"/>
          <w:sz w:val="21"/>
          <w:szCs w:val="21"/>
        </w:rPr>
      </w:pPr>
    </w:p>
    <w:p w14:paraId="19895945" w14:textId="77777777" w:rsidR="00976473" w:rsidRPr="00976473" w:rsidRDefault="00976473" w:rsidP="00976473">
      <w:pPr>
        <w:pStyle w:val="Prrafodelista"/>
        <w:keepNext/>
        <w:numPr>
          <w:ilvl w:val="2"/>
          <w:numId w:val="16"/>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30" w:name="_Toc67646253"/>
      <w:bookmarkStart w:id="131" w:name="_Toc99110713"/>
      <w:r w:rsidRPr="00976473">
        <w:rPr>
          <w:rFonts w:ascii="Arial" w:eastAsia="Times New Roman" w:hAnsi="Arial" w:cs="Arial"/>
          <w:b/>
          <w:color w:val="9D2235"/>
          <w:sz w:val="28"/>
          <w:szCs w:val="28"/>
        </w:rPr>
        <w:t>Relacions amb les Corts Valencianes</w:t>
      </w:r>
      <w:bookmarkEnd w:id="130"/>
      <w:bookmarkEnd w:id="131"/>
    </w:p>
    <w:p w14:paraId="391DA272" w14:textId="77777777" w:rsidR="00976473" w:rsidRPr="00976473" w:rsidRDefault="00976473" w:rsidP="00976473">
      <w:pPr>
        <w:spacing w:after="240" w:line="276" w:lineRule="auto"/>
        <w:jc w:val="both"/>
        <w:rPr>
          <w:rFonts w:ascii="Arial" w:hAnsi="Arial"/>
          <w:sz w:val="21"/>
          <w:szCs w:val="21"/>
        </w:rPr>
      </w:pPr>
      <w:r w:rsidRPr="00976473">
        <w:rPr>
          <w:rFonts w:ascii="Arial" w:hAnsi="Arial"/>
          <w:sz w:val="21"/>
          <w:szCs w:val="21"/>
        </w:rPr>
        <w:t>Els Grups Parlamentaris de les Corts Valencianes han anat sol·licitant des de la creació de l'Agència diferent informació per la via de l'article 12 del seu Reglament. En concret, durant aquest exercici 2021 i en contestació a aquestes sol·licituds, l'Agència ha fet lliurament efectiu de la documentació referenciada en la següent taula, que s'ha agrupat per matèries i Grups Parlamentaris.</w:t>
      </w:r>
    </w:p>
    <w:p w14:paraId="79DEFBDB" w14:textId="08B5356C" w:rsidR="00976473" w:rsidRPr="00976473" w:rsidRDefault="00976473" w:rsidP="00976473">
      <w:pPr>
        <w:spacing w:after="240" w:line="276" w:lineRule="auto"/>
        <w:jc w:val="both"/>
        <w:rPr>
          <w:rFonts w:ascii="Arial" w:hAnsi="Arial"/>
          <w:sz w:val="21"/>
          <w:szCs w:val="21"/>
          <w:u w:val="single"/>
        </w:rPr>
      </w:pPr>
      <w:r w:rsidRPr="00976473">
        <w:rPr>
          <w:rFonts w:ascii="Arial" w:hAnsi="Arial"/>
          <w:sz w:val="21"/>
          <w:szCs w:val="21"/>
        </w:rPr>
        <w:t xml:space="preserve">Les contestacions a les citades sol·licituds d'informació presentades pels diferents Grups Parlamentaris es troben publicades en el Portal de Transparència de l’AVAF, en concret en </w:t>
      </w:r>
      <w:r w:rsidRPr="00976473">
        <w:rPr>
          <w:rFonts w:ascii="Arial" w:hAnsi="Arial"/>
          <w:b/>
          <w:bCs/>
          <w:sz w:val="21"/>
          <w:szCs w:val="21"/>
        </w:rPr>
        <w:t>Informació jurídica de rellevància,</w:t>
      </w:r>
      <w:r w:rsidRPr="00976473">
        <w:rPr>
          <w:rFonts w:ascii="Arial" w:hAnsi="Arial"/>
          <w:sz w:val="21"/>
          <w:szCs w:val="21"/>
        </w:rPr>
        <w:t xml:space="preserve"> apartat </w:t>
      </w:r>
      <w:r w:rsidRPr="00976473">
        <w:rPr>
          <w:rFonts w:ascii="Arial" w:hAnsi="Arial"/>
          <w:b/>
          <w:bCs/>
          <w:sz w:val="21"/>
          <w:szCs w:val="21"/>
        </w:rPr>
        <w:t>Relacions amb les Corts Valencianes</w:t>
      </w:r>
      <w:r w:rsidRPr="00976473">
        <w:rPr>
          <w:rFonts w:ascii="Arial" w:hAnsi="Arial"/>
          <w:sz w:val="21"/>
          <w:szCs w:val="21"/>
        </w:rPr>
        <w:t xml:space="preserve"> </w:t>
      </w:r>
      <w:hyperlink r:id="rId407" w:history="1">
        <w:r w:rsidR="00582301">
          <w:rPr>
            <w:rStyle w:val="Hipervnculo"/>
            <w:rFonts w:ascii="Arial" w:hAnsi="Arial"/>
            <w:sz w:val="21"/>
            <w:szCs w:val="21"/>
          </w:rPr>
          <w:t>https://www.antifraucv.es/va/informacio-de-rellevancia-juridica/</w:t>
        </w:r>
      </w:hyperlink>
    </w:p>
    <w:p w14:paraId="2417A97C" w14:textId="1CF4E0BC" w:rsidR="00976473" w:rsidRPr="00976473" w:rsidRDefault="00976473" w:rsidP="00976473">
      <w:pPr>
        <w:pStyle w:val="Descripcin"/>
        <w:keepNext/>
        <w:rPr>
          <w:rFonts w:ascii="Arial" w:hAnsi="Arial" w:cs="Arial"/>
          <w:smallCaps w:val="0"/>
          <w:sz w:val="18"/>
          <w:szCs w:val="18"/>
        </w:rPr>
      </w:pPr>
      <w:bookmarkStart w:id="132" w:name="_Toc99110853"/>
      <w:r w:rsidRPr="00976473">
        <w:rPr>
          <w:rFonts w:ascii="Arial" w:hAnsi="Arial" w:cs="Arial"/>
          <w:smallCaps w:val="0"/>
          <w:color w:val="9D2235" w:themeColor="accent1"/>
          <w:sz w:val="18"/>
          <w:szCs w:val="18"/>
        </w:rPr>
        <w:t xml:space="preserve">Taula </w:t>
      </w:r>
      <w:r w:rsidRPr="00976473">
        <w:rPr>
          <w:rFonts w:ascii="Arial" w:hAnsi="Arial" w:cs="Arial"/>
          <w:smallCaps w:val="0"/>
          <w:color w:val="9D2235" w:themeColor="accent1"/>
          <w:sz w:val="18"/>
          <w:szCs w:val="18"/>
        </w:rPr>
        <w:fldChar w:fldCharType="begin" w:fldLock="1"/>
      </w:r>
      <w:r w:rsidRPr="00976473">
        <w:rPr>
          <w:rFonts w:ascii="Arial" w:hAnsi="Arial" w:cs="Arial"/>
          <w:smallCaps w:val="0"/>
          <w:color w:val="9D2235" w:themeColor="accent1"/>
          <w:sz w:val="18"/>
          <w:szCs w:val="18"/>
        </w:rPr>
        <w:instrText xml:space="preserve"> SEQ Taula \* ARABIC </w:instrText>
      </w:r>
      <w:r w:rsidRPr="00976473">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8</w:t>
      </w:r>
      <w:r w:rsidRPr="00976473">
        <w:rPr>
          <w:rFonts w:ascii="Arial" w:hAnsi="Arial" w:cs="Arial"/>
          <w:smallCaps w:val="0"/>
          <w:color w:val="9D2235" w:themeColor="accent1"/>
          <w:sz w:val="18"/>
          <w:szCs w:val="18"/>
        </w:rPr>
        <w:fldChar w:fldCharType="end"/>
      </w:r>
      <w:r w:rsidRPr="00976473">
        <w:rPr>
          <w:rFonts w:ascii="Arial" w:hAnsi="Arial" w:cs="Arial"/>
          <w:smallCaps w:val="0"/>
          <w:color w:val="9D2235" w:themeColor="accent1"/>
          <w:sz w:val="18"/>
          <w:szCs w:val="18"/>
        </w:rPr>
        <w:t xml:space="preserve">. </w:t>
      </w:r>
      <w:r w:rsidRPr="00976473">
        <w:rPr>
          <w:rFonts w:ascii="Arial" w:hAnsi="Arial" w:cs="Arial"/>
          <w:smallCaps w:val="0"/>
          <w:sz w:val="18"/>
          <w:szCs w:val="18"/>
        </w:rPr>
        <w:t xml:space="preserve">Sol·licituds d'informació pel </w:t>
      </w:r>
      <w:r w:rsidR="00221EC4">
        <w:rPr>
          <w:rFonts w:ascii="Arial" w:hAnsi="Arial" w:cs="Arial"/>
          <w:smallCaps w:val="0"/>
          <w:sz w:val="18"/>
          <w:szCs w:val="18"/>
        </w:rPr>
        <w:t>canal</w:t>
      </w:r>
      <w:r w:rsidRPr="00976473">
        <w:rPr>
          <w:rFonts w:ascii="Arial" w:hAnsi="Arial" w:cs="Arial"/>
          <w:smallCaps w:val="0"/>
          <w:sz w:val="18"/>
          <w:szCs w:val="18"/>
        </w:rPr>
        <w:t xml:space="preserve"> parlamentari de l'article 12 del RCV</w:t>
      </w:r>
      <w:bookmarkEnd w:id="132"/>
    </w:p>
    <w:tbl>
      <w:tblPr>
        <w:tblStyle w:val="Tablaconcuadrcula4"/>
        <w:tblW w:w="0" w:type="auto"/>
        <w:tblLook w:val="04A0" w:firstRow="1" w:lastRow="0" w:firstColumn="1" w:lastColumn="0" w:noHBand="0" w:noVBand="1"/>
      </w:tblPr>
      <w:tblGrid>
        <w:gridCol w:w="1260"/>
        <w:gridCol w:w="4817"/>
        <w:gridCol w:w="1041"/>
        <w:gridCol w:w="1376"/>
      </w:tblGrid>
      <w:tr w:rsidR="00976473" w:rsidRPr="00976473" w14:paraId="17FD0C26" w14:textId="77777777" w:rsidTr="00976473">
        <w:tc>
          <w:tcPr>
            <w:tcW w:w="8494" w:type="dxa"/>
            <w:gridSpan w:val="4"/>
            <w:tcBorders>
              <w:bottom w:val="nil"/>
            </w:tcBorders>
            <w:shd w:val="clear" w:color="auto" w:fill="9D2235"/>
          </w:tcPr>
          <w:p w14:paraId="0B3C00F2" w14:textId="77777777" w:rsidR="00976473" w:rsidRPr="00976473" w:rsidRDefault="00976473" w:rsidP="00976473">
            <w:pPr>
              <w:spacing w:before="100" w:beforeAutospacing="1"/>
              <w:jc w:val="center"/>
              <w:rPr>
                <w:rFonts w:ascii="Arial" w:eastAsia="Times New Roman" w:hAnsi="Arial" w:cs="Arial"/>
                <w:b/>
                <w:bCs/>
                <w:color w:val="FFFFFF"/>
                <w:sz w:val="16"/>
                <w:szCs w:val="16"/>
                <w:lang w:eastAsia="es-ES"/>
              </w:rPr>
            </w:pPr>
            <w:bookmarkStart w:id="133" w:name="_Hlk97812337"/>
            <w:r w:rsidRPr="00976473">
              <w:rPr>
                <w:rFonts w:ascii="Arial" w:eastAsia="Times New Roman" w:hAnsi="Arial" w:cs="Arial"/>
                <w:b/>
                <w:bCs/>
                <w:color w:val="FFFFFF"/>
                <w:sz w:val="16"/>
                <w:szCs w:val="16"/>
                <w:lang w:eastAsia="es-ES"/>
              </w:rPr>
              <w:t>EXPEDIENTS D'INVESTIGACIÓ I RELACIONATS AMB PERSONES DENUNCIANTS</w:t>
            </w:r>
          </w:p>
        </w:tc>
      </w:tr>
      <w:bookmarkEnd w:id="133"/>
      <w:tr w:rsidR="00976473" w:rsidRPr="00976473" w14:paraId="70F05BCB" w14:textId="77777777" w:rsidTr="00976473">
        <w:tc>
          <w:tcPr>
            <w:tcW w:w="1260" w:type="dxa"/>
            <w:tcBorders>
              <w:top w:val="nil"/>
            </w:tcBorders>
            <w:shd w:val="clear" w:color="auto" w:fill="9D2235"/>
          </w:tcPr>
          <w:p w14:paraId="61C7C52D" w14:textId="77777777" w:rsidR="00976473" w:rsidRPr="00976473" w:rsidRDefault="00976473" w:rsidP="00976473">
            <w:pPr>
              <w:spacing w:before="100" w:beforeAutospacing="1"/>
              <w:jc w:val="center"/>
              <w:rPr>
                <w:rFonts w:ascii="Arial" w:eastAsia="Times New Roman" w:hAnsi="Arial" w:cs="Arial"/>
                <w:b/>
                <w:bCs/>
                <w:color w:val="FFFFFF"/>
                <w:sz w:val="16"/>
                <w:szCs w:val="16"/>
                <w:lang w:eastAsia="es-ES"/>
              </w:rPr>
            </w:pPr>
            <w:r w:rsidRPr="00976473">
              <w:rPr>
                <w:rFonts w:ascii="Arial" w:eastAsia="Times New Roman" w:hAnsi="Arial" w:cs="Arial"/>
                <w:b/>
                <w:bCs/>
                <w:color w:val="FFFFFF"/>
                <w:sz w:val="16"/>
                <w:szCs w:val="16"/>
                <w:lang w:eastAsia="es-ES"/>
              </w:rPr>
              <w:t>Grup Parlamentari</w:t>
            </w:r>
          </w:p>
        </w:tc>
        <w:tc>
          <w:tcPr>
            <w:tcW w:w="4817" w:type="dxa"/>
            <w:tcBorders>
              <w:top w:val="nil"/>
            </w:tcBorders>
            <w:shd w:val="clear" w:color="auto" w:fill="9D2235"/>
          </w:tcPr>
          <w:p w14:paraId="47E4321A" w14:textId="77777777" w:rsidR="00976473" w:rsidRPr="00976473" w:rsidRDefault="00976473" w:rsidP="00976473">
            <w:pPr>
              <w:spacing w:before="100" w:beforeAutospacing="1"/>
              <w:jc w:val="center"/>
              <w:rPr>
                <w:rFonts w:ascii="Arial" w:eastAsia="Times New Roman" w:hAnsi="Arial" w:cs="Arial"/>
                <w:b/>
                <w:bCs/>
                <w:color w:val="FFFFFF"/>
                <w:sz w:val="16"/>
                <w:szCs w:val="16"/>
                <w:lang w:eastAsia="es-ES"/>
              </w:rPr>
            </w:pPr>
            <w:r w:rsidRPr="00976473">
              <w:rPr>
                <w:rFonts w:ascii="Arial" w:eastAsia="Times New Roman" w:hAnsi="Arial" w:cs="Arial"/>
                <w:b/>
                <w:bCs/>
                <w:color w:val="FFFFFF"/>
                <w:sz w:val="16"/>
                <w:szCs w:val="16"/>
                <w:lang w:eastAsia="es-ES"/>
              </w:rPr>
              <w:t>Assumpte</w:t>
            </w:r>
          </w:p>
        </w:tc>
        <w:tc>
          <w:tcPr>
            <w:tcW w:w="1041" w:type="dxa"/>
            <w:tcBorders>
              <w:top w:val="nil"/>
            </w:tcBorders>
            <w:shd w:val="clear" w:color="auto" w:fill="9D2235"/>
          </w:tcPr>
          <w:p w14:paraId="1862F8B9" w14:textId="77777777" w:rsidR="00976473" w:rsidRPr="00976473" w:rsidRDefault="00976473" w:rsidP="00976473">
            <w:pPr>
              <w:spacing w:before="100" w:beforeAutospacing="1"/>
              <w:jc w:val="center"/>
              <w:rPr>
                <w:rFonts w:ascii="Arial" w:eastAsia="Times New Roman" w:hAnsi="Arial" w:cs="Arial"/>
                <w:b/>
                <w:bCs/>
                <w:color w:val="FFFFFF"/>
                <w:sz w:val="16"/>
                <w:szCs w:val="16"/>
                <w:lang w:eastAsia="es-ES"/>
              </w:rPr>
            </w:pPr>
            <w:r w:rsidRPr="00976473">
              <w:rPr>
                <w:rFonts w:ascii="Arial" w:eastAsia="Times New Roman" w:hAnsi="Arial" w:cs="Arial"/>
                <w:b/>
                <w:bCs/>
                <w:color w:val="FFFFFF"/>
                <w:sz w:val="16"/>
                <w:szCs w:val="16"/>
                <w:lang w:eastAsia="es-ES"/>
              </w:rPr>
              <w:t>Sol·licitud</w:t>
            </w:r>
          </w:p>
        </w:tc>
        <w:tc>
          <w:tcPr>
            <w:tcW w:w="1376" w:type="dxa"/>
            <w:tcBorders>
              <w:top w:val="nil"/>
            </w:tcBorders>
            <w:shd w:val="clear" w:color="auto" w:fill="9D2235"/>
          </w:tcPr>
          <w:p w14:paraId="27EC8C8D" w14:textId="77777777" w:rsidR="00976473" w:rsidRPr="00976473" w:rsidRDefault="00976473" w:rsidP="00976473">
            <w:pPr>
              <w:jc w:val="center"/>
              <w:rPr>
                <w:rFonts w:ascii="Arial" w:eastAsia="Times New Roman" w:hAnsi="Arial" w:cs="Arial"/>
                <w:b/>
                <w:bCs/>
                <w:color w:val="FFFFFF"/>
                <w:sz w:val="16"/>
                <w:szCs w:val="16"/>
                <w:lang w:eastAsia="es-ES"/>
              </w:rPr>
            </w:pPr>
            <w:r w:rsidRPr="00976473">
              <w:rPr>
                <w:rFonts w:ascii="Arial" w:eastAsia="Times New Roman" w:hAnsi="Arial" w:cs="Arial"/>
                <w:b/>
                <w:bCs/>
                <w:color w:val="FFFFFF"/>
                <w:sz w:val="16"/>
                <w:szCs w:val="16"/>
                <w:lang w:eastAsia="es-ES"/>
              </w:rPr>
              <w:t>Contestació /</w:t>
            </w:r>
          </w:p>
          <w:p w14:paraId="38D8D1AB" w14:textId="77777777" w:rsidR="00976473" w:rsidRPr="00976473" w:rsidRDefault="00976473" w:rsidP="00976473">
            <w:pPr>
              <w:jc w:val="center"/>
              <w:rPr>
                <w:rFonts w:ascii="Arial" w:eastAsia="Times New Roman" w:hAnsi="Arial" w:cs="Arial"/>
                <w:b/>
                <w:bCs/>
                <w:color w:val="FFFFFF"/>
                <w:sz w:val="16"/>
                <w:szCs w:val="16"/>
                <w:lang w:eastAsia="es-ES"/>
              </w:rPr>
            </w:pPr>
            <w:r w:rsidRPr="00976473">
              <w:rPr>
                <w:rFonts w:ascii="Arial" w:eastAsia="Times New Roman" w:hAnsi="Arial" w:cs="Arial"/>
                <w:b/>
                <w:bCs/>
                <w:color w:val="FFFFFF"/>
                <w:sz w:val="16"/>
                <w:szCs w:val="16"/>
                <w:lang w:eastAsia="es-ES"/>
              </w:rPr>
              <w:t>Remissió documentació</w:t>
            </w:r>
          </w:p>
        </w:tc>
      </w:tr>
      <w:tr w:rsidR="00976473" w:rsidRPr="00976473" w14:paraId="48834DE4" w14:textId="77777777" w:rsidTr="00976473">
        <w:tc>
          <w:tcPr>
            <w:tcW w:w="1260" w:type="dxa"/>
            <w:vMerge w:val="restart"/>
          </w:tcPr>
          <w:p w14:paraId="4FFE704F" w14:textId="77777777" w:rsidR="00976473" w:rsidRPr="00976473" w:rsidRDefault="00976473" w:rsidP="00976473">
            <w:pPr>
              <w:spacing w:before="100" w:beforeAutospacing="1"/>
              <w:rPr>
                <w:rFonts w:ascii="Arial" w:eastAsia="Times New Roman" w:hAnsi="Arial" w:cs="Arial"/>
                <w:b/>
                <w:bCs/>
                <w:color w:val="9D2235"/>
                <w:sz w:val="16"/>
                <w:szCs w:val="16"/>
                <w:lang w:eastAsia="es-ES"/>
              </w:rPr>
            </w:pPr>
            <w:r w:rsidRPr="00976473">
              <w:rPr>
                <w:rFonts w:ascii="Arial" w:eastAsia="Times New Roman" w:hAnsi="Arial" w:cs="Arial"/>
                <w:b/>
                <w:bCs/>
                <w:color w:val="9D2235"/>
                <w:sz w:val="16"/>
                <w:szCs w:val="16"/>
                <w:lang w:eastAsia="es-ES"/>
              </w:rPr>
              <w:t>Grup Popular</w:t>
            </w:r>
          </w:p>
        </w:tc>
        <w:tc>
          <w:tcPr>
            <w:tcW w:w="4817" w:type="dxa"/>
          </w:tcPr>
          <w:p w14:paraId="6F276063" w14:textId="77777777" w:rsidR="00976473" w:rsidRPr="00976473" w:rsidRDefault="00976473" w:rsidP="00976473">
            <w:pPr>
              <w:spacing w:before="100" w:beforeAutospacing="1"/>
              <w:jc w:val="both"/>
              <w:rPr>
                <w:rFonts w:ascii="Arial" w:eastAsia="Times New Roman" w:hAnsi="Arial" w:cs="Arial"/>
                <w:sz w:val="16"/>
                <w:szCs w:val="16"/>
                <w:lang w:eastAsia="es-ES"/>
              </w:rPr>
            </w:pPr>
            <w:r w:rsidRPr="00976473">
              <w:rPr>
                <w:rFonts w:ascii="Arial" w:eastAsia="Times New Roman" w:hAnsi="Arial" w:cs="Arial"/>
                <w:sz w:val="16"/>
                <w:szCs w:val="16"/>
                <w:lang w:eastAsia="es-ES"/>
              </w:rPr>
              <w:t>Sobre concessió d'ajudes públiques per a la promoció del valencià per part de les mercantils Kriol Produccions, SL i Canal Maestral, SL</w:t>
            </w:r>
          </w:p>
        </w:tc>
        <w:tc>
          <w:tcPr>
            <w:tcW w:w="1041" w:type="dxa"/>
          </w:tcPr>
          <w:p w14:paraId="54A9A010"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10/09/2019</w:t>
            </w:r>
          </w:p>
        </w:tc>
        <w:tc>
          <w:tcPr>
            <w:tcW w:w="1376" w:type="dxa"/>
          </w:tcPr>
          <w:p w14:paraId="0A6E6773"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22/07/2021</w:t>
            </w:r>
          </w:p>
        </w:tc>
      </w:tr>
      <w:tr w:rsidR="00976473" w:rsidRPr="00976473" w14:paraId="24831F9F" w14:textId="77777777" w:rsidTr="00976473">
        <w:tc>
          <w:tcPr>
            <w:tcW w:w="1260" w:type="dxa"/>
            <w:vMerge/>
          </w:tcPr>
          <w:p w14:paraId="704FF69F"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shd w:val="clear" w:color="auto" w:fill="F2F2F2"/>
          </w:tcPr>
          <w:p w14:paraId="46B526F3" w14:textId="77777777" w:rsidR="00976473" w:rsidRPr="00976473" w:rsidRDefault="00976473" w:rsidP="00976473">
            <w:pPr>
              <w:spacing w:before="100" w:beforeAutospacing="1"/>
              <w:jc w:val="both"/>
              <w:rPr>
                <w:rFonts w:ascii="Arial" w:eastAsia="Times New Roman" w:hAnsi="Arial" w:cs="Arial"/>
                <w:sz w:val="16"/>
                <w:szCs w:val="16"/>
                <w:lang w:eastAsia="es-ES"/>
              </w:rPr>
            </w:pPr>
            <w:r w:rsidRPr="00976473">
              <w:rPr>
                <w:rFonts w:ascii="Arial" w:eastAsia="Times New Roman" w:hAnsi="Arial" w:cs="Arial"/>
                <w:sz w:val="16"/>
                <w:szCs w:val="16"/>
                <w:lang w:eastAsia="es-ES"/>
              </w:rPr>
              <w:t>Sobre subvencions atorgades per l'Agència Valenciana de Foment i Garantia Agrària (AVFGA) a Comunicacions dels Ports SA</w:t>
            </w:r>
          </w:p>
        </w:tc>
        <w:tc>
          <w:tcPr>
            <w:tcW w:w="1041" w:type="dxa"/>
            <w:shd w:val="clear" w:color="auto" w:fill="F2F2F2"/>
          </w:tcPr>
          <w:p w14:paraId="2EA4156A"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20/03/2020</w:t>
            </w:r>
          </w:p>
        </w:tc>
        <w:tc>
          <w:tcPr>
            <w:tcW w:w="1376" w:type="dxa"/>
            <w:shd w:val="clear" w:color="auto" w:fill="F2F2F2"/>
          </w:tcPr>
          <w:p w14:paraId="67D654E1"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25/06/2021</w:t>
            </w:r>
          </w:p>
        </w:tc>
      </w:tr>
      <w:tr w:rsidR="00976473" w:rsidRPr="00976473" w14:paraId="12B4643A" w14:textId="77777777" w:rsidTr="00976473">
        <w:tc>
          <w:tcPr>
            <w:tcW w:w="1260" w:type="dxa"/>
            <w:vMerge/>
          </w:tcPr>
          <w:p w14:paraId="5560CF1B"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tcPr>
          <w:p w14:paraId="7DF62F6C" w14:textId="77777777" w:rsidR="00976473" w:rsidRPr="00976473" w:rsidRDefault="00976473" w:rsidP="00976473">
            <w:pPr>
              <w:spacing w:before="100" w:beforeAutospacing="1"/>
              <w:rPr>
                <w:rFonts w:ascii="Arial" w:eastAsia="Times New Roman" w:hAnsi="Arial" w:cs="Arial"/>
                <w:sz w:val="16"/>
                <w:szCs w:val="16"/>
                <w:lang w:eastAsia="es-ES"/>
              </w:rPr>
            </w:pPr>
            <w:r w:rsidRPr="00976473">
              <w:rPr>
                <w:rFonts w:ascii="Arial" w:eastAsia="Times New Roman" w:hAnsi="Arial" w:cs="Arial"/>
                <w:sz w:val="16"/>
                <w:szCs w:val="16"/>
                <w:lang w:eastAsia="es-ES"/>
              </w:rPr>
              <w:t>Sobre subvencions atorgades RTL-10-02-010 Ajudes Ruralter-LEADER (GAL ZONA 2) a la mercantil Comunicacions dels Ports SA</w:t>
            </w:r>
          </w:p>
        </w:tc>
        <w:tc>
          <w:tcPr>
            <w:tcW w:w="1041" w:type="dxa"/>
          </w:tcPr>
          <w:p w14:paraId="688642A9"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10/07/2020</w:t>
            </w:r>
          </w:p>
        </w:tc>
        <w:tc>
          <w:tcPr>
            <w:tcW w:w="1376" w:type="dxa"/>
          </w:tcPr>
          <w:p w14:paraId="01B83420"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25/06/2021</w:t>
            </w:r>
          </w:p>
        </w:tc>
      </w:tr>
      <w:tr w:rsidR="00976473" w:rsidRPr="00976473" w14:paraId="4F50E5EC" w14:textId="77777777" w:rsidTr="00976473">
        <w:tc>
          <w:tcPr>
            <w:tcW w:w="1260" w:type="dxa"/>
            <w:vMerge/>
          </w:tcPr>
          <w:p w14:paraId="2D75CC2E"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shd w:val="clear" w:color="auto" w:fill="F2F2F2"/>
          </w:tcPr>
          <w:p w14:paraId="1B26D9A7" w14:textId="77777777" w:rsidR="00976473" w:rsidRPr="00976473" w:rsidRDefault="00976473" w:rsidP="00976473">
            <w:pPr>
              <w:spacing w:before="100" w:beforeAutospacing="1"/>
              <w:jc w:val="both"/>
              <w:rPr>
                <w:rFonts w:ascii="Arial" w:eastAsia="Times New Roman" w:hAnsi="Arial" w:cs="Arial"/>
                <w:sz w:val="16"/>
                <w:szCs w:val="16"/>
                <w:lang w:eastAsia="es-ES"/>
              </w:rPr>
            </w:pPr>
            <w:r w:rsidRPr="00976473">
              <w:rPr>
                <w:rFonts w:ascii="Arial" w:eastAsia="Times New Roman" w:hAnsi="Arial" w:cs="Arial"/>
                <w:sz w:val="16"/>
                <w:szCs w:val="16"/>
                <w:lang w:eastAsia="es-ES"/>
              </w:rPr>
              <w:t>Sobre la investigació incoada d'ofici per l’AVAF sobre l'ús de fons públics per a finançar residències de majors durant la crisi del coronavirus</w:t>
            </w:r>
          </w:p>
        </w:tc>
        <w:tc>
          <w:tcPr>
            <w:tcW w:w="1041" w:type="dxa"/>
            <w:shd w:val="clear" w:color="auto" w:fill="F2F2F2"/>
          </w:tcPr>
          <w:p w14:paraId="3C78A672"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23/12/2020</w:t>
            </w:r>
          </w:p>
        </w:tc>
        <w:tc>
          <w:tcPr>
            <w:tcW w:w="1376" w:type="dxa"/>
            <w:shd w:val="clear" w:color="auto" w:fill="F2F2F2"/>
          </w:tcPr>
          <w:p w14:paraId="7B9647E4"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12/07/2021</w:t>
            </w:r>
          </w:p>
        </w:tc>
      </w:tr>
      <w:tr w:rsidR="00976473" w:rsidRPr="00976473" w14:paraId="101B1D2E" w14:textId="77777777" w:rsidTr="00976473">
        <w:tc>
          <w:tcPr>
            <w:tcW w:w="1260" w:type="dxa"/>
            <w:vMerge/>
          </w:tcPr>
          <w:p w14:paraId="6D915E61"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tcPr>
          <w:p w14:paraId="7CDEB2A9" w14:textId="77777777" w:rsidR="00976473" w:rsidRPr="00976473" w:rsidRDefault="00976473" w:rsidP="00976473">
            <w:pPr>
              <w:spacing w:before="100" w:beforeAutospacing="1"/>
              <w:rPr>
                <w:rFonts w:ascii="Arial" w:eastAsia="Times New Roman" w:hAnsi="Arial" w:cs="Arial"/>
                <w:sz w:val="16"/>
                <w:szCs w:val="16"/>
                <w:lang w:eastAsia="es-ES"/>
              </w:rPr>
            </w:pPr>
            <w:r w:rsidRPr="00976473">
              <w:rPr>
                <w:rFonts w:ascii="Arial" w:eastAsia="Times New Roman" w:hAnsi="Arial" w:cs="Arial"/>
                <w:sz w:val="16"/>
                <w:szCs w:val="16"/>
                <w:lang w:eastAsia="es-ES"/>
              </w:rPr>
              <w:t xml:space="preserve">Sobre investigacions de l’AVAF </w:t>
            </w:r>
            <w:r w:rsidRPr="00976473">
              <w:rPr>
                <w:rFonts w:ascii="Arial" w:eastAsia="SimSun" w:hAnsi="Arial" w:cs="Arial"/>
                <w:kern w:val="2"/>
                <w:sz w:val="16"/>
                <w:szCs w:val="16"/>
                <w:lang w:eastAsia="zh-CN" w:bidi="hi-IN"/>
              </w:rPr>
              <w:t>en relació amb el Cos de Policia local de Torrevieja</w:t>
            </w:r>
          </w:p>
        </w:tc>
        <w:tc>
          <w:tcPr>
            <w:tcW w:w="1041" w:type="dxa"/>
          </w:tcPr>
          <w:p w14:paraId="0678EE51"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3/02/2021</w:t>
            </w:r>
          </w:p>
        </w:tc>
        <w:tc>
          <w:tcPr>
            <w:tcW w:w="1376" w:type="dxa"/>
          </w:tcPr>
          <w:p w14:paraId="685B42B6"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2/03/2021</w:t>
            </w:r>
          </w:p>
        </w:tc>
      </w:tr>
      <w:tr w:rsidR="00976473" w:rsidRPr="00976473" w14:paraId="303625CD" w14:textId="77777777" w:rsidTr="00976473">
        <w:tc>
          <w:tcPr>
            <w:tcW w:w="1260" w:type="dxa"/>
            <w:vMerge/>
          </w:tcPr>
          <w:p w14:paraId="7B3B381D"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shd w:val="clear" w:color="auto" w:fill="F2F2F2"/>
          </w:tcPr>
          <w:p w14:paraId="29E4988A" w14:textId="77777777" w:rsidR="00976473" w:rsidRPr="00976473" w:rsidRDefault="00976473" w:rsidP="00976473">
            <w:pPr>
              <w:spacing w:before="100" w:beforeAutospacing="1"/>
              <w:jc w:val="both"/>
              <w:rPr>
                <w:rFonts w:ascii="Arial" w:eastAsia="Times New Roman" w:hAnsi="Arial" w:cs="Arial"/>
                <w:sz w:val="16"/>
                <w:szCs w:val="16"/>
                <w:lang w:eastAsia="es-ES"/>
              </w:rPr>
            </w:pPr>
            <w:r w:rsidRPr="00976473">
              <w:rPr>
                <w:rFonts w:ascii="Arial" w:eastAsia="Times New Roman" w:hAnsi="Arial" w:cs="Arial"/>
                <w:sz w:val="16"/>
                <w:szCs w:val="16"/>
                <w:lang w:eastAsia="es-ES"/>
              </w:rPr>
              <w:t>Sobre suposada inacció en relació amb una operació urbanística entre l'Ajuntament d'Orihuela i el Bisbat d'Orihuela (Alacant), entre els anys 2003 i 2007</w:t>
            </w:r>
          </w:p>
        </w:tc>
        <w:tc>
          <w:tcPr>
            <w:tcW w:w="1041" w:type="dxa"/>
            <w:shd w:val="clear" w:color="auto" w:fill="F2F2F2"/>
          </w:tcPr>
          <w:p w14:paraId="41BC9E1B"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10/02/2021</w:t>
            </w:r>
          </w:p>
        </w:tc>
        <w:tc>
          <w:tcPr>
            <w:tcW w:w="1376" w:type="dxa"/>
            <w:shd w:val="clear" w:color="auto" w:fill="F2F2F2"/>
          </w:tcPr>
          <w:p w14:paraId="7C0A3F95"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10/03/2021</w:t>
            </w:r>
          </w:p>
        </w:tc>
      </w:tr>
      <w:tr w:rsidR="00976473" w:rsidRPr="00976473" w14:paraId="5A1D49F5" w14:textId="77777777" w:rsidTr="00976473">
        <w:tc>
          <w:tcPr>
            <w:tcW w:w="1260" w:type="dxa"/>
            <w:vMerge/>
          </w:tcPr>
          <w:p w14:paraId="2854E7E4"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tcPr>
          <w:p w14:paraId="5C50D511" w14:textId="77777777" w:rsidR="00976473" w:rsidRPr="00976473" w:rsidRDefault="00976473" w:rsidP="00976473">
            <w:pPr>
              <w:spacing w:before="100" w:beforeAutospacing="1"/>
              <w:jc w:val="both"/>
              <w:rPr>
                <w:rFonts w:ascii="Arial" w:eastAsia="Times New Roman" w:hAnsi="Arial" w:cs="Arial"/>
                <w:sz w:val="16"/>
                <w:szCs w:val="16"/>
                <w:lang w:eastAsia="es-ES"/>
              </w:rPr>
            </w:pPr>
            <w:r w:rsidRPr="00976473">
              <w:rPr>
                <w:rFonts w:ascii="Arial" w:eastAsia="Times New Roman" w:hAnsi="Arial" w:cs="Arial"/>
                <w:sz w:val="16"/>
                <w:szCs w:val="16"/>
                <w:lang w:eastAsia="es-ES"/>
              </w:rPr>
              <w:t>Requeriments formulats per l'Agència a l'Ajuntament de Santa Pola des de la seua creació i fins a la data de resposta a aquesta iniciativa</w:t>
            </w:r>
          </w:p>
        </w:tc>
        <w:tc>
          <w:tcPr>
            <w:tcW w:w="1041" w:type="dxa"/>
          </w:tcPr>
          <w:p w14:paraId="240AD2B5"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7/09/2021</w:t>
            </w:r>
          </w:p>
        </w:tc>
        <w:tc>
          <w:tcPr>
            <w:tcW w:w="1376" w:type="dxa"/>
          </w:tcPr>
          <w:p w14:paraId="4E4221F3"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1/10/2021</w:t>
            </w:r>
          </w:p>
        </w:tc>
      </w:tr>
      <w:tr w:rsidR="00976473" w:rsidRPr="00976473" w14:paraId="05CA1CBE" w14:textId="77777777" w:rsidTr="00976473">
        <w:tc>
          <w:tcPr>
            <w:tcW w:w="1260" w:type="dxa"/>
            <w:vMerge/>
          </w:tcPr>
          <w:p w14:paraId="30AB1E50"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shd w:val="clear" w:color="auto" w:fill="F2F2F2"/>
          </w:tcPr>
          <w:p w14:paraId="2FB6A287" w14:textId="77777777" w:rsidR="00976473" w:rsidRPr="00976473" w:rsidRDefault="00976473" w:rsidP="00976473">
            <w:pPr>
              <w:spacing w:before="100" w:beforeAutospacing="1"/>
              <w:jc w:val="both"/>
              <w:rPr>
                <w:rFonts w:ascii="Arial" w:eastAsia="Times New Roman" w:hAnsi="Arial" w:cs="Arial"/>
                <w:sz w:val="16"/>
                <w:szCs w:val="16"/>
                <w:lang w:eastAsia="es-ES"/>
              </w:rPr>
            </w:pPr>
            <w:r w:rsidRPr="00976473">
              <w:rPr>
                <w:rFonts w:ascii="Arial" w:eastAsia="Times New Roman" w:hAnsi="Arial" w:cs="Arial"/>
                <w:sz w:val="16"/>
                <w:szCs w:val="16"/>
                <w:lang w:eastAsia="es-ES"/>
              </w:rPr>
              <w:t>Expedients d'investigació en curs relatius a actuacions administratives de l'Ajuntament de Santa Pola</w:t>
            </w:r>
          </w:p>
        </w:tc>
        <w:tc>
          <w:tcPr>
            <w:tcW w:w="1041" w:type="dxa"/>
            <w:shd w:val="clear" w:color="auto" w:fill="F2F2F2"/>
          </w:tcPr>
          <w:p w14:paraId="0C85E91E"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7/09/2021</w:t>
            </w:r>
          </w:p>
        </w:tc>
        <w:tc>
          <w:tcPr>
            <w:tcW w:w="1376" w:type="dxa"/>
            <w:shd w:val="clear" w:color="auto" w:fill="F2F2F2"/>
          </w:tcPr>
          <w:p w14:paraId="084CCFBC"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1/10/2021</w:t>
            </w:r>
          </w:p>
        </w:tc>
      </w:tr>
      <w:tr w:rsidR="00976473" w:rsidRPr="00976473" w14:paraId="44ED80DE" w14:textId="77777777" w:rsidTr="00976473">
        <w:tc>
          <w:tcPr>
            <w:tcW w:w="1260" w:type="dxa"/>
            <w:vMerge/>
          </w:tcPr>
          <w:p w14:paraId="35BD5667"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tcPr>
          <w:p w14:paraId="3BA87BCB" w14:textId="77777777" w:rsidR="00976473" w:rsidRPr="00976473" w:rsidRDefault="00976473" w:rsidP="00976473">
            <w:pPr>
              <w:spacing w:before="100" w:beforeAutospacing="1"/>
              <w:jc w:val="both"/>
              <w:rPr>
                <w:rFonts w:ascii="Arial" w:eastAsia="Times New Roman" w:hAnsi="Arial" w:cs="Arial"/>
                <w:sz w:val="16"/>
                <w:szCs w:val="16"/>
                <w:lang w:eastAsia="es-ES"/>
              </w:rPr>
            </w:pPr>
            <w:r w:rsidRPr="00976473">
              <w:rPr>
                <w:rFonts w:ascii="Arial" w:eastAsia="Times New Roman" w:hAnsi="Arial" w:cs="Arial"/>
                <w:sz w:val="16"/>
                <w:szCs w:val="16"/>
                <w:lang w:eastAsia="es-ES"/>
              </w:rPr>
              <w:t>Expedients administratius en relació amb qualsevol nomenament, designacions, contractes o relació de qualsevol altra naturalesa entre l'agència i Sr. Baltasar Garzón Real, directament o a través de qualsevol persones jurídiques, així com una relació de tots els pagaments realitzats en virtut d'aquestes relacions, fins i tot aquells que es deguen al rescabalament de dietes o desplaçaments, i còpia de tots els documents que ordenen o acrediten pagaments a aquest, incloent factures, justificants i qualsevol uns altres</w:t>
            </w:r>
          </w:p>
        </w:tc>
        <w:tc>
          <w:tcPr>
            <w:tcW w:w="1041" w:type="dxa"/>
          </w:tcPr>
          <w:p w14:paraId="49A1F46F"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13/10/2021</w:t>
            </w:r>
          </w:p>
        </w:tc>
        <w:tc>
          <w:tcPr>
            <w:tcW w:w="1376" w:type="dxa"/>
          </w:tcPr>
          <w:p w14:paraId="652B306C"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14/10/2021</w:t>
            </w:r>
          </w:p>
        </w:tc>
      </w:tr>
      <w:tr w:rsidR="00976473" w:rsidRPr="00976473" w14:paraId="19942DDE" w14:textId="77777777" w:rsidTr="00976473">
        <w:tc>
          <w:tcPr>
            <w:tcW w:w="1260" w:type="dxa"/>
            <w:vMerge w:val="restart"/>
          </w:tcPr>
          <w:p w14:paraId="6675921F" w14:textId="77777777" w:rsidR="00976473" w:rsidRPr="00976473" w:rsidRDefault="00976473" w:rsidP="00976473">
            <w:pPr>
              <w:spacing w:before="100" w:beforeAutospacing="1"/>
              <w:rPr>
                <w:rFonts w:ascii="Arial" w:eastAsia="Times New Roman" w:hAnsi="Arial" w:cs="Arial"/>
                <w:b/>
                <w:bCs/>
                <w:color w:val="9D2235"/>
                <w:sz w:val="16"/>
                <w:szCs w:val="16"/>
                <w:lang w:eastAsia="es-ES"/>
              </w:rPr>
            </w:pPr>
            <w:r w:rsidRPr="00976473">
              <w:rPr>
                <w:rFonts w:ascii="Arial" w:eastAsia="Times New Roman" w:hAnsi="Arial" w:cs="Arial"/>
                <w:b/>
                <w:bCs/>
                <w:color w:val="9D2235"/>
                <w:sz w:val="16"/>
                <w:szCs w:val="16"/>
                <w:lang w:eastAsia="es-ES"/>
              </w:rPr>
              <w:t>Grup Socialista</w:t>
            </w:r>
          </w:p>
        </w:tc>
        <w:tc>
          <w:tcPr>
            <w:tcW w:w="4817" w:type="dxa"/>
            <w:shd w:val="clear" w:color="auto" w:fill="F2F2F2"/>
          </w:tcPr>
          <w:p w14:paraId="4773A86C" w14:textId="77777777" w:rsidR="00976473" w:rsidRPr="00976473" w:rsidRDefault="00976473" w:rsidP="00976473">
            <w:pPr>
              <w:spacing w:before="100" w:beforeAutospacing="1"/>
              <w:jc w:val="both"/>
              <w:rPr>
                <w:rFonts w:ascii="Arial" w:eastAsia="Times New Roman" w:hAnsi="Arial" w:cs="Arial"/>
                <w:sz w:val="16"/>
                <w:szCs w:val="16"/>
                <w:lang w:eastAsia="es-ES"/>
              </w:rPr>
            </w:pPr>
            <w:r w:rsidRPr="00976473">
              <w:rPr>
                <w:rFonts w:ascii="Arial" w:eastAsia="Times New Roman" w:hAnsi="Arial" w:cs="Arial"/>
                <w:sz w:val="16"/>
                <w:szCs w:val="16"/>
                <w:lang w:eastAsia="es-ES"/>
              </w:rPr>
              <w:t>Sobre subvencions atorgades RTL-10-02-010 Ajudes Ruralter-LEADER (GAL ZONA 2) a la mercantil Comunicacions dels Ports SA</w:t>
            </w:r>
          </w:p>
        </w:tc>
        <w:tc>
          <w:tcPr>
            <w:tcW w:w="1041" w:type="dxa"/>
            <w:shd w:val="clear" w:color="auto" w:fill="F2F2F2"/>
          </w:tcPr>
          <w:p w14:paraId="3B11060F"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10/03/2021</w:t>
            </w:r>
          </w:p>
        </w:tc>
        <w:tc>
          <w:tcPr>
            <w:tcW w:w="1376" w:type="dxa"/>
            <w:shd w:val="clear" w:color="auto" w:fill="F2F2F2"/>
          </w:tcPr>
          <w:p w14:paraId="17224A97"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25/06/2021</w:t>
            </w:r>
          </w:p>
        </w:tc>
      </w:tr>
      <w:tr w:rsidR="00976473" w:rsidRPr="00976473" w14:paraId="711B256A" w14:textId="77777777" w:rsidTr="00976473">
        <w:tc>
          <w:tcPr>
            <w:tcW w:w="1260" w:type="dxa"/>
            <w:vMerge/>
          </w:tcPr>
          <w:p w14:paraId="64B05B2A"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tcPr>
          <w:p w14:paraId="5CA638F7" w14:textId="77777777" w:rsidR="00976473" w:rsidRPr="00976473" w:rsidRDefault="00976473" w:rsidP="00976473">
            <w:pPr>
              <w:spacing w:before="100" w:beforeAutospacing="1"/>
              <w:rPr>
                <w:rFonts w:ascii="Arial" w:eastAsia="Times New Roman" w:hAnsi="Arial" w:cs="Arial"/>
                <w:sz w:val="16"/>
                <w:szCs w:val="16"/>
                <w:lang w:eastAsia="es-ES"/>
              </w:rPr>
            </w:pPr>
            <w:r w:rsidRPr="00976473">
              <w:rPr>
                <w:rFonts w:ascii="Arial" w:eastAsia="Times New Roman" w:hAnsi="Arial" w:cs="Arial"/>
                <w:sz w:val="16"/>
                <w:szCs w:val="16"/>
                <w:lang w:eastAsia="es-ES"/>
              </w:rPr>
              <w:t>Sobre subvencions atorgades per l'Agència Valenciana de Foment i Garantia Agrària (AVFGA) a Comunicacions dels Ports SA</w:t>
            </w:r>
          </w:p>
        </w:tc>
        <w:tc>
          <w:tcPr>
            <w:tcW w:w="1041" w:type="dxa"/>
          </w:tcPr>
          <w:p w14:paraId="6FE44C58"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10/03/2021</w:t>
            </w:r>
          </w:p>
        </w:tc>
        <w:tc>
          <w:tcPr>
            <w:tcW w:w="1376" w:type="dxa"/>
          </w:tcPr>
          <w:p w14:paraId="2451CC66"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25/06/2021</w:t>
            </w:r>
          </w:p>
        </w:tc>
      </w:tr>
      <w:tr w:rsidR="00976473" w:rsidRPr="00976473" w14:paraId="59331F39" w14:textId="77777777" w:rsidTr="00976473">
        <w:tc>
          <w:tcPr>
            <w:tcW w:w="1260" w:type="dxa"/>
            <w:vMerge/>
          </w:tcPr>
          <w:p w14:paraId="397754D6"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shd w:val="clear" w:color="auto" w:fill="F2F2F2"/>
          </w:tcPr>
          <w:p w14:paraId="31FE5D00" w14:textId="77777777" w:rsidR="00976473" w:rsidRPr="00976473" w:rsidRDefault="00976473" w:rsidP="00976473">
            <w:pPr>
              <w:spacing w:before="100" w:beforeAutospacing="1"/>
              <w:rPr>
                <w:rFonts w:ascii="Arial" w:eastAsia="Times New Roman" w:hAnsi="Arial" w:cs="Arial"/>
                <w:sz w:val="16"/>
                <w:szCs w:val="16"/>
                <w:lang w:eastAsia="es-ES"/>
              </w:rPr>
            </w:pPr>
            <w:r w:rsidRPr="00976473">
              <w:rPr>
                <w:rFonts w:ascii="Arial" w:eastAsia="Times New Roman" w:hAnsi="Arial" w:cs="Arial"/>
                <w:sz w:val="16"/>
                <w:szCs w:val="16"/>
                <w:lang w:eastAsia="es-ES"/>
              </w:rPr>
              <w:t>Sobre concessió d'ajudes públiques per a la promoció del valencià per part de les mercantils Kriol Produccions, SL i Canal Maestral, SL</w:t>
            </w:r>
          </w:p>
        </w:tc>
        <w:tc>
          <w:tcPr>
            <w:tcW w:w="1041" w:type="dxa"/>
            <w:shd w:val="clear" w:color="auto" w:fill="F2F2F2"/>
          </w:tcPr>
          <w:p w14:paraId="064298E1"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10/03/2021</w:t>
            </w:r>
          </w:p>
        </w:tc>
        <w:tc>
          <w:tcPr>
            <w:tcW w:w="1376" w:type="dxa"/>
            <w:shd w:val="clear" w:color="auto" w:fill="F2F2F2"/>
          </w:tcPr>
          <w:p w14:paraId="43EF94FA"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22/07/2021</w:t>
            </w:r>
          </w:p>
        </w:tc>
      </w:tr>
      <w:tr w:rsidR="00976473" w:rsidRPr="00976473" w14:paraId="49030B45" w14:textId="77777777" w:rsidTr="00976473">
        <w:tc>
          <w:tcPr>
            <w:tcW w:w="1260" w:type="dxa"/>
            <w:vMerge/>
          </w:tcPr>
          <w:p w14:paraId="1941B6D6" w14:textId="77777777" w:rsidR="00976473" w:rsidRPr="00976473" w:rsidRDefault="00976473" w:rsidP="00976473">
            <w:pPr>
              <w:spacing w:before="100" w:beforeAutospacing="1"/>
              <w:rPr>
                <w:rFonts w:ascii="Arial" w:eastAsia="Times New Roman" w:hAnsi="Arial" w:cs="Arial"/>
                <w:sz w:val="16"/>
                <w:szCs w:val="16"/>
                <w:lang w:eastAsia="es-ES"/>
              </w:rPr>
            </w:pPr>
          </w:p>
        </w:tc>
        <w:tc>
          <w:tcPr>
            <w:tcW w:w="4817" w:type="dxa"/>
          </w:tcPr>
          <w:p w14:paraId="090FDD27" w14:textId="77777777" w:rsidR="00976473" w:rsidRPr="00976473" w:rsidRDefault="00976473" w:rsidP="00976473">
            <w:pPr>
              <w:spacing w:before="100" w:beforeAutospacing="1"/>
              <w:rPr>
                <w:rFonts w:ascii="Arial" w:eastAsia="Times New Roman" w:hAnsi="Arial" w:cs="Arial"/>
                <w:sz w:val="16"/>
                <w:szCs w:val="16"/>
                <w:lang w:eastAsia="es-ES"/>
              </w:rPr>
            </w:pPr>
            <w:r w:rsidRPr="00976473">
              <w:rPr>
                <w:rFonts w:ascii="Arial" w:eastAsia="Times New Roman" w:hAnsi="Arial" w:cs="Arial"/>
                <w:sz w:val="16"/>
                <w:szCs w:val="16"/>
                <w:lang w:eastAsia="es-ES"/>
              </w:rPr>
              <w:t xml:space="preserve">Sobre investigacions de l’AVAF </w:t>
            </w:r>
            <w:r w:rsidRPr="00976473">
              <w:rPr>
                <w:rFonts w:ascii="Arial" w:eastAsia="SimSun" w:hAnsi="Arial" w:cs="Arial"/>
                <w:kern w:val="2"/>
                <w:sz w:val="16"/>
                <w:szCs w:val="16"/>
                <w:lang w:eastAsia="zh-CN" w:bidi="hi-IN"/>
              </w:rPr>
              <w:t>en relació amb el Cos de Policia local de Torrevieja</w:t>
            </w:r>
          </w:p>
        </w:tc>
        <w:tc>
          <w:tcPr>
            <w:tcW w:w="1041" w:type="dxa"/>
          </w:tcPr>
          <w:p w14:paraId="40A3D77E"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10/03/2021</w:t>
            </w:r>
          </w:p>
        </w:tc>
        <w:tc>
          <w:tcPr>
            <w:tcW w:w="1376" w:type="dxa"/>
          </w:tcPr>
          <w:p w14:paraId="688ECAB2"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13/04/2021</w:t>
            </w:r>
          </w:p>
        </w:tc>
      </w:tr>
      <w:tr w:rsidR="00976473" w:rsidRPr="00976473" w14:paraId="19D33506" w14:textId="77777777" w:rsidTr="00976473">
        <w:tc>
          <w:tcPr>
            <w:tcW w:w="1260" w:type="dxa"/>
          </w:tcPr>
          <w:p w14:paraId="14D43288" w14:textId="77777777" w:rsidR="00976473" w:rsidRPr="00976473" w:rsidRDefault="00976473" w:rsidP="00976473">
            <w:pPr>
              <w:spacing w:before="100" w:beforeAutospacing="1"/>
              <w:rPr>
                <w:rFonts w:ascii="Arial" w:eastAsia="Times New Roman" w:hAnsi="Arial" w:cs="Arial"/>
                <w:b/>
                <w:bCs/>
                <w:color w:val="9D2235"/>
                <w:sz w:val="16"/>
                <w:szCs w:val="16"/>
                <w:lang w:eastAsia="es-ES"/>
              </w:rPr>
            </w:pPr>
            <w:r w:rsidRPr="00976473">
              <w:rPr>
                <w:rFonts w:ascii="Arial" w:eastAsia="Times New Roman" w:hAnsi="Arial" w:cs="Arial"/>
                <w:b/>
                <w:bCs/>
                <w:color w:val="9D2235"/>
                <w:sz w:val="16"/>
                <w:szCs w:val="16"/>
                <w:lang w:eastAsia="es-ES"/>
              </w:rPr>
              <w:t>Grup VOX</w:t>
            </w:r>
          </w:p>
        </w:tc>
        <w:tc>
          <w:tcPr>
            <w:tcW w:w="4817" w:type="dxa"/>
            <w:shd w:val="clear" w:color="auto" w:fill="F2F2F2"/>
          </w:tcPr>
          <w:p w14:paraId="2BA3446E" w14:textId="77777777" w:rsidR="00976473" w:rsidRPr="00976473" w:rsidRDefault="00976473" w:rsidP="00976473">
            <w:pPr>
              <w:spacing w:before="100" w:beforeAutospacing="1"/>
              <w:rPr>
                <w:rFonts w:ascii="Arial" w:eastAsia="Times New Roman" w:hAnsi="Arial" w:cs="Arial"/>
                <w:sz w:val="16"/>
                <w:szCs w:val="16"/>
                <w:lang w:eastAsia="es-ES"/>
              </w:rPr>
            </w:pPr>
            <w:r w:rsidRPr="00976473">
              <w:rPr>
                <w:rFonts w:ascii="Arial" w:eastAsia="Times New Roman" w:hAnsi="Arial" w:cs="Arial"/>
                <w:sz w:val="16"/>
                <w:szCs w:val="16"/>
                <w:lang w:eastAsia="es-ES"/>
              </w:rPr>
              <w:t>Sobre concessió d'ajudes públiques per a la promoció del valencià per part de les mercantils Kriol Produccions, SL i Canal Maestral, SL</w:t>
            </w:r>
          </w:p>
        </w:tc>
        <w:tc>
          <w:tcPr>
            <w:tcW w:w="1041" w:type="dxa"/>
            <w:shd w:val="clear" w:color="auto" w:fill="F2F2F2"/>
          </w:tcPr>
          <w:p w14:paraId="3184EC34"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29/07/2021</w:t>
            </w:r>
          </w:p>
        </w:tc>
        <w:tc>
          <w:tcPr>
            <w:tcW w:w="1376" w:type="dxa"/>
            <w:shd w:val="clear" w:color="auto" w:fill="F2F2F2"/>
          </w:tcPr>
          <w:p w14:paraId="5366623A" w14:textId="77777777" w:rsidR="00976473" w:rsidRPr="00976473" w:rsidRDefault="00976473" w:rsidP="00976473">
            <w:pPr>
              <w:spacing w:before="100" w:beforeAutospacing="1"/>
              <w:jc w:val="right"/>
              <w:rPr>
                <w:rFonts w:ascii="Arial" w:eastAsia="Times New Roman" w:hAnsi="Arial" w:cs="Arial"/>
                <w:sz w:val="16"/>
                <w:szCs w:val="16"/>
                <w:lang w:eastAsia="es-ES"/>
              </w:rPr>
            </w:pPr>
            <w:r w:rsidRPr="00976473">
              <w:rPr>
                <w:rFonts w:ascii="Arial" w:eastAsia="Times New Roman" w:hAnsi="Arial" w:cs="Arial"/>
                <w:sz w:val="16"/>
                <w:szCs w:val="16"/>
                <w:lang w:eastAsia="es-ES"/>
              </w:rPr>
              <w:t>24/08/2021</w:t>
            </w:r>
          </w:p>
        </w:tc>
      </w:tr>
    </w:tbl>
    <w:tbl>
      <w:tblPr>
        <w:tblStyle w:val="Tablaconcuadrcula5"/>
        <w:tblW w:w="0" w:type="auto"/>
        <w:tblLook w:val="04A0" w:firstRow="1" w:lastRow="0" w:firstColumn="1" w:lastColumn="0" w:noHBand="0" w:noVBand="1"/>
      </w:tblPr>
      <w:tblGrid>
        <w:gridCol w:w="1260"/>
        <w:gridCol w:w="5085"/>
        <w:gridCol w:w="1017"/>
        <w:gridCol w:w="1132"/>
      </w:tblGrid>
      <w:tr w:rsidR="002D4F33" w:rsidRPr="002D4F33" w14:paraId="2626624D" w14:textId="77777777" w:rsidTr="00B07314">
        <w:trPr>
          <w:tblHeader/>
        </w:trPr>
        <w:tc>
          <w:tcPr>
            <w:tcW w:w="8494" w:type="dxa"/>
            <w:gridSpan w:val="4"/>
            <w:tcBorders>
              <w:bottom w:val="nil"/>
            </w:tcBorders>
            <w:shd w:val="clear" w:color="auto" w:fill="9D2235"/>
          </w:tcPr>
          <w:p w14:paraId="293D0CF2" w14:textId="77777777" w:rsidR="002D4F33" w:rsidRPr="002D4F33" w:rsidRDefault="002D4F33" w:rsidP="002D4F33">
            <w:pPr>
              <w:spacing w:before="100" w:beforeAutospacing="1"/>
              <w:jc w:val="center"/>
              <w:rPr>
                <w:rFonts w:ascii="Arial" w:eastAsia="Times New Roman" w:hAnsi="Arial" w:cs="Arial"/>
                <w:b/>
                <w:bCs/>
                <w:color w:val="FFFFFF"/>
                <w:sz w:val="16"/>
                <w:szCs w:val="16"/>
                <w:lang w:eastAsia="es-ES"/>
              </w:rPr>
            </w:pPr>
            <w:r w:rsidRPr="002D4F33">
              <w:rPr>
                <w:rFonts w:ascii="Arial" w:eastAsia="Times New Roman" w:hAnsi="Arial" w:cs="Arial"/>
                <w:b/>
                <w:bCs/>
                <w:color w:val="FFFFFF"/>
                <w:sz w:val="16"/>
                <w:szCs w:val="16"/>
                <w:lang w:eastAsia="es-ES"/>
              </w:rPr>
              <w:t xml:space="preserve">ACTIVITAT ADMINISTRATIVA, CONTRACTACIÓ, RECURSOS HUMANS I INFORMES JURÍDICS </w:t>
            </w:r>
          </w:p>
        </w:tc>
      </w:tr>
      <w:tr w:rsidR="002D4F33" w:rsidRPr="002D4F33" w14:paraId="2D8D7AD7" w14:textId="77777777" w:rsidTr="00B07314">
        <w:trPr>
          <w:tblHeader/>
        </w:trPr>
        <w:tc>
          <w:tcPr>
            <w:tcW w:w="1260" w:type="dxa"/>
            <w:tcBorders>
              <w:top w:val="nil"/>
            </w:tcBorders>
            <w:shd w:val="clear" w:color="auto" w:fill="9D2235"/>
          </w:tcPr>
          <w:p w14:paraId="2995FB44" w14:textId="77777777" w:rsidR="002D4F33" w:rsidRPr="002D4F33" w:rsidRDefault="002D4F33" w:rsidP="002D4F33">
            <w:pPr>
              <w:spacing w:before="100" w:beforeAutospacing="1"/>
              <w:jc w:val="center"/>
              <w:rPr>
                <w:rFonts w:ascii="Arial" w:eastAsia="Times New Roman" w:hAnsi="Arial" w:cs="Arial"/>
                <w:b/>
                <w:bCs/>
                <w:color w:val="FFFFFF"/>
                <w:sz w:val="16"/>
                <w:szCs w:val="16"/>
                <w:lang w:eastAsia="es-ES"/>
              </w:rPr>
            </w:pPr>
            <w:r w:rsidRPr="002D4F33">
              <w:rPr>
                <w:rFonts w:ascii="Arial" w:eastAsia="Times New Roman" w:hAnsi="Arial" w:cs="Arial"/>
                <w:b/>
                <w:bCs/>
                <w:color w:val="FFFFFF"/>
                <w:sz w:val="16"/>
                <w:szCs w:val="16"/>
                <w:lang w:eastAsia="es-ES"/>
              </w:rPr>
              <w:t>Grup Parlamentari</w:t>
            </w:r>
          </w:p>
        </w:tc>
        <w:tc>
          <w:tcPr>
            <w:tcW w:w="5085" w:type="dxa"/>
            <w:tcBorders>
              <w:top w:val="nil"/>
            </w:tcBorders>
            <w:shd w:val="clear" w:color="auto" w:fill="9D2235"/>
          </w:tcPr>
          <w:p w14:paraId="79D52AA1" w14:textId="77777777" w:rsidR="002D4F33" w:rsidRPr="002D4F33" w:rsidRDefault="002D4F33" w:rsidP="002D4F33">
            <w:pPr>
              <w:spacing w:before="100" w:beforeAutospacing="1"/>
              <w:jc w:val="center"/>
              <w:rPr>
                <w:rFonts w:ascii="Arial" w:eastAsia="Times New Roman" w:hAnsi="Arial" w:cs="Arial"/>
                <w:b/>
                <w:bCs/>
                <w:color w:val="FFFFFF"/>
                <w:sz w:val="16"/>
                <w:szCs w:val="16"/>
                <w:lang w:eastAsia="es-ES"/>
              </w:rPr>
            </w:pPr>
            <w:r w:rsidRPr="002D4F33">
              <w:rPr>
                <w:rFonts w:ascii="Arial" w:eastAsia="Times New Roman" w:hAnsi="Arial" w:cs="Arial"/>
                <w:b/>
                <w:bCs/>
                <w:color w:val="FFFFFF"/>
                <w:sz w:val="16"/>
                <w:szCs w:val="16"/>
                <w:lang w:eastAsia="es-ES"/>
              </w:rPr>
              <w:t>Assumpte</w:t>
            </w:r>
          </w:p>
        </w:tc>
        <w:tc>
          <w:tcPr>
            <w:tcW w:w="1017" w:type="dxa"/>
            <w:tcBorders>
              <w:top w:val="nil"/>
            </w:tcBorders>
            <w:shd w:val="clear" w:color="auto" w:fill="9D2235"/>
          </w:tcPr>
          <w:p w14:paraId="01D154E8" w14:textId="77777777" w:rsidR="002D4F33" w:rsidRPr="002D4F33" w:rsidRDefault="002D4F33" w:rsidP="002D4F33">
            <w:pPr>
              <w:spacing w:before="100" w:beforeAutospacing="1"/>
              <w:jc w:val="center"/>
              <w:rPr>
                <w:rFonts w:ascii="Arial" w:eastAsia="Times New Roman" w:hAnsi="Arial" w:cs="Arial"/>
                <w:b/>
                <w:bCs/>
                <w:color w:val="FFFFFF"/>
                <w:sz w:val="16"/>
                <w:szCs w:val="16"/>
                <w:lang w:eastAsia="es-ES"/>
              </w:rPr>
            </w:pPr>
            <w:r w:rsidRPr="002D4F33">
              <w:rPr>
                <w:rFonts w:ascii="Arial" w:eastAsia="Times New Roman" w:hAnsi="Arial" w:cs="Arial"/>
                <w:b/>
                <w:bCs/>
                <w:color w:val="FFFFFF"/>
                <w:sz w:val="16"/>
                <w:szCs w:val="16"/>
                <w:lang w:eastAsia="es-ES"/>
              </w:rPr>
              <w:t>Sol·licitud</w:t>
            </w:r>
          </w:p>
        </w:tc>
        <w:tc>
          <w:tcPr>
            <w:tcW w:w="1132" w:type="dxa"/>
            <w:tcBorders>
              <w:top w:val="nil"/>
            </w:tcBorders>
            <w:shd w:val="clear" w:color="auto" w:fill="9D2235"/>
          </w:tcPr>
          <w:p w14:paraId="56B309D8" w14:textId="77777777" w:rsidR="002D4F33" w:rsidRPr="002D4F33" w:rsidRDefault="002D4F33" w:rsidP="002D4F33">
            <w:pPr>
              <w:spacing w:before="100" w:beforeAutospacing="1"/>
              <w:jc w:val="center"/>
              <w:rPr>
                <w:rFonts w:ascii="Arial" w:eastAsia="Times New Roman" w:hAnsi="Arial" w:cs="Arial"/>
                <w:b/>
                <w:bCs/>
                <w:color w:val="FFFFFF"/>
                <w:sz w:val="16"/>
                <w:szCs w:val="16"/>
                <w:lang w:eastAsia="es-ES"/>
              </w:rPr>
            </w:pPr>
            <w:r w:rsidRPr="002D4F33">
              <w:rPr>
                <w:rFonts w:ascii="Arial" w:eastAsia="Times New Roman" w:hAnsi="Arial" w:cs="Arial"/>
                <w:b/>
                <w:bCs/>
                <w:color w:val="FFFFFF"/>
                <w:sz w:val="16"/>
                <w:szCs w:val="16"/>
                <w:lang w:eastAsia="es-ES"/>
              </w:rPr>
              <w:t>Contestació</w:t>
            </w:r>
          </w:p>
        </w:tc>
      </w:tr>
      <w:tr w:rsidR="002D4F33" w:rsidRPr="002D4F33" w14:paraId="1774EC25" w14:textId="77777777" w:rsidTr="00B07314">
        <w:tc>
          <w:tcPr>
            <w:tcW w:w="1260" w:type="dxa"/>
            <w:vMerge w:val="restart"/>
          </w:tcPr>
          <w:p w14:paraId="27AE4CA5" w14:textId="77777777" w:rsidR="002D4F33" w:rsidRPr="002D4F33" w:rsidRDefault="002D4F33" w:rsidP="002D4F33">
            <w:pPr>
              <w:spacing w:before="100" w:beforeAutospacing="1"/>
              <w:rPr>
                <w:rFonts w:ascii="Arial" w:eastAsia="Times New Roman" w:hAnsi="Arial" w:cs="Arial"/>
                <w:b/>
                <w:bCs/>
                <w:color w:val="9D2235"/>
                <w:sz w:val="16"/>
                <w:szCs w:val="16"/>
                <w:lang w:eastAsia="es-ES"/>
              </w:rPr>
            </w:pPr>
            <w:r w:rsidRPr="002D4F33">
              <w:rPr>
                <w:rFonts w:ascii="Arial" w:eastAsia="Times New Roman" w:hAnsi="Arial" w:cs="Arial"/>
                <w:b/>
                <w:bCs/>
                <w:color w:val="9D2235"/>
                <w:sz w:val="16"/>
                <w:szCs w:val="16"/>
                <w:lang w:eastAsia="es-ES"/>
              </w:rPr>
              <w:t>Grup Popular</w:t>
            </w:r>
          </w:p>
        </w:tc>
        <w:tc>
          <w:tcPr>
            <w:tcW w:w="5085" w:type="dxa"/>
            <w:shd w:val="clear" w:color="auto" w:fill="F2F2F2"/>
          </w:tcPr>
          <w:p w14:paraId="64BF14CE"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Expedients administratius relatius a tots i cadascun dels nomenaments per lliure designació de personal entre la constitució de l'Agència i la data de resposta a aquesta iniciativa, incloent les bases, la documentació relativa als candidats i la valoració dels mèrits al·legats</w:t>
            </w:r>
          </w:p>
        </w:tc>
        <w:tc>
          <w:tcPr>
            <w:tcW w:w="1017" w:type="dxa"/>
            <w:shd w:val="clear" w:color="auto" w:fill="F2F2F2"/>
          </w:tcPr>
          <w:p w14:paraId="118E0BE3"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2/03/2021</w:t>
            </w:r>
          </w:p>
        </w:tc>
        <w:tc>
          <w:tcPr>
            <w:tcW w:w="1132" w:type="dxa"/>
            <w:shd w:val="clear" w:color="auto" w:fill="F2F2F2"/>
          </w:tcPr>
          <w:p w14:paraId="116AD045" w14:textId="77777777" w:rsidR="002D4F33" w:rsidRPr="002D4F33" w:rsidRDefault="002D4F33" w:rsidP="002D4F33">
            <w:pPr>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31/03/2021</w:t>
            </w:r>
          </w:p>
          <w:p w14:paraId="49C4A183" w14:textId="77777777" w:rsidR="002D4F33" w:rsidRPr="002D4F33" w:rsidRDefault="002D4F33" w:rsidP="002D4F33">
            <w:pPr>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1/04/2021 9/04/2021 26/04/2021</w:t>
            </w:r>
          </w:p>
        </w:tc>
      </w:tr>
      <w:tr w:rsidR="002D4F33" w:rsidRPr="002D4F33" w14:paraId="50A12805" w14:textId="77777777" w:rsidTr="00B07314">
        <w:tc>
          <w:tcPr>
            <w:tcW w:w="1260" w:type="dxa"/>
            <w:vMerge/>
          </w:tcPr>
          <w:p w14:paraId="7B93FAD7"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770AFB2B"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Factures o documents que justifiquen tots els pagaments lliurats amb càrrec a fons de les caixes fixes des de la seua creació; còpia dels comptes justificatius formulats pels comptedants i habilitats</w:t>
            </w:r>
          </w:p>
        </w:tc>
        <w:tc>
          <w:tcPr>
            <w:tcW w:w="1017" w:type="dxa"/>
          </w:tcPr>
          <w:p w14:paraId="7B52A491"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10/03/2021</w:t>
            </w:r>
          </w:p>
        </w:tc>
        <w:tc>
          <w:tcPr>
            <w:tcW w:w="1132" w:type="dxa"/>
          </w:tcPr>
          <w:p w14:paraId="2C8049EF"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1/04/2021</w:t>
            </w:r>
          </w:p>
        </w:tc>
      </w:tr>
      <w:tr w:rsidR="002D4F33" w:rsidRPr="002D4F33" w14:paraId="186344EF" w14:textId="77777777" w:rsidTr="00B07314">
        <w:tc>
          <w:tcPr>
            <w:tcW w:w="1260" w:type="dxa"/>
            <w:vMerge/>
          </w:tcPr>
          <w:p w14:paraId="51892B9F"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165B4A81"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no menors autoritzats o celebrats, des de la creació fins al 28 de febrer de 2021</w:t>
            </w:r>
          </w:p>
        </w:tc>
        <w:tc>
          <w:tcPr>
            <w:tcW w:w="1017" w:type="dxa"/>
            <w:shd w:val="clear" w:color="auto" w:fill="F2F2F2"/>
          </w:tcPr>
          <w:p w14:paraId="4746053D"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10/03/2021</w:t>
            </w:r>
          </w:p>
        </w:tc>
        <w:tc>
          <w:tcPr>
            <w:tcW w:w="1132" w:type="dxa"/>
            <w:shd w:val="clear" w:color="auto" w:fill="F2F2F2"/>
          </w:tcPr>
          <w:p w14:paraId="6443CED9"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13/04/2021</w:t>
            </w:r>
          </w:p>
        </w:tc>
      </w:tr>
      <w:tr w:rsidR="002D4F33" w:rsidRPr="002D4F33" w14:paraId="2378BEF0" w14:textId="77777777" w:rsidTr="00B07314">
        <w:tc>
          <w:tcPr>
            <w:tcW w:w="1260" w:type="dxa"/>
            <w:vMerge/>
          </w:tcPr>
          <w:p w14:paraId="33584018"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5B9FA631"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menors autoritzats o celebrats, des de la creació fins al 28 de febrer de 2021</w:t>
            </w:r>
          </w:p>
        </w:tc>
        <w:tc>
          <w:tcPr>
            <w:tcW w:w="1017" w:type="dxa"/>
          </w:tcPr>
          <w:p w14:paraId="16B79EF6"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10/03/2021</w:t>
            </w:r>
          </w:p>
        </w:tc>
        <w:tc>
          <w:tcPr>
            <w:tcW w:w="1132" w:type="dxa"/>
          </w:tcPr>
          <w:p w14:paraId="1D5A1232"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13/04/2021</w:t>
            </w:r>
          </w:p>
        </w:tc>
      </w:tr>
      <w:tr w:rsidR="002D4F33" w:rsidRPr="002D4F33" w14:paraId="7CF99BB6" w14:textId="77777777" w:rsidTr="00B07314">
        <w:tc>
          <w:tcPr>
            <w:tcW w:w="1260" w:type="dxa"/>
            <w:vMerge/>
          </w:tcPr>
          <w:p w14:paraId="6A41CE8F"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799E27D3"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negociats sense publicitat, des de la creació de l'Agència</w:t>
            </w:r>
          </w:p>
        </w:tc>
        <w:tc>
          <w:tcPr>
            <w:tcW w:w="1017" w:type="dxa"/>
            <w:shd w:val="clear" w:color="auto" w:fill="F2F2F2"/>
          </w:tcPr>
          <w:p w14:paraId="436ACEBA"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10/03/2021</w:t>
            </w:r>
          </w:p>
        </w:tc>
        <w:tc>
          <w:tcPr>
            <w:tcW w:w="1132" w:type="dxa"/>
            <w:shd w:val="clear" w:color="auto" w:fill="F2F2F2"/>
          </w:tcPr>
          <w:p w14:paraId="73897FD2"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1/04/2021</w:t>
            </w:r>
          </w:p>
        </w:tc>
      </w:tr>
      <w:tr w:rsidR="002D4F33" w:rsidRPr="002D4F33" w14:paraId="760643C6" w14:textId="77777777" w:rsidTr="00B07314">
        <w:tc>
          <w:tcPr>
            <w:tcW w:w="1260" w:type="dxa"/>
            <w:vMerge/>
          </w:tcPr>
          <w:p w14:paraId="0ED7A236"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0176A64C"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Informes jurídics emesos i subscrits en relació amb qualsevol activitat de l'Agència des de la seua creació</w:t>
            </w:r>
          </w:p>
        </w:tc>
        <w:tc>
          <w:tcPr>
            <w:tcW w:w="1017" w:type="dxa"/>
          </w:tcPr>
          <w:p w14:paraId="3FD65952"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10/03/2021</w:t>
            </w:r>
          </w:p>
        </w:tc>
        <w:tc>
          <w:tcPr>
            <w:tcW w:w="1132" w:type="dxa"/>
          </w:tcPr>
          <w:p w14:paraId="1D2D82F9"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1/04/2021</w:t>
            </w:r>
          </w:p>
        </w:tc>
      </w:tr>
      <w:tr w:rsidR="002D4F33" w:rsidRPr="002D4F33" w14:paraId="0D3931F9" w14:textId="77777777" w:rsidTr="00B07314">
        <w:tc>
          <w:tcPr>
            <w:tcW w:w="1260" w:type="dxa"/>
            <w:vMerge/>
          </w:tcPr>
          <w:p w14:paraId="69630168"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1639E400"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Balanç de situació i compte de resultats i documentació de les àrees que ho componen, en particular, l'immobilitzat, impostos, comptabilitat, tresoreria, deutors, periodificacions, proveïdors, personal, compte de pèrdues i guanys, des de la creació de l'Agència</w:t>
            </w:r>
          </w:p>
        </w:tc>
        <w:tc>
          <w:tcPr>
            <w:tcW w:w="1017" w:type="dxa"/>
            <w:shd w:val="clear" w:color="auto" w:fill="F2F2F2"/>
          </w:tcPr>
          <w:p w14:paraId="45EC9915"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10/03/2021</w:t>
            </w:r>
          </w:p>
        </w:tc>
        <w:tc>
          <w:tcPr>
            <w:tcW w:w="1132" w:type="dxa"/>
            <w:shd w:val="clear" w:color="auto" w:fill="F2F2F2"/>
          </w:tcPr>
          <w:p w14:paraId="20B9A69A"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6/04/2021</w:t>
            </w:r>
          </w:p>
        </w:tc>
      </w:tr>
      <w:tr w:rsidR="002D4F33" w:rsidRPr="002D4F33" w14:paraId="4289AD58" w14:textId="77777777" w:rsidTr="00B07314">
        <w:tc>
          <w:tcPr>
            <w:tcW w:w="1260" w:type="dxa"/>
            <w:vMerge/>
          </w:tcPr>
          <w:p w14:paraId="663ED0A2"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12D6B304"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Subvencions atorgades des de la creació de l'Agència</w:t>
            </w:r>
          </w:p>
        </w:tc>
        <w:tc>
          <w:tcPr>
            <w:tcW w:w="1017" w:type="dxa"/>
          </w:tcPr>
          <w:p w14:paraId="519E63F6"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10/03/2021</w:t>
            </w:r>
          </w:p>
        </w:tc>
        <w:tc>
          <w:tcPr>
            <w:tcW w:w="1132" w:type="dxa"/>
          </w:tcPr>
          <w:p w14:paraId="446DC775"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7/04/2021</w:t>
            </w:r>
          </w:p>
        </w:tc>
      </w:tr>
      <w:tr w:rsidR="002D4F33" w:rsidRPr="002D4F33" w14:paraId="3BEE0F79" w14:textId="77777777" w:rsidTr="00B07314">
        <w:tc>
          <w:tcPr>
            <w:tcW w:w="1260" w:type="dxa"/>
            <w:vMerge/>
          </w:tcPr>
          <w:p w14:paraId="36CBDAA4"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458F9EF8"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Subvencions atorgades des de l'1 de març de 2021 fins al 30 de juny de 2021</w:t>
            </w:r>
          </w:p>
        </w:tc>
        <w:tc>
          <w:tcPr>
            <w:tcW w:w="1017" w:type="dxa"/>
            <w:shd w:val="clear" w:color="auto" w:fill="F2F2F2"/>
          </w:tcPr>
          <w:p w14:paraId="31D25E52"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21/07/2021</w:t>
            </w:r>
          </w:p>
        </w:tc>
        <w:tc>
          <w:tcPr>
            <w:tcW w:w="1132" w:type="dxa"/>
            <w:shd w:val="clear" w:color="auto" w:fill="F2F2F2"/>
          </w:tcPr>
          <w:p w14:paraId="6E793B8A"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27/07/2021</w:t>
            </w:r>
          </w:p>
        </w:tc>
      </w:tr>
      <w:tr w:rsidR="002D4F33" w:rsidRPr="002D4F33" w14:paraId="38279AAB" w14:textId="77777777" w:rsidTr="00B07314">
        <w:tc>
          <w:tcPr>
            <w:tcW w:w="1260" w:type="dxa"/>
            <w:vMerge/>
          </w:tcPr>
          <w:p w14:paraId="36D475FD"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0FBF4D5F"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Balanç de situació i compte de resultats i documentació de les àrees que ho componen, en particular, l'immobilitzat, impostos, comptabilitat, tresoreria, deutors, periodificacions, proveïdors, personal, compte de pèrdues i guanys, des de l'1 de març de 2021 fins al 30 de juny de 2021</w:t>
            </w:r>
          </w:p>
        </w:tc>
        <w:tc>
          <w:tcPr>
            <w:tcW w:w="1017" w:type="dxa"/>
          </w:tcPr>
          <w:p w14:paraId="3907DC8D"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21/07/2021</w:t>
            </w:r>
          </w:p>
        </w:tc>
        <w:tc>
          <w:tcPr>
            <w:tcW w:w="1132" w:type="dxa"/>
          </w:tcPr>
          <w:p w14:paraId="7DA4D90C"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29/07/2021</w:t>
            </w:r>
          </w:p>
        </w:tc>
      </w:tr>
      <w:tr w:rsidR="002D4F33" w:rsidRPr="002D4F33" w14:paraId="5673134B" w14:textId="77777777" w:rsidTr="00B07314">
        <w:tc>
          <w:tcPr>
            <w:tcW w:w="1260" w:type="dxa"/>
            <w:vMerge/>
          </w:tcPr>
          <w:p w14:paraId="62656EF5"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685E88DD"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negociats sense publicitat, des de l'1 de març de 2021 fins al 30 de juny de 2021</w:t>
            </w:r>
          </w:p>
        </w:tc>
        <w:tc>
          <w:tcPr>
            <w:tcW w:w="1017" w:type="dxa"/>
            <w:shd w:val="clear" w:color="auto" w:fill="F2F2F2"/>
          </w:tcPr>
          <w:p w14:paraId="0DB57AA7"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21/07/2021</w:t>
            </w:r>
          </w:p>
        </w:tc>
        <w:tc>
          <w:tcPr>
            <w:tcW w:w="1132" w:type="dxa"/>
            <w:shd w:val="clear" w:color="auto" w:fill="F2F2F2"/>
          </w:tcPr>
          <w:p w14:paraId="062F0F85"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27/07/2021</w:t>
            </w:r>
          </w:p>
        </w:tc>
      </w:tr>
      <w:tr w:rsidR="002D4F33" w:rsidRPr="002D4F33" w14:paraId="6E280ECF" w14:textId="77777777" w:rsidTr="00B07314">
        <w:tc>
          <w:tcPr>
            <w:tcW w:w="1260" w:type="dxa"/>
            <w:vMerge/>
          </w:tcPr>
          <w:p w14:paraId="17B80402"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097E7973"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Informes jurídics emesos i subscrits en relació amb qualsevol activitat des de l'1 de març de 2021 fins al 30 de juny de 2021</w:t>
            </w:r>
          </w:p>
        </w:tc>
        <w:tc>
          <w:tcPr>
            <w:tcW w:w="1017" w:type="dxa"/>
          </w:tcPr>
          <w:p w14:paraId="5405F782"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21/07/2021</w:t>
            </w:r>
          </w:p>
        </w:tc>
        <w:tc>
          <w:tcPr>
            <w:tcW w:w="1132" w:type="dxa"/>
          </w:tcPr>
          <w:p w14:paraId="03F5220D"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21/08/2021</w:t>
            </w:r>
          </w:p>
        </w:tc>
      </w:tr>
      <w:tr w:rsidR="002D4F33" w:rsidRPr="002D4F33" w14:paraId="7764ECD0" w14:textId="77777777" w:rsidTr="00B07314">
        <w:tc>
          <w:tcPr>
            <w:tcW w:w="1260" w:type="dxa"/>
            <w:vMerge/>
          </w:tcPr>
          <w:p w14:paraId="11CCFCFC"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001204AD"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no menors autoritzats o celebrats, des de l'1 de març de 2021 fins al 30 de juny de 2021</w:t>
            </w:r>
          </w:p>
        </w:tc>
        <w:tc>
          <w:tcPr>
            <w:tcW w:w="1017" w:type="dxa"/>
            <w:shd w:val="clear" w:color="auto" w:fill="F2F2F2"/>
          </w:tcPr>
          <w:p w14:paraId="4E4A0C01"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21/07/2021</w:t>
            </w:r>
          </w:p>
        </w:tc>
        <w:tc>
          <w:tcPr>
            <w:tcW w:w="1132" w:type="dxa"/>
            <w:shd w:val="clear" w:color="auto" w:fill="F2F2F2"/>
          </w:tcPr>
          <w:p w14:paraId="09BB742F"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29/07/2021</w:t>
            </w:r>
          </w:p>
        </w:tc>
      </w:tr>
      <w:tr w:rsidR="002D4F33" w:rsidRPr="002D4F33" w14:paraId="7543C5D0" w14:textId="77777777" w:rsidTr="00B07314">
        <w:tc>
          <w:tcPr>
            <w:tcW w:w="1260" w:type="dxa"/>
            <w:vMerge/>
          </w:tcPr>
          <w:p w14:paraId="75DDDB2D"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5B2E31AD"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menors autoritzats o celebrats, des de l'1 de març de 2021 fins al 30 de juny de 2021</w:t>
            </w:r>
          </w:p>
        </w:tc>
        <w:tc>
          <w:tcPr>
            <w:tcW w:w="1017" w:type="dxa"/>
          </w:tcPr>
          <w:p w14:paraId="16349C15"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21/07/2021</w:t>
            </w:r>
          </w:p>
        </w:tc>
        <w:tc>
          <w:tcPr>
            <w:tcW w:w="1132" w:type="dxa"/>
          </w:tcPr>
          <w:p w14:paraId="7B548A1F"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31/08/2021</w:t>
            </w:r>
          </w:p>
        </w:tc>
      </w:tr>
      <w:tr w:rsidR="002D4F33" w:rsidRPr="002D4F33" w14:paraId="4E9C69CD" w14:textId="77777777" w:rsidTr="00B07314">
        <w:tc>
          <w:tcPr>
            <w:tcW w:w="1260" w:type="dxa"/>
            <w:vMerge/>
          </w:tcPr>
          <w:p w14:paraId="4408B4D3"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1D0DCAA9"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Factures o documents que justifiquen tots els pagaments lliurats amb càrrec a fons de les caixes fixes des de l'1 de març de 2021 fins al 30 de juny de 2021; còpia dels comptes justificatius formulats pels comptedants i habilitats</w:t>
            </w:r>
          </w:p>
        </w:tc>
        <w:tc>
          <w:tcPr>
            <w:tcW w:w="1017" w:type="dxa"/>
            <w:shd w:val="clear" w:color="auto" w:fill="F2F2F2"/>
          </w:tcPr>
          <w:p w14:paraId="35247E3A"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21/07/2021</w:t>
            </w:r>
          </w:p>
        </w:tc>
        <w:tc>
          <w:tcPr>
            <w:tcW w:w="1132" w:type="dxa"/>
            <w:shd w:val="clear" w:color="auto" w:fill="F2F2F2"/>
          </w:tcPr>
          <w:p w14:paraId="540B3FD3"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27/07/2021</w:t>
            </w:r>
          </w:p>
        </w:tc>
      </w:tr>
      <w:tr w:rsidR="002D4F33" w:rsidRPr="002D4F33" w14:paraId="293FFBA8" w14:textId="77777777" w:rsidTr="00B07314">
        <w:tc>
          <w:tcPr>
            <w:tcW w:w="1260" w:type="dxa"/>
            <w:vMerge/>
          </w:tcPr>
          <w:p w14:paraId="6193C9BE"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7DAF69EB"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no menors autoritzats o celebrats, des de l'1 de juliol de 2021 fins al 30 de setembre de 2021</w:t>
            </w:r>
          </w:p>
        </w:tc>
        <w:tc>
          <w:tcPr>
            <w:tcW w:w="1017" w:type="dxa"/>
          </w:tcPr>
          <w:p w14:paraId="4D7F4BCA"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28/10/2021</w:t>
            </w:r>
          </w:p>
        </w:tc>
        <w:tc>
          <w:tcPr>
            <w:tcW w:w="1132" w:type="dxa"/>
          </w:tcPr>
          <w:p w14:paraId="278B621F"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23/11/2021</w:t>
            </w:r>
          </w:p>
        </w:tc>
      </w:tr>
      <w:tr w:rsidR="002D4F33" w:rsidRPr="002D4F33" w14:paraId="24D473B7" w14:textId="77777777" w:rsidTr="00B07314">
        <w:tc>
          <w:tcPr>
            <w:tcW w:w="1260" w:type="dxa"/>
            <w:vMerge/>
          </w:tcPr>
          <w:p w14:paraId="16A61EF2"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7DFDE541"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menors autoritzats o celebrats, des de l'1 de juliol de 2021 fins al 30 de setembre de 2021</w:t>
            </w:r>
          </w:p>
        </w:tc>
        <w:tc>
          <w:tcPr>
            <w:tcW w:w="1017" w:type="dxa"/>
            <w:shd w:val="clear" w:color="auto" w:fill="F2F2F2"/>
          </w:tcPr>
          <w:p w14:paraId="1050E96D"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28/10/2021</w:t>
            </w:r>
          </w:p>
        </w:tc>
        <w:tc>
          <w:tcPr>
            <w:tcW w:w="1132" w:type="dxa"/>
            <w:shd w:val="clear" w:color="auto" w:fill="F2F2F2"/>
          </w:tcPr>
          <w:p w14:paraId="0B17A2FD"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23/11/2021</w:t>
            </w:r>
          </w:p>
        </w:tc>
      </w:tr>
      <w:tr w:rsidR="002D4F33" w:rsidRPr="002D4F33" w14:paraId="6A727851" w14:textId="77777777" w:rsidTr="00B07314">
        <w:tc>
          <w:tcPr>
            <w:tcW w:w="1260" w:type="dxa"/>
            <w:vMerge/>
          </w:tcPr>
          <w:p w14:paraId="056808FA"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032D1BF7"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Contractes negociats sense publicitat, des de l'1 de juliol de 2021 fins al 30 de setembre de 2021</w:t>
            </w:r>
          </w:p>
        </w:tc>
        <w:tc>
          <w:tcPr>
            <w:tcW w:w="1017" w:type="dxa"/>
          </w:tcPr>
          <w:p w14:paraId="74968E98"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28/10/2021</w:t>
            </w:r>
          </w:p>
        </w:tc>
        <w:tc>
          <w:tcPr>
            <w:tcW w:w="1132" w:type="dxa"/>
          </w:tcPr>
          <w:p w14:paraId="4EE96271"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23/11/2021</w:t>
            </w:r>
          </w:p>
        </w:tc>
      </w:tr>
      <w:tr w:rsidR="002D4F33" w:rsidRPr="002D4F33" w14:paraId="6717B153" w14:textId="77777777" w:rsidTr="00B07314">
        <w:tc>
          <w:tcPr>
            <w:tcW w:w="1260" w:type="dxa"/>
            <w:vMerge/>
          </w:tcPr>
          <w:p w14:paraId="447EB183"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4B6CD29E"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Informes jurídics emesos i subscrits en relació amb qualsevol activitat des de l'1 de juliol de 2021 fins al 30 de setembre de 2021</w:t>
            </w:r>
          </w:p>
        </w:tc>
        <w:tc>
          <w:tcPr>
            <w:tcW w:w="1017" w:type="dxa"/>
            <w:shd w:val="clear" w:color="auto" w:fill="F2F2F2"/>
          </w:tcPr>
          <w:p w14:paraId="28D8E40C"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28/10/2021</w:t>
            </w:r>
          </w:p>
        </w:tc>
        <w:tc>
          <w:tcPr>
            <w:tcW w:w="1132" w:type="dxa"/>
            <w:shd w:val="clear" w:color="auto" w:fill="F2F2F2"/>
          </w:tcPr>
          <w:p w14:paraId="23B16260"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17/11/2021</w:t>
            </w:r>
          </w:p>
        </w:tc>
      </w:tr>
      <w:tr w:rsidR="002D4F33" w:rsidRPr="002D4F33" w14:paraId="1829B61D" w14:textId="77777777" w:rsidTr="00B07314">
        <w:tc>
          <w:tcPr>
            <w:tcW w:w="1260" w:type="dxa"/>
            <w:vMerge/>
          </w:tcPr>
          <w:p w14:paraId="12FA9CB0"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3359D61E"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Balanç de situació i compte de resultats i documentació de les àrees que ho componen, en particular, l'immobilitzat, impostos, comptabilitat, tresoreria, deutors, periodificacions, proveïdors, personal, compte de pèrdues i guanys, des de l'1 de juliol de 2021 fins al 30 de setembre de 2021</w:t>
            </w:r>
          </w:p>
        </w:tc>
        <w:tc>
          <w:tcPr>
            <w:tcW w:w="1017" w:type="dxa"/>
          </w:tcPr>
          <w:p w14:paraId="18780FFF"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28/10/2021</w:t>
            </w:r>
          </w:p>
        </w:tc>
        <w:tc>
          <w:tcPr>
            <w:tcW w:w="1132" w:type="dxa"/>
          </w:tcPr>
          <w:p w14:paraId="510A6DF8"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23/11/2021</w:t>
            </w:r>
          </w:p>
        </w:tc>
      </w:tr>
      <w:tr w:rsidR="002D4F33" w:rsidRPr="002D4F33" w14:paraId="2ACB92D5" w14:textId="77777777" w:rsidTr="00B07314">
        <w:tc>
          <w:tcPr>
            <w:tcW w:w="1260" w:type="dxa"/>
            <w:vMerge/>
          </w:tcPr>
          <w:p w14:paraId="133C230C"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shd w:val="clear" w:color="auto" w:fill="F2F2F2"/>
          </w:tcPr>
          <w:p w14:paraId="051932CB"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Times New Roman" w:hAnsi="Arial" w:cs="Arial"/>
                <w:sz w:val="16"/>
                <w:szCs w:val="16"/>
                <w:lang w:eastAsia="es-ES"/>
              </w:rPr>
              <w:t>Subvencions atorgades des de l'1 de juliol de 2021 fins al 30 de setembre de 2021</w:t>
            </w:r>
          </w:p>
        </w:tc>
        <w:tc>
          <w:tcPr>
            <w:tcW w:w="1017" w:type="dxa"/>
            <w:shd w:val="clear" w:color="auto" w:fill="F2F2F2"/>
          </w:tcPr>
          <w:p w14:paraId="32BE4866"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28/10/2021</w:t>
            </w:r>
          </w:p>
        </w:tc>
        <w:tc>
          <w:tcPr>
            <w:tcW w:w="1132" w:type="dxa"/>
            <w:shd w:val="clear" w:color="auto" w:fill="F2F2F2"/>
          </w:tcPr>
          <w:p w14:paraId="48EC42CD"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23/11/2021</w:t>
            </w:r>
          </w:p>
        </w:tc>
      </w:tr>
      <w:tr w:rsidR="002D4F33" w:rsidRPr="002D4F33" w14:paraId="3FFB37CC" w14:textId="77777777" w:rsidTr="00B07314">
        <w:tc>
          <w:tcPr>
            <w:tcW w:w="1260" w:type="dxa"/>
            <w:vMerge/>
          </w:tcPr>
          <w:p w14:paraId="5ECCBF7B" w14:textId="77777777" w:rsidR="002D4F33" w:rsidRPr="002D4F33" w:rsidRDefault="002D4F33" w:rsidP="002D4F33">
            <w:pPr>
              <w:spacing w:before="100" w:beforeAutospacing="1"/>
              <w:rPr>
                <w:rFonts w:ascii="Arial" w:eastAsia="Times New Roman" w:hAnsi="Arial" w:cs="Arial"/>
                <w:sz w:val="16"/>
                <w:szCs w:val="16"/>
                <w:lang w:eastAsia="es-ES"/>
              </w:rPr>
            </w:pPr>
          </w:p>
        </w:tc>
        <w:tc>
          <w:tcPr>
            <w:tcW w:w="5085" w:type="dxa"/>
          </w:tcPr>
          <w:p w14:paraId="6FDAC42C" w14:textId="77777777" w:rsidR="002D4F33" w:rsidRPr="002D4F33" w:rsidRDefault="002D4F33" w:rsidP="002D4F33">
            <w:pPr>
              <w:spacing w:before="100" w:beforeAutospacing="1"/>
              <w:jc w:val="both"/>
              <w:rPr>
                <w:rFonts w:ascii="Arial" w:eastAsia="Times New Roman" w:hAnsi="Arial" w:cs="Arial"/>
                <w:sz w:val="16"/>
                <w:szCs w:val="16"/>
                <w:lang w:eastAsia="es-ES"/>
              </w:rPr>
            </w:pPr>
            <w:r w:rsidRPr="002D4F33">
              <w:rPr>
                <w:rFonts w:ascii="Arial" w:eastAsia="SimSun" w:hAnsi="Arial" w:cs="Lucida Sans"/>
                <w:color w:val="000000"/>
                <w:kern w:val="2"/>
                <w:sz w:val="16"/>
                <w:szCs w:val="16"/>
                <w:lang w:eastAsia="zh-CN" w:bidi="hi-IN"/>
              </w:rPr>
              <w:t xml:space="preserve">Factures o documents que justifiquen tots els pagaments lliurats amb càrrec a fons de les caixes fixes </w:t>
            </w:r>
            <w:r w:rsidRPr="002D4F33">
              <w:rPr>
                <w:rFonts w:ascii="Arial" w:eastAsia="SimSun" w:hAnsi="Arial" w:cs="Lucida Sans"/>
                <w:kern w:val="2"/>
                <w:sz w:val="16"/>
                <w:szCs w:val="16"/>
                <w:lang w:eastAsia="zh-CN" w:bidi="hi-IN"/>
              </w:rPr>
              <w:t>des de l'1 de juliol de 2021 fins al 30 de setembre de 2021 i que es deriven de les despeses corresponents a tots els subconceptes econòmics susceptibles de pagament per aquest mecanisme; així mateix còpia dels comptes justificatius formulats pels comptedants i habilitats corresponents als annexos inclosos en l'Ordre 2/2017, de 29 de març, i en aplicació de la normativa reguladora dels fons de caixa fixa</w:t>
            </w:r>
          </w:p>
        </w:tc>
        <w:tc>
          <w:tcPr>
            <w:tcW w:w="1017" w:type="dxa"/>
          </w:tcPr>
          <w:p w14:paraId="36A4BACE"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10/11/2021</w:t>
            </w:r>
          </w:p>
        </w:tc>
        <w:tc>
          <w:tcPr>
            <w:tcW w:w="1132" w:type="dxa"/>
          </w:tcPr>
          <w:p w14:paraId="689F3D30" w14:textId="77777777" w:rsidR="002D4F33" w:rsidRPr="002D4F33" w:rsidRDefault="002D4F33" w:rsidP="002D4F33">
            <w:pPr>
              <w:spacing w:before="100" w:beforeAutospacing="1"/>
              <w:jc w:val="right"/>
              <w:rPr>
                <w:rFonts w:ascii="Arial" w:eastAsia="Times New Roman" w:hAnsi="Arial" w:cs="Arial"/>
                <w:sz w:val="16"/>
                <w:szCs w:val="16"/>
                <w:lang w:eastAsia="es-ES"/>
              </w:rPr>
            </w:pPr>
            <w:r w:rsidRPr="002D4F33">
              <w:rPr>
                <w:rFonts w:ascii="Arial" w:eastAsia="Times New Roman" w:hAnsi="Arial" w:cs="Arial"/>
                <w:sz w:val="16"/>
                <w:szCs w:val="16"/>
                <w:lang w:eastAsia="es-ES"/>
              </w:rPr>
              <w:t>15/11/2021</w:t>
            </w:r>
          </w:p>
        </w:tc>
      </w:tr>
    </w:tbl>
    <w:p w14:paraId="3F6A0611" w14:textId="61778ED5" w:rsidR="00976473" w:rsidRDefault="00976473" w:rsidP="002D4F33">
      <w:pPr>
        <w:spacing w:after="0" w:line="276" w:lineRule="auto"/>
        <w:jc w:val="both"/>
        <w:rPr>
          <w:rFonts w:ascii="Arial" w:hAnsi="Arial"/>
          <w:sz w:val="21"/>
          <w:szCs w:val="21"/>
        </w:rPr>
      </w:pPr>
    </w:p>
    <w:p w14:paraId="622E0B0C" w14:textId="77777777" w:rsidR="002D4F33" w:rsidRPr="002D4F33" w:rsidRDefault="002D4F33" w:rsidP="002D4F33">
      <w:pPr>
        <w:spacing w:after="240" w:line="276" w:lineRule="auto"/>
        <w:jc w:val="both"/>
        <w:rPr>
          <w:rFonts w:ascii="Arial" w:hAnsi="Arial"/>
          <w:sz w:val="21"/>
          <w:szCs w:val="21"/>
        </w:rPr>
      </w:pPr>
      <w:r w:rsidRPr="002D4F33">
        <w:rPr>
          <w:rFonts w:ascii="Arial" w:hAnsi="Arial"/>
          <w:sz w:val="21"/>
          <w:szCs w:val="21"/>
        </w:rPr>
        <w:t xml:space="preserve">En relació amb les sol·licituds de documentació dels Grups Parlamentaris de les Corts, diferents de les referides a l'activitat administrativa i pressupostària de l'Agència, resulta necessari destacar que per part de les persones membres del Consell de Participació de l’AVAF, òrgan representatiu de la societat civil davant el qual conforme al que es disposa en l'article 25 de la Llei 11/2016, rendeix comptes aquesta Agència, es va traslladar a l'opinió pública, durant el mes de maig de 2021, un </w:t>
      </w:r>
      <w:hyperlink r:id="rId408" w:history="1">
        <w:r w:rsidRPr="002D4F33">
          <w:rPr>
            <w:rStyle w:val="Hipervnculo"/>
            <w:rFonts w:ascii="Arial" w:hAnsi="Arial"/>
            <w:sz w:val="21"/>
            <w:szCs w:val="21"/>
          </w:rPr>
          <w:t>pronunciament</w:t>
        </w:r>
      </w:hyperlink>
      <w:r w:rsidRPr="002D4F33">
        <w:rPr>
          <w:rFonts w:ascii="Arial" w:hAnsi="Arial"/>
          <w:sz w:val="21"/>
          <w:szCs w:val="21"/>
        </w:rPr>
        <w:t xml:space="preserve"> en el qual s'expressava una profunda preocupació davant la situació provocada per les nombroses sol·licituds realitzades que, per part alguns diputats de les Corts, s'han anat presentant amb el propòsit d'accedir al contingut de determinats expedients de denúncies arribades a l'Agència i la investigació de la qual no està conclosa o està judicialitzada.</w:t>
      </w:r>
    </w:p>
    <w:p w14:paraId="74881352" w14:textId="6DC934FE" w:rsidR="00DC5A84" w:rsidRPr="00DC5A84" w:rsidRDefault="00DC5A84" w:rsidP="00DC5A84">
      <w:pPr>
        <w:spacing w:after="240" w:line="276" w:lineRule="auto"/>
        <w:jc w:val="both"/>
        <w:rPr>
          <w:rFonts w:ascii="Arial" w:hAnsi="Arial"/>
          <w:sz w:val="21"/>
          <w:szCs w:val="21"/>
          <w:lang w:val="es-ES"/>
        </w:rPr>
      </w:pPr>
      <w:r w:rsidRPr="00DC5A84">
        <w:rPr>
          <w:rFonts w:ascii="Arial" w:hAnsi="Arial"/>
          <w:sz w:val="21"/>
          <w:szCs w:val="21"/>
        </w:rPr>
        <w:t xml:space="preserve">A aquest efecte, com hem assenyalat anteriorment, la gran majoria dels Grups Parlamentaris han adoptat la </w:t>
      </w:r>
      <w:hyperlink r:id="rId409" w:history="1">
        <w:r w:rsidRPr="00DC5A84">
          <w:rPr>
            <w:rStyle w:val="Hipervnculo"/>
            <w:rFonts w:ascii="Arial" w:hAnsi="Arial"/>
            <w:sz w:val="21"/>
            <w:szCs w:val="21"/>
          </w:rPr>
          <w:t xml:space="preserve">Resolució </w:t>
        </w:r>
        <w:r w:rsidR="00BF7CAF">
          <w:rPr>
            <w:rStyle w:val="Hipervnculo"/>
            <w:rFonts w:ascii="Arial" w:hAnsi="Arial"/>
            <w:sz w:val="21"/>
            <w:szCs w:val="21"/>
          </w:rPr>
          <w:t xml:space="preserve">núm. </w:t>
        </w:r>
        <w:r w:rsidRPr="00DC5A84">
          <w:rPr>
            <w:rStyle w:val="Hipervnculo"/>
            <w:rFonts w:ascii="Arial" w:hAnsi="Arial"/>
            <w:sz w:val="21"/>
            <w:szCs w:val="21"/>
          </w:rPr>
          <w:t>350/X, sobre suport al treball de recerca de la corrupció i prevenció del frau de l'Agència Valenciana Antifrau</w:t>
        </w:r>
      </w:hyperlink>
      <w:r w:rsidRPr="00DC5A84">
        <w:rPr>
          <w:rFonts w:ascii="Arial" w:hAnsi="Arial"/>
          <w:sz w:val="21"/>
          <w:szCs w:val="21"/>
          <w:lang w:val="es-ES"/>
        </w:rPr>
        <w:t>, aprovada pel Ple de les Corts Valencianes en la sessió de 27 de maig de 2021 (BOCV núm. 170 de 2.06.2021).</w:t>
      </w:r>
    </w:p>
    <w:p w14:paraId="7B1CAFF3" w14:textId="1696FC82" w:rsidR="00976473" w:rsidRPr="00DC5A84" w:rsidRDefault="00976473" w:rsidP="004C3F07">
      <w:pPr>
        <w:spacing w:after="240" w:line="276" w:lineRule="auto"/>
        <w:jc w:val="both"/>
        <w:rPr>
          <w:rFonts w:ascii="Arial" w:hAnsi="Arial"/>
          <w:sz w:val="21"/>
          <w:szCs w:val="21"/>
          <w:lang w:val="es-ES"/>
        </w:rPr>
      </w:pPr>
    </w:p>
    <w:p w14:paraId="3961CB30" w14:textId="77BCC09C" w:rsidR="00976473" w:rsidRDefault="00976473" w:rsidP="004C3F07">
      <w:pPr>
        <w:spacing w:after="240" w:line="276" w:lineRule="auto"/>
        <w:jc w:val="both"/>
        <w:rPr>
          <w:rFonts w:ascii="Arial" w:hAnsi="Arial"/>
          <w:sz w:val="21"/>
          <w:szCs w:val="21"/>
        </w:rPr>
      </w:pPr>
    </w:p>
    <w:p w14:paraId="1F360826" w14:textId="77777777" w:rsidR="00976473" w:rsidRDefault="00976473" w:rsidP="004C3F07">
      <w:pPr>
        <w:spacing w:after="240" w:line="276" w:lineRule="auto"/>
        <w:jc w:val="both"/>
        <w:rPr>
          <w:rFonts w:ascii="Arial" w:hAnsi="Arial"/>
          <w:sz w:val="21"/>
          <w:szCs w:val="21"/>
        </w:rPr>
      </w:pPr>
    </w:p>
    <w:p w14:paraId="39F6A0B1" w14:textId="77777777" w:rsidR="00602092" w:rsidRPr="002D3252" w:rsidRDefault="00602092" w:rsidP="004C3F07">
      <w:pPr>
        <w:spacing w:after="240" w:line="276" w:lineRule="auto"/>
        <w:jc w:val="both"/>
        <w:rPr>
          <w:rFonts w:ascii="Arial" w:hAnsi="Arial"/>
          <w:sz w:val="21"/>
          <w:szCs w:val="21"/>
        </w:rPr>
      </w:pPr>
    </w:p>
    <w:p w14:paraId="6CE1FAEB" w14:textId="3463F113" w:rsidR="00DB0C0E" w:rsidRPr="002D3252" w:rsidRDefault="00DB0C0E" w:rsidP="004C3F07">
      <w:pPr>
        <w:spacing w:after="240" w:line="276" w:lineRule="auto"/>
        <w:jc w:val="both"/>
        <w:rPr>
          <w:rFonts w:ascii="Arial" w:hAnsi="Arial"/>
          <w:sz w:val="21"/>
          <w:szCs w:val="21"/>
        </w:rPr>
      </w:pPr>
    </w:p>
    <w:p w14:paraId="7924285C" w14:textId="7B2D560B" w:rsidR="00DB0C0E" w:rsidRPr="002D3252" w:rsidRDefault="00DB0C0E" w:rsidP="004C3F07">
      <w:pPr>
        <w:spacing w:after="240" w:line="276" w:lineRule="auto"/>
        <w:jc w:val="both"/>
        <w:rPr>
          <w:rFonts w:ascii="Arial" w:hAnsi="Arial"/>
          <w:sz w:val="21"/>
          <w:szCs w:val="21"/>
        </w:rPr>
      </w:pPr>
    </w:p>
    <w:p w14:paraId="154AD152" w14:textId="724CEADD" w:rsidR="00DB0C0E" w:rsidRPr="002D3252" w:rsidRDefault="00DB0C0E" w:rsidP="004C3F07">
      <w:pPr>
        <w:spacing w:after="240" w:line="276" w:lineRule="auto"/>
        <w:jc w:val="both"/>
        <w:rPr>
          <w:rFonts w:ascii="Arial" w:hAnsi="Arial"/>
          <w:sz w:val="21"/>
          <w:szCs w:val="21"/>
        </w:rPr>
      </w:pPr>
    </w:p>
    <w:p w14:paraId="0BDB0358" w14:textId="77777777" w:rsidR="00DB0C0E" w:rsidRPr="002D3252" w:rsidRDefault="00DB0C0E" w:rsidP="004C3F07">
      <w:pPr>
        <w:spacing w:after="240" w:line="276" w:lineRule="auto"/>
        <w:jc w:val="both"/>
        <w:rPr>
          <w:rFonts w:ascii="Arial" w:hAnsi="Arial"/>
          <w:sz w:val="21"/>
          <w:szCs w:val="21"/>
        </w:rPr>
      </w:pPr>
    </w:p>
    <w:p w14:paraId="079182E4" w14:textId="3956BFEE" w:rsidR="00687EEE" w:rsidRPr="002D3252" w:rsidRDefault="00B012F8" w:rsidP="0013453B">
      <w:pPr>
        <w:spacing w:after="240" w:line="276" w:lineRule="auto"/>
        <w:jc w:val="both"/>
        <w:rPr>
          <w:rFonts w:ascii="Arial" w:eastAsia="NSimSun" w:hAnsi="Arial" w:cs="Arial"/>
          <w:color w:val="000000"/>
          <w:kern w:val="2"/>
          <w:sz w:val="20"/>
          <w:szCs w:val="20"/>
          <w:lang w:eastAsia="zh-CN" w:bidi="hi-IN"/>
        </w:rPr>
      </w:pPr>
      <w:r w:rsidRPr="002D3252">
        <w:rPr>
          <w:rFonts w:ascii="Arial" w:eastAsia="NSimSun" w:hAnsi="Arial" w:cs="Arial"/>
          <w:color w:val="000000"/>
          <w:kern w:val="2"/>
          <w:sz w:val="20"/>
          <w:szCs w:val="20"/>
          <w:lang w:eastAsia="zh-CN" w:bidi="hi-IN"/>
        </w:rPr>
        <w:br w:type="page"/>
      </w:r>
      <w:bookmarkEnd w:id="6"/>
    </w:p>
    <w:p w14:paraId="1E77B5A2" w14:textId="00C21870" w:rsidR="00F9435B" w:rsidRPr="002D3252" w:rsidRDefault="00F9435B" w:rsidP="00422D40">
      <w:pPr>
        <w:pStyle w:val="Prrafodelista"/>
        <w:keepNext/>
        <w:suppressAutoHyphens/>
        <w:spacing w:after="0" w:line="240" w:lineRule="auto"/>
        <w:ind w:left="0"/>
        <w:contextualSpacing w:val="0"/>
        <w:outlineLvl w:val="0"/>
        <w:rPr>
          <w:rFonts w:ascii="Arial" w:eastAsia="Times New Roman" w:hAnsi="Arial" w:cs="Arial"/>
          <w:b/>
          <w:bCs/>
          <w:color w:val="9D2235"/>
          <w:spacing w:val="-24"/>
          <w:kern w:val="2"/>
          <w:sz w:val="20"/>
          <w:szCs w:val="20"/>
          <w:lang w:eastAsia="es-ES" w:bidi="hi-IN"/>
        </w:rPr>
      </w:pPr>
      <w:bookmarkStart w:id="134" w:name="_Toc64984210"/>
      <w:bookmarkStart w:id="135" w:name="_Toc64988200"/>
      <w:bookmarkStart w:id="136" w:name="_Toc64988525"/>
      <w:bookmarkStart w:id="137" w:name="_Toc66183041"/>
      <w:bookmarkStart w:id="138" w:name="_Toc66269387"/>
      <w:bookmarkStart w:id="139" w:name="_Toc66269501"/>
      <w:bookmarkStart w:id="140" w:name="_Toc66183042"/>
      <w:bookmarkStart w:id="141" w:name="_Toc66269388"/>
      <w:bookmarkStart w:id="142" w:name="_Toc66269502"/>
      <w:bookmarkStart w:id="143" w:name="_Toc64988526"/>
      <w:bookmarkEnd w:id="134"/>
      <w:bookmarkEnd w:id="135"/>
      <w:bookmarkEnd w:id="136"/>
      <w:bookmarkEnd w:id="137"/>
      <w:bookmarkEnd w:id="138"/>
      <w:bookmarkEnd w:id="139"/>
      <w:bookmarkEnd w:id="140"/>
      <w:bookmarkEnd w:id="141"/>
      <w:bookmarkEnd w:id="142"/>
    </w:p>
    <w:p w14:paraId="313022C8" w14:textId="1EB31EF0" w:rsidR="00422D40" w:rsidRPr="002D3252" w:rsidRDefault="00422D40" w:rsidP="00422D40">
      <w:pPr>
        <w:pStyle w:val="Prrafodelista"/>
        <w:keepNext/>
        <w:suppressAutoHyphens/>
        <w:spacing w:after="0" w:line="240" w:lineRule="auto"/>
        <w:ind w:left="0"/>
        <w:contextualSpacing w:val="0"/>
        <w:outlineLvl w:val="0"/>
        <w:rPr>
          <w:rFonts w:ascii="Arial" w:eastAsia="Times New Roman" w:hAnsi="Arial" w:cs="Arial"/>
          <w:b/>
          <w:bCs/>
          <w:color w:val="9D2235"/>
          <w:spacing w:val="-24"/>
          <w:kern w:val="2"/>
          <w:sz w:val="20"/>
          <w:szCs w:val="20"/>
          <w:lang w:eastAsia="es-ES" w:bidi="hi-IN"/>
        </w:rPr>
      </w:pPr>
    </w:p>
    <w:p w14:paraId="58B698B8" w14:textId="77777777" w:rsidR="00422D40" w:rsidRPr="002D3252" w:rsidRDefault="00422D40" w:rsidP="00422D40">
      <w:pPr>
        <w:pStyle w:val="Prrafodelista"/>
        <w:keepNext/>
        <w:suppressAutoHyphens/>
        <w:spacing w:after="0" w:line="240" w:lineRule="auto"/>
        <w:ind w:left="0"/>
        <w:contextualSpacing w:val="0"/>
        <w:outlineLvl w:val="0"/>
        <w:rPr>
          <w:rFonts w:ascii="Arial" w:eastAsia="Times New Roman" w:hAnsi="Arial" w:cs="Arial"/>
          <w:b/>
          <w:bCs/>
          <w:color w:val="9D2235"/>
          <w:spacing w:val="-24"/>
          <w:kern w:val="2"/>
          <w:sz w:val="20"/>
          <w:szCs w:val="20"/>
          <w:lang w:eastAsia="es-ES" w:bidi="hi-IN"/>
        </w:rPr>
      </w:pPr>
    </w:p>
    <w:p w14:paraId="630B792E" w14:textId="5639493B" w:rsidR="00051F88" w:rsidRPr="002D3252" w:rsidRDefault="00051F88" w:rsidP="00EB4ECF">
      <w:pPr>
        <w:pStyle w:val="Prrafodelista"/>
        <w:keepNext/>
        <w:numPr>
          <w:ilvl w:val="0"/>
          <w:numId w:val="16"/>
        </w:numPr>
        <w:suppressAutoHyphens/>
        <w:spacing w:before="360" w:after="240" w:line="240" w:lineRule="auto"/>
        <w:outlineLvl w:val="0"/>
        <w:rPr>
          <w:rFonts w:ascii="Arial" w:eastAsia="Times New Roman" w:hAnsi="Arial" w:cs="Arial"/>
          <w:b/>
          <w:bCs/>
          <w:color w:val="9D2235"/>
          <w:spacing w:val="-24"/>
          <w:kern w:val="2"/>
          <w:sz w:val="80"/>
          <w:szCs w:val="80"/>
          <w:lang w:eastAsia="es-ES" w:bidi="hi-IN"/>
        </w:rPr>
      </w:pPr>
      <w:r w:rsidRPr="002D3252">
        <w:rPr>
          <w:rFonts w:ascii="Arial" w:eastAsia="Times New Roman" w:hAnsi="Arial" w:cs="Arial"/>
          <w:b/>
          <w:bCs/>
          <w:color w:val="9D2235"/>
          <w:spacing w:val="-24"/>
          <w:kern w:val="2"/>
          <w:sz w:val="80"/>
          <w:szCs w:val="80"/>
          <w:lang w:eastAsia="es-ES" w:bidi="hi-IN"/>
        </w:rPr>
        <w:br/>
      </w:r>
      <w:bookmarkStart w:id="144" w:name="_Toc66279044"/>
      <w:bookmarkStart w:id="145" w:name="_Toc66279152"/>
      <w:bookmarkStart w:id="146" w:name="_Toc66279261"/>
      <w:bookmarkStart w:id="147" w:name="_Toc66279369"/>
      <w:bookmarkStart w:id="148" w:name="_Toc66279478"/>
      <w:bookmarkStart w:id="149" w:name="_Toc66279587"/>
      <w:bookmarkStart w:id="150" w:name="_Toc66344296"/>
      <w:bookmarkStart w:id="151" w:name="_Toc95999756"/>
      <w:bookmarkStart w:id="152" w:name="_Toc99110714"/>
      <w:bookmarkEnd w:id="144"/>
      <w:bookmarkEnd w:id="145"/>
      <w:bookmarkEnd w:id="146"/>
      <w:bookmarkEnd w:id="147"/>
      <w:bookmarkEnd w:id="148"/>
      <w:bookmarkEnd w:id="149"/>
      <w:bookmarkEnd w:id="150"/>
      <w:r w:rsidR="00F959CE" w:rsidRPr="002D3252">
        <w:rPr>
          <w:rFonts w:ascii="Arial" w:eastAsia="Times New Roman" w:hAnsi="Arial" w:cs="Arial"/>
          <w:b/>
          <w:bCs/>
          <w:color w:val="9D2235"/>
          <w:spacing w:val="-24"/>
          <w:kern w:val="2"/>
          <w:sz w:val="80"/>
          <w:szCs w:val="80"/>
          <w:lang w:eastAsia="es-ES" w:bidi="hi-IN"/>
        </w:rPr>
        <w:t xml:space="preserve">Anàlisi i </w:t>
      </w:r>
      <w:r w:rsidR="00F959CE" w:rsidRPr="002D3252">
        <w:rPr>
          <w:rFonts w:ascii="Arial" w:eastAsia="Times New Roman" w:hAnsi="Arial" w:cs="Arial"/>
          <w:b/>
          <w:bCs/>
          <w:color w:val="9D2235"/>
          <w:spacing w:val="-24"/>
          <w:kern w:val="2"/>
          <w:sz w:val="80"/>
          <w:szCs w:val="80"/>
          <w:lang w:eastAsia="es-ES" w:bidi="hi-IN"/>
        </w:rPr>
        <w:br/>
      </w:r>
      <w:r w:rsidR="00F54486">
        <w:rPr>
          <w:rFonts w:ascii="Arial" w:eastAsia="Times New Roman" w:hAnsi="Arial" w:cs="Arial"/>
          <w:b/>
          <w:bCs/>
          <w:color w:val="9D2235"/>
          <w:spacing w:val="-24"/>
          <w:kern w:val="2"/>
          <w:sz w:val="80"/>
          <w:szCs w:val="80"/>
          <w:lang w:eastAsia="es-ES" w:bidi="hi-IN"/>
        </w:rPr>
        <w:t>i</w:t>
      </w:r>
      <w:r w:rsidR="00F959CE" w:rsidRPr="002D3252">
        <w:rPr>
          <w:rFonts w:ascii="Arial" w:eastAsia="Times New Roman" w:hAnsi="Arial" w:cs="Arial"/>
          <w:b/>
          <w:bCs/>
          <w:color w:val="9D2235"/>
          <w:spacing w:val="-24"/>
          <w:kern w:val="2"/>
          <w:sz w:val="80"/>
          <w:szCs w:val="80"/>
          <w:lang w:eastAsia="es-ES" w:bidi="hi-IN"/>
        </w:rPr>
        <w:t>nvestigació</w:t>
      </w:r>
      <w:bookmarkEnd w:id="151"/>
      <w:bookmarkEnd w:id="152"/>
      <w:r w:rsidR="00F9435B" w:rsidRPr="002D3252">
        <w:rPr>
          <w:rFonts w:ascii="Arial" w:eastAsia="Times New Roman" w:hAnsi="Arial" w:cs="Arial"/>
          <w:b/>
          <w:bCs/>
          <w:color w:val="9D2235"/>
          <w:spacing w:val="-24"/>
          <w:kern w:val="2"/>
          <w:sz w:val="80"/>
          <w:szCs w:val="80"/>
          <w:lang w:eastAsia="es-ES" w:bidi="hi-IN"/>
        </w:rPr>
        <w:br/>
      </w:r>
    </w:p>
    <w:p w14:paraId="3CB9CD21" w14:textId="25640446" w:rsidR="00873205" w:rsidRPr="002D3252" w:rsidRDefault="00070409" w:rsidP="00EB4ECF">
      <w:pPr>
        <w:pStyle w:val="Prrafodelista"/>
        <w:keepNext/>
        <w:numPr>
          <w:ilvl w:val="1"/>
          <w:numId w:val="19"/>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153" w:name="_Toc99110715"/>
      <w:bookmarkEnd w:id="143"/>
      <w:r>
        <w:rPr>
          <w:rFonts w:ascii="Arial" w:eastAsia="Times New Roman" w:hAnsi="Arial" w:cs="Arial"/>
          <w:b/>
          <w:color w:val="9D2235"/>
          <w:sz w:val="32"/>
          <w:szCs w:val="32"/>
        </w:rPr>
        <w:t>Presentació</w:t>
      </w:r>
      <w:bookmarkEnd w:id="153"/>
      <w:r w:rsidR="00873205" w:rsidRPr="002D3252">
        <w:rPr>
          <w:rFonts w:ascii="Arial" w:eastAsia="Times New Roman" w:hAnsi="Arial" w:cs="Arial"/>
          <w:b/>
          <w:color w:val="9D2235"/>
          <w:sz w:val="32"/>
          <w:szCs w:val="32"/>
        </w:rPr>
        <w:t xml:space="preserve"> </w:t>
      </w:r>
    </w:p>
    <w:p w14:paraId="14AE983E" w14:textId="77777777" w:rsidR="00070409" w:rsidRPr="00070409" w:rsidRDefault="00070409" w:rsidP="00070409">
      <w:pPr>
        <w:spacing w:after="240" w:line="276" w:lineRule="auto"/>
        <w:jc w:val="both"/>
        <w:rPr>
          <w:rFonts w:ascii="Arial" w:hAnsi="Arial"/>
          <w:sz w:val="21"/>
        </w:rPr>
      </w:pPr>
      <w:r w:rsidRPr="00070409">
        <w:rPr>
          <w:rFonts w:ascii="Arial" w:hAnsi="Arial"/>
          <w:sz w:val="21"/>
        </w:rPr>
        <w:t>A la Direcció d'Anàlisi i Investigació li corresponen les funcions següents, d'acord amb el que regula l'article 20 del Reglament de funcionament i règim interior de l'AVAF:</w:t>
      </w:r>
    </w:p>
    <w:p w14:paraId="0913303C" w14:textId="7044B3F9"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Dirigir, coordinar i supervisar el funcionament i l’organització de les unitats i els equips d’anàlisi i investigació dependents. </w:t>
      </w:r>
    </w:p>
    <w:p w14:paraId="402E19A1"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Rebre i analitzar les sol·licituds, les denúncies i les comunicacions presentades per persones físiques o jurídiques, públiques o privades, òrgans o institucions de caràcter públic. </w:t>
      </w:r>
    </w:p>
    <w:p w14:paraId="439A194B"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Supervisar i vetlar pel correcte funcionament de la bústia de denúncies de l’Agència. </w:t>
      </w:r>
    </w:p>
    <w:p w14:paraId="09C929FE"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Efectuar el tractament i l’anàlisi de la informació que tinga coneixement que siga susceptible de donar lloc a actuacions d’investigació. </w:t>
      </w:r>
    </w:p>
    <w:p w14:paraId="055C9D4A"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Avaluar la versemblança de les denúncies practicant les actuacions necessàries per a això i emetent l’informe de versemblança de denúncies o comunicacions.</w:t>
      </w:r>
    </w:p>
    <w:p w14:paraId="4D0AD335"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Elaborar les propostes d’iniciació d’actuacions d’investigació, de remissió a l’òrgan competent o d’arxiu, i sotmetre-les a l’aprovació de la direcció de l’Agència. </w:t>
      </w:r>
    </w:p>
    <w:p w14:paraId="3355825A"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Exercir la direcció tècnica superior de l’anàlisi, la investigació i la inspecció. </w:t>
      </w:r>
    </w:p>
    <w:p w14:paraId="72769853"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Proposar a la direcció de l’Agència la conclusió o la reobertura dels expedients d’investigació, així com realitzar el seguiment de les actuacions i les recomanacions adoptades. </w:t>
      </w:r>
    </w:p>
    <w:p w14:paraId="4ABE9BFE"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Proposar l’establiment i aplicar o supervisar l’aplicació de normatives d’ús de recursos tecnològics, polítiques de seguretat i interoperabilitat, plans de desplegament de sistemes d’informació i altres criteris en relació amb els sistemes i les tecnologies de la informació i les comunicacions. </w:t>
      </w:r>
    </w:p>
    <w:p w14:paraId="0D733239"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Desenvolupar sistemes i planificar estratègies per a obtindre, organitzar i centralitzar la recollida i l’explotació d’informació que permeta identificar conductes susceptibles de frau i corrupció. </w:t>
      </w:r>
    </w:p>
    <w:p w14:paraId="175A6B1C" w14:textId="77777777" w:rsidR="00070409" w:rsidRPr="00070409" w:rsidRDefault="00070409" w:rsidP="0061495F">
      <w:pPr>
        <w:numPr>
          <w:ilvl w:val="0"/>
          <w:numId w:val="80"/>
        </w:numPr>
        <w:spacing w:after="120" w:line="276" w:lineRule="auto"/>
        <w:ind w:left="714" w:hanging="357"/>
        <w:jc w:val="both"/>
        <w:rPr>
          <w:rFonts w:ascii="Arial" w:hAnsi="Arial"/>
          <w:sz w:val="21"/>
        </w:rPr>
      </w:pPr>
      <w:r w:rsidRPr="00070409">
        <w:rPr>
          <w:rFonts w:ascii="Arial" w:hAnsi="Arial"/>
          <w:sz w:val="21"/>
        </w:rPr>
        <w:t xml:space="preserve">Gestionar el manteniment de les bases de dades, les aplicacions informàtiques i les comunicacions, així com controlar la seguretat dels sistemes d’informació. </w:t>
      </w:r>
    </w:p>
    <w:p w14:paraId="02CBBFB5" w14:textId="77777777" w:rsidR="00070409" w:rsidRPr="00070409" w:rsidRDefault="00070409" w:rsidP="0061495F">
      <w:pPr>
        <w:numPr>
          <w:ilvl w:val="0"/>
          <w:numId w:val="80"/>
        </w:numPr>
        <w:spacing w:after="240" w:line="276" w:lineRule="auto"/>
        <w:jc w:val="both"/>
        <w:rPr>
          <w:rFonts w:ascii="Arial" w:hAnsi="Arial"/>
          <w:sz w:val="21"/>
        </w:rPr>
      </w:pPr>
      <w:r w:rsidRPr="00070409">
        <w:rPr>
          <w:rFonts w:ascii="Arial" w:hAnsi="Arial"/>
          <w:sz w:val="21"/>
        </w:rPr>
        <w:t xml:space="preserve">Altres que li assigne la directora o director de l’Agència.  </w:t>
      </w:r>
    </w:p>
    <w:p w14:paraId="5D862E83" w14:textId="77777777" w:rsidR="00070409" w:rsidRPr="00070409" w:rsidRDefault="00070409" w:rsidP="00070409">
      <w:pPr>
        <w:spacing w:after="240" w:line="276" w:lineRule="auto"/>
        <w:jc w:val="both"/>
        <w:rPr>
          <w:rFonts w:ascii="Arial" w:hAnsi="Arial"/>
          <w:sz w:val="21"/>
        </w:rPr>
      </w:pPr>
      <w:r w:rsidRPr="00070409">
        <w:rPr>
          <w:rFonts w:ascii="Arial" w:hAnsi="Arial"/>
          <w:sz w:val="21"/>
        </w:rPr>
        <w:t>Aquest any 2021, cinquè exercici de funcionament de l'Agència, ha significat la consolidació del treball de la Direcció d'Anàlisi i Investigació basat en la fixació d'objectius globals i individuals, i en la planificació establerta al Pla Estratègic 2021-2022 de la pròpia direcció. Si l'any 2020 va ser l'any de consolidació de la forma d'actuació de la Direcció, l'any 2021 ha estat l'exercici en què ha posat en marxa el seguiment constant de compliment d'objectius, planificant els resultats a assolir i la mesura del grau de compliment dels mateixos, així com l'anàlisi de les mesures correctores necessàries. Tot això per poder assolir un nivell de resolució d'expedients, en els propers exercicis, que permeta assolir el punt d'equilibri de gestió, definit aquest com la finalització d'expedients, tant en la fase d'anàlisi com d’ investigació, en quantitat igual o superior al volum de denúncies anuals que es presenten a l'Agència.</w:t>
      </w:r>
    </w:p>
    <w:p w14:paraId="7FB3346D" w14:textId="77777777" w:rsidR="00070409" w:rsidRPr="00070409" w:rsidRDefault="00070409" w:rsidP="00070409">
      <w:pPr>
        <w:spacing w:after="240" w:line="276" w:lineRule="auto"/>
        <w:jc w:val="both"/>
        <w:rPr>
          <w:rFonts w:ascii="Arial" w:hAnsi="Arial"/>
          <w:sz w:val="21"/>
        </w:rPr>
      </w:pPr>
      <w:r w:rsidRPr="00070409">
        <w:rPr>
          <w:rFonts w:ascii="Arial" w:hAnsi="Arial"/>
          <w:sz w:val="21"/>
        </w:rPr>
        <w:t>Els tres principis rectors bàsics de tota actuació de la Direcció d'Anàlisi i Investigació són: el primer i el principi essencial, afrontar totes les investigacions amb rigor, imparcialitat i objectivitat; el segon, consolidar un equip humà multidisciplinari, altament qualificat, compromès i lliurat a l'exercici de les seves funcions; i el tercer principi, la recerca continuada de la millora, utilitzant la planificació d'objectius com a mecanisme per aconseguir-ho.</w:t>
      </w:r>
    </w:p>
    <w:p w14:paraId="18EF2C77" w14:textId="77777777" w:rsidR="00070409" w:rsidRPr="00070409" w:rsidRDefault="00070409" w:rsidP="00070409">
      <w:pPr>
        <w:spacing w:after="240" w:line="276" w:lineRule="auto"/>
        <w:jc w:val="both"/>
        <w:rPr>
          <w:rFonts w:ascii="Arial" w:hAnsi="Arial"/>
          <w:sz w:val="21"/>
        </w:rPr>
      </w:pPr>
      <w:r w:rsidRPr="00070409">
        <w:rPr>
          <w:rFonts w:ascii="Arial" w:hAnsi="Arial"/>
          <w:sz w:val="21"/>
        </w:rPr>
        <w:t>Les dades de gestió de l'exercici 2021, i l'evolució des del primer any de funcionament, acrediten la consolidació del treball de l'Agència i el seu posicionament com una entitat referent a la lluita contra el frau i la corrupció, no només a nivell autonòmic sinó a nivell nacional. L'any 2021 s'han rebut denúncies que han donat lloc a l'obertura de 359 expedients, davant dels 226 de l'any 2020, cosa que representa un increment del 58,84%, 133 denúncies/expedients més. L'any 2021 ha estat l'exercici amb més denúncies presentades des de la creació i posada en funcionament de l'Agència, fet que denota un major grau de coneixement del nostre treball, així com l'alt nivell de confiança de la societat valenciana en aquest.</w:t>
      </w:r>
    </w:p>
    <w:p w14:paraId="2A89963E" w14:textId="77777777" w:rsidR="00070409" w:rsidRPr="00070409" w:rsidRDefault="00070409" w:rsidP="00070409">
      <w:pPr>
        <w:spacing w:after="240" w:line="276" w:lineRule="auto"/>
        <w:jc w:val="both"/>
        <w:rPr>
          <w:rFonts w:ascii="Arial" w:hAnsi="Arial"/>
          <w:sz w:val="21"/>
        </w:rPr>
      </w:pPr>
      <w:r w:rsidRPr="00070409">
        <w:rPr>
          <w:rFonts w:ascii="Arial" w:hAnsi="Arial"/>
          <w:sz w:val="21"/>
        </w:rPr>
        <w:t>A més de l'increment exponencial del nombre de denúncies presentades durant l'any 2021, s'ha aconseguit millorar substancialment la capacitat de gestió de la Direcció, així el 2021 s'han finalitzat 268 expedients, mentre que l'exercici 2020 se'n van concloure un total de 152; que implica un increment del 76,31% en termes globals. Dels 268 expedients finalitzats a l'exercici 2021, 191 van finalitzar a la fase d'anàlisi i 77 a la fase d’investigació, mentre que, l'any 2020 dels 152 expedients finalitzats, 122 ho van fer a la fase d'anàlisi i 30 a la fase d’investigació amb resolució final de conclusió, fet que suposa un increment del 56,55% de la gestió a la fase d'anàlisi el 2020, i un increment del 156,66% de les investigacions finalitzades respecte a 2020. També cal que destacar que durant el 2021 s'han iniciat 72 investigacions, enfront de les 58 que es van iniciar el 2020, fet que implica un increment del 24,13%, i que ha situat el percentatge de denúncies que passen a la fase de recerca al 27,37%.</w:t>
      </w:r>
    </w:p>
    <w:p w14:paraId="7B558729" w14:textId="77777777" w:rsidR="00070409" w:rsidRPr="00070409" w:rsidRDefault="00070409" w:rsidP="00070409">
      <w:pPr>
        <w:spacing w:after="240" w:line="276" w:lineRule="auto"/>
        <w:jc w:val="both"/>
        <w:rPr>
          <w:rFonts w:ascii="Arial" w:hAnsi="Arial"/>
          <w:sz w:val="21"/>
        </w:rPr>
      </w:pPr>
      <w:r w:rsidRPr="00070409">
        <w:rPr>
          <w:rFonts w:ascii="Arial" w:hAnsi="Arial"/>
          <w:sz w:val="21"/>
        </w:rPr>
        <w:t>Al llarg dels apartats següents s'exposaran en detall els resultats que s'acaben d'oferir, així com d'altres que resulten d'especial interès, alguns dels quals ja han estat exposats anteriorment a les Memòries d'exercicis anteriors i que seran actualitzats amb la corresponent evolució de les dades en 2021. Així mateix, s'incorpora com a novetat una taula que recull l'impacte econòmic de les actuacions de l'AVAF, respecte a les quanties que després de les investigacions corresponents haurien de ser recuperades per les diferents administracions públiques.</w:t>
      </w:r>
    </w:p>
    <w:p w14:paraId="1B2F2A68" w14:textId="77777777" w:rsidR="00070409" w:rsidRPr="00070409" w:rsidRDefault="00070409" w:rsidP="00070409">
      <w:pPr>
        <w:spacing w:after="240" w:line="276" w:lineRule="auto"/>
        <w:jc w:val="both"/>
        <w:rPr>
          <w:rFonts w:ascii="Arial" w:hAnsi="Arial"/>
          <w:sz w:val="21"/>
        </w:rPr>
      </w:pPr>
      <w:r w:rsidRPr="00070409">
        <w:rPr>
          <w:rFonts w:ascii="Arial" w:hAnsi="Arial"/>
          <w:sz w:val="21"/>
        </w:rPr>
        <w:t>Un dels objectius prioritaris d'aquesta Direcció per a l'anualitat 2022, com a línia estratègica, és assolir el punt d'equilibri de gestió, entès com la resolució d'expedients, tant a la fase d'anàlisi (arxius i inadmissions) com a la fase d’investigació (resolucions finals d’investigació), en un volum quantitatiu, igual o superior a les denúncies noves que es presenten a l'exercici, i tot això mantenint i millorant els nivells de qualitat jurídica i tècnica de les investigacions. Per això, es va planificar l'actuació dels anys 2021 i 2022 a través d'un Pla Estratègic, que recull tant els objectius globals de la Direcció com la distribució d'objectius individuals als diferents llocs de treball amb funcions d’investigació, així com creació el 2022 de dos nous llocs de treball amb tasques d’investigació, sent l'objectiu en aquest apartat cobrir íntegrament els llocs de treball de la Direcció, per poder analitzar la capacitat resolutòria global en termes mitjans.</w:t>
      </w:r>
    </w:p>
    <w:p w14:paraId="7B7A8AA7" w14:textId="77777777" w:rsidR="00070409" w:rsidRPr="00070409" w:rsidRDefault="00070409" w:rsidP="00070409">
      <w:pPr>
        <w:spacing w:after="240" w:line="276" w:lineRule="auto"/>
        <w:jc w:val="both"/>
        <w:rPr>
          <w:rFonts w:ascii="Arial" w:hAnsi="Arial"/>
          <w:sz w:val="21"/>
        </w:rPr>
      </w:pPr>
      <w:r w:rsidRPr="00070409">
        <w:rPr>
          <w:rFonts w:ascii="Arial" w:hAnsi="Arial"/>
          <w:sz w:val="21"/>
        </w:rPr>
        <w:t>Com ja es va fer a les memòries dels anys precedents, s'inclou un apartat específic relatiu al seguiment de les recomanacions que s'han efectuat després de la finalització dels corresponents expedients tramitats, i un apartat, que recull de manera resumida i sintètica, un compendi de les actuacions d’investigació realitzades durant l'anualitat 2021, i que s'han considerat com a més rellevants o de més interès. Com ja es va fer a la Memòria de 2020, s'inclou un apartat específic per destacar les administracions que no han aplicat les recomanacions proposades per l'Agència o no justifiquen la seva inaplicació de manera motivada.</w:t>
      </w:r>
    </w:p>
    <w:p w14:paraId="272635AF" w14:textId="77777777" w:rsidR="00070409" w:rsidRPr="00070409" w:rsidRDefault="00070409" w:rsidP="00070409">
      <w:pPr>
        <w:spacing w:after="240" w:line="276" w:lineRule="auto"/>
        <w:jc w:val="both"/>
        <w:rPr>
          <w:rFonts w:ascii="Arial" w:hAnsi="Arial"/>
          <w:sz w:val="21"/>
          <w:u w:val="single"/>
        </w:rPr>
      </w:pPr>
      <w:r w:rsidRPr="00070409">
        <w:rPr>
          <w:rFonts w:ascii="Arial" w:hAnsi="Arial"/>
          <w:sz w:val="21"/>
        </w:rPr>
        <w:t>Cal destacar, que des del 2020, l'Agència té publicades al seu portal de transparència, totes les resolucions finals d’investigació dictades des de l'inici del seu funcionament,</w:t>
      </w:r>
      <w:hyperlink r:id="rId410" w:anchor="resolucions-finals-dinvestigacio" w:history="1">
        <w:r w:rsidRPr="00070409">
          <w:rPr>
            <w:rStyle w:val="Hipervnculo"/>
            <w:rFonts w:ascii="Arial" w:hAnsi="Arial"/>
            <w:sz w:val="21"/>
          </w:rPr>
          <w:t>https://www.antifraucv.es/portal-de-transparencia/informacio-de-rellevancia-juridica/#resolucions-finals-dinvestigacio</w:t>
        </w:r>
      </w:hyperlink>
      <w:r w:rsidRPr="00070409">
        <w:rPr>
          <w:rFonts w:ascii="Arial" w:hAnsi="Arial"/>
          <w:sz w:val="21"/>
          <w:u w:val="single"/>
        </w:rPr>
        <w:t>.</w:t>
      </w:r>
    </w:p>
    <w:p w14:paraId="2F6F65E2" w14:textId="7FE64EB7" w:rsidR="00F959CE" w:rsidRPr="00070409" w:rsidRDefault="00070409" w:rsidP="00070409">
      <w:pPr>
        <w:spacing w:after="240" w:line="276" w:lineRule="auto"/>
        <w:jc w:val="both"/>
        <w:rPr>
          <w:rFonts w:ascii="Arial" w:hAnsi="Arial"/>
          <w:sz w:val="21"/>
        </w:rPr>
      </w:pPr>
      <w:r w:rsidRPr="00070409">
        <w:rPr>
          <w:rFonts w:ascii="Arial" w:hAnsi="Arial"/>
          <w:sz w:val="21"/>
        </w:rPr>
        <w:t>Finalment, es farà referència a la col·laboració que ha dut a terme l'Agència durant l'anualitat 2021 en suport o auxili tècnic a altres òrgans administratius o judicials, així com amb el Ministeri Fiscal.</w:t>
      </w:r>
    </w:p>
    <w:p w14:paraId="75A200B1" w14:textId="77777777" w:rsidR="0035121C" w:rsidRPr="0035121C" w:rsidRDefault="0035121C" w:rsidP="0035121C">
      <w:pPr>
        <w:pStyle w:val="Prrafodelista"/>
        <w:keepNext/>
        <w:numPr>
          <w:ilvl w:val="1"/>
          <w:numId w:val="19"/>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154" w:name="_Toc99110716"/>
      <w:r w:rsidRPr="0035121C">
        <w:rPr>
          <w:rFonts w:ascii="Arial" w:eastAsia="Times New Roman" w:hAnsi="Arial" w:cs="Arial"/>
          <w:b/>
          <w:color w:val="9D2235"/>
          <w:sz w:val="32"/>
          <w:szCs w:val="32"/>
        </w:rPr>
        <w:t>Denúncies presentades, classificacions i evolució</w:t>
      </w:r>
      <w:bookmarkEnd w:id="154"/>
    </w:p>
    <w:p w14:paraId="630189CC" w14:textId="77777777" w:rsidR="0035121C" w:rsidRPr="0035121C" w:rsidRDefault="0035121C" w:rsidP="0035121C">
      <w:pPr>
        <w:spacing w:after="240" w:line="276" w:lineRule="auto"/>
        <w:jc w:val="both"/>
        <w:rPr>
          <w:rFonts w:ascii="Arial" w:eastAsia="Times New Roman" w:hAnsi="Arial" w:cs="Arial"/>
          <w:bCs/>
          <w:sz w:val="21"/>
          <w:szCs w:val="21"/>
        </w:rPr>
      </w:pPr>
      <w:r w:rsidRPr="0035121C">
        <w:rPr>
          <w:rFonts w:ascii="Arial" w:eastAsia="Times New Roman" w:hAnsi="Arial" w:cs="Arial"/>
          <w:bCs/>
          <w:sz w:val="21"/>
          <w:szCs w:val="21"/>
        </w:rPr>
        <w:t>D'acord amb el que disposa l'article 11 de la Llei 11/2016, de 28 de novembre, de l'Agència de Prevenció i Lluita contra el Frau i la Corrupció de la Comunitat Valenciana, les actuacions d'anàlisi i investigació de l'Agència s'inicien d'ofici, per acord del director o directora, prèvia determinació de la versemblança, quan siga sabedora de fets o conductes que requerisquen ser investigats, inspeccionats o que aconsellen realitzar un seguiment i també quan, després de fer una anàlisi de risc, els indicadors de risc aconsellen la inspecció o el seguiment de determinats fets o activitats.</w:t>
      </w:r>
    </w:p>
    <w:p w14:paraId="4D104EEB" w14:textId="77777777" w:rsidR="0035121C" w:rsidRPr="0035121C" w:rsidRDefault="0035121C" w:rsidP="0035121C">
      <w:pPr>
        <w:spacing w:after="240" w:line="276" w:lineRule="auto"/>
        <w:jc w:val="both"/>
        <w:rPr>
          <w:rFonts w:ascii="Arial" w:eastAsia="Times New Roman" w:hAnsi="Arial" w:cs="Arial"/>
          <w:bCs/>
          <w:sz w:val="21"/>
          <w:szCs w:val="21"/>
        </w:rPr>
      </w:pPr>
      <w:r w:rsidRPr="0035121C">
        <w:rPr>
          <w:rFonts w:ascii="Arial" w:eastAsia="Times New Roman" w:hAnsi="Arial" w:cs="Arial"/>
          <w:bCs/>
          <w:sz w:val="21"/>
          <w:szCs w:val="21"/>
        </w:rPr>
        <w:t>L'inici de les actuacions d'ofici es produirà bé per iniciativa pròpia, com a conseqüència d'una sol·licitud de les Corts o altres òrgans o institucions públiques, o per denúncia.</w:t>
      </w:r>
    </w:p>
    <w:p w14:paraId="05B07839" w14:textId="77777777" w:rsidR="0035121C" w:rsidRPr="0035121C" w:rsidRDefault="0035121C" w:rsidP="0035121C">
      <w:pPr>
        <w:spacing w:after="240" w:line="276" w:lineRule="auto"/>
        <w:jc w:val="both"/>
        <w:rPr>
          <w:rFonts w:ascii="Arial" w:eastAsia="Times New Roman" w:hAnsi="Arial" w:cs="Arial"/>
          <w:bCs/>
          <w:sz w:val="21"/>
          <w:szCs w:val="21"/>
        </w:rPr>
      </w:pPr>
      <w:r w:rsidRPr="0035121C">
        <w:rPr>
          <w:rFonts w:ascii="Arial" w:eastAsia="Times New Roman" w:hAnsi="Arial" w:cs="Arial"/>
          <w:bCs/>
          <w:sz w:val="21"/>
          <w:szCs w:val="21"/>
        </w:rPr>
        <w:t>Qualsevol persona pot dirigir-se a l’Agència per comunicar conductes que puguen ser susceptibles de ser investigades o inspeccionades per esta.</w:t>
      </w:r>
    </w:p>
    <w:p w14:paraId="5E00D6EE" w14:textId="77777777" w:rsidR="0035121C" w:rsidRPr="0035121C" w:rsidRDefault="0035121C" w:rsidP="0035121C">
      <w:pPr>
        <w:spacing w:after="240" w:line="276" w:lineRule="auto"/>
        <w:jc w:val="both"/>
        <w:rPr>
          <w:rFonts w:ascii="Arial" w:eastAsia="Times New Roman" w:hAnsi="Arial" w:cs="Arial"/>
          <w:bCs/>
          <w:sz w:val="21"/>
          <w:szCs w:val="21"/>
        </w:rPr>
      </w:pPr>
      <w:r w:rsidRPr="0035121C">
        <w:rPr>
          <w:rFonts w:ascii="Arial" w:eastAsia="Times New Roman" w:hAnsi="Arial" w:cs="Arial"/>
          <w:bCs/>
          <w:sz w:val="21"/>
          <w:szCs w:val="21"/>
        </w:rPr>
        <w:t xml:space="preserve">Les autoritats, els empleats públics i tots aquells que complisquen funcions públiques o desenvolupen el treball en entitats i organismes públics han de comunicar immediatament a l'Agència, des del moment que els coneguen, els fets que puguen ser susceptibles de ser objecte d’investigació o inspecció per part de l’Agència. </w:t>
      </w:r>
    </w:p>
    <w:p w14:paraId="61425973" w14:textId="77777777" w:rsidR="0035121C" w:rsidRPr="0035121C" w:rsidRDefault="0035121C" w:rsidP="0035121C">
      <w:pPr>
        <w:spacing w:after="240" w:line="276" w:lineRule="auto"/>
        <w:jc w:val="both"/>
        <w:rPr>
          <w:rFonts w:ascii="Arial" w:eastAsia="Times New Roman" w:hAnsi="Arial" w:cs="Arial"/>
          <w:bCs/>
          <w:sz w:val="21"/>
          <w:szCs w:val="21"/>
        </w:rPr>
      </w:pPr>
      <w:r w:rsidRPr="0035121C">
        <w:rPr>
          <w:rFonts w:ascii="Arial" w:eastAsia="Times New Roman" w:hAnsi="Arial" w:cs="Arial"/>
          <w:bCs/>
          <w:sz w:val="21"/>
          <w:szCs w:val="21"/>
        </w:rPr>
        <w:t>En tot cas, la persona informadora té el dret a què es garantisca la confidencialitat sobre la seua identitat.</w:t>
      </w:r>
    </w:p>
    <w:p w14:paraId="41497800" w14:textId="496E8DAF" w:rsidR="00F959CE" w:rsidRPr="0035121C" w:rsidRDefault="0035121C" w:rsidP="0035121C">
      <w:pPr>
        <w:spacing w:after="240" w:line="276" w:lineRule="auto"/>
        <w:jc w:val="both"/>
        <w:rPr>
          <w:rFonts w:ascii="Arial" w:eastAsia="Times New Roman" w:hAnsi="Arial" w:cs="Arial"/>
          <w:sz w:val="21"/>
          <w:szCs w:val="21"/>
        </w:rPr>
      </w:pPr>
      <w:r w:rsidRPr="0035121C">
        <w:rPr>
          <w:rFonts w:ascii="Arial" w:eastAsia="Times New Roman" w:hAnsi="Arial" w:cs="Arial"/>
          <w:bCs/>
          <w:sz w:val="21"/>
          <w:szCs w:val="21"/>
        </w:rPr>
        <w:t>A continuació, s'exposen dades i detalls sobre la recepció de denúncies i expedients tramitats des de la Direcció d'Anàlisi i Investigació, així com de la seua evolució i comparativa des de distintes classificacions.</w:t>
      </w:r>
    </w:p>
    <w:p w14:paraId="2CA8EB56" w14:textId="354F967B" w:rsidR="00873205" w:rsidRPr="002D3252" w:rsidRDefault="0035121C" w:rsidP="00EB4ECF">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55" w:name="_Toc99110717"/>
      <w:r w:rsidRPr="0035121C">
        <w:rPr>
          <w:rFonts w:ascii="Arial" w:eastAsia="Times New Roman" w:hAnsi="Arial" w:cs="Arial"/>
          <w:b/>
          <w:color w:val="9D2235"/>
          <w:sz w:val="28"/>
          <w:szCs w:val="28"/>
          <w:lang w:val="ca-ES"/>
        </w:rPr>
        <w:t>Denúncies presentades per àmbit subjectiu</w:t>
      </w:r>
      <w:bookmarkEnd w:id="155"/>
    </w:p>
    <w:p w14:paraId="60B44154" w14:textId="77777777" w:rsidR="0035121C" w:rsidRPr="0035121C" w:rsidRDefault="0035121C" w:rsidP="0035121C">
      <w:pPr>
        <w:spacing w:after="240" w:line="276" w:lineRule="auto"/>
        <w:jc w:val="both"/>
        <w:rPr>
          <w:rFonts w:ascii="Arial" w:hAnsi="Arial"/>
          <w:color w:val="000000"/>
          <w:sz w:val="21"/>
        </w:rPr>
      </w:pPr>
      <w:r w:rsidRPr="0035121C">
        <w:rPr>
          <w:rFonts w:ascii="Arial" w:hAnsi="Arial"/>
          <w:color w:val="000000"/>
          <w:sz w:val="21"/>
        </w:rPr>
        <w:t>Contempla la classificació de les denúncies presentades basant-se en l'àmbit o sector de la institució, administració, entitat o persona a qui es referix la comunicació de fets o denúncia rebuda.</w:t>
      </w:r>
    </w:p>
    <w:p w14:paraId="2D6542BF" w14:textId="7E3B113F" w:rsidR="00DD3DF0" w:rsidRPr="0035121C" w:rsidRDefault="0035121C" w:rsidP="0035121C">
      <w:pPr>
        <w:spacing w:after="240" w:line="276" w:lineRule="auto"/>
        <w:jc w:val="both"/>
        <w:rPr>
          <w:rFonts w:ascii="Arial" w:hAnsi="Arial"/>
          <w:color w:val="000000"/>
          <w:sz w:val="21"/>
        </w:rPr>
      </w:pPr>
      <w:r w:rsidRPr="0035121C">
        <w:rPr>
          <w:rFonts w:ascii="Arial" w:hAnsi="Arial"/>
          <w:color w:val="000000"/>
          <w:sz w:val="21"/>
        </w:rPr>
        <w:t>S'han agrupat els expedients en els sectors inclosos en l'àmbit d'aplicació d'actuació de l'Agència i arreplegats en l'article 3 de la Llei 11/2016:</w:t>
      </w:r>
    </w:p>
    <w:p w14:paraId="08730819" w14:textId="3C402B05" w:rsidR="0035121C" w:rsidRPr="0035121C" w:rsidRDefault="0035121C" w:rsidP="0035121C">
      <w:pPr>
        <w:pStyle w:val="Descripcin"/>
        <w:keepNext/>
        <w:rPr>
          <w:rFonts w:ascii="Arial" w:hAnsi="Arial" w:cs="Arial"/>
          <w:smallCaps w:val="0"/>
          <w:sz w:val="18"/>
          <w:szCs w:val="18"/>
        </w:rPr>
      </w:pPr>
      <w:bookmarkStart w:id="156" w:name="_Toc99110854"/>
      <w:r w:rsidRPr="0035121C">
        <w:rPr>
          <w:rFonts w:ascii="Arial" w:hAnsi="Arial" w:cs="Arial"/>
          <w:smallCaps w:val="0"/>
          <w:color w:val="9D2235" w:themeColor="accent1"/>
          <w:sz w:val="18"/>
          <w:szCs w:val="18"/>
        </w:rPr>
        <w:t xml:space="preserve">Taula </w:t>
      </w:r>
      <w:r w:rsidRPr="0035121C">
        <w:rPr>
          <w:rFonts w:ascii="Arial" w:hAnsi="Arial" w:cs="Arial"/>
          <w:smallCaps w:val="0"/>
          <w:color w:val="9D2235" w:themeColor="accent1"/>
          <w:sz w:val="18"/>
          <w:szCs w:val="18"/>
        </w:rPr>
        <w:fldChar w:fldCharType="begin" w:fldLock="1"/>
      </w:r>
      <w:r w:rsidRPr="0035121C">
        <w:rPr>
          <w:rFonts w:ascii="Arial" w:hAnsi="Arial" w:cs="Arial"/>
          <w:smallCaps w:val="0"/>
          <w:color w:val="9D2235" w:themeColor="accent1"/>
          <w:sz w:val="18"/>
          <w:szCs w:val="18"/>
        </w:rPr>
        <w:instrText xml:space="preserve"> SEQ Taula \* ARABIC </w:instrText>
      </w:r>
      <w:r w:rsidRPr="0035121C">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9</w:t>
      </w:r>
      <w:r w:rsidRPr="0035121C">
        <w:rPr>
          <w:rFonts w:ascii="Arial" w:hAnsi="Arial" w:cs="Arial"/>
          <w:smallCaps w:val="0"/>
          <w:color w:val="9D2235" w:themeColor="accent1"/>
          <w:sz w:val="18"/>
          <w:szCs w:val="18"/>
        </w:rPr>
        <w:fldChar w:fldCharType="end"/>
      </w:r>
      <w:r w:rsidRPr="0035121C">
        <w:rPr>
          <w:rFonts w:ascii="Arial" w:hAnsi="Arial" w:cs="Arial"/>
          <w:smallCaps w:val="0"/>
          <w:sz w:val="18"/>
          <w:szCs w:val="18"/>
        </w:rPr>
        <w:t>. Denúncies presentades per àmbit subjectiu</w:t>
      </w:r>
      <w:bookmarkEnd w:id="156"/>
    </w:p>
    <w:tbl>
      <w:tblPr>
        <w:tblW w:w="8580" w:type="dxa"/>
        <w:tblLayout w:type="fixed"/>
        <w:tblCellMar>
          <w:left w:w="70" w:type="dxa"/>
          <w:right w:w="70" w:type="dxa"/>
        </w:tblCellMar>
        <w:tblLook w:val="04A0" w:firstRow="1" w:lastRow="0" w:firstColumn="1" w:lastColumn="0" w:noHBand="0" w:noVBand="1"/>
      </w:tblPr>
      <w:tblGrid>
        <w:gridCol w:w="2830"/>
        <w:gridCol w:w="567"/>
        <w:gridCol w:w="647"/>
        <w:gridCol w:w="487"/>
        <w:gridCol w:w="647"/>
        <w:gridCol w:w="487"/>
        <w:gridCol w:w="647"/>
        <w:gridCol w:w="487"/>
        <w:gridCol w:w="647"/>
        <w:gridCol w:w="487"/>
        <w:gridCol w:w="647"/>
      </w:tblGrid>
      <w:tr w:rsidR="0035121C" w:rsidRPr="0035121C" w14:paraId="1FF163D0" w14:textId="77777777" w:rsidTr="00443473">
        <w:trPr>
          <w:trHeight w:val="300"/>
          <w:tblHeader/>
        </w:trPr>
        <w:tc>
          <w:tcPr>
            <w:tcW w:w="2830" w:type="dxa"/>
            <w:tcBorders>
              <w:top w:val="single" w:sz="4" w:space="0" w:color="auto"/>
              <w:left w:val="single" w:sz="4" w:space="0" w:color="auto"/>
              <w:bottom w:val="single" w:sz="4" w:space="0" w:color="auto"/>
              <w:right w:val="single" w:sz="4" w:space="0" w:color="auto"/>
            </w:tcBorders>
            <w:shd w:val="clear" w:color="000000" w:fill="B6A39A"/>
            <w:noWrap/>
            <w:vAlign w:val="center"/>
            <w:hideMark/>
          </w:tcPr>
          <w:p w14:paraId="19B5C221" w14:textId="77777777" w:rsidR="0035121C" w:rsidRPr="0035121C" w:rsidRDefault="0035121C" w:rsidP="0035121C">
            <w:pPr>
              <w:spacing w:after="0" w:line="240" w:lineRule="auto"/>
              <w:rPr>
                <w:rFonts w:ascii="Arial" w:eastAsia="Times New Roman" w:hAnsi="Arial" w:cs="Arial"/>
                <w:b/>
                <w:bCs/>
                <w:color w:val="000000"/>
                <w:sz w:val="16"/>
                <w:szCs w:val="16"/>
                <w:lang w:val="ca-ES" w:eastAsia="es-ES"/>
              </w:rPr>
            </w:pPr>
          </w:p>
        </w:tc>
        <w:tc>
          <w:tcPr>
            <w:tcW w:w="567" w:type="dxa"/>
            <w:tcBorders>
              <w:top w:val="single" w:sz="4" w:space="0" w:color="auto"/>
              <w:left w:val="nil"/>
              <w:bottom w:val="single" w:sz="4" w:space="0" w:color="auto"/>
              <w:right w:val="single" w:sz="4" w:space="0" w:color="auto"/>
            </w:tcBorders>
            <w:shd w:val="clear" w:color="000000" w:fill="B6A39A"/>
            <w:noWrap/>
            <w:vAlign w:val="bottom"/>
            <w:hideMark/>
          </w:tcPr>
          <w:p w14:paraId="6CE52515"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2017</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2DCC8034"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w:t>
            </w:r>
          </w:p>
        </w:tc>
        <w:tc>
          <w:tcPr>
            <w:tcW w:w="487" w:type="dxa"/>
            <w:tcBorders>
              <w:top w:val="single" w:sz="4" w:space="0" w:color="auto"/>
              <w:left w:val="nil"/>
              <w:bottom w:val="single" w:sz="4" w:space="0" w:color="auto"/>
              <w:right w:val="single" w:sz="4" w:space="0" w:color="auto"/>
            </w:tcBorders>
            <w:shd w:val="clear" w:color="000000" w:fill="B6A39A"/>
            <w:noWrap/>
            <w:vAlign w:val="bottom"/>
            <w:hideMark/>
          </w:tcPr>
          <w:p w14:paraId="195F222F"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2018</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71AF3000"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w:t>
            </w:r>
          </w:p>
        </w:tc>
        <w:tc>
          <w:tcPr>
            <w:tcW w:w="487" w:type="dxa"/>
            <w:tcBorders>
              <w:top w:val="single" w:sz="4" w:space="0" w:color="auto"/>
              <w:left w:val="nil"/>
              <w:bottom w:val="single" w:sz="4" w:space="0" w:color="auto"/>
              <w:right w:val="single" w:sz="4" w:space="0" w:color="auto"/>
            </w:tcBorders>
            <w:shd w:val="clear" w:color="000000" w:fill="B6A39A"/>
            <w:noWrap/>
            <w:vAlign w:val="bottom"/>
            <w:hideMark/>
          </w:tcPr>
          <w:p w14:paraId="68D1626A"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2019</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43B9646F"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w:t>
            </w:r>
          </w:p>
        </w:tc>
        <w:tc>
          <w:tcPr>
            <w:tcW w:w="487" w:type="dxa"/>
            <w:tcBorders>
              <w:top w:val="single" w:sz="4" w:space="0" w:color="auto"/>
              <w:left w:val="nil"/>
              <w:bottom w:val="single" w:sz="4" w:space="0" w:color="auto"/>
              <w:right w:val="single" w:sz="4" w:space="0" w:color="auto"/>
            </w:tcBorders>
            <w:shd w:val="clear" w:color="000000" w:fill="B6A39A"/>
            <w:noWrap/>
            <w:vAlign w:val="bottom"/>
            <w:hideMark/>
          </w:tcPr>
          <w:p w14:paraId="3A4ECDB1"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2020</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7C35D132"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w:t>
            </w:r>
          </w:p>
        </w:tc>
        <w:tc>
          <w:tcPr>
            <w:tcW w:w="487" w:type="dxa"/>
            <w:tcBorders>
              <w:top w:val="single" w:sz="4" w:space="0" w:color="auto"/>
              <w:left w:val="nil"/>
              <w:bottom w:val="single" w:sz="4" w:space="0" w:color="auto"/>
              <w:right w:val="single" w:sz="4" w:space="0" w:color="auto"/>
            </w:tcBorders>
            <w:shd w:val="clear" w:color="000000" w:fill="B6A39A"/>
            <w:noWrap/>
            <w:vAlign w:val="bottom"/>
            <w:hideMark/>
          </w:tcPr>
          <w:p w14:paraId="37A75976"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2021</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2A1FC5BB" w14:textId="77777777" w:rsidR="0035121C" w:rsidRPr="0035121C" w:rsidRDefault="0035121C" w:rsidP="0035121C">
            <w:pPr>
              <w:spacing w:after="0" w:line="240" w:lineRule="auto"/>
              <w:jc w:val="center"/>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w:t>
            </w:r>
          </w:p>
        </w:tc>
      </w:tr>
      <w:tr w:rsidR="0035121C" w:rsidRPr="0035121C" w14:paraId="68D7DFB2"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A8EE3FA"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Administració municipal</w:t>
            </w:r>
          </w:p>
        </w:tc>
        <w:tc>
          <w:tcPr>
            <w:tcW w:w="567" w:type="dxa"/>
            <w:tcBorders>
              <w:top w:val="nil"/>
              <w:left w:val="nil"/>
              <w:bottom w:val="single" w:sz="4" w:space="0" w:color="auto"/>
              <w:right w:val="single" w:sz="4" w:space="0" w:color="auto"/>
            </w:tcBorders>
            <w:shd w:val="clear" w:color="auto" w:fill="auto"/>
            <w:noWrap/>
            <w:vAlign w:val="bottom"/>
            <w:hideMark/>
          </w:tcPr>
          <w:p w14:paraId="26CCB74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21</w:t>
            </w:r>
          </w:p>
        </w:tc>
        <w:tc>
          <w:tcPr>
            <w:tcW w:w="647" w:type="dxa"/>
            <w:tcBorders>
              <w:top w:val="nil"/>
              <w:left w:val="nil"/>
              <w:bottom w:val="single" w:sz="4" w:space="0" w:color="auto"/>
              <w:right w:val="single" w:sz="4" w:space="0" w:color="auto"/>
            </w:tcBorders>
            <w:shd w:val="clear" w:color="auto" w:fill="auto"/>
            <w:noWrap/>
            <w:vAlign w:val="bottom"/>
            <w:hideMark/>
          </w:tcPr>
          <w:p w14:paraId="169EEC6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60,00%</w:t>
            </w:r>
          </w:p>
        </w:tc>
        <w:tc>
          <w:tcPr>
            <w:tcW w:w="487" w:type="dxa"/>
            <w:tcBorders>
              <w:top w:val="nil"/>
              <w:left w:val="nil"/>
              <w:bottom w:val="single" w:sz="4" w:space="0" w:color="auto"/>
              <w:right w:val="single" w:sz="4" w:space="0" w:color="auto"/>
            </w:tcBorders>
            <w:shd w:val="clear" w:color="auto" w:fill="auto"/>
            <w:noWrap/>
            <w:vAlign w:val="bottom"/>
            <w:hideMark/>
          </w:tcPr>
          <w:p w14:paraId="69DF7F8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81</w:t>
            </w:r>
          </w:p>
        </w:tc>
        <w:tc>
          <w:tcPr>
            <w:tcW w:w="647" w:type="dxa"/>
            <w:tcBorders>
              <w:top w:val="nil"/>
              <w:left w:val="nil"/>
              <w:bottom w:val="single" w:sz="4" w:space="0" w:color="auto"/>
              <w:right w:val="single" w:sz="4" w:space="0" w:color="auto"/>
            </w:tcBorders>
            <w:shd w:val="clear" w:color="auto" w:fill="auto"/>
            <w:noWrap/>
            <w:vAlign w:val="bottom"/>
            <w:hideMark/>
          </w:tcPr>
          <w:p w14:paraId="3E2B8D7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44,75%</w:t>
            </w:r>
          </w:p>
        </w:tc>
        <w:tc>
          <w:tcPr>
            <w:tcW w:w="487" w:type="dxa"/>
            <w:tcBorders>
              <w:top w:val="nil"/>
              <w:left w:val="nil"/>
              <w:bottom w:val="single" w:sz="4" w:space="0" w:color="auto"/>
              <w:right w:val="single" w:sz="4" w:space="0" w:color="auto"/>
            </w:tcBorders>
            <w:shd w:val="clear" w:color="auto" w:fill="auto"/>
            <w:noWrap/>
            <w:vAlign w:val="bottom"/>
            <w:hideMark/>
          </w:tcPr>
          <w:p w14:paraId="27E010D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89</w:t>
            </w:r>
          </w:p>
        </w:tc>
        <w:tc>
          <w:tcPr>
            <w:tcW w:w="647" w:type="dxa"/>
            <w:tcBorders>
              <w:top w:val="nil"/>
              <w:left w:val="nil"/>
              <w:bottom w:val="single" w:sz="4" w:space="0" w:color="auto"/>
              <w:right w:val="single" w:sz="4" w:space="0" w:color="auto"/>
            </w:tcBorders>
            <w:shd w:val="clear" w:color="auto" w:fill="auto"/>
            <w:noWrap/>
            <w:vAlign w:val="bottom"/>
            <w:hideMark/>
          </w:tcPr>
          <w:p w14:paraId="59F3ABF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52,98%</w:t>
            </w:r>
          </w:p>
        </w:tc>
        <w:tc>
          <w:tcPr>
            <w:tcW w:w="487" w:type="dxa"/>
            <w:tcBorders>
              <w:top w:val="nil"/>
              <w:left w:val="nil"/>
              <w:bottom w:val="single" w:sz="4" w:space="0" w:color="auto"/>
              <w:right w:val="single" w:sz="4" w:space="0" w:color="auto"/>
            </w:tcBorders>
            <w:shd w:val="clear" w:color="auto" w:fill="auto"/>
            <w:noWrap/>
            <w:vAlign w:val="bottom"/>
            <w:hideMark/>
          </w:tcPr>
          <w:p w14:paraId="741875E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131</w:t>
            </w:r>
          </w:p>
        </w:tc>
        <w:tc>
          <w:tcPr>
            <w:tcW w:w="647" w:type="dxa"/>
            <w:tcBorders>
              <w:top w:val="nil"/>
              <w:left w:val="nil"/>
              <w:bottom w:val="single" w:sz="4" w:space="0" w:color="auto"/>
              <w:right w:val="single" w:sz="4" w:space="0" w:color="auto"/>
            </w:tcBorders>
            <w:shd w:val="clear" w:color="auto" w:fill="auto"/>
            <w:noWrap/>
            <w:vAlign w:val="bottom"/>
            <w:hideMark/>
          </w:tcPr>
          <w:p w14:paraId="6970C71B"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57,96%</w:t>
            </w:r>
          </w:p>
        </w:tc>
        <w:tc>
          <w:tcPr>
            <w:tcW w:w="487" w:type="dxa"/>
            <w:tcBorders>
              <w:top w:val="nil"/>
              <w:left w:val="nil"/>
              <w:bottom w:val="single" w:sz="4" w:space="0" w:color="auto"/>
              <w:right w:val="single" w:sz="4" w:space="0" w:color="auto"/>
            </w:tcBorders>
            <w:shd w:val="clear" w:color="auto" w:fill="auto"/>
            <w:noWrap/>
            <w:vAlign w:val="bottom"/>
            <w:hideMark/>
          </w:tcPr>
          <w:p w14:paraId="2693581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241</w:t>
            </w:r>
          </w:p>
        </w:tc>
        <w:tc>
          <w:tcPr>
            <w:tcW w:w="647" w:type="dxa"/>
            <w:tcBorders>
              <w:top w:val="nil"/>
              <w:left w:val="nil"/>
              <w:bottom w:val="single" w:sz="4" w:space="0" w:color="auto"/>
              <w:right w:val="single" w:sz="4" w:space="0" w:color="auto"/>
            </w:tcBorders>
            <w:shd w:val="clear" w:color="auto" w:fill="auto"/>
            <w:noWrap/>
            <w:vAlign w:val="bottom"/>
            <w:hideMark/>
          </w:tcPr>
          <w:p w14:paraId="7DA61DF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67,13%</w:t>
            </w:r>
          </w:p>
        </w:tc>
      </w:tr>
      <w:tr w:rsidR="0035121C" w:rsidRPr="0035121C" w14:paraId="29ACEF75"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CADA993"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Administració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6D4F342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9</w:t>
            </w:r>
          </w:p>
        </w:tc>
        <w:tc>
          <w:tcPr>
            <w:tcW w:w="647" w:type="dxa"/>
            <w:tcBorders>
              <w:top w:val="nil"/>
              <w:left w:val="nil"/>
              <w:bottom w:val="single" w:sz="4" w:space="0" w:color="auto"/>
              <w:right w:val="single" w:sz="4" w:space="0" w:color="auto"/>
            </w:tcBorders>
            <w:shd w:val="clear" w:color="auto" w:fill="auto"/>
            <w:noWrap/>
            <w:vAlign w:val="bottom"/>
            <w:hideMark/>
          </w:tcPr>
          <w:p w14:paraId="1291C95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25,71%</w:t>
            </w:r>
          </w:p>
        </w:tc>
        <w:tc>
          <w:tcPr>
            <w:tcW w:w="487" w:type="dxa"/>
            <w:tcBorders>
              <w:top w:val="nil"/>
              <w:left w:val="nil"/>
              <w:bottom w:val="single" w:sz="4" w:space="0" w:color="auto"/>
              <w:right w:val="single" w:sz="4" w:space="0" w:color="auto"/>
            </w:tcBorders>
            <w:shd w:val="clear" w:color="auto" w:fill="auto"/>
            <w:noWrap/>
            <w:vAlign w:val="bottom"/>
            <w:hideMark/>
          </w:tcPr>
          <w:p w14:paraId="7DE6C9F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53</w:t>
            </w:r>
          </w:p>
        </w:tc>
        <w:tc>
          <w:tcPr>
            <w:tcW w:w="647" w:type="dxa"/>
            <w:tcBorders>
              <w:top w:val="nil"/>
              <w:left w:val="nil"/>
              <w:bottom w:val="single" w:sz="4" w:space="0" w:color="auto"/>
              <w:right w:val="single" w:sz="4" w:space="0" w:color="auto"/>
            </w:tcBorders>
            <w:shd w:val="clear" w:color="auto" w:fill="auto"/>
            <w:noWrap/>
            <w:vAlign w:val="bottom"/>
            <w:hideMark/>
          </w:tcPr>
          <w:p w14:paraId="19DF69D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29,28%</w:t>
            </w:r>
          </w:p>
        </w:tc>
        <w:tc>
          <w:tcPr>
            <w:tcW w:w="487" w:type="dxa"/>
            <w:tcBorders>
              <w:top w:val="nil"/>
              <w:left w:val="nil"/>
              <w:bottom w:val="single" w:sz="4" w:space="0" w:color="auto"/>
              <w:right w:val="single" w:sz="4" w:space="0" w:color="auto"/>
            </w:tcBorders>
            <w:shd w:val="clear" w:color="auto" w:fill="auto"/>
            <w:noWrap/>
            <w:vAlign w:val="bottom"/>
            <w:hideMark/>
          </w:tcPr>
          <w:p w14:paraId="2AEB434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23</w:t>
            </w:r>
          </w:p>
        </w:tc>
        <w:tc>
          <w:tcPr>
            <w:tcW w:w="647" w:type="dxa"/>
            <w:tcBorders>
              <w:top w:val="nil"/>
              <w:left w:val="nil"/>
              <w:bottom w:val="single" w:sz="4" w:space="0" w:color="auto"/>
              <w:right w:val="single" w:sz="4" w:space="0" w:color="auto"/>
            </w:tcBorders>
            <w:shd w:val="clear" w:color="auto" w:fill="auto"/>
            <w:noWrap/>
            <w:vAlign w:val="bottom"/>
            <w:hideMark/>
          </w:tcPr>
          <w:p w14:paraId="1E80D82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13,69%</w:t>
            </w:r>
          </w:p>
        </w:tc>
        <w:tc>
          <w:tcPr>
            <w:tcW w:w="487" w:type="dxa"/>
            <w:tcBorders>
              <w:top w:val="nil"/>
              <w:left w:val="nil"/>
              <w:bottom w:val="single" w:sz="4" w:space="0" w:color="auto"/>
              <w:right w:val="single" w:sz="4" w:space="0" w:color="auto"/>
            </w:tcBorders>
            <w:shd w:val="clear" w:color="auto" w:fill="auto"/>
            <w:noWrap/>
            <w:vAlign w:val="bottom"/>
            <w:hideMark/>
          </w:tcPr>
          <w:p w14:paraId="4FF1367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43</w:t>
            </w:r>
          </w:p>
        </w:tc>
        <w:tc>
          <w:tcPr>
            <w:tcW w:w="647" w:type="dxa"/>
            <w:tcBorders>
              <w:top w:val="nil"/>
              <w:left w:val="nil"/>
              <w:bottom w:val="single" w:sz="4" w:space="0" w:color="auto"/>
              <w:right w:val="single" w:sz="4" w:space="0" w:color="auto"/>
            </w:tcBorders>
            <w:shd w:val="clear" w:color="auto" w:fill="auto"/>
            <w:noWrap/>
            <w:vAlign w:val="bottom"/>
            <w:hideMark/>
          </w:tcPr>
          <w:p w14:paraId="73C28AE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19,03%</w:t>
            </w:r>
          </w:p>
        </w:tc>
        <w:tc>
          <w:tcPr>
            <w:tcW w:w="487" w:type="dxa"/>
            <w:tcBorders>
              <w:top w:val="nil"/>
              <w:left w:val="nil"/>
              <w:bottom w:val="single" w:sz="4" w:space="0" w:color="auto"/>
              <w:right w:val="single" w:sz="4" w:space="0" w:color="auto"/>
            </w:tcBorders>
            <w:shd w:val="clear" w:color="auto" w:fill="auto"/>
            <w:noWrap/>
            <w:vAlign w:val="bottom"/>
            <w:hideMark/>
          </w:tcPr>
          <w:p w14:paraId="0958AC4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55</w:t>
            </w:r>
          </w:p>
        </w:tc>
        <w:tc>
          <w:tcPr>
            <w:tcW w:w="647" w:type="dxa"/>
            <w:tcBorders>
              <w:top w:val="nil"/>
              <w:left w:val="nil"/>
              <w:bottom w:val="single" w:sz="4" w:space="0" w:color="auto"/>
              <w:right w:val="single" w:sz="4" w:space="0" w:color="auto"/>
            </w:tcBorders>
            <w:shd w:val="clear" w:color="auto" w:fill="auto"/>
            <w:noWrap/>
            <w:vAlign w:val="bottom"/>
            <w:hideMark/>
          </w:tcPr>
          <w:p w14:paraId="29D69F6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15,32%</w:t>
            </w:r>
          </w:p>
        </w:tc>
      </w:tr>
      <w:tr w:rsidR="0035121C" w:rsidRPr="0035121C" w14:paraId="7B18C8E8"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6A6B1D37"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Sector públic local</w:t>
            </w:r>
          </w:p>
        </w:tc>
        <w:tc>
          <w:tcPr>
            <w:tcW w:w="567" w:type="dxa"/>
            <w:tcBorders>
              <w:top w:val="nil"/>
              <w:left w:val="nil"/>
              <w:bottom w:val="single" w:sz="4" w:space="0" w:color="auto"/>
              <w:right w:val="single" w:sz="4" w:space="0" w:color="auto"/>
            </w:tcBorders>
            <w:shd w:val="clear" w:color="auto" w:fill="auto"/>
            <w:noWrap/>
            <w:vAlign w:val="bottom"/>
            <w:hideMark/>
          </w:tcPr>
          <w:p w14:paraId="2A4CAC4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5A7A362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8,57%</w:t>
            </w:r>
          </w:p>
        </w:tc>
        <w:tc>
          <w:tcPr>
            <w:tcW w:w="487" w:type="dxa"/>
            <w:tcBorders>
              <w:top w:val="nil"/>
              <w:left w:val="nil"/>
              <w:bottom w:val="single" w:sz="4" w:space="0" w:color="auto"/>
              <w:right w:val="single" w:sz="4" w:space="0" w:color="auto"/>
            </w:tcBorders>
            <w:shd w:val="clear" w:color="auto" w:fill="auto"/>
            <w:noWrap/>
            <w:vAlign w:val="bottom"/>
            <w:hideMark/>
          </w:tcPr>
          <w:p w14:paraId="1D7D250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65025EB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1,66%</w:t>
            </w:r>
          </w:p>
        </w:tc>
        <w:tc>
          <w:tcPr>
            <w:tcW w:w="487" w:type="dxa"/>
            <w:tcBorders>
              <w:top w:val="nil"/>
              <w:left w:val="nil"/>
              <w:bottom w:val="single" w:sz="4" w:space="0" w:color="auto"/>
              <w:right w:val="single" w:sz="4" w:space="0" w:color="auto"/>
            </w:tcBorders>
            <w:shd w:val="clear" w:color="auto" w:fill="auto"/>
            <w:noWrap/>
            <w:vAlign w:val="bottom"/>
            <w:hideMark/>
          </w:tcPr>
          <w:p w14:paraId="26F8CF9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15</w:t>
            </w:r>
          </w:p>
        </w:tc>
        <w:tc>
          <w:tcPr>
            <w:tcW w:w="647" w:type="dxa"/>
            <w:tcBorders>
              <w:top w:val="nil"/>
              <w:left w:val="nil"/>
              <w:bottom w:val="single" w:sz="4" w:space="0" w:color="auto"/>
              <w:right w:val="single" w:sz="4" w:space="0" w:color="auto"/>
            </w:tcBorders>
            <w:shd w:val="clear" w:color="auto" w:fill="auto"/>
            <w:noWrap/>
            <w:vAlign w:val="bottom"/>
            <w:hideMark/>
          </w:tcPr>
          <w:p w14:paraId="32410C1B"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8,93%</w:t>
            </w:r>
          </w:p>
        </w:tc>
        <w:tc>
          <w:tcPr>
            <w:tcW w:w="487" w:type="dxa"/>
            <w:tcBorders>
              <w:top w:val="nil"/>
              <w:left w:val="nil"/>
              <w:bottom w:val="single" w:sz="4" w:space="0" w:color="auto"/>
              <w:right w:val="single" w:sz="4" w:space="0" w:color="auto"/>
            </w:tcBorders>
            <w:shd w:val="clear" w:color="auto" w:fill="auto"/>
            <w:noWrap/>
            <w:vAlign w:val="bottom"/>
            <w:hideMark/>
          </w:tcPr>
          <w:p w14:paraId="047A346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12</w:t>
            </w:r>
          </w:p>
        </w:tc>
        <w:tc>
          <w:tcPr>
            <w:tcW w:w="647" w:type="dxa"/>
            <w:tcBorders>
              <w:top w:val="nil"/>
              <w:left w:val="nil"/>
              <w:bottom w:val="single" w:sz="4" w:space="0" w:color="auto"/>
              <w:right w:val="single" w:sz="4" w:space="0" w:color="auto"/>
            </w:tcBorders>
            <w:shd w:val="clear" w:color="auto" w:fill="auto"/>
            <w:noWrap/>
            <w:vAlign w:val="bottom"/>
            <w:hideMark/>
          </w:tcPr>
          <w:p w14:paraId="5F3885D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5,31%</w:t>
            </w:r>
          </w:p>
        </w:tc>
        <w:tc>
          <w:tcPr>
            <w:tcW w:w="487" w:type="dxa"/>
            <w:tcBorders>
              <w:top w:val="nil"/>
              <w:left w:val="nil"/>
              <w:bottom w:val="single" w:sz="4" w:space="0" w:color="auto"/>
              <w:right w:val="single" w:sz="4" w:space="0" w:color="auto"/>
            </w:tcBorders>
            <w:shd w:val="clear" w:color="auto" w:fill="auto"/>
            <w:noWrap/>
            <w:vAlign w:val="bottom"/>
            <w:hideMark/>
          </w:tcPr>
          <w:p w14:paraId="16746F9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BE8BFF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r>
      <w:tr w:rsidR="0035121C" w:rsidRPr="0035121C" w14:paraId="644D7FC1"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0E06140"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Privat</w:t>
            </w:r>
          </w:p>
        </w:tc>
        <w:tc>
          <w:tcPr>
            <w:tcW w:w="567" w:type="dxa"/>
            <w:tcBorders>
              <w:top w:val="nil"/>
              <w:left w:val="nil"/>
              <w:bottom w:val="single" w:sz="4" w:space="0" w:color="auto"/>
              <w:right w:val="single" w:sz="4" w:space="0" w:color="auto"/>
            </w:tcBorders>
            <w:shd w:val="clear" w:color="auto" w:fill="auto"/>
            <w:noWrap/>
            <w:vAlign w:val="bottom"/>
            <w:hideMark/>
          </w:tcPr>
          <w:p w14:paraId="3AFF763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5661A8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913B0F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5</w:t>
            </w:r>
          </w:p>
        </w:tc>
        <w:tc>
          <w:tcPr>
            <w:tcW w:w="647" w:type="dxa"/>
            <w:tcBorders>
              <w:top w:val="nil"/>
              <w:left w:val="nil"/>
              <w:bottom w:val="single" w:sz="4" w:space="0" w:color="auto"/>
              <w:right w:val="single" w:sz="4" w:space="0" w:color="auto"/>
            </w:tcBorders>
            <w:shd w:val="clear" w:color="auto" w:fill="auto"/>
            <w:noWrap/>
            <w:vAlign w:val="bottom"/>
            <w:hideMark/>
          </w:tcPr>
          <w:p w14:paraId="3378AF0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2,76%</w:t>
            </w:r>
          </w:p>
        </w:tc>
        <w:tc>
          <w:tcPr>
            <w:tcW w:w="487" w:type="dxa"/>
            <w:tcBorders>
              <w:top w:val="nil"/>
              <w:left w:val="nil"/>
              <w:bottom w:val="single" w:sz="4" w:space="0" w:color="auto"/>
              <w:right w:val="single" w:sz="4" w:space="0" w:color="auto"/>
            </w:tcBorders>
            <w:shd w:val="clear" w:color="auto" w:fill="auto"/>
            <w:noWrap/>
            <w:vAlign w:val="bottom"/>
            <w:hideMark/>
          </w:tcPr>
          <w:p w14:paraId="37DE607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14</w:t>
            </w:r>
          </w:p>
        </w:tc>
        <w:tc>
          <w:tcPr>
            <w:tcW w:w="647" w:type="dxa"/>
            <w:tcBorders>
              <w:top w:val="nil"/>
              <w:left w:val="nil"/>
              <w:bottom w:val="single" w:sz="4" w:space="0" w:color="auto"/>
              <w:right w:val="single" w:sz="4" w:space="0" w:color="auto"/>
            </w:tcBorders>
            <w:shd w:val="clear" w:color="auto" w:fill="auto"/>
            <w:noWrap/>
            <w:vAlign w:val="bottom"/>
            <w:hideMark/>
          </w:tcPr>
          <w:p w14:paraId="6927FB1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8,33%</w:t>
            </w:r>
          </w:p>
        </w:tc>
        <w:tc>
          <w:tcPr>
            <w:tcW w:w="487" w:type="dxa"/>
            <w:tcBorders>
              <w:top w:val="nil"/>
              <w:left w:val="nil"/>
              <w:bottom w:val="single" w:sz="4" w:space="0" w:color="auto"/>
              <w:right w:val="single" w:sz="4" w:space="0" w:color="auto"/>
            </w:tcBorders>
            <w:shd w:val="clear" w:color="auto" w:fill="auto"/>
            <w:noWrap/>
            <w:vAlign w:val="bottom"/>
            <w:hideMark/>
          </w:tcPr>
          <w:p w14:paraId="3DD97CB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10</w:t>
            </w:r>
          </w:p>
        </w:tc>
        <w:tc>
          <w:tcPr>
            <w:tcW w:w="647" w:type="dxa"/>
            <w:tcBorders>
              <w:top w:val="nil"/>
              <w:left w:val="nil"/>
              <w:bottom w:val="single" w:sz="4" w:space="0" w:color="auto"/>
              <w:right w:val="single" w:sz="4" w:space="0" w:color="auto"/>
            </w:tcBorders>
            <w:shd w:val="clear" w:color="auto" w:fill="auto"/>
            <w:noWrap/>
            <w:vAlign w:val="bottom"/>
            <w:hideMark/>
          </w:tcPr>
          <w:p w14:paraId="5B92A25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4,42%</w:t>
            </w:r>
          </w:p>
        </w:tc>
        <w:tc>
          <w:tcPr>
            <w:tcW w:w="487" w:type="dxa"/>
            <w:tcBorders>
              <w:top w:val="nil"/>
              <w:left w:val="nil"/>
              <w:bottom w:val="single" w:sz="4" w:space="0" w:color="auto"/>
              <w:right w:val="single" w:sz="4" w:space="0" w:color="auto"/>
            </w:tcBorders>
            <w:shd w:val="clear" w:color="auto" w:fill="auto"/>
            <w:noWrap/>
            <w:vAlign w:val="bottom"/>
            <w:hideMark/>
          </w:tcPr>
          <w:p w14:paraId="236ADB5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39</w:t>
            </w:r>
          </w:p>
        </w:tc>
        <w:tc>
          <w:tcPr>
            <w:tcW w:w="647" w:type="dxa"/>
            <w:tcBorders>
              <w:top w:val="nil"/>
              <w:left w:val="nil"/>
              <w:bottom w:val="single" w:sz="4" w:space="0" w:color="auto"/>
              <w:right w:val="single" w:sz="4" w:space="0" w:color="auto"/>
            </w:tcBorders>
            <w:shd w:val="clear" w:color="auto" w:fill="auto"/>
            <w:noWrap/>
            <w:vAlign w:val="bottom"/>
            <w:hideMark/>
          </w:tcPr>
          <w:p w14:paraId="556D7C7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10,86%</w:t>
            </w:r>
          </w:p>
        </w:tc>
      </w:tr>
      <w:tr w:rsidR="0035121C" w:rsidRPr="0035121C" w14:paraId="3642AB39"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C2AFFBC"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Diputacions provincials</w:t>
            </w:r>
          </w:p>
        </w:tc>
        <w:tc>
          <w:tcPr>
            <w:tcW w:w="567" w:type="dxa"/>
            <w:tcBorders>
              <w:top w:val="nil"/>
              <w:left w:val="nil"/>
              <w:bottom w:val="single" w:sz="4" w:space="0" w:color="auto"/>
              <w:right w:val="single" w:sz="4" w:space="0" w:color="auto"/>
            </w:tcBorders>
            <w:shd w:val="clear" w:color="auto" w:fill="auto"/>
            <w:noWrap/>
            <w:vAlign w:val="bottom"/>
            <w:hideMark/>
          </w:tcPr>
          <w:p w14:paraId="68A182F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172B573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2,86%</w:t>
            </w:r>
          </w:p>
        </w:tc>
        <w:tc>
          <w:tcPr>
            <w:tcW w:w="487" w:type="dxa"/>
            <w:tcBorders>
              <w:top w:val="nil"/>
              <w:left w:val="nil"/>
              <w:bottom w:val="single" w:sz="4" w:space="0" w:color="auto"/>
              <w:right w:val="single" w:sz="4" w:space="0" w:color="auto"/>
            </w:tcBorders>
            <w:shd w:val="clear" w:color="auto" w:fill="auto"/>
            <w:noWrap/>
            <w:vAlign w:val="bottom"/>
            <w:hideMark/>
          </w:tcPr>
          <w:p w14:paraId="74BDA60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15</w:t>
            </w:r>
          </w:p>
        </w:tc>
        <w:tc>
          <w:tcPr>
            <w:tcW w:w="647" w:type="dxa"/>
            <w:tcBorders>
              <w:top w:val="nil"/>
              <w:left w:val="nil"/>
              <w:bottom w:val="single" w:sz="4" w:space="0" w:color="auto"/>
              <w:right w:val="single" w:sz="4" w:space="0" w:color="auto"/>
            </w:tcBorders>
            <w:shd w:val="clear" w:color="auto" w:fill="auto"/>
            <w:noWrap/>
            <w:vAlign w:val="bottom"/>
            <w:hideMark/>
          </w:tcPr>
          <w:p w14:paraId="2A966A1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8,29%</w:t>
            </w:r>
          </w:p>
        </w:tc>
        <w:tc>
          <w:tcPr>
            <w:tcW w:w="487" w:type="dxa"/>
            <w:tcBorders>
              <w:top w:val="nil"/>
              <w:left w:val="nil"/>
              <w:bottom w:val="single" w:sz="4" w:space="0" w:color="auto"/>
              <w:right w:val="single" w:sz="4" w:space="0" w:color="auto"/>
            </w:tcBorders>
            <w:shd w:val="clear" w:color="auto" w:fill="auto"/>
            <w:noWrap/>
            <w:vAlign w:val="bottom"/>
            <w:hideMark/>
          </w:tcPr>
          <w:p w14:paraId="6770428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8</w:t>
            </w:r>
          </w:p>
        </w:tc>
        <w:tc>
          <w:tcPr>
            <w:tcW w:w="647" w:type="dxa"/>
            <w:tcBorders>
              <w:top w:val="nil"/>
              <w:left w:val="nil"/>
              <w:bottom w:val="single" w:sz="4" w:space="0" w:color="auto"/>
              <w:right w:val="single" w:sz="4" w:space="0" w:color="auto"/>
            </w:tcBorders>
            <w:shd w:val="clear" w:color="auto" w:fill="auto"/>
            <w:noWrap/>
            <w:vAlign w:val="bottom"/>
            <w:hideMark/>
          </w:tcPr>
          <w:p w14:paraId="58B516E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4,76%</w:t>
            </w:r>
          </w:p>
        </w:tc>
        <w:tc>
          <w:tcPr>
            <w:tcW w:w="487" w:type="dxa"/>
            <w:tcBorders>
              <w:top w:val="nil"/>
              <w:left w:val="nil"/>
              <w:bottom w:val="single" w:sz="4" w:space="0" w:color="auto"/>
              <w:right w:val="single" w:sz="4" w:space="0" w:color="auto"/>
            </w:tcBorders>
            <w:shd w:val="clear" w:color="auto" w:fill="auto"/>
            <w:noWrap/>
            <w:vAlign w:val="bottom"/>
            <w:hideMark/>
          </w:tcPr>
          <w:p w14:paraId="363C57F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7</w:t>
            </w:r>
          </w:p>
        </w:tc>
        <w:tc>
          <w:tcPr>
            <w:tcW w:w="647" w:type="dxa"/>
            <w:tcBorders>
              <w:top w:val="nil"/>
              <w:left w:val="nil"/>
              <w:bottom w:val="single" w:sz="4" w:space="0" w:color="auto"/>
              <w:right w:val="single" w:sz="4" w:space="0" w:color="auto"/>
            </w:tcBorders>
            <w:shd w:val="clear" w:color="auto" w:fill="auto"/>
            <w:noWrap/>
            <w:vAlign w:val="bottom"/>
            <w:hideMark/>
          </w:tcPr>
          <w:p w14:paraId="4406589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3,10%</w:t>
            </w:r>
          </w:p>
        </w:tc>
        <w:tc>
          <w:tcPr>
            <w:tcW w:w="487" w:type="dxa"/>
            <w:tcBorders>
              <w:top w:val="nil"/>
              <w:left w:val="nil"/>
              <w:bottom w:val="single" w:sz="4" w:space="0" w:color="auto"/>
              <w:right w:val="single" w:sz="4" w:space="0" w:color="auto"/>
            </w:tcBorders>
            <w:shd w:val="clear" w:color="auto" w:fill="auto"/>
            <w:noWrap/>
            <w:vAlign w:val="bottom"/>
            <w:hideMark/>
          </w:tcPr>
          <w:p w14:paraId="42829BB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279C67B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1,11%</w:t>
            </w:r>
          </w:p>
        </w:tc>
      </w:tr>
      <w:tr w:rsidR="0035121C" w:rsidRPr="0035121C" w14:paraId="4E48DAEB"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6AF6CD8"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Fundacions del sector públic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02EF6AB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5DDDCE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B713FE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2AD363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A04D54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6762E8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EE4AE7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3604E90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1,77%</w:t>
            </w:r>
          </w:p>
        </w:tc>
        <w:tc>
          <w:tcPr>
            <w:tcW w:w="487" w:type="dxa"/>
            <w:tcBorders>
              <w:top w:val="nil"/>
              <w:left w:val="nil"/>
              <w:bottom w:val="single" w:sz="4" w:space="0" w:color="auto"/>
              <w:right w:val="single" w:sz="4" w:space="0" w:color="auto"/>
            </w:tcBorders>
            <w:shd w:val="clear" w:color="auto" w:fill="auto"/>
            <w:noWrap/>
            <w:vAlign w:val="bottom"/>
            <w:hideMark/>
          </w:tcPr>
          <w:p w14:paraId="756BE84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47BA39D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1,11%</w:t>
            </w:r>
          </w:p>
        </w:tc>
      </w:tr>
      <w:tr w:rsidR="0035121C" w:rsidRPr="0035121C" w14:paraId="20E7CC78"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5C035AF6"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Partits polítics</w:t>
            </w:r>
          </w:p>
        </w:tc>
        <w:tc>
          <w:tcPr>
            <w:tcW w:w="567" w:type="dxa"/>
            <w:tcBorders>
              <w:top w:val="nil"/>
              <w:left w:val="nil"/>
              <w:bottom w:val="single" w:sz="4" w:space="0" w:color="auto"/>
              <w:right w:val="single" w:sz="4" w:space="0" w:color="auto"/>
            </w:tcBorders>
            <w:shd w:val="clear" w:color="auto" w:fill="auto"/>
            <w:noWrap/>
            <w:vAlign w:val="bottom"/>
            <w:hideMark/>
          </w:tcPr>
          <w:p w14:paraId="07C5774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D7E4F9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31C10BE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5F397C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7D11AF5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2A80697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B5B7B9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1FA1E70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1,33%</w:t>
            </w:r>
          </w:p>
        </w:tc>
        <w:tc>
          <w:tcPr>
            <w:tcW w:w="487" w:type="dxa"/>
            <w:tcBorders>
              <w:top w:val="nil"/>
              <w:left w:val="nil"/>
              <w:bottom w:val="single" w:sz="4" w:space="0" w:color="auto"/>
              <w:right w:val="single" w:sz="4" w:space="0" w:color="auto"/>
            </w:tcBorders>
            <w:shd w:val="clear" w:color="auto" w:fill="auto"/>
            <w:noWrap/>
            <w:vAlign w:val="bottom"/>
            <w:hideMark/>
          </w:tcPr>
          <w:p w14:paraId="21293C8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603F55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r>
      <w:tr w:rsidR="0035121C" w:rsidRPr="0035121C" w14:paraId="207E0CE0"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79BE478"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Universitats</w:t>
            </w:r>
          </w:p>
        </w:tc>
        <w:tc>
          <w:tcPr>
            <w:tcW w:w="567" w:type="dxa"/>
            <w:tcBorders>
              <w:top w:val="nil"/>
              <w:left w:val="nil"/>
              <w:bottom w:val="single" w:sz="4" w:space="0" w:color="auto"/>
              <w:right w:val="single" w:sz="4" w:space="0" w:color="auto"/>
            </w:tcBorders>
            <w:shd w:val="clear" w:color="auto" w:fill="auto"/>
            <w:noWrap/>
            <w:vAlign w:val="bottom"/>
            <w:hideMark/>
          </w:tcPr>
          <w:p w14:paraId="3298B75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27BF810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78C5578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7</w:t>
            </w:r>
          </w:p>
        </w:tc>
        <w:tc>
          <w:tcPr>
            <w:tcW w:w="647" w:type="dxa"/>
            <w:tcBorders>
              <w:top w:val="nil"/>
              <w:left w:val="nil"/>
              <w:bottom w:val="single" w:sz="4" w:space="0" w:color="auto"/>
              <w:right w:val="single" w:sz="4" w:space="0" w:color="auto"/>
            </w:tcBorders>
            <w:shd w:val="clear" w:color="auto" w:fill="auto"/>
            <w:noWrap/>
            <w:vAlign w:val="bottom"/>
            <w:hideMark/>
          </w:tcPr>
          <w:p w14:paraId="45BCF26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3,87%</w:t>
            </w:r>
          </w:p>
        </w:tc>
        <w:tc>
          <w:tcPr>
            <w:tcW w:w="487" w:type="dxa"/>
            <w:tcBorders>
              <w:top w:val="nil"/>
              <w:left w:val="nil"/>
              <w:bottom w:val="single" w:sz="4" w:space="0" w:color="auto"/>
              <w:right w:val="single" w:sz="4" w:space="0" w:color="auto"/>
            </w:tcBorders>
            <w:shd w:val="clear" w:color="auto" w:fill="auto"/>
            <w:noWrap/>
            <w:vAlign w:val="bottom"/>
            <w:hideMark/>
          </w:tcPr>
          <w:p w14:paraId="7CAB163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4A80A89B"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1,79%</w:t>
            </w:r>
          </w:p>
        </w:tc>
        <w:tc>
          <w:tcPr>
            <w:tcW w:w="487" w:type="dxa"/>
            <w:tcBorders>
              <w:top w:val="nil"/>
              <w:left w:val="nil"/>
              <w:bottom w:val="single" w:sz="4" w:space="0" w:color="auto"/>
              <w:right w:val="single" w:sz="4" w:space="0" w:color="auto"/>
            </w:tcBorders>
            <w:shd w:val="clear" w:color="auto" w:fill="auto"/>
            <w:noWrap/>
            <w:vAlign w:val="bottom"/>
            <w:hideMark/>
          </w:tcPr>
          <w:p w14:paraId="44D10DC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2309C84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1,33%</w:t>
            </w:r>
          </w:p>
        </w:tc>
        <w:tc>
          <w:tcPr>
            <w:tcW w:w="487" w:type="dxa"/>
            <w:tcBorders>
              <w:top w:val="nil"/>
              <w:left w:val="nil"/>
              <w:bottom w:val="single" w:sz="4" w:space="0" w:color="auto"/>
              <w:right w:val="single" w:sz="4" w:space="0" w:color="auto"/>
            </w:tcBorders>
            <w:shd w:val="clear" w:color="auto" w:fill="auto"/>
            <w:noWrap/>
            <w:vAlign w:val="bottom"/>
            <w:hideMark/>
          </w:tcPr>
          <w:p w14:paraId="495649B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0E56516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0,56%</w:t>
            </w:r>
          </w:p>
        </w:tc>
      </w:tr>
      <w:tr w:rsidR="0035121C" w:rsidRPr="0035121C" w14:paraId="407DE430"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EC0BE26"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Entitats de dret públic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634B8A4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405854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2D72F2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43847F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E2D273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754759E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1,79%</w:t>
            </w:r>
          </w:p>
        </w:tc>
        <w:tc>
          <w:tcPr>
            <w:tcW w:w="487" w:type="dxa"/>
            <w:tcBorders>
              <w:top w:val="nil"/>
              <w:left w:val="nil"/>
              <w:bottom w:val="single" w:sz="4" w:space="0" w:color="auto"/>
              <w:right w:val="single" w:sz="4" w:space="0" w:color="auto"/>
            </w:tcBorders>
            <w:shd w:val="clear" w:color="auto" w:fill="auto"/>
            <w:noWrap/>
            <w:vAlign w:val="bottom"/>
            <w:hideMark/>
          </w:tcPr>
          <w:p w14:paraId="4D51C23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5494D88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0,88%</w:t>
            </w:r>
          </w:p>
        </w:tc>
        <w:tc>
          <w:tcPr>
            <w:tcW w:w="487" w:type="dxa"/>
            <w:tcBorders>
              <w:top w:val="nil"/>
              <w:left w:val="nil"/>
              <w:bottom w:val="single" w:sz="4" w:space="0" w:color="auto"/>
              <w:right w:val="single" w:sz="4" w:space="0" w:color="auto"/>
            </w:tcBorders>
            <w:shd w:val="clear" w:color="auto" w:fill="auto"/>
            <w:noWrap/>
            <w:vAlign w:val="bottom"/>
            <w:hideMark/>
          </w:tcPr>
          <w:p w14:paraId="6D447CE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77778D8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1,11%</w:t>
            </w:r>
          </w:p>
        </w:tc>
      </w:tr>
      <w:tr w:rsidR="0035121C" w:rsidRPr="0035121C" w14:paraId="425795C7"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8A7E56C"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Fundacions del sector públic local</w:t>
            </w:r>
          </w:p>
        </w:tc>
        <w:tc>
          <w:tcPr>
            <w:tcW w:w="567" w:type="dxa"/>
            <w:tcBorders>
              <w:top w:val="nil"/>
              <w:left w:val="nil"/>
              <w:bottom w:val="single" w:sz="4" w:space="0" w:color="auto"/>
              <w:right w:val="single" w:sz="4" w:space="0" w:color="auto"/>
            </w:tcBorders>
            <w:shd w:val="clear" w:color="auto" w:fill="auto"/>
            <w:noWrap/>
            <w:vAlign w:val="bottom"/>
            <w:hideMark/>
          </w:tcPr>
          <w:p w14:paraId="1C192DD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D0131A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1DAC09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01C24E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2C13C1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A2A29D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E94433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78E3AFE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0,88%</w:t>
            </w:r>
          </w:p>
        </w:tc>
        <w:tc>
          <w:tcPr>
            <w:tcW w:w="487" w:type="dxa"/>
            <w:tcBorders>
              <w:top w:val="nil"/>
              <w:left w:val="nil"/>
              <w:bottom w:val="single" w:sz="4" w:space="0" w:color="auto"/>
              <w:right w:val="single" w:sz="4" w:space="0" w:color="auto"/>
            </w:tcBorders>
            <w:shd w:val="clear" w:color="auto" w:fill="auto"/>
            <w:noWrap/>
            <w:vAlign w:val="bottom"/>
            <w:hideMark/>
          </w:tcPr>
          <w:p w14:paraId="51E12F9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6EB0CD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r>
      <w:tr w:rsidR="0035121C" w:rsidRPr="0035121C" w14:paraId="495DF5DB"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519C3B1"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Organismes de l'Estat</w:t>
            </w:r>
          </w:p>
        </w:tc>
        <w:tc>
          <w:tcPr>
            <w:tcW w:w="567" w:type="dxa"/>
            <w:tcBorders>
              <w:top w:val="nil"/>
              <w:left w:val="nil"/>
              <w:bottom w:val="single" w:sz="4" w:space="0" w:color="auto"/>
              <w:right w:val="single" w:sz="4" w:space="0" w:color="auto"/>
            </w:tcBorders>
            <w:shd w:val="clear" w:color="auto" w:fill="auto"/>
            <w:noWrap/>
            <w:vAlign w:val="bottom"/>
            <w:hideMark/>
          </w:tcPr>
          <w:p w14:paraId="3875335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33E985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36753B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E0374F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5AAFE4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6BE9957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0,60%</w:t>
            </w:r>
          </w:p>
        </w:tc>
        <w:tc>
          <w:tcPr>
            <w:tcW w:w="487" w:type="dxa"/>
            <w:tcBorders>
              <w:top w:val="nil"/>
              <w:left w:val="nil"/>
              <w:bottom w:val="single" w:sz="4" w:space="0" w:color="auto"/>
              <w:right w:val="single" w:sz="4" w:space="0" w:color="auto"/>
            </w:tcBorders>
            <w:shd w:val="clear" w:color="auto" w:fill="auto"/>
            <w:noWrap/>
            <w:vAlign w:val="bottom"/>
            <w:hideMark/>
          </w:tcPr>
          <w:p w14:paraId="7B183F2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6C3CF49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0,88%</w:t>
            </w:r>
          </w:p>
        </w:tc>
        <w:tc>
          <w:tcPr>
            <w:tcW w:w="487" w:type="dxa"/>
            <w:tcBorders>
              <w:top w:val="nil"/>
              <w:left w:val="nil"/>
              <w:bottom w:val="single" w:sz="4" w:space="0" w:color="auto"/>
              <w:right w:val="single" w:sz="4" w:space="0" w:color="auto"/>
            </w:tcBorders>
            <w:shd w:val="clear" w:color="auto" w:fill="auto"/>
            <w:noWrap/>
            <w:vAlign w:val="bottom"/>
            <w:hideMark/>
          </w:tcPr>
          <w:p w14:paraId="797F60A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26ACAC6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0,28%</w:t>
            </w:r>
          </w:p>
        </w:tc>
      </w:tr>
      <w:tr w:rsidR="0035121C" w:rsidRPr="0035121C" w14:paraId="3548245B"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4ADACA0"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Administració de Justícia</w:t>
            </w:r>
          </w:p>
        </w:tc>
        <w:tc>
          <w:tcPr>
            <w:tcW w:w="567" w:type="dxa"/>
            <w:tcBorders>
              <w:top w:val="nil"/>
              <w:left w:val="nil"/>
              <w:bottom w:val="single" w:sz="4" w:space="0" w:color="auto"/>
              <w:right w:val="single" w:sz="4" w:space="0" w:color="auto"/>
            </w:tcBorders>
            <w:shd w:val="clear" w:color="auto" w:fill="auto"/>
            <w:noWrap/>
            <w:vAlign w:val="bottom"/>
            <w:hideMark/>
          </w:tcPr>
          <w:p w14:paraId="05C4365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36574A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76383A3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61D9E1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946404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371DBE6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0,60%</w:t>
            </w:r>
          </w:p>
        </w:tc>
        <w:tc>
          <w:tcPr>
            <w:tcW w:w="487" w:type="dxa"/>
            <w:tcBorders>
              <w:top w:val="nil"/>
              <w:left w:val="nil"/>
              <w:bottom w:val="single" w:sz="4" w:space="0" w:color="auto"/>
              <w:right w:val="single" w:sz="4" w:space="0" w:color="auto"/>
            </w:tcBorders>
            <w:shd w:val="clear" w:color="auto" w:fill="auto"/>
            <w:noWrap/>
            <w:vAlign w:val="bottom"/>
            <w:hideMark/>
          </w:tcPr>
          <w:p w14:paraId="0B1EA65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31DF925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68FF26A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F7A638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r>
      <w:tr w:rsidR="0035121C" w:rsidRPr="0035121C" w14:paraId="1147CD30"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BA77E64"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Consorcis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53A8992B"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608F47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0975E0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9FE585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D8F740B"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6363A88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1,19%</w:t>
            </w:r>
          </w:p>
        </w:tc>
        <w:tc>
          <w:tcPr>
            <w:tcW w:w="487" w:type="dxa"/>
            <w:tcBorders>
              <w:top w:val="nil"/>
              <w:left w:val="nil"/>
              <w:bottom w:val="single" w:sz="4" w:space="0" w:color="auto"/>
              <w:right w:val="single" w:sz="4" w:space="0" w:color="auto"/>
            </w:tcBorders>
            <w:shd w:val="clear" w:color="auto" w:fill="auto"/>
            <w:noWrap/>
            <w:vAlign w:val="bottom"/>
            <w:hideMark/>
          </w:tcPr>
          <w:p w14:paraId="0146324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7D033D0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00485B8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72ED364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0,56%</w:t>
            </w:r>
          </w:p>
        </w:tc>
      </w:tr>
      <w:tr w:rsidR="0035121C" w:rsidRPr="0035121C" w14:paraId="07997F6F"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A975D51"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Corporació de dret públic</w:t>
            </w:r>
          </w:p>
        </w:tc>
        <w:tc>
          <w:tcPr>
            <w:tcW w:w="567" w:type="dxa"/>
            <w:tcBorders>
              <w:top w:val="nil"/>
              <w:left w:val="nil"/>
              <w:bottom w:val="single" w:sz="4" w:space="0" w:color="auto"/>
              <w:right w:val="single" w:sz="4" w:space="0" w:color="auto"/>
            </w:tcBorders>
            <w:shd w:val="clear" w:color="auto" w:fill="auto"/>
            <w:noWrap/>
            <w:vAlign w:val="bottom"/>
            <w:hideMark/>
          </w:tcPr>
          <w:p w14:paraId="6BE3ACB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865BC7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1FC5FA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9ED45A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3E96114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1E21A31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2,38%</w:t>
            </w:r>
          </w:p>
        </w:tc>
        <w:tc>
          <w:tcPr>
            <w:tcW w:w="487" w:type="dxa"/>
            <w:tcBorders>
              <w:top w:val="nil"/>
              <w:left w:val="nil"/>
              <w:bottom w:val="single" w:sz="4" w:space="0" w:color="auto"/>
              <w:right w:val="single" w:sz="4" w:space="0" w:color="auto"/>
            </w:tcBorders>
            <w:shd w:val="clear" w:color="auto" w:fill="auto"/>
            <w:noWrap/>
            <w:vAlign w:val="bottom"/>
            <w:hideMark/>
          </w:tcPr>
          <w:p w14:paraId="0B79879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5053591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288E7C4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7D42D2A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0,84%</w:t>
            </w:r>
          </w:p>
        </w:tc>
      </w:tr>
      <w:tr w:rsidR="0035121C" w:rsidRPr="0035121C" w14:paraId="0B2CE51E"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6BA828B"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Empreses contractistes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5C2ED15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B21849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FE979F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AF8C70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4F850A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539F85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BF9293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50AF671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7411DEA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C97809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r>
      <w:tr w:rsidR="0035121C" w:rsidRPr="0035121C" w14:paraId="29F0DFD2"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545E75A8"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Organismes autònoms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46D48BF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30B609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6849DF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8AC561B"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36703A0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0A6FE25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0,60%</w:t>
            </w:r>
          </w:p>
        </w:tc>
        <w:tc>
          <w:tcPr>
            <w:tcW w:w="487" w:type="dxa"/>
            <w:tcBorders>
              <w:top w:val="nil"/>
              <w:left w:val="nil"/>
              <w:bottom w:val="single" w:sz="4" w:space="0" w:color="auto"/>
              <w:right w:val="single" w:sz="4" w:space="0" w:color="auto"/>
            </w:tcBorders>
            <w:shd w:val="clear" w:color="auto" w:fill="auto"/>
            <w:noWrap/>
            <w:vAlign w:val="bottom"/>
            <w:hideMark/>
          </w:tcPr>
          <w:p w14:paraId="0149C58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062B4A7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45D4BE8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0D9F0E3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0,28%</w:t>
            </w:r>
          </w:p>
        </w:tc>
      </w:tr>
      <w:tr w:rsidR="0035121C" w:rsidRPr="0035121C" w14:paraId="63F21942"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8C74998"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Sindicats</w:t>
            </w:r>
          </w:p>
        </w:tc>
        <w:tc>
          <w:tcPr>
            <w:tcW w:w="567" w:type="dxa"/>
            <w:tcBorders>
              <w:top w:val="nil"/>
              <w:left w:val="nil"/>
              <w:bottom w:val="single" w:sz="4" w:space="0" w:color="auto"/>
              <w:right w:val="single" w:sz="4" w:space="0" w:color="auto"/>
            </w:tcBorders>
            <w:shd w:val="clear" w:color="auto" w:fill="auto"/>
            <w:noWrap/>
            <w:vAlign w:val="bottom"/>
            <w:hideMark/>
          </w:tcPr>
          <w:p w14:paraId="305EF89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6730D9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6DE6E0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E2F86D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053C0F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81E90B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7A151F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22D1E95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69F07C93"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9E7FD6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r>
      <w:tr w:rsidR="0035121C" w:rsidRPr="0035121C" w14:paraId="1C44C847"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59BFF0EF"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Societats mercantils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338AF99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596A80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FB8933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6F3B4D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E6C6C9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090008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F71230B"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225A3B5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7AA3052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B09A67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r>
      <w:tr w:rsidR="0035121C" w:rsidRPr="0035121C" w14:paraId="1078C2BB"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5C40E7B"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Institucions estatutàries</w:t>
            </w:r>
          </w:p>
        </w:tc>
        <w:tc>
          <w:tcPr>
            <w:tcW w:w="567" w:type="dxa"/>
            <w:tcBorders>
              <w:top w:val="nil"/>
              <w:left w:val="nil"/>
              <w:bottom w:val="single" w:sz="4" w:space="0" w:color="auto"/>
              <w:right w:val="single" w:sz="4" w:space="0" w:color="auto"/>
            </w:tcBorders>
            <w:shd w:val="clear" w:color="auto" w:fill="auto"/>
            <w:noWrap/>
            <w:vAlign w:val="bottom"/>
            <w:hideMark/>
          </w:tcPr>
          <w:p w14:paraId="1D6C517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5F7EE2D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2,86%</w:t>
            </w:r>
          </w:p>
        </w:tc>
        <w:tc>
          <w:tcPr>
            <w:tcW w:w="487" w:type="dxa"/>
            <w:tcBorders>
              <w:top w:val="nil"/>
              <w:left w:val="nil"/>
              <w:bottom w:val="single" w:sz="4" w:space="0" w:color="auto"/>
              <w:right w:val="single" w:sz="4" w:space="0" w:color="auto"/>
            </w:tcBorders>
            <w:shd w:val="clear" w:color="auto" w:fill="auto"/>
            <w:noWrap/>
            <w:vAlign w:val="bottom"/>
            <w:hideMark/>
          </w:tcPr>
          <w:p w14:paraId="21D1B91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05B740F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1,66%</w:t>
            </w:r>
          </w:p>
        </w:tc>
        <w:tc>
          <w:tcPr>
            <w:tcW w:w="487" w:type="dxa"/>
            <w:tcBorders>
              <w:top w:val="nil"/>
              <w:left w:val="nil"/>
              <w:bottom w:val="single" w:sz="4" w:space="0" w:color="auto"/>
              <w:right w:val="single" w:sz="4" w:space="0" w:color="auto"/>
            </w:tcBorders>
            <w:shd w:val="clear" w:color="auto" w:fill="auto"/>
            <w:noWrap/>
            <w:vAlign w:val="bottom"/>
            <w:hideMark/>
          </w:tcPr>
          <w:p w14:paraId="624301E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FAC655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3B8887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957BFC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66515E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4F05116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0,28%</w:t>
            </w:r>
          </w:p>
        </w:tc>
      </w:tr>
      <w:tr w:rsidR="0035121C" w:rsidRPr="0035121C" w14:paraId="71922D65"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3D34984"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Sector públic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5BB80EAA"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F17751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1F2B07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9</w:t>
            </w:r>
          </w:p>
        </w:tc>
        <w:tc>
          <w:tcPr>
            <w:tcW w:w="647" w:type="dxa"/>
            <w:tcBorders>
              <w:top w:val="nil"/>
              <w:left w:val="nil"/>
              <w:bottom w:val="single" w:sz="4" w:space="0" w:color="auto"/>
              <w:right w:val="single" w:sz="4" w:space="0" w:color="auto"/>
            </w:tcBorders>
            <w:shd w:val="clear" w:color="auto" w:fill="auto"/>
            <w:noWrap/>
            <w:vAlign w:val="bottom"/>
            <w:hideMark/>
          </w:tcPr>
          <w:p w14:paraId="5668B446"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4,97%</w:t>
            </w:r>
          </w:p>
        </w:tc>
        <w:tc>
          <w:tcPr>
            <w:tcW w:w="487" w:type="dxa"/>
            <w:tcBorders>
              <w:top w:val="nil"/>
              <w:left w:val="nil"/>
              <w:bottom w:val="single" w:sz="4" w:space="0" w:color="auto"/>
              <w:right w:val="single" w:sz="4" w:space="0" w:color="auto"/>
            </w:tcBorders>
            <w:shd w:val="clear" w:color="auto" w:fill="auto"/>
            <w:noWrap/>
            <w:vAlign w:val="bottom"/>
            <w:hideMark/>
          </w:tcPr>
          <w:p w14:paraId="09D8C29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5BAEE21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1,79%</w:t>
            </w:r>
          </w:p>
        </w:tc>
        <w:tc>
          <w:tcPr>
            <w:tcW w:w="487" w:type="dxa"/>
            <w:tcBorders>
              <w:top w:val="nil"/>
              <w:left w:val="nil"/>
              <w:bottom w:val="single" w:sz="4" w:space="0" w:color="auto"/>
              <w:right w:val="single" w:sz="4" w:space="0" w:color="auto"/>
            </w:tcBorders>
            <w:shd w:val="clear" w:color="auto" w:fill="auto"/>
            <w:noWrap/>
            <w:vAlign w:val="bottom"/>
            <w:hideMark/>
          </w:tcPr>
          <w:p w14:paraId="5F2388A1"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13D7C4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ED4957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1C75E300"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0,28%</w:t>
            </w:r>
          </w:p>
        </w:tc>
      </w:tr>
      <w:tr w:rsidR="0035121C" w:rsidRPr="0035121C" w14:paraId="4B98637A"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FE476F4"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Sector públic provincial</w:t>
            </w:r>
          </w:p>
        </w:tc>
        <w:tc>
          <w:tcPr>
            <w:tcW w:w="567" w:type="dxa"/>
            <w:tcBorders>
              <w:top w:val="nil"/>
              <w:left w:val="nil"/>
              <w:bottom w:val="single" w:sz="4" w:space="0" w:color="auto"/>
              <w:right w:val="single" w:sz="4" w:space="0" w:color="auto"/>
            </w:tcBorders>
            <w:shd w:val="clear" w:color="auto" w:fill="auto"/>
            <w:noWrap/>
            <w:vAlign w:val="bottom"/>
            <w:hideMark/>
          </w:tcPr>
          <w:p w14:paraId="4AB41A7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A6877C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4C74B9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5</w:t>
            </w:r>
          </w:p>
        </w:tc>
        <w:tc>
          <w:tcPr>
            <w:tcW w:w="647" w:type="dxa"/>
            <w:tcBorders>
              <w:top w:val="nil"/>
              <w:left w:val="nil"/>
              <w:bottom w:val="single" w:sz="4" w:space="0" w:color="auto"/>
              <w:right w:val="single" w:sz="4" w:space="0" w:color="auto"/>
            </w:tcBorders>
            <w:shd w:val="clear" w:color="auto" w:fill="auto"/>
            <w:noWrap/>
            <w:vAlign w:val="bottom"/>
            <w:hideMark/>
          </w:tcPr>
          <w:p w14:paraId="3CAB619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2,76%</w:t>
            </w:r>
          </w:p>
        </w:tc>
        <w:tc>
          <w:tcPr>
            <w:tcW w:w="487" w:type="dxa"/>
            <w:tcBorders>
              <w:top w:val="nil"/>
              <w:left w:val="nil"/>
              <w:bottom w:val="single" w:sz="4" w:space="0" w:color="auto"/>
              <w:right w:val="single" w:sz="4" w:space="0" w:color="auto"/>
            </w:tcBorders>
            <w:shd w:val="clear" w:color="auto" w:fill="auto"/>
            <w:noWrap/>
            <w:vAlign w:val="bottom"/>
            <w:hideMark/>
          </w:tcPr>
          <w:p w14:paraId="15CB4B6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319543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DC07D9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CA02D1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77EE3CE4"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9A2F4DC"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r>
      <w:tr w:rsidR="0035121C" w:rsidRPr="0035121C" w14:paraId="3DFDB2EB"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02D2B12" w14:textId="77777777" w:rsidR="0035121C" w:rsidRPr="0035121C" w:rsidRDefault="0035121C" w:rsidP="0035121C">
            <w:pPr>
              <w:spacing w:after="0" w:line="240" w:lineRule="auto"/>
              <w:rPr>
                <w:rFonts w:ascii="Arial" w:eastAsia="Times New Roman" w:hAnsi="Arial" w:cs="Arial"/>
                <w:color w:val="000000"/>
                <w:sz w:val="16"/>
                <w:szCs w:val="16"/>
                <w:lang w:val="ca-ES" w:eastAsia="es-ES"/>
              </w:rPr>
            </w:pPr>
            <w:r w:rsidRPr="0035121C">
              <w:rPr>
                <w:rFonts w:ascii="Arial" w:hAnsi="Arial" w:cs="Arial"/>
                <w:color w:val="000000"/>
                <w:sz w:val="16"/>
                <w:szCs w:val="16"/>
                <w:lang w:val="ca-ES"/>
              </w:rPr>
              <w:t>Altres</w:t>
            </w:r>
          </w:p>
        </w:tc>
        <w:tc>
          <w:tcPr>
            <w:tcW w:w="567" w:type="dxa"/>
            <w:tcBorders>
              <w:top w:val="nil"/>
              <w:left w:val="nil"/>
              <w:bottom w:val="single" w:sz="4" w:space="0" w:color="auto"/>
              <w:right w:val="single" w:sz="4" w:space="0" w:color="auto"/>
            </w:tcBorders>
            <w:shd w:val="clear" w:color="auto" w:fill="auto"/>
            <w:noWrap/>
            <w:vAlign w:val="bottom"/>
            <w:hideMark/>
          </w:tcPr>
          <w:p w14:paraId="4FDA0CA8"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B246EEE"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3FC0A1D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C0E696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FEFB279"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199E9C0F"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0,60%</w:t>
            </w:r>
          </w:p>
        </w:tc>
        <w:tc>
          <w:tcPr>
            <w:tcW w:w="487" w:type="dxa"/>
            <w:tcBorders>
              <w:top w:val="nil"/>
              <w:left w:val="nil"/>
              <w:bottom w:val="single" w:sz="4" w:space="0" w:color="auto"/>
              <w:right w:val="single" w:sz="4" w:space="0" w:color="auto"/>
            </w:tcBorders>
            <w:shd w:val="clear" w:color="auto" w:fill="auto"/>
            <w:noWrap/>
            <w:vAlign w:val="bottom"/>
            <w:hideMark/>
          </w:tcPr>
          <w:p w14:paraId="74D5A597"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33E9042"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2311E4D"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41644025" w14:textId="77777777" w:rsidR="0035121C" w:rsidRPr="0035121C" w:rsidRDefault="0035121C" w:rsidP="0035121C">
            <w:pPr>
              <w:spacing w:after="0" w:line="240" w:lineRule="auto"/>
              <w:jc w:val="right"/>
              <w:rPr>
                <w:rFonts w:ascii="Arial" w:eastAsia="Times New Roman" w:hAnsi="Arial" w:cs="Arial"/>
                <w:color w:val="000000"/>
                <w:sz w:val="14"/>
                <w:szCs w:val="14"/>
                <w:lang w:val="ca-ES" w:eastAsia="es-ES"/>
              </w:rPr>
            </w:pPr>
            <w:r w:rsidRPr="0035121C">
              <w:rPr>
                <w:rFonts w:ascii="Arial" w:eastAsia="Times New Roman" w:hAnsi="Arial" w:cs="Arial"/>
                <w:color w:val="000000"/>
                <w:sz w:val="14"/>
                <w:szCs w:val="14"/>
                <w:lang w:val="ca-ES" w:eastAsia="es-ES"/>
              </w:rPr>
              <w:t>0,28%</w:t>
            </w:r>
          </w:p>
        </w:tc>
      </w:tr>
      <w:tr w:rsidR="0035121C" w:rsidRPr="0035121C" w14:paraId="5C6CAC17" w14:textId="77777777" w:rsidTr="0044347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48C5B54A" w14:textId="77777777" w:rsidR="0035121C" w:rsidRPr="0035121C" w:rsidRDefault="0035121C" w:rsidP="0035121C">
            <w:pPr>
              <w:spacing w:after="0" w:line="240" w:lineRule="auto"/>
              <w:jc w:val="right"/>
              <w:rPr>
                <w:rFonts w:ascii="Arial" w:eastAsia="Times New Roman" w:hAnsi="Arial" w:cs="Arial"/>
                <w:b/>
                <w:bCs/>
                <w:color w:val="000000"/>
                <w:sz w:val="16"/>
                <w:szCs w:val="16"/>
                <w:lang w:val="ca-ES" w:eastAsia="es-ES"/>
              </w:rPr>
            </w:pPr>
            <w:r w:rsidRPr="0035121C">
              <w:rPr>
                <w:rFonts w:ascii="Arial" w:eastAsia="Times New Roman" w:hAnsi="Arial" w:cs="Arial"/>
                <w:b/>
                <w:bCs/>
                <w:color w:val="000000"/>
                <w:sz w:val="16"/>
                <w:szCs w:val="16"/>
                <w:lang w:val="ca-ES" w:eastAsia="es-ES"/>
              </w:rPr>
              <w:t>TOTAL</w:t>
            </w:r>
          </w:p>
        </w:tc>
        <w:tc>
          <w:tcPr>
            <w:tcW w:w="567" w:type="dxa"/>
            <w:tcBorders>
              <w:top w:val="nil"/>
              <w:left w:val="nil"/>
              <w:bottom w:val="single" w:sz="4" w:space="0" w:color="auto"/>
              <w:right w:val="single" w:sz="4" w:space="0" w:color="auto"/>
            </w:tcBorders>
            <w:shd w:val="clear" w:color="auto" w:fill="auto"/>
            <w:noWrap/>
            <w:vAlign w:val="bottom"/>
            <w:hideMark/>
          </w:tcPr>
          <w:p w14:paraId="63C8C281" w14:textId="77777777" w:rsidR="0035121C" w:rsidRPr="0035121C" w:rsidRDefault="0035121C" w:rsidP="0035121C">
            <w:pPr>
              <w:spacing w:after="0" w:line="240" w:lineRule="auto"/>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35</w:t>
            </w:r>
          </w:p>
        </w:tc>
        <w:tc>
          <w:tcPr>
            <w:tcW w:w="647" w:type="dxa"/>
            <w:tcBorders>
              <w:top w:val="nil"/>
              <w:left w:val="nil"/>
              <w:bottom w:val="single" w:sz="4" w:space="0" w:color="auto"/>
              <w:right w:val="single" w:sz="4" w:space="0" w:color="auto"/>
            </w:tcBorders>
            <w:shd w:val="clear" w:color="auto" w:fill="auto"/>
            <w:noWrap/>
            <w:vAlign w:val="bottom"/>
            <w:hideMark/>
          </w:tcPr>
          <w:p w14:paraId="27DABAE9" w14:textId="77777777" w:rsidR="0035121C" w:rsidRPr="0035121C" w:rsidRDefault="0035121C" w:rsidP="0035121C">
            <w:pPr>
              <w:spacing w:after="0" w:line="240" w:lineRule="auto"/>
              <w:ind w:left="-70"/>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100,00%</w:t>
            </w:r>
          </w:p>
        </w:tc>
        <w:tc>
          <w:tcPr>
            <w:tcW w:w="487" w:type="dxa"/>
            <w:tcBorders>
              <w:top w:val="nil"/>
              <w:left w:val="nil"/>
              <w:bottom w:val="single" w:sz="4" w:space="0" w:color="auto"/>
              <w:right w:val="single" w:sz="4" w:space="0" w:color="auto"/>
            </w:tcBorders>
            <w:shd w:val="clear" w:color="auto" w:fill="auto"/>
            <w:noWrap/>
            <w:vAlign w:val="bottom"/>
            <w:hideMark/>
          </w:tcPr>
          <w:p w14:paraId="0D4153A4" w14:textId="77777777" w:rsidR="0035121C" w:rsidRPr="0035121C" w:rsidRDefault="0035121C" w:rsidP="0035121C">
            <w:pPr>
              <w:spacing w:after="0" w:line="240" w:lineRule="auto"/>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181</w:t>
            </w:r>
          </w:p>
        </w:tc>
        <w:tc>
          <w:tcPr>
            <w:tcW w:w="647" w:type="dxa"/>
            <w:tcBorders>
              <w:top w:val="nil"/>
              <w:left w:val="nil"/>
              <w:bottom w:val="single" w:sz="4" w:space="0" w:color="auto"/>
              <w:right w:val="single" w:sz="4" w:space="0" w:color="auto"/>
            </w:tcBorders>
            <w:shd w:val="clear" w:color="auto" w:fill="auto"/>
            <w:noWrap/>
            <w:vAlign w:val="bottom"/>
            <w:hideMark/>
          </w:tcPr>
          <w:p w14:paraId="1E3269A3" w14:textId="77777777" w:rsidR="0035121C" w:rsidRPr="0035121C" w:rsidRDefault="0035121C" w:rsidP="0035121C">
            <w:pPr>
              <w:spacing w:after="0" w:line="240" w:lineRule="auto"/>
              <w:ind w:left="-76"/>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100,00%</w:t>
            </w:r>
          </w:p>
        </w:tc>
        <w:tc>
          <w:tcPr>
            <w:tcW w:w="487" w:type="dxa"/>
            <w:tcBorders>
              <w:top w:val="nil"/>
              <w:left w:val="nil"/>
              <w:bottom w:val="single" w:sz="4" w:space="0" w:color="auto"/>
              <w:right w:val="single" w:sz="4" w:space="0" w:color="auto"/>
            </w:tcBorders>
            <w:shd w:val="clear" w:color="auto" w:fill="auto"/>
            <w:noWrap/>
            <w:vAlign w:val="bottom"/>
            <w:hideMark/>
          </w:tcPr>
          <w:p w14:paraId="0F0B4864" w14:textId="77777777" w:rsidR="0035121C" w:rsidRPr="0035121C" w:rsidRDefault="0035121C" w:rsidP="0035121C">
            <w:pPr>
              <w:spacing w:after="0" w:line="240" w:lineRule="auto"/>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168</w:t>
            </w:r>
          </w:p>
        </w:tc>
        <w:tc>
          <w:tcPr>
            <w:tcW w:w="647" w:type="dxa"/>
            <w:tcBorders>
              <w:top w:val="nil"/>
              <w:left w:val="nil"/>
              <w:bottom w:val="single" w:sz="4" w:space="0" w:color="auto"/>
              <w:right w:val="single" w:sz="4" w:space="0" w:color="auto"/>
            </w:tcBorders>
            <w:shd w:val="clear" w:color="auto" w:fill="auto"/>
            <w:noWrap/>
            <w:vAlign w:val="bottom"/>
            <w:hideMark/>
          </w:tcPr>
          <w:p w14:paraId="3EE4E451" w14:textId="77777777" w:rsidR="0035121C" w:rsidRPr="0035121C" w:rsidRDefault="0035121C" w:rsidP="0035121C">
            <w:pPr>
              <w:spacing w:after="0" w:line="240" w:lineRule="auto"/>
              <w:ind w:left="-67"/>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100,00%</w:t>
            </w:r>
          </w:p>
        </w:tc>
        <w:tc>
          <w:tcPr>
            <w:tcW w:w="487" w:type="dxa"/>
            <w:tcBorders>
              <w:top w:val="nil"/>
              <w:left w:val="nil"/>
              <w:bottom w:val="single" w:sz="4" w:space="0" w:color="auto"/>
              <w:right w:val="single" w:sz="4" w:space="0" w:color="auto"/>
            </w:tcBorders>
            <w:shd w:val="clear" w:color="auto" w:fill="auto"/>
            <w:noWrap/>
            <w:vAlign w:val="bottom"/>
            <w:hideMark/>
          </w:tcPr>
          <w:p w14:paraId="6E17D5E8" w14:textId="77777777" w:rsidR="0035121C" w:rsidRPr="0035121C" w:rsidRDefault="0035121C" w:rsidP="0035121C">
            <w:pPr>
              <w:spacing w:after="0" w:line="240" w:lineRule="auto"/>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226</w:t>
            </w:r>
          </w:p>
        </w:tc>
        <w:tc>
          <w:tcPr>
            <w:tcW w:w="647" w:type="dxa"/>
            <w:tcBorders>
              <w:top w:val="nil"/>
              <w:left w:val="nil"/>
              <w:bottom w:val="single" w:sz="4" w:space="0" w:color="auto"/>
              <w:right w:val="single" w:sz="4" w:space="0" w:color="auto"/>
            </w:tcBorders>
            <w:shd w:val="clear" w:color="auto" w:fill="auto"/>
            <w:noWrap/>
            <w:vAlign w:val="bottom"/>
            <w:hideMark/>
          </w:tcPr>
          <w:p w14:paraId="2376275C" w14:textId="77777777" w:rsidR="0035121C" w:rsidRPr="0035121C" w:rsidRDefault="0035121C" w:rsidP="0035121C">
            <w:pPr>
              <w:spacing w:after="0" w:line="240" w:lineRule="auto"/>
              <w:ind w:left="-73"/>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100,00%</w:t>
            </w:r>
          </w:p>
        </w:tc>
        <w:tc>
          <w:tcPr>
            <w:tcW w:w="487" w:type="dxa"/>
            <w:tcBorders>
              <w:top w:val="nil"/>
              <w:left w:val="nil"/>
              <w:bottom w:val="single" w:sz="4" w:space="0" w:color="auto"/>
              <w:right w:val="single" w:sz="4" w:space="0" w:color="auto"/>
            </w:tcBorders>
            <w:shd w:val="clear" w:color="auto" w:fill="auto"/>
            <w:noWrap/>
            <w:vAlign w:val="bottom"/>
            <w:hideMark/>
          </w:tcPr>
          <w:p w14:paraId="06D0B47D" w14:textId="77777777" w:rsidR="0035121C" w:rsidRPr="0035121C" w:rsidRDefault="0035121C" w:rsidP="0035121C">
            <w:pPr>
              <w:spacing w:after="0" w:line="240" w:lineRule="auto"/>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359</w:t>
            </w:r>
          </w:p>
        </w:tc>
        <w:tc>
          <w:tcPr>
            <w:tcW w:w="647" w:type="dxa"/>
            <w:tcBorders>
              <w:top w:val="nil"/>
              <w:left w:val="nil"/>
              <w:bottom w:val="single" w:sz="4" w:space="0" w:color="auto"/>
              <w:right w:val="single" w:sz="4" w:space="0" w:color="auto"/>
            </w:tcBorders>
            <w:shd w:val="clear" w:color="auto" w:fill="auto"/>
            <w:noWrap/>
            <w:vAlign w:val="bottom"/>
            <w:hideMark/>
          </w:tcPr>
          <w:p w14:paraId="0FA8DE81" w14:textId="77777777" w:rsidR="0035121C" w:rsidRPr="0035121C" w:rsidRDefault="0035121C" w:rsidP="0035121C">
            <w:pPr>
              <w:spacing w:after="0" w:line="240" w:lineRule="auto"/>
              <w:ind w:left="-64"/>
              <w:jc w:val="right"/>
              <w:rPr>
                <w:rFonts w:ascii="Arial" w:eastAsia="Times New Roman" w:hAnsi="Arial" w:cs="Arial"/>
                <w:b/>
                <w:bCs/>
                <w:color w:val="000000"/>
                <w:sz w:val="14"/>
                <w:szCs w:val="14"/>
                <w:lang w:val="ca-ES" w:eastAsia="es-ES"/>
              </w:rPr>
            </w:pPr>
            <w:r w:rsidRPr="0035121C">
              <w:rPr>
                <w:rFonts w:ascii="Arial" w:eastAsia="Times New Roman" w:hAnsi="Arial" w:cs="Arial"/>
                <w:b/>
                <w:bCs/>
                <w:color w:val="000000"/>
                <w:sz w:val="14"/>
                <w:szCs w:val="14"/>
                <w:lang w:val="ca-ES" w:eastAsia="es-ES"/>
              </w:rPr>
              <w:t>100,00%</w:t>
            </w:r>
          </w:p>
        </w:tc>
      </w:tr>
    </w:tbl>
    <w:p w14:paraId="632A935C" w14:textId="7B60E522" w:rsidR="00240F26" w:rsidRDefault="00240F26" w:rsidP="003141B5">
      <w:pPr>
        <w:spacing w:after="120" w:line="276" w:lineRule="auto"/>
        <w:jc w:val="both"/>
        <w:rPr>
          <w:rFonts w:ascii="Arial" w:eastAsia="Times New Roman" w:hAnsi="Arial" w:cs="Arial"/>
          <w:color w:val="000000"/>
          <w:sz w:val="21"/>
          <w:szCs w:val="21"/>
        </w:rPr>
      </w:pPr>
    </w:p>
    <w:p w14:paraId="5213D3AF" w14:textId="77777777" w:rsidR="00800B7A" w:rsidRDefault="00240F26" w:rsidP="0018217D">
      <w:pPr>
        <w:keepNext/>
        <w:spacing w:after="120" w:line="276" w:lineRule="auto"/>
      </w:pPr>
      <w:r w:rsidRPr="001E45F9">
        <w:rPr>
          <w:noProof/>
          <w:lang w:val="ca-ES"/>
        </w:rPr>
        <w:drawing>
          <wp:inline distT="0" distB="0" distL="0" distR="0" wp14:anchorId="0CCEC7E3" wp14:editId="383D20F0">
            <wp:extent cx="5400040" cy="3404870"/>
            <wp:effectExtent l="0" t="0" r="10160" b="5080"/>
            <wp:docPr id="76" name="Gráfico 76">
              <a:extLst xmlns:a="http://schemas.openxmlformats.org/drawingml/2006/main">
                <a:ext uri="{FF2B5EF4-FFF2-40B4-BE49-F238E27FC236}">
                  <a16:creationId xmlns:a16="http://schemas.microsoft.com/office/drawing/2014/main" id="{828C403A-0C46-4E27-A825-648F4358FF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1"/>
              </a:graphicData>
            </a:graphic>
          </wp:inline>
        </w:drawing>
      </w:r>
    </w:p>
    <w:p w14:paraId="4F434968" w14:textId="40C5129F" w:rsidR="00240F26" w:rsidRPr="00800B7A" w:rsidRDefault="00800B7A" w:rsidP="00800B7A">
      <w:pPr>
        <w:pStyle w:val="Descripcin"/>
        <w:jc w:val="center"/>
        <w:rPr>
          <w:rFonts w:ascii="Arial" w:eastAsia="Times New Roman" w:hAnsi="Arial" w:cs="Arial"/>
          <w:smallCaps w:val="0"/>
          <w:color w:val="000000"/>
          <w:sz w:val="18"/>
          <w:szCs w:val="18"/>
        </w:rPr>
      </w:pPr>
      <w:bookmarkStart w:id="157" w:name="_Toc99110973"/>
      <w:r w:rsidRPr="00800B7A">
        <w:rPr>
          <w:rFonts w:ascii="Arial" w:hAnsi="Arial" w:cs="Arial"/>
          <w:smallCaps w:val="0"/>
          <w:color w:val="9D2235" w:themeColor="accent1"/>
          <w:sz w:val="18"/>
          <w:szCs w:val="18"/>
        </w:rPr>
        <w:t xml:space="preserve">Gràfic </w:t>
      </w:r>
      <w:r w:rsidRPr="00800B7A">
        <w:rPr>
          <w:rFonts w:ascii="Arial" w:hAnsi="Arial" w:cs="Arial"/>
          <w:smallCaps w:val="0"/>
          <w:color w:val="9D2235" w:themeColor="accent1"/>
          <w:sz w:val="18"/>
          <w:szCs w:val="18"/>
        </w:rPr>
        <w:fldChar w:fldCharType="begin" w:fldLock="1"/>
      </w:r>
      <w:r w:rsidRPr="00800B7A">
        <w:rPr>
          <w:rFonts w:ascii="Arial" w:hAnsi="Arial" w:cs="Arial"/>
          <w:smallCaps w:val="0"/>
          <w:color w:val="9D2235" w:themeColor="accent1"/>
          <w:sz w:val="18"/>
          <w:szCs w:val="18"/>
        </w:rPr>
        <w:instrText xml:space="preserve"> SEQ Gràfic \* ARABIC </w:instrText>
      </w:r>
      <w:r w:rsidRPr="00800B7A">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14</w:t>
      </w:r>
      <w:r w:rsidRPr="00800B7A">
        <w:rPr>
          <w:rFonts w:ascii="Arial" w:hAnsi="Arial" w:cs="Arial"/>
          <w:smallCaps w:val="0"/>
          <w:color w:val="9D2235" w:themeColor="accent1"/>
          <w:sz w:val="18"/>
          <w:szCs w:val="18"/>
        </w:rPr>
        <w:fldChar w:fldCharType="end"/>
      </w:r>
      <w:r w:rsidRPr="00800B7A">
        <w:rPr>
          <w:rFonts w:ascii="Arial" w:hAnsi="Arial" w:cs="Arial"/>
          <w:smallCaps w:val="0"/>
          <w:sz w:val="18"/>
          <w:szCs w:val="18"/>
        </w:rPr>
        <w:t>. Denúncies presentades per àmbit subjectiu</w:t>
      </w:r>
      <w:bookmarkEnd w:id="157"/>
    </w:p>
    <w:p w14:paraId="2587B306" w14:textId="144F7094" w:rsidR="00240F26" w:rsidRDefault="00800B7A" w:rsidP="00800B7A">
      <w:pPr>
        <w:spacing w:after="240" w:line="276" w:lineRule="auto"/>
        <w:jc w:val="both"/>
        <w:rPr>
          <w:rFonts w:ascii="Arial" w:eastAsia="Times New Roman" w:hAnsi="Arial" w:cs="Arial"/>
          <w:color w:val="000000"/>
          <w:sz w:val="21"/>
          <w:szCs w:val="21"/>
        </w:rPr>
      </w:pPr>
      <w:r w:rsidRPr="00800B7A">
        <w:rPr>
          <w:rFonts w:ascii="Arial" w:eastAsia="Times New Roman" w:hAnsi="Arial" w:cs="Arial"/>
          <w:color w:val="000000"/>
          <w:sz w:val="21"/>
          <w:szCs w:val="21"/>
        </w:rPr>
        <w:t>La distribució de les dades en l'anterior taula, indica que s'ha mantingut la línia predominant en l'entrada de denúncies en l'Agència des de la seua creació i posada en funcionament en l'anualitat 2017, sent les administracions de caràcter municipal, incloent les entitats corresponents al seu sector públic, les que reben un nombre més gran de denúncies, aglutinant una mitja del 67,13 % del volum total de denúncies en 2021. En segon lloc, l'administració de la Generalitat Valenciana acumula un 15,32% del volum d'entrada total de denúncies en l'Agència. La part restant correspon a diverses entitats com s'ha reflectix en la taula precedent.</w:t>
      </w:r>
    </w:p>
    <w:p w14:paraId="52554F99" w14:textId="77777777" w:rsidR="008F6CB1" w:rsidRPr="008F6CB1" w:rsidRDefault="008F6CB1" w:rsidP="008F6CB1">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lang w:val="ca-ES"/>
        </w:rPr>
      </w:pPr>
      <w:bookmarkStart w:id="158" w:name="_Toc99110718"/>
      <w:r w:rsidRPr="008F6CB1">
        <w:rPr>
          <w:rFonts w:ascii="Arial" w:eastAsia="Times New Roman" w:hAnsi="Arial" w:cs="Arial"/>
          <w:b/>
          <w:color w:val="9D2235"/>
          <w:sz w:val="28"/>
          <w:szCs w:val="28"/>
          <w:lang w:val="ca-ES"/>
        </w:rPr>
        <w:t>Denúncies presentades segons el canal de comunicació</w:t>
      </w:r>
      <w:bookmarkEnd w:id="158"/>
    </w:p>
    <w:p w14:paraId="2DDB7A6C" w14:textId="77777777" w:rsidR="008F6CB1" w:rsidRPr="008F6CB1" w:rsidRDefault="008F6CB1" w:rsidP="008F6CB1">
      <w:pPr>
        <w:spacing w:after="240" w:line="276" w:lineRule="auto"/>
        <w:jc w:val="both"/>
        <w:rPr>
          <w:rFonts w:ascii="Arial" w:eastAsia="Times New Roman" w:hAnsi="Arial" w:cs="Arial"/>
          <w:color w:val="000000"/>
          <w:sz w:val="21"/>
          <w:szCs w:val="21"/>
        </w:rPr>
      </w:pPr>
      <w:r w:rsidRPr="008F6CB1">
        <w:rPr>
          <w:rFonts w:ascii="Arial" w:eastAsia="Times New Roman" w:hAnsi="Arial" w:cs="Arial"/>
          <w:color w:val="000000"/>
          <w:sz w:val="21"/>
          <w:szCs w:val="21"/>
        </w:rPr>
        <w:t>Contempla la classificació de les denúncies presentades basant-se en el canal de comunicació empleat per a posar els fets en coneixement de l'AVAF.</w:t>
      </w:r>
    </w:p>
    <w:p w14:paraId="57F452E8" w14:textId="77777777" w:rsidR="008F6CB1" w:rsidRPr="008F6CB1" w:rsidRDefault="008F6CB1" w:rsidP="008F6CB1">
      <w:pPr>
        <w:spacing w:after="240" w:line="276" w:lineRule="auto"/>
        <w:jc w:val="both"/>
        <w:rPr>
          <w:rFonts w:ascii="Arial" w:eastAsia="Times New Roman" w:hAnsi="Arial" w:cs="Arial"/>
          <w:color w:val="000000"/>
          <w:sz w:val="21"/>
          <w:szCs w:val="21"/>
        </w:rPr>
      </w:pPr>
      <w:r w:rsidRPr="008F6CB1">
        <w:rPr>
          <w:rFonts w:ascii="Arial" w:eastAsia="Times New Roman" w:hAnsi="Arial" w:cs="Arial"/>
          <w:color w:val="000000"/>
          <w:sz w:val="21"/>
          <w:szCs w:val="21"/>
        </w:rPr>
        <w:t>Ha de ressaltar-se que l'Agència disposa de procediments i canals per a la formulació de denúncies que garantisquen l'estricta confidencialitat, especialment quan el denunciant invoque l'aplicació de l'estatut de protecció. Estos procediments i canals confidencials podran ser també utilitzats pels que ja hagen actuat com a denunciants, per a comunicar represàlies o altres actuacions lesives derivades de la presentació de la denúncia.</w:t>
      </w:r>
    </w:p>
    <w:p w14:paraId="531D67AB" w14:textId="77777777" w:rsidR="008F6CB1" w:rsidRPr="008F6CB1" w:rsidRDefault="008F6CB1" w:rsidP="008F6CB1">
      <w:pPr>
        <w:spacing w:after="240" w:line="276" w:lineRule="auto"/>
        <w:jc w:val="both"/>
        <w:rPr>
          <w:rFonts w:ascii="Arial" w:eastAsia="Times New Roman" w:hAnsi="Arial" w:cs="Arial"/>
          <w:color w:val="000000"/>
          <w:sz w:val="21"/>
          <w:szCs w:val="21"/>
        </w:rPr>
      </w:pPr>
      <w:r w:rsidRPr="008F6CB1">
        <w:rPr>
          <w:rFonts w:ascii="Arial" w:eastAsia="Times New Roman" w:hAnsi="Arial" w:cs="Arial"/>
          <w:color w:val="000000"/>
          <w:sz w:val="21"/>
          <w:szCs w:val="21"/>
        </w:rPr>
        <w:t>Qualsevol persona, pot dirigir-se a l'Agència per a comunicar conductes que puguen ser susceptibles de ser investigades o inspeccionades per esta, i l'Agència acusarà recepció de l'escrit rebut. La persona informadora pot sol·licitar que es garantisca la confidencialitat sobre la seua identitat, i el personal de l'Agència està obligat a mantindre-la, amb l'única excepció del requeriment judicial.</w:t>
      </w:r>
    </w:p>
    <w:p w14:paraId="2A1EFFB6" w14:textId="77777777" w:rsidR="008F6CB1" w:rsidRPr="008F6CB1" w:rsidRDefault="008F6CB1" w:rsidP="008F6CB1">
      <w:pPr>
        <w:spacing w:after="240" w:line="276" w:lineRule="auto"/>
        <w:jc w:val="both"/>
        <w:rPr>
          <w:rFonts w:ascii="Arial" w:eastAsia="Times New Roman" w:hAnsi="Arial" w:cs="Arial"/>
          <w:color w:val="000000"/>
          <w:sz w:val="21"/>
          <w:szCs w:val="21"/>
        </w:rPr>
      </w:pPr>
      <w:r w:rsidRPr="008F6CB1">
        <w:rPr>
          <w:rFonts w:ascii="Arial" w:eastAsia="Times New Roman" w:hAnsi="Arial" w:cs="Arial"/>
          <w:color w:val="000000"/>
          <w:sz w:val="21"/>
          <w:szCs w:val="21"/>
        </w:rPr>
        <w:t xml:space="preserve">La reglamentació relativa a la configuració dels canals d'entrada de denúncies i comunicacions, es completa amb el que establix la Resolució de 27 de juny de 2019, del director de l'Agència de Prevenció i Lluita contra el Frau i la Corrupció de la Comunitat Valenciana, per la qual s'aprova Reglament de funcionament i règim interior d'esta, en desenvolupament de la Llei 11/2016, de 28 de novembre, de la Generalitat, en la que s'indica que s'admeten les denúncies i comunicacions, tant nominals com anònimes, podent realitzar-se amb plenes garanties d'anonimat mitjançant la bústia electrònica de denúncies disponible en la pàgina web de l'Agència, </w:t>
      </w:r>
      <w:hyperlink r:id="rId412" w:history="1">
        <w:r w:rsidRPr="008F6CB1">
          <w:rPr>
            <w:rStyle w:val="Hipervnculo"/>
            <w:rFonts w:ascii="Arial" w:eastAsia="Times New Roman" w:hAnsi="Arial" w:cs="Arial"/>
            <w:sz w:val="21"/>
            <w:szCs w:val="21"/>
          </w:rPr>
          <w:t>https://www.antifraucv.es/denuncia/bustia-de-denuncies/</w:t>
        </w:r>
      </w:hyperlink>
      <w:r w:rsidRPr="008F6CB1">
        <w:rPr>
          <w:rFonts w:ascii="Arial" w:eastAsia="Times New Roman" w:hAnsi="Arial" w:cs="Arial"/>
          <w:color w:val="000000"/>
          <w:sz w:val="21"/>
          <w:szCs w:val="21"/>
        </w:rPr>
        <w:t>.</w:t>
      </w:r>
    </w:p>
    <w:p w14:paraId="0244B4E0" w14:textId="77777777" w:rsidR="008F6CB1" w:rsidRPr="008F6CB1" w:rsidRDefault="008F6CB1" w:rsidP="008F6CB1">
      <w:pPr>
        <w:spacing w:after="240" w:line="276" w:lineRule="auto"/>
        <w:jc w:val="both"/>
        <w:rPr>
          <w:rFonts w:ascii="Arial" w:eastAsia="Times New Roman" w:hAnsi="Arial" w:cs="Arial"/>
          <w:color w:val="000000"/>
          <w:sz w:val="21"/>
          <w:szCs w:val="21"/>
        </w:rPr>
      </w:pPr>
      <w:r w:rsidRPr="008F6CB1">
        <w:rPr>
          <w:rFonts w:ascii="Arial" w:eastAsia="Times New Roman" w:hAnsi="Arial" w:cs="Arial"/>
          <w:color w:val="000000"/>
          <w:sz w:val="21"/>
          <w:szCs w:val="21"/>
        </w:rPr>
        <w:t>El dit canal de denúncies, regulat en la Resolució de 25 d'abril de 2018, del director de l'Agència de Prevenció i Lluita contra el Frau i la Corrupció de la Comunitat Valenciana, per la qual es crea la Bústia de Denúncies de l'Agència i es regula el seu funcionament, opera així mateix com a oficina virtual del personal empleat públic, que informa de l'Agència les irregularitats que conega o a les que haja tingut accés, avançant-se d'esta manera l'Agència, des de la implantació de la bústia de denúncies, a les exigències que la normativa comunitària ha exigit posteriorment, Directiva (UE) 2019/1937 del Parlament Europeu i del Consell de 23 d'octubre de 2019 relativa a la protecció de les persones que informen sobre infraccions del Dret de la Unió (Directiva Whistleblowing), el període de transposició del qual a l’ordenament nacional es va complir el passat 17 de desembre.</w:t>
      </w:r>
    </w:p>
    <w:p w14:paraId="20DB9AFE" w14:textId="77777777" w:rsidR="008F6CB1" w:rsidRPr="008F6CB1" w:rsidRDefault="008F6CB1" w:rsidP="008F6CB1">
      <w:pPr>
        <w:spacing w:after="240" w:line="276" w:lineRule="auto"/>
        <w:jc w:val="both"/>
        <w:rPr>
          <w:rFonts w:ascii="Arial" w:eastAsia="Times New Roman" w:hAnsi="Arial" w:cs="Arial"/>
          <w:color w:val="000000"/>
          <w:sz w:val="21"/>
          <w:szCs w:val="21"/>
        </w:rPr>
      </w:pPr>
      <w:r w:rsidRPr="008F6CB1">
        <w:rPr>
          <w:rFonts w:ascii="Arial" w:eastAsia="Times New Roman" w:hAnsi="Arial" w:cs="Arial"/>
          <w:color w:val="000000"/>
          <w:sz w:val="21"/>
          <w:szCs w:val="21"/>
        </w:rPr>
        <w:t xml:space="preserve">A més de la bústia de denúncies, es manté la possibilitat de presentació de denúncies identificades de forma presencial, accedint d'esta manera al Registre d'Entrada general, a través de la Seu Electrònica de l'Agència, </w:t>
      </w:r>
      <w:hyperlink r:id="rId413" w:history="1">
        <w:r w:rsidRPr="008F6CB1">
          <w:rPr>
            <w:rStyle w:val="Hipervnculo"/>
            <w:rFonts w:ascii="Arial" w:eastAsia="Times New Roman" w:hAnsi="Arial" w:cs="Arial"/>
            <w:sz w:val="21"/>
            <w:szCs w:val="21"/>
          </w:rPr>
          <w:t>https://sede.antifraucv.es/opencms/opencms/sede</w:t>
        </w:r>
      </w:hyperlink>
      <w:r w:rsidRPr="008F6CB1">
        <w:rPr>
          <w:rFonts w:ascii="Arial" w:eastAsia="Times New Roman" w:hAnsi="Arial" w:cs="Arial"/>
          <w:color w:val="000000"/>
          <w:sz w:val="21"/>
          <w:szCs w:val="21"/>
        </w:rPr>
        <w:t>, així com per qualsevol dels mitjans permesos per la legislació sobre procediment administratiu comú.</w:t>
      </w:r>
    </w:p>
    <w:p w14:paraId="469E937D" w14:textId="23D5BCCC" w:rsidR="008F6CB1" w:rsidRPr="008F6CB1" w:rsidRDefault="008F6CB1" w:rsidP="008F6CB1">
      <w:pPr>
        <w:spacing w:after="240" w:line="276" w:lineRule="auto"/>
        <w:jc w:val="both"/>
        <w:rPr>
          <w:rFonts w:ascii="Arial" w:eastAsia="Times New Roman" w:hAnsi="Arial" w:cs="Arial"/>
          <w:color w:val="000000"/>
          <w:sz w:val="21"/>
          <w:szCs w:val="21"/>
        </w:rPr>
      </w:pPr>
      <w:r w:rsidRPr="008F6CB1">
        <w:rPr>
          <w:rFonts w:ascii="Arial" w:eastAsia="Times New Roman" w:hAnsi="Arial" w:cs="Arial"/>
          <w:color w:val="000000"/>
          <w:sz w:val="21"/>
          <w:szCs w:val="21"/>
        </w:rPr>
        <w:t>S'han agrupat els expedients segons la naturalesa de les comunicacions rebudes per l'Agència, distingint entre denúncies rebudes per via de la bústia de denúncies, per correu electrònic, per registre general, incloent-se els corresponents als canals d'entrada permesos per la legislació (registres d'altres administracions públiques, registres presentats en oficines de correus de forma certificada, etc.), seu electrònica, actes de compareixença in situ i d'ofici/altres (incloent en este últim apartat, tant les iniciacions d'ofici com les reobertures i altres circumstàncies).</w:t>
      </w:r>
    </w:p>
    <w:p w14:paraId="6375BC78" w14:textId="3A64BC27" w:rsidR="003141B5" w:rsidRPr="003141B5" w:rsidRDefault="003141B5" w:rsidP="003141B5">
      <w:pPr>
        <w:pStyle w:val="Descripcin"/>
        <w:keepNext/>
        <w:rPr>
          <w:rFonts w:ascii="Arial" w:hAnsi="Arial" w:cs="Arial"/>
          <w:smallCaps w:val="0"/>
          <w:sz w:val="18"/>
          <w:szCs w:val="18"/>
        </w:rPr>
      </w:pPr>
      <w:bookmarkStart w:id="159" w:name="_Toc99110855"/>
      <w:r w:rsidRPr="003141B5">
        <w:rPr>
          <w:rFonts w:ascii="Arial" w:hAnsi="Arial" w:cs="Arial"/>
          <w:smallCaps w:val="0"/>
          <w:color w:val="9D2235" w:themeColor="accent1"/>
          <w:sz w:val="18"/>
          <w:szCs w:val="18"/>
        </w:rPr>
        <w:t xml:space="preserve">Taula </w:t>
      </w:r>
      <w:r w:rsidRPr="003141B5">
        <w:rPr>
          <w:rFonts w:ascii="Arial" w:hAnsi="Arial" w:cs="Arial"/>
          <w:smallCaps w:val="0"/>
          <w:color w:val="9D2235" w:themeColor="accent1"/>
          <w:sz w:val="18"/>
          <w:szCs w:val="18"/>
        </w:rPr>
        <w:fldChar w:fldCharType="begin" w:fldLock="1"/>
      </w:r>
      <w:r w:rsidRPr="003141B5">
        <w:rPr>
          <w:rFonts w:ascii="Arial" w:hAnsi="Arial" w:cs="Arial"/>
          <w:smallCaps w:val="0"/>
          <w:color w:val="9D2235" w:themeColor="accent1"/>
          <w:sz w:val="18"/>
          <w:szCs w:val="18"/>
        </w:rPr>
        <w:instrText xml:space="preserve"> SEQ Taula \* ARABIC </w:instrText>
      </w:r>
      <w:r w:rsidRPr="003141B5">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10</w:t>
      </w:r>
      <w:r w:rsidRPr="003141B5">
        <w:rPr>
          <w:rFonts w:ascii="Arial" w:hAnsi="Arial" w:cs="Arial"/>
          <w:smallCaps w:val="0"/>
          <w:color w:val="9D2235" w:themeColor="accent1"/>
          <w:sz w:val="18"/>
          <w:szCs w:val="18"/>
        </w:rPr>
        <w:fldChar w:fldCharType="end"/>
      </w:r>
      <w:r w:rsidRPr="003141B5">
        <w:rPr>
          <w:rFonts w:ascii="Arial" w:hAnsi="Arial" w:cs="Arial"/>
          <w:smallCaps w:val="0"/>
          <w:color w:val="9D2235" w:themeColor="accent1"/>
          <w:sz w:val="18"/>
          <w:szCs w:val="18"/>
        </w:rPr>
        <w:t xml:space="preserve">. </w:t>
      </w:r>
      <w:r w:rsidRPr="003141B5">
        <w:rPr>
          <w:rFonts w:ascii="Arial" w:hAnsi="Arial" w:cs="Arial"/>
          <w:smallCaps w:val="0"/>
          <w:sz w:val="18"/>
          <w:szCs w:val="18"/>
        </w:rPr>
        <w:t>Denúncies presentades segons el canal de comunicació</w:t>
      </w:r>
      <w:bookmarkEnd w:id="159"/>
    </w:p>
    <w:tbl>
      <w:tblPr>
        <w:tblW w:w="5000" w:type="pct"/>
        <w:tblCellMar>
          <w:left w:w="70" w:type="dxa"/>
          <w:right w:w="70" w:type="dxa"/>
        </w:tblCellMar>
        <w:tblLook w:val="04A0" w:firstRow="1" w:lastRow="0" w:firstColumn="1" w:lastColumn="0" w:noHBand="0" w:noVBand="1"/>
      </w:tblPr>
      <w:tblGrid>
        <w:gridCol w:w="1994"/>
        <w:gridCol w:w="508"/>
        <w:gridCol w:w="791"/>
        <w:gridCol w:w="508"/>
        <w:gridCol w:w="791"/>
        <w:gridCol w:w="508"/>
        <w:gridCol w:w="791"/>
        <w:gridCol w:w="508"/>
        <w:gridCol w:w="791"/>
        <w:gridCol w:w="508"/>
        <w:gridCol w:w="791"/>
      </w:tblGrid>
      <w:tr w:rsidR="003141B5" w:rsidRPr="003141B5" w14:paraId="6B366A7B" w14:textId="77777777" w:rsidTr="00443473">
        <w:trPr>
          <w:trHeight w:val="360"/>
          <w:tblHeader/>
        </w:trPr>
        <w:tc>
          <w:tcPr>
            <w:tcW w:w="1174" w:type="pct"/>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42E4A79C" w14:textId="77777777" w:rsidR="003141B5" w:rsidRPr="003141B5" w:rsidRDefault="003141B5" w:rsidP="003141B5">
            <w:pPr>
              <w:spacing w:after="0" w:line="240" w:lineRule="auto"/>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 </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58FEEDE7"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2017</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46F9ACC8"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736643C7"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2018</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3543224E"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6B87CB4C"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2019</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538F0EF4"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323D99A8"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2020</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003C94E8"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2F2937B6"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2021</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5B4B1A22"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w:t>
            </w:r>
          </w:p>
        </w:tc>
      </w:tr>
      <w:tr w:rsidR="003141B5" w:rsidRPr="003141B5" w14:paraId="51900D78" w14:textId="77777777" w:rsidTr="00443473">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219FF29D" w14:textId="77777777" w:rsidR="003141B5" w:rsidRPr="003141B5" w:rsidRDefault="003141B5" w:rsidP="003141B5">
            <w:pPr>
              <w:spacing w:after="0" w:line="240" w:lineRule="auto"/>
              <w:rPr>
                <w:rFonts w:ascii="Arial" w:eastAsia="Times New Roman" w:hAnsi="Arial" w:cs="Arial"/>
                <w:color w:val="000000"/>
                <w:sz w:val="16"/>
                <w:szCs w:val="16"/>
                <w:lang w:val="ca-ES" w:eastAsia="es-ES"/>
              </w:rPr>
            </w:pPr>
            <w:r w:rsidRPr="003141B5">
              <w:rPr>
                <w:rFonts w:ascii="Arial" w:hAnsi="Arial" w:cs="Arial"/>
                <w:sz w:val="16"/>
                <w:szCs w:val="16"/>
                <w:lang w:val="ca-ES"/>
              </w:rPr>
              <w:t>Bústia de denúncies</w:t>
            </w:r>
          </w:p>
        </w:tc>
        <w:tc>
          <w:tcPr>
            <w:tcW w:w="299" w:type="pct"/>
            <w:tcBorders>
              <w:top w:val="nil"/>
              <w:left w:val="nil"/>
              <w:bottom w:val="single" w:sz="4" w:space="0" w:color="auto"/>
              <w:right w:val="single" w:sz="4" w:space="0" w:color="auto"/>
            </w:tcBorders>
            <w:shd w:val="clear" w:color="auto" w:fill="auto"/>
            <w:noWrap/>
            <w:vAlign w:val="bottom"/>
            <w:hideMark/>
          </w:tcPr>
          <w:p w14:paraId="102B2351"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61F68954"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49FF507A"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97</w:t>
            </w:r>
          </w:p>
        </w:tc>
        <w:tc>
          <w:tcPr>
            <w:tcW w:w="466" w:type="pct"/>
            <w:tcBorders>
              <w:top w:val="nil"/>
              <w:left w:val="nil"/>
              <w:bottom w:val="single" w:sz="4" w:space="0" w:color="auto"/>
              <w:right w:val="single" w:sz="4" w:space="0" w:color="auto"/>
            </w:tcBorders>
            <w:shd w:val="clear" w:color="auto" w:fill="auto"/>
            <w:noWrap/>
            <w:vAlign w:val="bottom"/>
            <w:hideMark/>
          </w:tcPr>
          <w:p w14:paraId="62BF46EA"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53,59%</w:t>
            </w:r>
          </w:p>
        </w:tc>
        <w:tc>
          <w:tcPr>
            <w:tcW w:w="299" w:type="pct"/>
            <w:tcBorders>
              <w:top w:val="nil"/>
              <w:left w:val="nil"/>
              <w:bottom w:val="single" w:sz="4" w:space="0" w:color="auto"/>
              <w:right w:val="single" w:sz="4" w:space="0" w:color="auto"/>
            </w:tcBorders>
            <w:shd w:val="clear" w:color="auto" w:fill="auto"/>
            <w:noWrap/>
            <w:vAlign w:val="bottom"/>
            <w:hideMark/>
          </w:tcPr>
          <w:p w14:paraId="5F105CBE"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127</w:t>
            </w:r>
          </w:p>
        </w:tc>
        <w:tc>
          <w:tcPr>
            <w:tcW w:w="466" w:type="pct"/>
            <w:tcBorders>
              <w:top w:val="nil"/>
              <w:left w:val="nil"/>
              <w:bottom w:val="single" w:sz="4" w:space="0" w:color="auto"/>
              <w:right w:val="single" w:sz="4" w:space="0" w:color="auto"/>
            </w:tcBorders>
            <w:shd w:val="clear" w:color="auto" w:fill="auto"/>
            <w:noWrap/>
            <w:vAlign w:val="bottom"/>
            <w:hideMark/>
          </w:tcPr>
          <w:p w14:paraId="11C2C7C8"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75,60%</w:t>
            </w:r>
          </w:p>
        </w:tc>
        <w:tc>
          <w:tcPr>
            <w:tcW w:w="299" w:type="pct"/>
            <w:tcBorders>
              <w:top w:val="nil"/>
              <w:left w:val="nil"/>
              <w:bottom w:val="single" w:sz="4" w:space="0" w:color="auto"/>
              <w:right w:val="single" w:sz="4" w:space="0" w:color="auto"/>
            </w:tcBorders>
            <w:shd w:val="clear" w:color="auto" w:fill="auto"/>
            <w:noWrap/>
            <w:vAlign w:val="bottom"/>
            <w:hideMark/>
          </w:tcPr>
          <w:p w14:paraId="78770690"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191</w:t>
            </w:r>
          </w:p>
        </w:tc>
        <w:tc>
          <w:tcPr>
            <w:tcW w:w="466" w:type="pct"/>
            <w:tcBorders>
              <w:top w:val="nil"/>
              <w:left w:val="nil"/>
              <w:bottom w:val="single" w:sz="4" w:space="0" w:color="auto"/>
              <w:right w:val="single" w:sz="4" w:space="0" w:color="auto"/>
            </w:tcBorders>
            <w:shd w:val="clear" w:color="auto" w:fill="auto"/>
            <w:noWrap/>
            <w:vAlign w:val="bottom"/>
            <w:hideMark/>
          </w:tcPr>
          <w:p w14:paraId="0943CA63"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84,51%</w:t>
            </w:r>
          </w:p>
        </w:tc>
        <w:tc>
          <w:tcPr>
            <w:tcW w:w="299" w:type="pct"/>
            <w:tcBorders>
              <w:top w:val="nil"/>
              <w:left w:val="nil"/>
              <w:bottom w:val="single" w:sz="4" w:space="0" w:color="auto"/>
              <w:right w:val="single" w:sz="4" w:space="0" w:color="auto"/>
            </w:tcBorders>
            <w:shd w:val="clear" w:color="auto" w:fill="auto"/>
            <w:noWrap/>
            <w:vAlign w:val="bottom"/>
            <w:hideMark/>
          </w:tcPr>
          <w:p w14:paraId="08B7E60D"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318</w:t>
            </w:r>
          </w:p>
        </w:tc>
        <w:tc>
          <w:tcPr>
            <w:tcW w:w="466" w:type="pct"/>
            <w:tcBorders>
              <w:top w:val="nil"/>
              <w:left w:val="nil"/>
              <w:bottom w:val="single" w:sz="4" w:space="0" w:color="auto"/>
              <w:right w:val="single" w:sz="4" w:space="0" w:color="auto"/>
            </w:tcBorders>
            <w:shd w:val="clear" w:color="auto" w:fill="auto"/>
            <w:noWrap/>
            <w:vAlign w:val="bottom"/>
            <w:hideMark/>
          </w:tcPr>
          <w:p w14:paraId="1201290A"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88,58%</w:t>
            </w:r>
          </w:p>
        </w:tc>
      </w:tr>
      <w:tr w:rsidR="003141B5" w:rsidRPr="003141B5" w14:paraId="34D50271" w14:textId="77777777" w:rsidTr="00443473">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1E618E36" w14:textId="77777777" w:rsidR="003141B5" w:rsidRPr="003141B5" w:rsidRDefault="003141B5" w:rsidP="003141B5">
            <w:pPr>
              <w:spacing w:after="0" w:line="240" w:lineRule="auto"/>
              <w:rPr>
                <w:rFonts w:ascii="Arial" w:eastAsia="Times New Roman" w:hAnsi="Arial" w:cs="Arial"/>
                <w:color w:val="000000"/>
                <w:sz w:val="16"/>
                <w:szCs w:val="16"/>
                <w:lang w:val="ca-ES" w:eastAsia="es-ES"/>
              </w:rPr>
            </w:pPr>
            <w:r w:rsidRPr="003141B5">
              <w:rPr>
                <w:rFonts w:ascii="Arial" w:hAnsi="Arial" w:cs="Arial"/>
                <w:sz w:val="16"/>
                <w:szCs w:val="16"/>
                <w:lang w:val="ca-ES"/>
              </w:rPr>
              <w:t>Correu electrònic/postal</w:t>
            </w:r>
          </w:p>
        </w:tc>
        <w:tc>
          <w:tcPr>
            <w:tcW w:w="299" w:type="pct"/>
            <w:tcBorders>
              <w:top w:val="nil"/>
              <w:left w:val="nil"/>
              <w:bottom w:val="single" w:sz="4" w:space="0" w:color="auto"/>
              <w:right w:val="single" w:sz="4" w:space="0" w:color="auto"/>
            </w:tcBorders>
            <w:shd w:val="clear" w:color="auto" w:fill="auto"/>
            <w:noWrap/>
            <w:vAlign w:val="bottom"/>
            <w:hideMark/>
          </w:tcPr>
          <w:p w14:paraId="1F996A63"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25</w:t>
            </w:r>
          </w:p>
        </w:tc>
        <w:tc>
          <w:tcPr>
            <w:tcW w:w="466" w:type="pct"/>
            <w:tcBorders>
              <w:top w:val="nil"/>
              <w:left w:val="nil"/>
              <w:bottom w:val="single" w:sz="4" w:space="0" w:color="auto"/>
              <w:right w:val="single" w:sz="4" w:space="0" w:color="auto"/>
            </w:tcBorders>
            <w:shd w:val="clear" w:color="auto" w:fill="auto"/>
            <w:noWrap/>
            <w:vAlign w:val="bottom"/>
            <w:hideMark/>
          </w:tcPr>
          <w:p w14:paraId="5B93175A"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71,43%</w:t>
            </w:r>
          </w:p>
        </w:tc>
        <w:tc>
          <w:tcPr>
            <w:tcW w:w="299" w:type="pct"/>
            <w:tcBorders>
              <w:top w:val="nil"/>
              <w:left w:val="nil"/>
              <w:bottom w:val="single" w:sz="4" w:space="0" w:color="auto"/>
              <w:right w:val="single" w:sz="4" w:space="0" w:color="auto"/>
            </w:tcBorders>
            <w:shd w:val="clear" w:color="auto" w:fill="auto"/>
            <w:noWrap/>
            <w:vAlign w:val="bottom"/>
            <w:hideMark/>
          </w:tcPr>
          <w:p w14:paraId="34F3CB29"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34</w:t>
            </w:r>
          </w:p>
        </w:tc>
        <w:tc>
          <w:tcPr>
            <w:tcW w:w="466" w:type="pct"/>
            <w:tcBorders>
              <w:top w:val="nil"/>
              <w:left w:val="nil"/>
              <w:bottom w:val="single" w:sz="4" w:space="0" w:color="auto"/>
              <w:right w:val="single" w:sz="4" w:space="0" w:color="auto"/>
            </w:tcBorders>
            <w:shd w:val="clear" w:color="auto" w:fill="auto"/>
            <w:noWrap/>
            <w:vAlign w:val="bottom"/>
            <w:hideMark/>
          </w:tcPr>
          <w:p w14:paraId="07C5BA37"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18,78%</w:t>
            </w:r>
          </w:p>
        </w:tc>
        <w:tc>
          <w:tcPr>
            <w:tcW w:w="299" w:type="pct"/>
            <w:tcBorders>
              <w:top w:val="nil"/>
              <w:left w:val="nil"/>
              <w:bottom w:val="single" w:sz="4" w:space="0" w:color="auto"/>
              <w:right w:val="single" w:sz="4" w:space="0" w:color="auto"/>
            </w:tcBorders>
            <w:shd w:val="clear" w:color="auto" w:fill="auto"/>
            <w:noWrap/>
            <w:vAlign w:val="bottom"/>
            <w:hideMark/>
          </w:tcPr>
          <w:p w14:paraId="47858D0C"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15</w:t>
            </w:r>
          </w:p>
        </w:tc>
        <w:tc>
          <w:tcPr>
            <w:tcW w:w="466" w:type="pct"/>
            <w:tcBorders>
              <w:top w:val="nil"/>
              <w:left w:val="nil"/>
              <w:bottom w:val="single" w:sz="4" w:space="0" w:color="auto"/>
              <w:right w:val="single" w:sz="4" w:space="0" w:color="auto"/>
            </w:tcBorders>
            <w:shd w:val="clear" w:color="auto" w:fill="auto"/>
            <w:noWrap/>
            <w:vAlign w:val="bottom"/>
            <w:hideMark/>
          </w:tcPr>
          <w:p w14:paraId="6980E09F"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8,93%</w:t>
            </w:r>
          </w:p>
        </w:tc>
        <w:tc>
          <w:tcPr>
            <w:tcW w:w="299" w:type="pct"/>
            <w:tcBorders>
              <w:top w:val="nil"/>
              <w:left w:val="nil"/>
              <w:bottom w:val="single" w:sz="4" w:space="0" w:color="auto"/>
              <w:right w:val="single" w:sz="4" w:space="0" w:color="auto"/>
            </w:tcBorders>
            <w:shd w:val="clear" w:color="auto" w:fill="auto"/>
            <w:noWrap/>
            <w:vAlign w:val="bottom"/>
            <w:hideMark/>
          </w:tcPr>
          <w:p w14:paraId="103616BF"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3</w:t>
            </w:r>
          </w:p>
        </w:tc>
        <w:tc>
          <w:tcPr>
            <w:tcW w:w="466" w:type="pct"/>
            <w:tcBorders>
              <w:top w:val="nil"/>
              <w:left w:val="nil"/>
              <w:bottom w:val="single" w:sz="4" w:space="0" w:color="auto"/>
              <w:right w:val="single" w:sz="4" w:space="0" w:color="auto"/>
            </w:tcBorders>
            <w:shd w:val="clear" w:color="auto" w:fill="auto"/>
            <w:noWrap/>
            <w:vAlign w:val="bottom"/>
            <w:hideMark/>
          </w:tcPr>
          <w:p w14:paraId="06134ED8"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1,33%</w:t>
            </w:r>
          </w:p>
        </w:tc>
        <w:tc>
          <w:tcPr>
            <w:tcW w:w="299" w:type="pct"/>
            <w:tcBorders>
              <w:top w:val="nil"/>
              <w:left w:val="nil"/>
              <w:bottom w:val="single" w:sz="4" w:space="0" w:color="auto"/>
              <w:right w:val="single" w:sz="4" w:space="0" w:color="auto"/>
            </w:tcBorders>
            <w:shd w:val="clear" w:color="auto" w:fill="auto"/>
            <w:noWrap/>
            <w:vAlign w:val="bottom"/>
            <w:hideMark/>
          </w:tcPr>
          <w:p w14:paraId="2DC46373"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28</w:t>
            </w:r>
          </w:p>
        </w:tc>
        <w:tc>
          <w:tcPr>
            <w:tcW w:w="466" w:type="pct"/>
            <w:tcBorders>
              <w:top w:val="nil"/>
              <w:left w:val="nil"/>
              <w:bottom w:val="single" w:sz="4" w:space="0" w:color="auto"/>
              <w:right w:val="single" w:sz="4" w:space="0" w:color="auto"/>
            </w:tcBorders>
            <w:shd w:val="clear" w:color="auto" w:fill="auto"/>
            <w:noWrap/>
            <w:vAlign w:val="bottom"/>
            <w:hideMark/>
          </w:tcPr>
          <w:p w14:paraId="62280858"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7,80%</w:t>
            </w:r>
          </w:p>
        </w:tc>
      </w:tr>
      <w:tr w:rsidR="003141B5" w:rsidRPr="003141B5" w14:paraId="7D2691EF" w14:textId="77777777" w:rsidTr="00443473">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6ACB8729" w14:textId="77777777" w:rsidR="003141B5" w:rsidRPr="003141B5" w:rsidRDefault="003141B5" w:rsidP="003141B5">
            <w:pPr>
              <w:spacing w:after="0" w:line="240" w:lineRule="auto"/>
              <w:rPr>
                <w:rFonts w:ascii="Arial" w:eastAsia="Times New Roman" w:hAnsi="Arial" w:cs="Arial"/>
                <w:color w:val="000000"/>
                <w:sz w:val="16"/>
                <w:szCs w:val="16"/>
                <w:lang w:val="ca-ES" w:eastAsia="es-ES"/>
              </w:rPr>
            </w:pPr>
            <w:r w:rsidRPr="003141B5">
              <w:rPr>
                <w:rFonts w:ascii="Arial" w:hAnsi="Arial" w:cs="Arial"/>
                <w:sz w:val="16"/>
                <w:szCs w:val="16"/>
                <w:lang w:val="ca-ES"/>
              </w:rPr>
              <w:t>Registre General</w:t>
            </w:r>
          </w:p>
        </w:tc>
        <w:tc>
          <w:tcPr>
            <w:tcW w:w="299" w:type="pct"/>
            <w:tcBorders>
              <w:top w:val="nil"/>
              <w:left w:val="nil"/>
              <w:bottom w:val="single" w:sz="4" w:space="0" w:color="auto"/>
              <w:right w:val="single" w:sz="4" w:space="0" w:color="auto"/>
            </w:tcBorders>
            <w:shd w:val="clear" w:color="auto" w:fill="auto"/>
            <w:noWrap/>
            <w:vAlign w:val="bottom"/>
            <w:hideMark/>
          </w:tcPr>
          <w:p w14:paraId="1D0D0F21"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10</w:t>
            </w:r>
          </w:p>
        </w:tc>
        <w:tc>
          <w:tcPr>
            <w:tcW w:w="466" w:type="pct"/>
            <w:tcBorders>
              <w:top w:val="nil"/>
              <w:left w:val="nil"/>
              <w:bottom w:val="single" w:sz="4" w:space="0" w:color="auto"/>
              <w:right w:val="single" w:sz="4" w:space="0" w:color="auto"/>
            </w:tcBorders>
            <w:shd w:val="clear" w:color="auto" w:fill="auto"/>
            <w:noWrap/>
            <w:vAlign w:val="bottom"/>
            <w:hideMark/>
          </w:tcPr>
          <w:p w14:paraId="190A39BC"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28,57%</w:t>
            </w:r>
          </w:p>
        </w:tc>
        <w:tc>
          <w:tcPr>
            <w:tcW w:w="299" w:type="pct"/>
            <w:tcBorders>
              <w:top w:val="nil"/>
              <w:left w:val="nil"/>
              <w:bottom w:val="single" w:sz="4" w:space="0" w:color="auto"/>
              <w:right w:val="single" w:sz="4" w:space="0" w:color="auto"/>
            </w:tcBorders>
            <w:shd w:val="clear" w:color="auto" w:fill="auto"/>
            <w:noWrap/>
            <w:vAlign w:val="bottom"/>
            <w:hideMark/>
          </w:tcPr>
          <w:p w14:paraId="3855A57B"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50</w:t>
            </w:r>
          </w:p>
        </w:tc>
        <w:tc>
          <w:tcPr>
            <w:tcW w:w="466" w:type="pct"/>
            <w:tcBorders>
              <w:top w:val="nil"/>
              <w:left w:val="nil"/>
              <w:bottom w:val="single" w:sz="4" w:space="0" w:color="auto"/>
              <w:right w:val="single" w:sz="4" w:space="0" w:color="auto"/>
            </w:tcBorders>
            <w:shd w:val="clear" w:color="auto" w:fill="auto"/>
            <w:noWrap/>
            <w:vAlign w:val="bottom"/>
            <w:hideMark/>
          </w:tcPr>
          <w:p w14:paraId="48BA44C3"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27,62%</w:t>
            </w:r>
          </w:p>
        </w:tc>
        <w:tc>
          <w:tcPr>
            <w:tcW w:w="299" w:type="pct"/>
            <w:tcBorders>
              <w:top w:val="nil"/>
              <w:left w:val="nil"/>
              <w:bottom w:val="single" w:sz="4" w:space="0" w:color="auto"/>
              <w:right w:val="single" w:sz="4" w:space="0" w:color="auto"/>
            </w:tcBorders>
            <w:shd w:val="clear" w:color="auto" w:fill="auto"/>
            <w:noWrap/>
            <w:vAlign w:val="bottom"/>
            <w:hideMark/>
          </w:tcPr>
          <w:p w14:paraId="2CECC7F4"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26</w:t>
            </w:r>
          </w:p>
        </w:tc>
        <w:tc>
          <w:tcPr>
            <w:tcW w:w="466" w:type="pct"/>
            <w:tcBorders>
              <w:top w:val="nil"/>
              <w:left w:val="nil"/>
              <w:bottom w:val="single" w:sz="4" w:space="0" w:color="auto"/>
              <w:right w:val="single" w:sz="4" w:space="0" w:color="auto"/>
            </w:tcBorders>
            <w:shd w:val="clear" w:color="auto" w:fill="auto"/>
            <w:noWrap/>
            <w:vAlign w:val="bottom"/>
            <w:hideMark/>
          </w:tcPr>
          <w:p w14:paraId="12BFB0B0"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15,48%</w:t>
            </w:r>
          </w:p>
        </w:tc>
        <w:tc>
          <w:tcPr>
            <w:tcW w:w="299" w:type="pct"/>
            <w:tcBorders>
              <w:top w:val="nil"/>
              <w:left w:val="nil"/>
              <w:bottom w:val="single" w:sz="4" w:space="0" w:color="auto"/>
              <w:right w:val="single" w:sz="4" w:space="0" w:color="auto"/>
            </w:tcBorders>
            <w:shd w:val="clear" w:color="auto" w:fill="auto"/>
            <w:noWrap/>
            <w:vAlign w:val="bottom"/>
            <w:hideMark/>
          </w:tcPr>
          <w:p w14:paraId="5EEA09A1"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14</w:t>
            </w:r>
          </w:p>
        </w:tc>
        <w:tc>
          <w:tcPr>
            <w:tcW w:w="466" w:type="pct"/>
            <w:tcBorders>
              <w:top w:val="nil"/>
              <w:left w:val="nil"/>
              <w:bottom w:val="single" w:sz="4" w:space="0" w:color="auto"/>
              <w:right w:val="single" w:sz="4" w:space="0" w:color="auto"/>
            </w:tcBorders>
            <w:shd w:val="clear" w:color="auto" w:fill="auto"/>
            <w:noWrap/>
            <w:vAlign w:val="bottom"/>
            <w:hideMark/>
          </w:tcPr>
          <w:p w14:paraId="53806072"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6,19%</w:t>
            </w:r>
          </w:p>
        </w:tc>
        <w:tc>
          <w:tcPr>
            <w:tcW w:w="299" w:type="pct"/>
            <w:tcBorders>
              <w:top w:val="nil"/>
              <w:left w:val="nil"/>
              <w:bottom w:val="single" w:sz="4" w:space="0" w:color="auto"/>
              <w:right w:val="single" w:sz="4" w:space="0" w:color="auto"/>
            </w:tcBorders>
            <w:shd w:val="clear" w:color="auto" w:fill="auto"/>
            <w:noWrap/>
            <w:vAlign w:val="bottom"/>
            <w:hideMark/>
          </w:tcPr>
          <w:p w14:paraId="7F00D206"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w:t>
            </w:r>
          </w:p>
        </w:tc>
        <w:tc>
          <w:tcPr>
            <w:tcW w:w="466" w:type="pct"/>
            <w:tcBorders>
              <w:top w:val="nil"/>
              <w:left w:val="nil"/>
              <w:bottom w:val="single" w:sz="4" w:space="0" w:color="auto"/>
              <w:right w:val="single" w:sz="4" w:space="0" w:color="auto"/>
            </w:tcBorders>
            <w:shd w:val="clear" w:color="auto" w:fill="auto"/>
            <w:noWrap/>
            <w:vAlign w:val="bottom"/>
            <w:hideMark/>
          </w:tcPr>
          <w:p w14:paraId="5D861D80"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0,56%</w:t>
            </w:r>
          </w:p>
        </w:tc>
      </w:tr>
      <w:tr w:rsidR="003141B5" w:rsidRPr="003141B5" w14:paraId="5F4C25EB" w14:textId="77777777" w:rsidTr="00443473">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4BB9873E" w14:textId="77777777" w:rsidR="003141B5" w:rsidRPr="003141B5" w:rsidRDefault="003141B5" w:rsidP="003141B5">
            <w:pPr>
              <w:spacing w:after="0" w:line="240" w:lineRule="auto"/>
              <w:rPr>
                <w:rFonts w:ascii="Arial" w:eastAsia="Times New Roman" w:hAnsi="Arial" w:cs="Arial"/>
                <w:color w:val="000000"/>
                <w:sz w:val="16"/>
                <w:szCs w:val="16"/>
                <w:lang w:val="ca-ES" w:eastAsia="es-ES"/>
              </w:rPr>
            </w:pPr>
            <w:r w:rsidRPr="003141B5">
              <w:rPr>
                <w:rFonts w:ascii="Arial" w:hAnsi="Arial" w:cs="Arial"/>
                <w:sz w:val="16"/>
                <w:szCs w:val="16"/>
                <w:lang w:val="ca-ES"/>
              </w:rPr>
              <w:t>Seu electrònica</w:t>
            </w:r>
          </w:p>
        </w:tc>
        <w:tc>
          <w:tcPr>
            <w:tcW w:w="299" w:type="pct"/>
            <w:tcBorders>
              <w:top w:val="nil"/>
              <w:left w:val="nil"/>
              <w:bottom w:val="single" w:sz="4" w:space="0" w:color="auto"/>
              <w:right w:val="single" w:sz="4" w:space="0" w:color="auto"/>
            </w:tcBorders>
            <w:shd w:val="clear" w:color="auto" w:fill="auto"/>
            <w:noWrap/>
            <w:vAlign w:val="bottom"/>
            <w:hideMark/>
          </w:tcPr>
          <w:p w14:paraId="27863476"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62974BA9"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613E8675"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36B91E35"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76C899B6"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08BDDFBE"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773D42FA"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12</w:t>
            </w:r>
          </w:p>
        </w:tc>
        <w:tc>
          <w:tcPr>
            <w:tcW w:w="466" w:type="pct"/>
            <w:tcBorders>
              <w:top w:val="nil"/>
              <w:left w:val="nil"/>
              <w:bottom w:val="single" w:sz="4" w:space="0" w:color="auto"/>
              <w:right w:val="single" w:sz="4" w:space="0" w:color="auto"/>
            </w:tcBorders>
            <w:shd w:val="clear" w:color="auto" w:fill="auto"/>
            <w:noWrap/>
            <w:vAlign w:val="bottom"/>
            <w:hideMark/>
          </w:tcPr>
          <w:p w14:paraId="043F718D"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5,31%</w:t>
            </w:r>
          </w:p>
        </w:tc>
        <w:tc>
          <w:tcPr>
            <w:tcW w:w="299" w:type="pct"/>
            <w:tcBorders>
              <w:top w:val="nil"/>
              <w:left w:val="nil"/>
              <w:bottom w:val="single" w:sz="4" w:space="0" w:color="auto"/>
              <w:right w:val="single" w:sz="4" w:space="0" w:color="auto"/>
            </w:tcBorders>
            <w:shd w:val="clear" w:color="auto" w:fill="auto"/>
            <w:noWrap/>
            <w:vAlign w:val="bottom"/>
            <w:hideMark/>
          </w:tcPr>
          <w:p w14:paraId="10F3E419"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4</w:t>
            </w:r>
          </w:p>
        </w:tc>
        <w:tc>
          <w:tcPr>
            <w:tcW w:w="466" w:type="pct"/>
            <w:tcBorders>
              <w:top w:val="nil"/>
              <w:left w:val="nil"/>
              <w:bottom w:val="single" w:sz="4" w:space="0" w:color="auto"/>
              <w:right w:val="single" w:sz="4" w:space="0" w:color="auto"/>
            </w:tcBorders>
            <w:shd w:val="clear" w:color="auto" w:fill="auto"/>
            <w:noWrap/>
            <w:vAlign w:val="bottom"/>
            <w:hideMark/>
          </w:tcPr>
          <w:p w14:paraId="77825D8F"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1,11%</w:t>
            </w:r>
          </w:p>
        </w:tc>
      </w:tr>
      <w:tr w:rsidR="003141B5" w:rsidRPr="003141B5" w14:paraId="6596F89B" w14:textId="77777777" w:rsidTr="00443473">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075782AA" w14:textId="77777777" w:rsidR="003141B5" w:rsidRPr="003141B5" w:rsidRDefault="003141B5" w:rsidP="003141B5">
            <w:pPr>
              <w:spacing w:after="0" w:line="240" w:lineRule="auto"/>
              <w:rPr>
                <w:rFonts w:ascii="Arial" w:eastAsia="Times New Roman" w:hAnsi="Arial" w:cs="Arial"/>
                <w:color w:val="000000"/>
                <w:sz w:val="16"/>
                <w:szCs w:val="16"/>
                <w:lang w:val="ca-ES" w:eastAsia="es-ES"/>
              </w:rPr>
            </w:pPr>
            <w:r w:rsidRPr="003141B5">
              <w:rPr>
                <w:rFonts w:ascii="Arial" w:hAnsi="Arial" w:cs="Arial"/>
                <w:sz w:val="16"/>
                <w:szCs w:val="16"/>
                <w:lang w:val="ca-ES"/>
              </w:rPr>
              <w:t>Acta compareixença</w:t>
            </w:r>
          </w:p>
        </w:tc>
        <w:tc>
          <w:tcPr>
            <w:tcW w:w="299" w:type="pct"/>
            <w:tcBorders>
              <w:top w:val="nil"/>
              <w:left w:val="nil"/>
              <w:bottom w:val="single" w:sz="4" w:space="0" w:color="auto"/>
              <w:right w:val="single" w:sz="4" w:space="0" w:color="auto"/>
            </w:tcBorders>
            <w:shd w:val="clear" w:color="auto" w:fill="auto"/>
            <w:noWrap/>
            <w:vAlign w:val="bottom"/>
            <w:hideMark/>
          </w:tcPr>
          <w:p w14:paraId="433C6283"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7E9C229D"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46E8D7DF"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6DAE6325"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561E7A2D"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6A41F460"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7F48F384"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2</w:t>
            </w:r>
          </w:p>
        </w:tc>
        <w:tc>
          <w:tcPr>
            <w:tcW w:w="466" w:type="pct"/>
            <w:tcBorders>
              <w:top w:val="nil"/>
              <w:left w:val="nil"/>
              <w:bottom w:val="single" w:sz="4" w:space="0" w:color="auto"/>
              <w:right w:val="single" w:sz="4" w:space="0" w:color="auto"/>
            </w:tcBorders>
            <w:shd w:val="clear" w:color="auto" w:fill="auto"/>
            <w:noWrap/>
            <w:vAlign w:val="bottom"/>
            <w:hideMark/>
          </w:tcPr>
          <w:p w14:paraId="2CB31DB1"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0,88%</w:t>
            </w:r>
          </w:p>
        </w:tc>
        <w:tc>
          <w:tcPr>
            <w:tcW w:w="299" w:type="pct"/>
            <w:tcBorders>
              <w:top w:val="nil"/>
              <w:left w:val="nil"/>
              <w:bottom w:val="single" w:sz="4" w:space="0" w:color="auto"/>
              <w:right w:val="single" w:sz="4" w:space="0" w:color="auto"/>
            </w:tcBorders>
            <w:shd w:val="clear" w:color="auto" w:fill="auto"/>
            <w:noWrap/>
            <w:vAlign w:val="bottom"/>
            <w:hideMark/>
          </w:tcPr>
          <w:p w14:paraId="6E86EA30"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3</w:t>
            </w:r>
          </w:p>
        </w:tc>
        <w:tc>
          <w:tcPr>
            <w:tcW w:w="466" w:type="pct"/>
            <w:tcBorders>
              <w:top w:val="nil"/>
              <w:left w:val="nil"/>
              <w:bottom w:val="single" w:sz="4" w:space="0" w:color="auto"/>
              <w:right w:val="single" w:sz="4" w:space="0" w:color="auto"/>
            </w:tcBorders>
            <w:shd w:val="clear" w:color="auto" w:fill="auto"/>
            <w:noWrap/>
            <w:vAlign w:val="bottom"/>
            <w:hideMark/>
          </w:tcPr>
          <w:p w14:paraId="48D319F0"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0,84%</w:t>
            </w:r>
          </w:p>
        </w:tc>
      </w:tr>
      <w:tr w:rsidR="003141B5" w:rsidRPr="003141B5" w14:paraId="69275B9A" w14:textId="77777777" w:rsidTr="00443473">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6BCC4C24" w14:textId="77777777" w:rsidR="003141B5" w:rsidRPr="003141B5" w:rsidRDefault="003141B5" w:rsidP="003141B5">
            <w:pPr>
              <w:spacing w:after="0" w:line="240" w:lineRule="auto"/>
              <w:rPr>
                <w:rFonts w:ascii="Arial" w:eastAsia="Times New Roman" w:hAnsi="Arial" w:cs="Arial"/>
                <w:color w:val="000000"/>
                <w:sz w:val="16"/>
                <w:szCs w:val="16"/>
                <w:lang w:val="ca-ES" w:eastAsia="es-ES"/>
              </w:rPr>
            </w:pPr>
            <w:r w:rsidRPr="003141B5">
              <w:rPr>
                <w:rFonts w:ascii="Arial" w:hAnsi="Arial" w:cs="Arial"/>
                <w:sz w:val="16"/>
                <w:szCs w:val="16"/>
                <w:lang w:val="ca-ES"/>
              </w:rPr>
              <w:t>Oberts d'ofici/altres</w:t>
            </w:r>
          </w:p>
        </w:tc>
        <w:tc>
          <w:tcPr>
            <w:tcW w:w="299" w:type="pct"/>
            <w:tcBorders>
              <w:top w:val="nil"/>
              <w:left w:val="nil"/>
              <w:bottom w:val="single" w:sz="4" w:space="0" w:color="auto"/>
              <w:right w:val="single" w:sz="4" w:space="0" w:color="auto"/>
            </w:tcBorders>
            <w:shd w:val="clear" w:color="auto" w:fill="auto"/>
            <w:noWrap/>
            <w:vAlign w:val="bottom"/>
            <w:hideMark/>
          </w:tcPr>
          <w:p w14:paraId="1791E842"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5387E419"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1F466ECC"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6C15482C"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077EA571"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209D916E"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57E0F756"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4</w:t>
            </w:r>
          </w:p>
        </w:tc>
        <w:tc>
          <w:tcPr>
            <w:tcW w:w="466" w:type="pct"/>
            <w:tcBorders>
              <w:top w:val="nil"/>
              <w:left w:val="nil"/>
              <w:bottom w:val="single" w:sz="4" w:space="0" w:color="auto"/>
              <w:right w:val="single" w:sz="4" w:space="0" w:color="auto"/>
            </w:tcBorders>
            <w:shd w:val="clear" w:color="auto" w:fill="auto"/>
            <w:noWrap/>
            <w:vAlign w:val="bottom"/>
            <w:hideMark/>
          </w:tcPr>
          <w:p w14:paraId="6C7D77EE"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1,77%</w:t>
            </w:r>
          </w:p>
        </w:tc>
        <w:tc>
          <w:tcPr>
            <w:tcW w:w="299" w:type="pct"/>
            <w:tcBorders>
              <w:top w:val="nil"/>
              <w:left w:val="nil"/>
              <w:bottom w:val="single" w:sz="4" w:space="0" w:color="auto"/>
              <w:right w:val="single" w:sz="4" w:space="0" w:color="auto"/>
            </w:tcBorders>
            <w:shd w:val="clear" w:color="auto" w:fill="auto"/>
            <w:noWrap/>
            <w:vAlign w:val="bottom"/>
            <w:hideMark/>
          </w:tcPr>
          <w:p w14:paraId="246ECF90"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4</w:t>
            </w:r>
          </w:p>
        </w:tc>
        <w:tc>
          <w:tcPr>
            <w:tcW w:w="466" w:type="pct"/>
            <w:tcBorders>
              <w:top w:val="nil"/>
              <w:left w:val="nil"/>
              <w:bottom w:val="single" w:sz="4" w:space="0" w:color="auto"/>
              <w:right w:val="single" w:sz="4" w:space="0" w:color="auto"/>
            </w:tcBorders>
            <w:shd w:val="clear" w:color="auto" w:fill="auto"/>
            <w:noWrap/>
            <w:vAlign w:val="bottom"/>
            <w:hideMark/>
          </w:tcPr>
          <w:p w14:paraId="4A1D8295" w14:textId="77777777" w:rsidR="003141B5" w:rsidRPr="003141B5" w:rsidRDefault="003141B5" w:rsidP="003141B5">
            <w:pPr>
              <w:spacing w:after="0" w:line="240" w:lineRule="auto"/>
              <w:jc w:val="center"/>
              <w:rPr>
                <w:rFonts w:ascii="Arial" w:eastAsia="Times New Roman" w:hAnsi="Arial" w:cs="Arial"/>
                <w:color w:val="000000"/>
                <w:sz w:val="16"/>
                <w:szCs w:val="16"/>
                <w:lang w:val="ca-ES" w:eastAsia="es-ES"/>
              </w:rPr>
            </w:pPr>
            <w:r w:rsidRPr="003141B5">
              <w:rPr>
                <w:rFonts w:ascii="Arial" w:eastAsia="Times New Roman" w:hAnsi="Arial" w:cs="Arial"/>
                <w:color w:val="000000"/>
                <w:sz w:val="16"/>
                <w:szCs w:val="16"/>
                <w:lang w:val="ca-ES" w:eastAsia="es-ES"/>
              </w:rPr>
              <w:t>1,11%</w:t>
            </w:r>
          </w:p>
        </w:tc>
      </w:tr>
      <w:tr w:rsidR="003141B5" w:rsidRPr="003141B5" w14:paraId="53925E2A" w14:textId="77777777" w:rsidTr="00443473">
        <w:trPr>
          <w:trHeight w:val="360"/>
        </w:trPr>
        <w:tc>
          <w:tcPr>
            <w:tcW w:w="1174" w:type="pct"/>
            <w:tcBorders>
              <w:top w:val="nil"/>
              <w:left w:val="single" w:sz="8" w:space="0" w:color="auto"/>
              <w:bottom w:val="single" w:sz="8" w:space="0" w:color="auto"/>
              <w:right w:val="single" w:sz="4" w:space="0" w:color="auto"/>
            </w:tcBorders>
            <w:shd w:val="clear" w:color="auto" w:fill="auto"/>
            <w:noWrap/>
            <w:vAlign w:val="bottom"/>
            <w:hideMark/>
          </w:tcPr>
          <w:p w14:paraId="25F21C1B" w14:textId="77777777" w:rsidR="003141B5" w:rsidRPr="003141B5" w:rsidRDefault="003141B5" w:rsidP="003141B5">
            <w:pPr>
              <w:spacing w:after="0" w:line="240" w:lineRule="auto"/>
              <w:jc w:val="right"/>
              <w:rPr>
                <w:rFonts w:ascii="Arial" w:eastAsia="Times New Roman" w:hAnsi="Arial" w:cs="Arial"/>
                <w:b/>
                <w:bCs/>
                <w:color w:val="9D2235"/>
                <w:sz w:val="16"/>
                <w:szCs w:val="16"/>
                <w:lang w:val="ca-ES" w:eastAsia="es-ES"/>
              </w:rPr>
            </w:pPr>
            <w:r w:rsidRPr="003141B5">
              <w:rPr>
                <w:rFonts w:ascii="Arial" w:eastAsia="Times New Roman" w:hAnsi="Arial" w:cs="Arial"/>
                <w:b/>
                <w:bCs/>
                <w:color w:val="9D2235"/>
                <w:sz w:val="16"/>
                <w:szCs w:val="16"/>
                <w:lang w:val="ca-ES" w:eastAsia="es-ES"/>
              </w:rPr>
              <w:t>TOTAL</w:t>
            </w:r>
          </w:p>
        </w:tc>
        <w:tc>
          <w:tcPr>
            <w:tcW w:w="299" w:type="pct"/>
            <w:tcBorders>
              <w:top w:val="nil"/>
              <w:left w:val="nil"/>
              <w:bottom w:val="single" w:sz="8" w:space="0" w:color="auto"/>
              <w:right w:val="single" w:sz="4" w:space="0" w:color="auto"/>
            </w:tcBorders>
            <w:shd w:val="clear" w:color="auto" w:fill="auto"/>
            <w:noWrap/>
            <w:vAlign w:val="bottom"/>
            <w:hideMark/>
          </w:tcPr>
          <w:p w14:paraId="542D06A2"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35</w:t>
            </w:r>
          </w:p>
        </w:tc>
        <w:tc>
          <w:tcPr>
            <w:tcW w:w="466" w:type="pct"/>
            <w:tcBorders>
              <w:top w:val="nil"/>
              <w:left w:val="nil"/>
              <w:bottom w:val="single" w:sz="8" w:space="0" w:color="auto"/>
              <w:right w:val="single" w:sz="4" w:space="0" w:color="auto"/>
            </w:tcBorders>
            <w:shd w:val="clear" w:color="auto" w:fill="auto"/>
            <w:noWrap/>
            <w:vAlign w:val="bottom"/>
            <w:hideMark/>
          </w:tcPr>
          <w:p w14:paraId="5E6451FC"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100,00%</w:t>
            </w:r>
          </w:p>
        </w:tc>
        <w:tc>
          <w:tcPr>
            <w:tcW w:w="299" w:type="pct"/>
            <w:tcBorders>
              <w:top w:val="nil"/>
              <w:left w:val="nil"/>
              <w:bottom w:val="single" w:sz="8" w:space="0" w:color="auto"/>
              <w:right w:val="single" w:sz="4" w:space="0" w:color="auto"/>
            </w:tcBorders>
            <w:shd w:val="clear" w:color="auto" w:fill="auto"/>
            <w:noWrap/>
            <w:vAlign w:val="bottom"/>
            <w:hideMark/>
          </w:tcPr>
          <w:p w14:paraId="49AA2848"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181</w:t>
            </w:r>
          </w:p>
        </w:tc>
        <w:tc>
          <w:tcPr>
            <w:tcW w:w="466" w:type="pct"/>
            <w:tcBorders>
              <w:top w:val="nil"/>
              <w:left w:val="nil"/>
              <w:bottom w:val="single" w:sz="8" w:space="0" w:color="auto"/>
              <w:right w:val="single" w:sz="4" w:space="0" w:color="auto"/>
            </w:tcBorders>
            <w:shd w:val="clear" w:color="auto" w:fill="auto"/>
            <w:noWrap/>
            <w:vAlign w:val="bottom"/>
            <w:hideMark/>
          </w:tcPr>
          <w:p w14:paraId="1FD8360A"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100,00%</w:t>
            </w:r>
          </w:p>
        </w:tc>
        <w:tc>
          <w:tcPr>
            <w:tcW w:w="299" w:type="pct"/>
            <w:tcBorders>
              <w:top w:val="nil"/>
              <w:left w:val="nil"/>
              <w:bottom w:val="single" w:sz="8" w:space="0" w:color="auto"/>
              <w:right w:val="single" w:sz="4" w:space="0" w:color="auto"/>
            </w:tcBorders>
            <w:shd w:val="clear" w:color="auto" w:fill="auto"/>
            <w:noWrap/>
            <w:vAlign w:val="bottom"/>
            <w:hideMark/>
          </w:tcPr>
          <w:p w14:paraId="449DD5FB"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168</w:t>
            </w:r>
          </w:p>
        </w:tc>
        <w:tc>
          <w:tcPr>
            <w:tcW w:w="466" w:type="pct"/>
            <w:tcBorders>
              <w:top w:val="nil"/>
              <w:left w:val="nil"/>
              <w:bottom w:val="single" w:sz="8" w:space="0" w:color="auto"/>
              <w:right w:val="single" w:sz="4" w:space="0" w:color="auto"/>
            </w:tcBorders>
            <w:shd w:val="clear" w:color="auto" w:fill="auto"/>
            <w:noWrap/>
            <w:vAlign w:val="bottom"/>
            <w:hideMark/>
          </w:tcPr>
          <w:p w14:paraId="7626C86F"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100,00%</w:t>
            </w:r>
          </w:p>
        </w:tc>
        <w:tc>
          <w:tcPr>
            <w:tcW w:w="299" w:type="pct"/>
            <w:tcBorders>
              <w:top w:val="nil"/>
              <w:left w:val="nil"/>
              <w:bottom w:val="single" w:sz="8" w:space="0" w:color="auto"/>
              <w:right w:val="single" w:sz="4" w:space="0" w:color="auto"/>
            </w:tcBorders>
            <w:shd w:val="clear" w:color="auto" w:fill="auto"/>
            <w:noWrap/>
            <w:vAlign w:val="bottom"/>
            <w:hideMark/>
          </w:tcPr>
          <w:p w14:paraId="48E44AC0"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226</w:t>
            </w:r>
          </w:p>
        </w:tc>
        <w:tc>
          <w:tcPr>
            <w:tcW w:w="466" w:type="pct"/>
            <w:tcBorders>
              <w:top w:val="nil"/>
              <w:left w:val="nil"/>
              <w:bottom w:val="single" w:sz="8" w:space="0" w:color="auto"/>
              <w:right w:val="single" w:sz="4" w:space="0" w:color="auto"/>
            </w:tcBorders>
            <w:shd w:val="clear" w:color="auto" w:fill="auto"/>
            <w:noWrap/>
            <w:vAlign w:val="bottom"/>
            <w:hideMark/>
          </w:tcPr>
          <w:p w14:paraId="79148E79"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100,00%</w:t>
            </w:r>
          </w:p>
        </w:tc>
        <w:tc>
          <w:tcPr>
            <w:tcW w:w="299" w:type="pct"/>
            <w:tcBorders>
              <w:top w:val="nil"/>
              <w:left w:val="nil"/>
              <w:bottom w:val="single" w:sz="8" w:space="0" w:color="auto"/>
              <w:right w:val="single" w:sz="4" w:space="0" w:color="auto"/>
            </w:tcBorders>
            <w:shd w:val="clear" w:color="auto" w:fill="auto"/>
            <w:noWrap/>
            <w:vAlign w:val="bottom"/>
            <w:hideMark/>
          </w:tcPr>
          <w:p w14:paraId="24AAB949"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359</w:t>
            </w:r>
          </w:p>
        </w:tc>
        <w:tc>
          <w:tcPr>
            <w:tcW w:w="466" w:type="pct"/>
            <w:tcBorders>
              <w:top w:val="nil"/>
              <w:left w:val="nil"/>
              <w:bottom w:val="single" w:sz="8" w:space="0" w:color="auto"/>
              <w:right w:val="single" w:sz="4" w:space="0" w:color="auto"/>
            </w:tcBorders>
            <w:shd w:val="clear" w:color="auto" w:fill="auto"/>
            <w:noWrap/>
            <w:vAlign w:val="bottom"/>
            <w:hideMark/>
          </w:tcPr>
          <w:p w14:paraId="4492ECC7" w14:textId="77777777" w:rsidR="003141B5" w:rsidRPr="003141B5" w:rsidRDefault="003141B5" w:rsidP="003141B5">
            <w:pPr>
              <w:spacing w:after="0" w:line="240" w:lineRule="auto"/>
              <w:jc w:val="center"/>
              <w:rPr>
                <w:rFonts w:ascii="Arial" w:eastAsia="Times New Roman" w:hAnsi="Arial" w:cs="Arial"/>
                <w:b/>
                <w:bCs/>
                <w:color w:val="000000"/>
                <w:sz w:val="16"/>
                <w:szCs w:val="16"/>
                <w:lang w:val="ca-ES" w:eastAsia="es-ES"/>
              </w:rPr>
            </w:pPr>
            <w:r w:rsidRPr="003141B5">
              <w:rPr>
                <w:rFonts w:ascii="Arial" w:eastAsia="Times New Roman" w:hAnsi="Arial" w:cs="Arial"/>
                <w:b/>
                <w:bCs/>
                <w:color w:val="000000"/>
                <w:sz w:val="16"/>
                <w:szCs w:val="16"/>
                <w:lang w:val="ca-ES" w:eastAsia="es-ES"/>
              </w:rPr>
              <w:t>100,00%</w:t>
            </w:r>
          </w:p>
        </w:tc>
      </w:tr>
    </w:tbl>
    <w:p w14:paraId="5911C546" w14:textId="19C9E7E6" w:rsidR="008F6CB1" w:rsidRDefault="008F6CB1" w:rsidP="003141B5">
      <w:pPr>
        <w:spacing w:after="120" w:line="276" w:lineRule="auto"/>
        <w:jc w:val="both"/>
        <w:rPr>
          <w:rFonts w:ascii="Arial" w:eastAsia="Times New Roman" w:hAnsi="Arial" w:cs="Arial"/>
          <w:color w:val="000000"/>
          <w:sz w:val="21"/>
          <w:szCs w:val="21"/>
        </w:rPr>
      </w:pPr>
    </w:p>
    <w:p w14:paraId="491DEBE2" w14:textId="77777777" w:rsidR="003141B5" w:rsidRDefault="003141B5" w:rsidP="0018217D">
      <w:pPr>
        <w:keepNext/>
        <w:spacing w:after="120" w:line="276" w:lineRule="auto"/>
        <w:jc w:val="center"/>
      </w:pPr>
      <w:r w:rsidRPr="001E45F9">
        <w:rPr>
          <w:noProof/>
          <w:lang w:val="ca-ES"/>
        </w:rPr>
        <w:drawing>
          <wp:inline distT="0" distB="0" distL="0" distR="0" wp14:anchorId="321070CD" wp14:editId="3071D2AB">
            <wp:extent cx="5400040" cy="3488055"/>
            <wp:effectExtent l="0" t="0" r="10160" b="17145"/>
            <wp:docPr id="77" name="Gráfico 77">
              <a:extLst xmlns:a="http://schemas.openxmlformats.org/drawingml/2006/main">
                <a:ext uri="{FF2B5EF4-FFF2-40B4-BE49-F238E27FC236}">
                  <a16:creationId xmlns:a16="http://schemas.microsoft.com/office/drawing/2014/main" id="{3CF895D8-ECE5-472F-A36C-13B21A1728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4"/>
              </a:graphicData>
            </a:graphic>
          </wp:inline>
        </w:drawing>
      </w:r>
    </w:p>
    <w:p w14:paraId="71D21162" w14:textId="3022F0FB" w:rsidR="008F6CB1" w:rsidRPr="003141B5" w:rsidRDefault="003141B5" w:rsidP="003141B5">
      <w:pPr>
        <w:pStyle w:val="Descripcin"/>
        <w:jc w:val="center"/>
        <w:rPr>
          <w:rFonts w:ascii="Arial" w:eastAsia="Times New Roman" w:hAnsi="Arial" w:cs="Arial"/>
          <w:smallCaps w:val="0"/>
          <w:color w:val="000000"/>
          <w:sz w:val="18"/>
          <w:szCs w:val="18"/>
        </w:rPr>
      </w:pPr>
      <w:bookmarkStart w:id="160" w:name="_Toc99110974"/>
      <w:r w:rsidRPr="003141B5">
        <w:rPr>
          <w:rFonts w:ascii="Arial" w:hAnsi="Arial" w:cs="Arial"/>
          <w:smallCaps w:val="0"/>
          <w:color w:val="9D2235" w:themeColor="accent1"/>
          <w:sz w:val="18"/>
          <w:szCs w:val="18"/>
        </w:rPr>
        <w:t xml:space="preserve">Gràfic </w:t>
      </w:r>
      <w:r w:rsidRPr="003141B5">
        <w:rPr>
          <w:rFonts w:ascii="Arial" w:hAnsi="Arial" w:cs="Arial"/>
          <w:smallCaps w:val="0"/>
          <w:color w:val="9D2235" w:themeColor="accent1"/>
          <w:sz w:val="18"/>
          <w:szCs w:val="18"/>
        </w:rPr>
        <w:fldChar w:fldCharType="begin" w:fldLock="1"/>
      </w:r>
      <w:r w:rsidRPr="003141B5">
        <w:rPr>
          <w:rFonts w:ascii="Arial" w:hAnsi="Arial" w:cs="Arial"/>
          <w:smallCaps w:val="0"/>
          <w:color w:val="9D2235" w:themeColor="accent1"/>
          <w:sz w:val="18"/>
          <w:szCs w:val="18"/>
        </w:rPr>
        <w:instrText xml:space="preserve"> SEQ Gràfic \* ARABIC </w:instrText>
      </w:r>
      <w:r w:rsidRPr="003141B5">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15</w:t>
      </w:r>
      <w:r w:rsidRPr="003141B5">
        <w:rPr>
          <w:rFonts w:ascii="Arial" w:hAnsi="Arial" w:cs="Arial"/>
          <w:smallCaps w:val="0"/>
          <w:color w:val="9D2235" w:themeColor="accent1"/>
          <w:sz w:val="18"/>
          <w:szCs w:val="18"/>
        </w:rPr>
        <w:fldChar w:fldCharType="end"/>
      </w:r>
      <w:r w:rsidRPr="003141B5">
        <w:rPr>
          <w:rFonts w:ascii="Arial" w:hAnsi="Arial" w:cs="Arial"/>
          <w:smallCaps w:val="0"/>
          <w:color w:val="9D2235" w:themeColor="accent1"/>
          <w:sz w:val="18"/>
          <w:szCs w:val="18"/>
        </w:rPr>
        <w:t xml:space="preserve">. </w:t>
      </w:r>
      <w:r w:rsidRPr="003141B5">
        <w:rPr>
          <w:rFonts w:ascii="Arial" w:hAnsi="Arial" w:cs="Arial"/>
          <w:smallCaps w:val="0"/>
          <w:sz w:val="18"/>
          <w:szCs w:val="18"/>
        </w:rPr>
        <w:t>Denúncies presentades segons el canal de comunicació</w:t>
      </w:r>
      <w:bookmarkEnd w:id="160"/>
    </w:p>
    <w:p w14:paraId="30F61BEF" w14:textId="2EFAA28F" w:rsidR="008F6CB1" w:rsidRPr="003141B5" w:rsidRDefault="003141B5" w:rsidP="00800B7A">
      <w:pPr>
        <w:spacing w:after="240" w:line="276" w:lineRule="auto"/>
        <w:jc w:val="both"/>
        <w:rPr>
          <w:rFonts w:ascii="Arial" w:eastAsia="Times New Roman" w:hAnsi="Arial" w:cs="Arial"/>
          <w:color w:val="000000"/>
          <w:sz w:val="21"/>
          <w:szCs w:val="21"/>
        </w:rPr>
      </w:pPr>
      <w:r w:rsidRPr="003141B5">
        <w:rPr>
          <w:rFonts w:ascii="Arial" w:eastAsia="Times New Roman" w:hAnsi="Arial" w:cs="Arial"/>
          <w:color w:val="000000"/>
          <w:sz w:val="21"/>
          <w:szCs w:val="21"/>
        </w:rPr>
        <w:t>L'evolució, mostra la generalització de la utilització de la bústia de denúncies de l'Agència per a la formulació de comunicacions i presentació de denúncies. Passant en 2018, des de la seua creació i posada en funcionament en abril-maig de 2018, a representar el canal d'entrada del 54% de les denúncies, arribant en 2019 al 76%, en 2020 aconseguint el 85% i en 2021 representar el 89% de les denúncies, per la qual cosa es pot afirmar que aproximadament 9 de cada 10 denúncies es presenten per la bústia de denúncies de l'Agència. Les facilitats d'ús i els estàndards de seguretat i confidencialitat que la mateixa proporciona, no poden ser aconseguits per les altres vies contemplades per a la presentació de denúncies i comunicacions, la qual cosa justifica l'augment exponencial en l'ús preferent d'este canal per a la presentació de denúncies.</w:t>
      </w:r>
    </w:p>
    <w:p w14:paraId="3328F1B2" w14:textId="4281022B" w:rsidR="0018217D" w:rsidRPr="0018217D" w:rsidRDefault="0018217D" w:rsidP="0018217D">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lang w:val="ca-ES"/>
        </w:rPr>
      </w:pPr>
      <w:bookmarkStart w:id="161" w:name="_Toc95913836"/>
      <w:bookmarkStart w:id="162" w:name="_Toc99110719"/>
      <w:r w:rsidRPr="0018217D">
        <w:rPr>
          <w:rFonts w:ascii="Arial" w:eastAsia="Times New Roman" w:hAnsi="Arial" w:cs="Arial"/>
          <w:b/>
          <w:color w:val="9D2235"/>
          <w:sz w:val="28"/>
          <w:szCs w:val="28"/>
          <w:lang w:val="ca-ES"/>
        </w:rPr>
        <w:t>Denúncies presentades segons el territori d’afec</w:t>
      </w:r>
      <w:r w:rsidR="00AE24EC">
        <w:rPr>
          <w:rFonts w:ascii="Arial" w:eastAsia="Times New Roman" w:hAnsi="Arial" w:cs="Arial"/>
          <w:b/>
          <w:color w:val="9D2235"/>
          <w:sz w:val="28"/>
          <w:szCs w:val="28"/>
          <w:lang w:val="ca-ES"/>
        </w:rPr>
        <w:t>ta</w:t>
      </w:r>
      <w:r w:rsidRPr="0018217D">
        <w:rPr>
          <w:rFonts w:ascii="Arial" w:eastAsia="Times New Roman" w:hAnsi="Arial" w:cs="Arial"/>
          <w:b/>
          <w:color w:val="9D2235"/>
          <w:sz w:val="28"/>
          <w:szCs w:val="28"/>
          <w:lang w:val="ca-ES"/>
        </w:rPr>
        <w:t>ció</w:t>
      </w:r>
      <w:bookmarkEnd w:id="161"/>
      <w:bookmarkEnd w:id="162"/>
    </w:p>
    <w:p w14:paraId="7DC15A59" w14:textId="44CCFB87" w:rsidR="008F6CB1" w:rsidRPr="0018217D" w:rsidRDefault="0018217D" w:rsidP="0018217D">
      <w:pPr>
        <w:spacing w:after="240" w:line="276" w:lineRule="auto"/>
        <w:jc w:val="both"/>
        <w:rPr>
          <w:rFonts w:ascii="Arial" w:eastAsia="Times New Roman" w:hAnsi="Arial" w:cs="Arial"/>
          <w:color w:val="000000"/>
          <w:sz w:val="21"/>
          <w:szCs w:val="21"/>
        </w:rPr>
      </w:pPr>
      <w:r w:rsidRPr="0018217D">
        <w:rPr>
          <w:rFonts w:ascii="Arial" w:eastAsia="Times New Roman" w:hAnsi="Arial" w:cs="Arial"/>
          <w:color w:val="000000"/>
          <w:sz w:val="21"/>
          <w:szCs w:val="21"/>
        </w:rPr>
        <w:t>Contempla la classificació de les denúncies presentades segons el territori on s'ubica l'administració concretament denunciada, realitzant la classificació per províncies o, en cas d'afectar unes quantes províncies, fent referència a la totalitat de la Comunitat Valenciana, que a més aglutina les denúncies presentades per actuacions de la Generalitat i el seu sector instrumental.</w:t>
      </w:r>
    </w:p>
    <w:p w14:paraId="7A520D06" w14:textId="43A81EC9" w:rsidR="0018217D" w:rsidRPr="0018217D" w:rsidRDefault="0018217D" w:rsidP="0018217D">
      <w:pPr>
        <w:pStyle w:val="Descripcin"/>
        <w:keepNext/>
        <w:rPr>
          <w:rFonts w:ascii="Arial" w:hAnsi="Arial" w:cs="Arial"/>
          <w:smallCaps w:val="0"/>
          <w:sz w:val="18"/>
          <w:szCs w:val="18"/>
        </w:rPr>
      </w:pPr>
      <w:bookmarkStart w:id="163" w:name="_Toc99110856"/>
      <w:r w:rsidRPr="0018217D">
        <w:rPr>
          <w:rFonts w:ascii="Arial" w:hAnsi="Arial" w:cs="Arial"/>
          <w:smallCaps w:val="0"/>
          <w:color w:val="9D2235" w:themeColor="accent1"/>
          <w:sz w:val="18"/>
          <w:szCs w:val="18"/>
        </w:rPr>
        <w:t xml:space="preserve">Taula </w:t>
      </w:r>
      <w:r w:rsidRPr="0018217D">
        <w:rPr>
          <w:rFonts w:ascii="Arial" w:hAnsi="Arial" w:cs="Arial"/>
          <w:smallCaps w:val="0"/>
          <w:color w:val="9D2235" w:themeColor="accent1"/>
          <w:sz w:val="18"/>
          <w:szCs w:val="18"/>
        </w:rPr>
        <w:fldChar w:fldCharType="begin" w:fldLock="1"/>
      </w:r>
      <w:r w:rsidRPr="0018217D">
        <w:rPr>
          <w:rFonts w:ascii="Arial" w:hAnsi="Arial" w:cs="Arial"/>
          <w:smallCaps w:val="0"/>
          <w:color w:val="9D2235" w:themeColor="accent1"/>
          <w:sz w:val="18"/>
          <w:szCs w:val="18"/>
        </w:rPr>
        <w:instrText xml:space="preserve"> SEQ Taula \* ARABIC </w:instrText>
      </w:r>
      <w:r w:rsidRPr="0018217D">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11</w:t>
      </w:r>
      <w:r w:rsidRPr="0018217D">
        <w:rPr>
          <w:rFonts w:ascii="Arial" w:hAnsi="Arial" w:cs="Arial"/>
          <w:smallCaps w:val="0"/>
          <w:color w:val="9D2235" w:themeColor="accent1"/>
          <w:sz w:val="18"/>
          <w:szCs w:val="18"/>
        </w:rPr>
        <w:fldChar w:fldCharType="end"/>
      </w:r>
      <w:r w:rsidRPr="0018217D">
        <w:rPr>
          <w:rFonts w:ascii="Arial" w:hAnsi="Arial" w:cs="Arial"/>
          <w:smallCaps w:val="0"/>
          <w:color w:val="9D2235" w:themeColor="accent1"/>
          <w:sz w:val="18"/>
          <w:szCs w:val="18"/>
        </w:rPr>
        <w:t xml:space="preserve">. </w:t>
      </w:r>
      <w:r w:rsidRPr="0018217D">
        <w:rPr>
          <w:rFonts w:ascii="Arial" w:hAnsi="Arial" w:cs="Arial"/>
          <w:smallCaps w:val="0"/>
          <w:sz w:val="18"/>
          <w:szCs w:val="18"/>
        </w:rPr>
        <w:t>Denúncies presentades segons el territori d'afec</w:t>
      </w:r>
      <w:r w:rsidR="00AE24EC">
        <w:rPr>
          <w:rFonts w:ascii="Arial" w:hAnsi="Arial" w:cs="Arial"/>
          <w:smallCaps w:val="0"/>
          <w:sz w:val="18"/>
          <w:szCs w:val="18"/>
        </w:rPr>
        <w:t>ta</w:t>
      </w:r>
      <w:r w:rsidRPr="0018217D">
        <w:rPr>
          <w:rFonts w:ascii="Arial" w:hAnsi="Arial" w:cs="Arial"/>
          <w:smallCaps w:val="0"/>
          <w:sz w:val="18"/>
          <w:szCs w:val="18"/>
        </w:rPr>
        <w:t>ció</w:t>
      </w:r>
      <w:bookmarkEnd w:id="163"/>
    </w:p>
    <w:tbl>
      <w:tblPr>
        <w:tblW w:w="5000" w:type="pct"/>
        <w:tblCellMar>
          <w:left w:w="70" w:type="dxa"/>
          <w:right w:w="70" w:type="dxa"/>
        </w:tblCellMar>
        <w:tblLook w:val="04A0" w:firstRow="1" w:lastRow="0" w:firstColumn="1" w:lastColumn="0" w:noHBand="0" w:noVBand="1"/>
      </w:tblPr>
      <w:tblGrid>
        <w:gridCol w:w="1858"/>
        <w:gridCol w:w="324"/>
        <w:gridCol w:w="897"/>
        <w:gridCol w:w="469"/>
        <w:gridCol w:w="894"/>
        <w:gridCol w:w="455"/>
        <w:gridCol w:w="871"/>
        <w:gridCol w:w="469"/>
        <w:gridCol w:w="894"/>
        <w:gridCol w:w="469"/>
        <w:gridCol w:w="894"/>
      </w:tblGrid>
      <w:tr w:rsidR="0018217D" w:rsidRPr="0018217D" w14:paraId="0DA5E1E7" w14:textId="77777777" w:rsidTr="0018217D">
        <w:trPr>
          <w:trHeight w:val="300"/>
        </w:trPr>
        <w:tc>
          <w:tcPr>
            <w:tcW w:w="1094" w:type="pct"/>
            <w:vMerge w:val="restart"/>
            <w:tcBorders>
              <w:top w:val="single" w:sz="4" w:space="0" w:color="auto"/>
              <w:left w:val="single" w:sz="4" w:space="0" w:color="auto"/>
              <w:bottom w:val="single" w:sz="4" w:space="0" w:color="000000"/>
              <w:right w:val="single" w:sz="4" w:space="0" w:color="auto"/>
            </w:tcBorders>
            <w:shd w:val="clear" w:color="000000" w:fill="B6A39A"/>
            <w:noWrap/>
            <w:vAlign w:val="center"/>
            <w:hideMark/>
          </w:tcPr>
          <w:p w14:paraId="036FC721" w14:textId="77777777" w:rsidR="0018217D" w:rsidRPr="0018217D" w:rsidRDefault="0018217D" w:rsidP="0018217D">
            <w:pPr>
              <w:spacing w:after="0" w:line="240" w:lineRule="auto"/>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ÀMBIT TERRITORIAL</w:t>
            </w:r>
          </w:p>
        </w:tc>
        <w:tc>
          <w:tcPr>
            <w:tcW w:w="719"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7236E8E5"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2017</w:t>
            </w:r>
          </w:p>
        </w:tc>
        <w:tc>
          <w:tcPr>
            <w:tcW w:w="802"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3F9183F7"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2018</w:t>
            </w:r>
          </w:p>
        </w:tc>
        <w:tc>
          <w:tcPr>
            <w:tcW w:w="781"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4C806E6D"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2019</w:t>
            </w:r>
          </w:p>
        </w:tc>
        <w:tc>
          <w:tcPr>
            <w:tcW w:w="802"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76192150"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2020</w:t>
            </w:r>
          </w:p>
        </w:tc>
        <w:tc>
          <w:tcPr>
            <w:tcW w:w="802"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3D1FF279"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2021</w:t>
            </w:r>
          </w:p>
        </w:tc>
      </w:tr>
      <w:tr w:rsidR="0018217D" w:rsidRPr="0018217D" w14:paraId="299EBF5A" w14:textId="77777777" w:rsidTr="0018217D">
        <w:trPr>
          <w:trHeight w:val="300"/>
        </w:trPr>
        <w:tc>
          <w:tcPr>
            <w:tcW w:w="1094" w:type="pct"/>
            <w:vMerge/>
            <w:tcBorders>
              <w:top w:val="single" w:sz="4" w:space="0" w:color="auto"/>
              <w:left w:val="single" w:sz="4" w:space="0" w:color="auto"/>
              <w:bottom w:val="single" w:sz="4" w:space="0" w:color="000000"/>
              <w:right w:val="single" w:sz="4" w:space="0" w:color="auto"/>
            </w:tcBorders>
            <w:vAlign w:val="center"/>
            <w:hideMark/>
          </w:tcPr>
          <w:p w14:paraId="2FD81B82" w14:textId="77777777" w:rsidR="0018217D" w:rsidRPr="0018217D" w:rsidRDefault="0018217D" w:rsidP="0018217D">
            <w:pPr>
              <w:spacing w:after="0" w:line="240" w:lineRule="auto"/>
              <w:rPr>
                <w:rFonts w:ascii="Arial" w:eastAsia="Times New Roman" w:hAnsi="Arial" w:cs="Arial"/>
                <w:b/>
                <w:bCs/>
                <w:color w:val="000000"/>
                <w:sz w:val="16"/>
                <w:szCs w:val="16"/>
                <w:lang w:val="ca-ES" w:eastAsia="es-ES"/>
              </w:rPr>
            </w:pPr>
          </w:p>
        </w:tc>
        <w:tc>
          <w:tcPr>
            <w:tcW w:w="191" w:type="pct"/>
            <w:tcBorders>
              <w:top w:val="nil"/>
              <w:left w:val="nil"/>
              <w:bottom w:val="single" w:sz="4" w:space="0" w:color="auto"/>
              <w:right w:val="single" w:sz="4" w:space="0" w:color="auto"/>
            </w:tcBorders>
            <w:shd w:val="clear" w:color="000000" w:fill="B6A39A"/>
            <w:noWrap/>
            <w:vAlign w:val="bottom"/>
            <w:hideMark/>
          </w:tcPr>
          <w:p w14:paraId="10A413BC"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 </w:t>
            </w:r>
          </w:p>
        </w:tc>
        <w:tc>
          <w:tcPr>
            <w:tcW w:w="528" w:type="pct"/>
            <w:tcBorders>
              <w:top w:val="nil"/>
              <w:left w:val="nil"/>
              <w:bottom w:val="single" w:sz="4" w:space="0" w:color="auto"/>
              <w:right w:val="single" w:sz="4" w:space="0" w:color="auto"/>
            </w:tcBorders>
            <w:shd w:val="clear" w:color="000000" w:fill="B6A39A"/>
            <w:noWrap/>
            <w:vAlign w:val="bottom"/>
            <w:hideMark/>
          </w:tcPr>
          <w:p w14:paraId="0195CE0B"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w:t>
            </w:r>
          </w:p>
        </w:tc>
        <w:tc>
          <w:tcPr>
            <w:tcW w:w="276" w:type="pct"/>
            <w:tcBorders>
              <w:top w:val="nil"/>
              <w:left w:val="nil"/>
              <w:bottom w:val="single" w:sz="4" w:space="0" w:color="auto"/>
              <w:right w:val="single" w:sz="4" w:space="0" w:color="auto"/>
            </w:tcBorders>
            <w:shd w:val="clear" w:color="000000" w:fill="B6A39A"/>
            <w:noWrap/>
            <w:vAlign w:val="bottom"/>
            <w:hideMark/>
          </w:tcPr>
          <w:p w14:paraId="6B0E3F0E"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 </w:t>
            </w:r>
          </w:p>
        </w:tc>
        <w:tc>
          <w:tcPr>
            <w:tcW w:w="526" w:type="pct"/>
            <w:tcBorders>
              <w:top w:val="nil"/>
              <w:left w:val="nil"/>
              <w:bottom w:val="single" w:sz="4" w:space="0" w:color="auto"/>
              <w:right w:val="single" w:sz="4" w:space="0" w:color="auto"/>
            </w:tcBorders>
            <w:shd w:val="clear" w:color="000000" w:fill="B6A39A"/>
            <w:noWrap/>
            <w:vAlign w:val="bottom"/>
            <w:hideMark/>
          </w:tcPr>
          <w:p w14:paraId="1C95EBBC"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w:t>
            </w:r>
          </w:p>
        </w:tc>
        <w:tc>
          <w:tcPr>
            <w:tcW w:w="268" w:type="pct"/>
            <w:tcBorders>
              <w:top w:val="nil"/>
              <w:left w:val="nil"/>
              <w:bottom w:val="single" w:sz="4" w:space="0" w:color="auto"/>
              <w:right w:val="single" w:sz="4" w:space="0" w:color="auto"/>
            </w:tcBorders>
            <w:shd w:val="clear" w:color="000000" w:fill="B6A39A"/>
            <w:noWrap/>
            <w:vAlign w:val="bottom"/>
            <w:hideMark/>
          </w:tcPr>
          <w:p w14:paraId="3E813CAD"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 </w:t>
            </w:r>
          </w:p>
        </w:tc>
        <w:tc>
          <w:tcPr>
            <w:tcW w:w="513" w:type="pct"/>
            <w:tcBorders>
              <w:top w:val="nil"/>
              <w:left w:val="nil"/>
              <w:bottom w:val="single" w:sz="4" w:space="0" w:color="auto"/>
              <w:right w:val="single" w:sz="4" w:space="0" w:color="auto"/>
            </w:tcBorders>
            <w:shd w:val="clear" w:color="000000" w:fill="B6A39A"/>
            <w:noWrap/>
            <w:vAlign w:val="bottom"/>
            <w:hideMark/>
          </w:tcPr>
          <w:p w14:paraId="7F018738"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w:t>
            </w:r>
          </w:p>
        </w:tc>
        <w:tc>
          <w:tcPr>
            <w:tcW w:w="276" w:type="pct"/>
            <w:tcBorders>
              <w:top w:val="nil"/>
              <w:left w:val="nil"/>
              <w:bottom w:val="single" w:sz="4" w:space="0" w:color="auto"/>
              <w:right w:val="single" w:sz="4" w:space="0" w:color="auto"/>
            </w:tcBorders>
            <w:shd w:val="clear" w:color="000000" w:fill="B6A39A"/>
            <w:noWrap/>
            <w:vAlign w:val="bottom"/>
            <w:hideMark/>
          </w:tcPr>
          <w:p w14:paraId="78AD6F65"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 </w:t>
            </w:r>
          </w:p>
        </w:tc>
        <w:tc>
          <w:tcPr>
            <w:tcW w:w="526" w:type="pct"/>
            <w:tcBorders>
              <w:top w:val="nil"/>
              <w:left w:val="nil"/>
              <w:bottom w:val="single" w:sz="4" w:space="0" w:color="auto"/>
              <w:right w:val="single" w:sz="4" w:space="0" w:color="auto"/>
            </w:tcBorders>
            <w:shd w:val="clear" w:color="000000" w:fill="B6A39A"/>
            <w:noWrap/>
            <w:vAlign w:val="bottom"/>
            <w:hideMark/>
          </w:tcPr>
          <w:p w14:paraId="30975FDE"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w:t>
            </w:r>
          </w:p>
        </w:tc>
        <w:tc>
          <w:tcPr>
            <w:tcW w:w="276" w:type="pct"/>
            <w:tcBorders>
              <w:top w:val="nil"/>
              <w:left w:val="nil"/>
              <w:bottom w:val="single" w:sz="4" w:space="0" w:color="auto"/>
              <w:right w:val="single" w:sz="4" w:space="0" w:color="auto"/>
            </w:tcBorders>
            <w:shd w:val="clear" w:color="000000" w:fill="B6A39A"/>
            <w:noWrap/>
            <w:vAlign w:val="bottom"/>
            <w:hideMark/>
          </w:tcPr>
          <w:p w14:paraId="3A4589F6"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 </w:t>
            </w:r>
          </w:p>
        </w:tc>
        <w:tc>
          <w:tcPr>
            <w:tcW w:w="526" w:type="pct"/>
            <w:tcBorders>
              <w:top w:val="nil"/>
              <w:left w:val="nil"/>
              <w:bottom w:val="single" w:sz="4" w:space="0" w:color="auto"/>
              <w:right w:val="single" w:sz="4" w:space="0" w:color="auto"/>
            </w:tcBorders>
            <w:shd w:val="clear" w:color="000000" w:fill="B6A39A"/>
            <w:noWrap/>
            <w:vAlign w:val="bottom"/>
            <w:hideMark/>
          </w:tcPr>
          <w:p w14:paraId="18CA72B1"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w:t>
            </w:r>
          </w:p>
        </w:tc>
      </w:tr>
      <w:tr w:rsidR="0018217D" w:rsidRPr="0018217D" w14:paraId="1317565F" w14:textId="77777777" w:rsidTr="0018217D">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4A1FAB5F" w14:textId="77777777" w:rsidR="0018217D" w:rsidRPr="0018217D" w:rsidRDefault="0018217D" w:rsidP="0018217D">
            <w:pPr>
              <w:spacing w:after="0" w:line="240" w:lineRule="auto"/>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Alacant</w:t>
            </w:r>
          </w:p>
        </w:tc>
        <w:tc>
          <w:tcPr>
            <w:tcW w:w="191" w:type="pct"/>
            <w:tcBorders>
              <w:top w:val="nil"/>
              <w:left w:val="nil"/>
              <w:bottom w:val="single" w:sz="4" w:space="0" w:color="auto"/>
              <w:right w:val="single" w:sz="4" w:space="0" w:color="auto"/>
            </w:tcBorders>
            <w:shd w:val="clear" w:color="auto" w:fill="auto"/>
            <w:noWrap/>
            <w:vAlign w:val="bottom"/>
            <w:hideMark/>
          </w:tcPr>
          <w:p w14:paraId="3BFE46E2"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7</w:t>
            </w:r>
          </w:p>
        </w:tc>
        <w:tc>
          <w:tcPr>
            <w:tcW w:w="528" w:type="pct"/>
            <w:tcBorders>
              <w:top w:val="nil"/>
              <w:left w:val="nil"/>
              <w:bottom w:val="single" w:sz="4" w:space="0" w:color="auto"/>
              <w:right w:val="single" w:sz="4" w:space="0" w:color="auto"/>
            </w:tcBorders>
            <w:shd w:val="clear" w:color="auto" w:fill="auto"/>
            <w:noWrap/>
            <w:vAlign w:val="bottom"/>
            <w:hideMark/>
          </w:tcPr>
          <w:p w14:paraId="24F2311B"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20,00%</w:t>
            </w:r>
          </w:p>
        </w:tc>
        <w:tc>
          <w:tcPr>
            <w:tcW w:w="276" w:type="pct"/>
            <w:tcBorders>
              <w:top w:val="nil"/>
              <w:left w:val="nil"/>
              <w:bottom w:val="single" w:sz="4" w:space="0" w:color="auto"/>
              <w:right w:val="single" w:sz="4" w:space="0" w:color="auto"/>
            </w:tcBorders>
            <w:shd w:val="clear" w:color="auto" w:fill="auto"/>
            <w:noWrap/>
            <w:vAlign w:val="bottom"/>
            <w:hideMark/>
          </w:tcPr>
          <w:p w14:paraId="7A52ACF3"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34</w:t>
            </w:r>
          </w:p>
        </w:tc>
        <w:tc>
          <w:tcPr>
            <w:tcW w:w="526" w:type="pct"/>
            <w:tcBorders>
              <w:top w:val="nil"/>
              <w:left w:val="nil"/>
              <w:bottom w:val="single" w:sz="4" w:space="0" w:color="auto"/>
              <w:right w:val="single" w:sz="4" w:space="0" w:color="auto"/>
            </w:tcBorders>
            <w:shd w:val="clear" w:color="auto" w:fill="auto"/>
            <w:noWrap/>
            <w:vAlign w:val="bottom"/>
            <w:hideMark/>
          </w:tcPr>
          <w:p w14:paraId="50C1E5CE"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18,78%</w:t>
            </w:r>
          </w:p>
        </w:tc>
        <w:tc>
          <w:tcPr>
            <w:tcW w:w="268" w:type="pct"/>
            <w:tcBorders>
              <w:top w:val="nil"/>
              <w:left w:val="nil"/>
              <w:bottom w:val="single" w:sz="4" w:space="0" w:color="auto"/>
              <w:right w:val="single" w:sz="4" w:space="0" w:color="auto"/>
            </w:tcBorders>
            <w:shd w:val="clear" w:color="auto" w:fill="auto"/>
            <w:noWrap/>
            <w:vAlign w:val="bottom"/>
            <w:hideMark/>
          </w:tcPr>
          <w:p w14:paraId="3999EFAC"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40</w:t>
            </w:r>
          </w:p>
        </w:tc>
        <w:tc>
          <w:tcPr>
            <w:tcW w:w="513" w:type="pct"/>
            <w:tcBorders>
              <w:top w:val="nil"/>
              <w:left w:val="nil"/>
              <w:bottom w:val="single" w:sz="4" w:space="0" w:color="auto"/>
              <w:right w:val="single" w:sz="4" w:space="0" w:color="auto"/>
            </w:tcBorders>
            <w:shd w:val="clear" w:color="auto" w:fill="auto"/>
            <w:noWrap/>
            <w:vAlign w:val="bottom"/>
            <w:hideMark/>
          </w:tcPr>
          <w:p w14:paraId="618C592C"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23,81%</w:t>
            </w:r>
          </w:p>
        </w:tc>
        <w:tc>
          <w:tcPr>
            <w:tcW w:w="276" w:type="pct"/>
            <w:tcBorders>
              <w:top w:val="nil"/>
              <w:left w:val="nil"/>
              <w:bottom w:val="single" w:sz="4" w:space="0" w:color="auto"/>
              <w:right w:val="single" w:sz="4" w:space="0" w:color="auto"/>
            </w:tcBorders>
            <w:shd w:val="clear" w:color="auto" w:fill="auto"/>
            <w:noWrap/>
            <w:vAlign w:val="bottom"/>
            <w:hideMark/>
          </w:tcPr>
          <w:p w14:paraId="6045D5F5"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70</w:t>
            </w:r>
          </w:p>
        </w:tc>
        <w:tc>
          <w:tcPr>
            <w:tcW w:w="526" w:type="pct"/>
            <w:tcBorders>
              <w:top w:val="nil"/>
              <w:left w:val="nil"/>
              <w:bottom w:val="single" w:sz="4" w:space="0" w:color="auto"/>
              <w:right w:val="single" w:sz="4" w:space="0" w:color="auto"/>
            </w:tcBorders>
            <w:shd w:val="clear" w:color="auto" w:fill="auto"/>
            <w:noWrap/>
            <w:vAlign w:val="bottom"/>
            <w:hideMark/>
          </w:tcPr>
          <w:p w14:paraId="722E0433"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30,97%</w:t>
            </w:r>
          </w:p>
        </w:tc>
        <w:tc>
          <w:tcPr>
            <w:tcW w:w="276" w:type="pct"/>
            <w:tcBorders>
              <w:top w:val="nil"/>
              <w:left w:val="nil"/>
              <w:bottom w:val="single" w:sz="4" w:space="0" w:color="auto"/>
              <w:right w:val="single" w:sz="4" w:space="0" w:color="auto"/>
            </w:tcBorders>
            <w:shd w:val="clear" w:color="auto" w:fill="auto"/>
            <w:noWrap/>
            <w:vAlign w:val="bottom"/>
            <w:hideMark/>
          </w:tcPr>
          <w:p w14:paraId="6A63FD74"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102</w:t>
            </w:r>
          </w:p>
        </w:tc>
        <w:tc>
          <w:tcPr>
            <w:tcW w:w="526" w:type="pct"/>
            <w:tcBorders>
              <w:top w:val="nil"/>
              <w:left w:val="nil"/>
              <w:bottom w:val="single" w:sz="4" w:space="0" w:color="auto"/>
              <w:right w:val="single" w:sz="4" w:space="0" w:color="auto"/>
            </w:tcBorders>
            <w:shd w:val="clear" w:color="auto" w:fill="auto"/>
            <w:noWrap/>
            <w:vAlign w:val="bottom"/>
            <w:hideMark/>
          </w:tcPr>
          <w:p w14:paraId="18FF3EC2"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28,41%</w:t>
            </w:r>
          </w:p>
        </w:tc>
      </w:tr>
      <w:tr w:rsidR="0018217D" w:rsidRPr="0018217D" w14:paraId="1BEBFEB3" w14:textId="77777777" w:rsidTr="0018217D">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01592F57" w14:textId="77777777" w:rsidR="0018217D" w:rsidRPr="0018217D" w:rsidRDefault="0018217D" w:rsidP="0018217D">
            <w:pPr>
              <w:spacing w:after="0" w:line="240" w:lineRule="auto"/>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Castelló</w:t>
            </w:r>
          </w:p>
        </w:tc>
        <w:tc>
          <w:tcPr>
            <w:tcW w:w="191" w:type="pct"/>
            <w:tcBorders>
              <w:top w:val="nil"/>
              <w:left w:val="nil"/>
              <w:bottom w:val="single" w:sz="4" w:space="0" w:color="auto"/>
              <w:right w:val="single" w:sz="4" w:space="0" w:color="auto"/>
            </w:tcBorders>
            <w:shd w:val="clear" w:color="auto" w:fill="auto"/>
            <w:noWrap/>
            <w:vAlign w:val="bottom"/>
            <w:hideMark/>
          </w:tcPr>
          <w:p w14:paraId="5579D241"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0</w:t>
            </w:r>
          </w:p>
        </w:tc>
        <w:tc>
          <w:tcPr>
            <w:tcW w:w="528" w:type="pct"/>
            <w:tcBorders>
              <w:top w:val="nil"/>
              <w:left w:val="nil"/>
              <w:bottom w:val="single" w:sz="4" w:space="0" w:color="auto"/>
              <w:right w:val="single" w:sz="4" w:space="0" w:color="auto"/>
            </w:tcBorders>
            <w:shd w:val="clear" w:color="auto" w:fill="auto"/>
            <w:noWrap/>
            <w:vAlign w:val="bottom"/>
            <w:hideMark/>
          </w:tcPr>
          <w:p w14:paraId="3D83E38D"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0,00%</w:t>
            </w:r>
          </w:p>
        </w:tc>
        <w:tc>
          <w:tcPr>
            <w:tcW w:w="276" w:type="pct"/>
            <w:tcBorders>
              <w:top w:val="nil"/>
              <w:left w:val="nil"/>
              <w:bottom w:val="single" w:sz="4" w:space="0" w:color="auto"/>
              <w:right w:val="single" w:sz="4" w:space="0" w:color="auto"/>
            </w:tcBorders>
            <w:shd w:val="clear" w:color="auto" w:fill="auto"/>
            <w:noWrap/>
            <w:vAlign w:val="bottom"/>
            <w:hideMark/>
          </w:tcPr>
          <w:p w14:paraId="07BD78A9"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20</w:t>
            </w:r>
          </w:p>
        </w:tc>
        <w:tc>
          <w:tcPr>
            <w:tcW w:w="526" w:type="pct"/>
            <w:tcBorders>
              <w:top w:val="nil"/>
              <w:left w:val="nil"/>
              <w:bottom w:val="single" w:sz="4" w:space="0" w:color="auto"/>
              <w:right w:val="single" w:sz="4" w:space="0" w:color="auto"/>
            </w:tcBorders>
            <w:shd w:val="clear" w:color="auto" w:fill="auto"/>
            <w:noWrap/>
            <w:vAlign w:val="bottom"/>
            <w:hideMark/>
          </w:tcPr>
          <w:p w14:paraId="0ACA961B"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11,05%</w:t>
            </w:r>
          </w:p>
        </w:tc>
        <w:tc>
          <w:tcPr>
            <w:tcW w:w="268" w:type="pct"/>
            <w:tcBorders>
              <w:top w:val="nil"/>
              <w:left w:val="nil"/>
              <w:bottom w:val="single" w:sz="4" w:space="0" w:color="auto"/>
              <w:right w:val="single" w:sz="4" w:space="0" w:color="auto"/>
            </w:tcBorders>
            <w:shd w:val="clear" w:color="auto" w:fill="auto"/>
            <w:noWrap/>
            <w:vAlign w:val="bottom"/>
            <w:hideMark/>
          </w:tcPr>
          <w:p w14:paraId="18ED51D1"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17</w:t>
            </w:r>
          </w:p>
        </w:tc>
        <w:tc>
          <w:tcPr>
            <w:tcW w:w="513" w:type="pct"/>
            <w:tcBorders>
              <w:top w:val="nil"/>
              <w:left w:val="nil"/>
              <w:bottom w:val="single" w:sz="4" w:space="0" w:color="auto"/>
              <w:right w:val="single" w:sz="4" w:space="0" w:color="auto"/>
            </w:tcBorders>
            <w:shd w:val="clear" w:color="auto" w:fill="auto"/>
            <w:noWrap/>
            <w:vAlign w:val="bottom"/>
            <w:hideMark/>
          </w:tcPr>
          <w:p w14:paraId="636887C1"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10,12%</w:t>
            </w:r>
          </w:p>
        </w:tc>
        <w:tc>
          <w:tcPr>
            <w:tcW w:w="276" w:type="pct"/>
            <w:tcBorders>
              <w:top w:val="nil"/>
              <w:left w:val="nil"/>
              <w:bottom w:val="single" w:sz="4" w:space="0" w:color="auto"/>
              <w:right w:val="single" w:sz="4" w:space="0" w:color="auto"/>
            </w:tcBorders>
            <w:shd w:val="clear" w:color="auto" w:fill="auto"/>
            <w:noWrap/>
            <w:vAlign w:val="bottom"/>
            <w:hideMark/>
          </w:tcPr>
          <w:p w14:paraId="3C2CE63C"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15</w:t>
            </w:r>
          </w:p>
        </w:tc>
        <w:tc>
          <w:tcPr>
            <w:tcW w:w="526" w:type="pct"/>
            <w:tcBorders>
              <w:top w:val="nil"/>
              <w:left w:val="nil"/>
              <w:bottom w:val="single" w:sz="4" w:space="0" w:color="auto"/>
              <w:right w:val="single" w:sz="4" w:space="0" w:color="auto"/>
            </w:tcBorders>
            <w:shd w:val="clear" w:color="auto" w:fill="auto"/>
            <w:noWrap/>
            <w:vAlign w:val="bottom"/>
            <w:hideMark/>
          </w:tcPr>
          <w:p w14:paraId="21894D96"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6,64%</w:t>
            </w:r>
          </w:p>
        </w:tc>
        <w:tc>
          <w:tcPr>
            <w:tcW w:w="276" w:type="pct"/>
            <w:tcBorders>
              <w:top w:val="nil"/>
              <w:left w:val="nil"/>
              <w:bottom w:val="single" w:sz="4" w:space="0" w:color="auto"/>
              <w:right w:val="single" w:sz="4" w:space="0" w:color="auto"/>
            </w:tcBorders>
            <w:shd w:val="clear" w:color="auto" w:fill="auto"/>
            <w:noWrap/>
            <w:vAlign w:val="bottom"/>
            <w:hideMark/>
          </w:tcPr>
          <w:p w14:paraId="2B723967"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19</w:t>
            </w:r>
          </w:p>
        </w:tc>
        <w:tc>
          <w:tcPr>
            <w:tcW w:w="526" w:type="pct"/>
            <w:tcBorders>
              <w:top w:val="nil"/>
              <w:left w:val="nil"/>
              <w:bottom w:val="single" w:sz="4" w:space="0" w:color="auto"/>
              <w:right w:val="single" w:sz="4" w:space="0" w:color="auto"/>
            </w:tcBorders>
            <w:shd w:val="clear" w:color="auto" w:fill="auto"/>
            <w:noWrap/>
            <w:vAlign w:val="bottom"/>
            <w:hideMark/>
          </w:tcPr>
          <w:p w14:paraId="5810E9F3"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5,29%</w:t>
            </w:r>
          </w:p>
        </w:tc>
      </w:tr>
      <w:tr w:rsidR="0018217D" w:rsidRPr="0018217D" w14:paraId="105E0AEB" w14:textId="77777777" w:rsidTr="0018217D">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4796D053" w14:textId="77777777" w:rsidR="0018217D" w:rsidRPr="0018217D" w:rsidRDefault="0018217D" w:rsidP="0018217D">
            <w:pPr>
              <w:spacing w:after="0" w:line="240" w:lineRule="auto"/>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València</w:t>
            </w:r>
          </w:p>
        </w:tc>
        <w:tc>
          <w:tcPr>
            <w:tcW w:w="191" w:type="pct"/>
            <w:tcBorders>
              <w:top w:val="nil"/>
              <w:left w:val="nil"/>
              <w:bottom w:val="single" w:sz="4" w:space="0" w:color="auto"/>
              <w:right w:val="single" w:sz="4" w:space="0" w:color="auto"/>
            </w:tcBorders>
            <w:shd w:val="clear" w:color="auto" w:fill="auto"/>
            <w:noWrap/>
            <w:vAlign w:val="bottom"/>
            <w:hideMark/>
          </w:tcPr>
          <w:p w14:paraId="7FC2DBF0"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20</w:t>
            </w:r>
          </w:p>
        </w:tc>
        <w:tc>
          <w:tcPr>
            <w:tcW w:w="528" w:type="pct"/>
            <w:tcBorders>
              <w:top w:val="nil"/>
              <w:left w:val="nil"/>
              <w:bottom w:val="single" w:sz="4" w:space="0" w:color="auto"/>
              <w:right w:val="single" w:sz="4" w:space="0" w:color="auto"/>
            </w:tcBorders>
            <w:shd w:val="clear" w:color="auto" w:fill="auto"/>
            <w:noWrap/>
            <w:vAlign w:val="bottom"/>
            <w:hideMark/>
          </w:tcPr>
          <w:p w14:paraId="717C7395"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57,14%</w:t>
            </w:r>
          </w:p>
        </w:tc>
        <w:tc>
          <w:tcPr>
            <w:tcW w:w="276" w:type="pct"/>
            <w:tcBorders>
              <w:top w:val="nil"/>
              <w:left w:val="nil"/>
              <w:bottom w:val="single" w:sz="4" w:space="0" w:color="auto"/>
              <w:right w:val="single" w:sz="4" w:space="0" w:color="auto"/>
            </w:tcBorders>
            <w:shd w:val="clear" w:color="auto" w:fill="auto"/>
            <w:noWrap/>
            <w:vAlign w:val="bottom"/>
            <w:hideMark/>
          </w:tcPr>
          <w:p w14:paraId="4E6AFC76"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96</w:t>
            </w:r>
          </w:p>
        </w:tc>
        <w:tc>
          <w:tcPr>
            <w:tcW w:w="526" w:type="pct"/>
            <w:tcBorders>
              <w:top w:val="nil"/>
              <w:left w:val="nil"/>
              <w:bottom w:val="single" w:sz="4" w:space="0" w:color="auto"/>
              <w:right w:val="single" w:sz="4" w:space="0" w:color="auto"/>
            </w:tcBorders>
            <w:shd w:val="clear" w:color="auto" w:fill="auto"/>
            <w:noWrap/>
            <w:vAlign w:val="bottom"/>
            <w:hideMark/>
          </w:tcPr>
          <w:p w14:paraId="796412E8"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53,04%</w:t>
            </w:r>
          </w:p>
        </w:tc>
        <w:tc>
          <w:tcPr>
            <w:tcW w:w="268" w:type="pct"/>
            <w:tcBorders>
              <w:top w:val="nil"/>
              <w:left w:val="nil"/>
              <w:bottom w:val="single" w:sz="4" w:space="0" w:color="auto"/>
              <w:right w:val="single" w:sz="4" w:space="0" w:color="auto"/>
            </w:tcBorders>
            <w:shd w:val="clear" w:color="auto" w:fill="auto"/>
            <w:noWrap/>
            <w:vAlign w:val="bottom"/>
            <w:hideMark/>
          </w:tcPr>
          <w:p w14:paraId="0F363888"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82</w:t>
            </w:r>
          </w:p>
        </w:tc>
        <w:tc>
          <w:tcPr>
            <w:tcW w:w="513" w:type="pct"/>
            <w:tcBorders>
              <w:top w:val="nil"/>
              <w:left w:val="nil"/>
              <w:bottom w:val="single" w:sz="4" w:space="0" w:color="auto"/>
              <w:right w:val="single" w:sz="4" w:space="0" w:color="auto"/>
            </w:tcBorders>
            <w:shd w:val="clear" w:color="auto" w:fill="auto"/>
            <w:noWrap/>
            <w:vAlign w:val="bottom"/>
            <w:hideMark/>
          </w:tcPr>
          <w:p w14:paraId="2E2382C3"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48,81%</w:t>
            </w:r>
          </w:p>
        </w:tc>
        <w:tc>
          <w:tcPr>
            <w:tcW w:w="276" w:type="pct"/>
            <w:tcBorders>
              <w:top w:val="nil"/>
              <w:left w:val="nil"/>
              <w:bottom w:val="single" w:sz="4" w:space="0" w:color="auto"/>
              <w:right w:val="single" w:sz="4" w:space="0" w:color="auto"/>
            </w:tcBorders>
            <w:shd w:val="clear" w:color="auto" w:fill="auto"/>
            <w:noWrap/>
            <w:vAlign w:val="bottom"/>
            <w:hideMark/>
          </w:tcPr>
          <w:p w14:paraId="235C4603"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115</w:t>
            </w:r>
          </w:p>
        </w:tc>
        <w:tc>
          <w:tcPr>
            <w:tcW w:w="526" w:type="pct"/>
            <w:tcBorders>
              <w:top w:val="nil"/>
              <w:left w:val="nil"/>
              <w:bottom w:val="single" w:sz="4" w:space="0" w:color="auto"/>
              <w:right w:val="single" w:sz="4" w:space="0" w:color="auto"/>
            </w:tcBorders>
            <w:shd w:val="clear" w:color="auto" w:fill="auto"/>
            <w:noWrap/>
            <w:vAlign w:val="bottom"/>
            <w:hideMark/>
          </w:tcPr>
          <w:p w14:paraId="25F6AC65"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50,88%</w:t>
            </w:r>
          </w:p>
        </w:tc>
        <w:tc>
          <w:tcPr>
            <w:tcW w:w="276" w:type="pct"/>
            <w:tcBorders>
              <w:top w:val="nil"/>
              <w:left w:val="nil"/>
              <w:bottom w:val="single" w:sz="4" w:space="0" w:color="auto"/>
              <w:right w:val="single" w:sz="4" w:space="0" w:color="auto"/>
            </w:tcBorders>
            <w:shd w:val="clear" w:color="auto" w:fill="auto"/>
            <w:noWrap/>
            <w:vAlign w:val="bottom"/>
            <w:hideMark/>
          </w:tcPr>
          <w:p w14:paraId="0340673A"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179</w:t>
            </w:r>
          </w:p>
        </w:tc>
        <w:tc>
          <w:tcPr>
            <w:tcW w:w="526" w:type="pct"/>
            <w:tcBorders>
              <w:top w:val="nil"/>
              <w:left w:val="nil"/>
              <w:bottom w:val="single" w:sz="4" w:space="0" w:color="auto"/>
              <w:right w:val="single" w:sz="4" w:space="0" w:color="auto"/>
            </w:tcBorders>
            <w:shd w:val="clear" w:color="auto" w:fill="auto"/>
            <w:noWrap/>
            <w:vAlign w:val="bottom"/>
            <w:hideMark/>
          </w:tcPr>
          <w:p w14:paraId="58C4C8F4"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49,86%</w:t>
            </w:r>
          </w:p>
        </w:tc>
      </w:tr>
      <w:tr w:rsidR="0018217D" w:rsidRPr="0018217D" w14:paraId="237AF90E" w14:textId="77777777" w:rsidTr="0018217D">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02D58E6D" w14:textId="77777777" w:rsidR="0018217D" w:rsidRPr="0018217D" w:rsidRDefault="0018217D" w:rsidP="0018217D">
            <w:pPr>
              <w:spacing w:after="0" w:line="240" w:lineRule="auto"/>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Comunitat Valenciana</w:t>
            </w:r>
          </w:p>
        </w:tc>
        <w:tc>
          <w:tcPr>
            <w:tcW w:w="191" w:type="pct"/>
            <w:tcBorders>
              <w:top w:val="nil"/>
              <w:left w:val="nil"/>
              <w:bottom w:val="single" w:sz="4" w:space="0" w:color="auto"/>
              <w:right w:val="single" w:sz="4" w:space="0" w:color="auto"/>
            </w:tcBorders>
            <w:shd w:val="clear" w:color="auto" w:fill="auto"/>
            <w:noWrap/>
            <w:vAlign w:val="bottom"/>
            <w:hideMark/>
          </w:tcPr>
          <w:p w14:paraId="55C58FC9"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8</w:t>
            </w:r>
          </w:p>
        </w:tc>
        <w:tc>
          <w:tcPr>
            <w:tcW w:w="528" w:type="pct"/>
            <w:tcBorders>
              <w:top w:val="nil"/>
              <w:left w:val="nil"/>
              <w:bottom w:val="single" w:sz="4" w:space="0" w:color="auto"/>
              <w:right w:val="single" w:sz="4" w:space="0" w:color="auto"/>
            </w:tcBorders>
            <w:shd w:val="clear" w:color="auto" w:fill="auto"/>
            <w:noWrap/>
            <w:vAlign w:val="bottom"/>
            <w:hideMark/>
          </w:tcPr>
          <w:p w14:paraId="172A07F6"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22,86%</w:t>
            </w:r>
          </w:p>
        </w:tc>
        <w:tc>
          <w:tcPr>
            <w:tcW w:w="276" w:type="pct"/>
            <w:tcBorders>
              <w:top w:val="nil"/>
              <w:left w:val="nil"/>
              <w:bottom w:val="single" w:sz="4" w:space="0" w:color="auto"/>
              <w:right w:val="single" w:sz="4" w:space="0" w:color="auto"/>
            </w:tcBorders>
            <w:shd w:val="clear" w:color="auto" w:fill="auto"/>
            <w:noWrap/>
            <w:vAlign w:val="bottom"/>
            <w:hideMark/>
          </w:tcPr>
          <w:p w14:paraId="42802F1A"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31</w:t>
            </w:r>
          </w:p>
        </w:tc>
        <w:tc>
          <w:tcPr>
            <w:tcW w:w="526" w:type="pct"/>
            <w:tcBorders>
              <w:top w:val="nil"/>
              <w:left w:val="nil"/>
              <w:bottom w:val="single" w:sz="4" w:space="0" w:color="auto"/>
              <w:right w:val="single" w:sz="4" w:space="0" w:color="auto"/>
            </w:tcBorders>
            <w:shd w:val="clear" w:color="auto" w:fill="auto"/>
            <w:noWrap/>
            <w:vAlign w:val="bottom"/>
            <w:hideMark/>
          </w:tcPr>
          <w:p w14:paraId="4A9BBDE7"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17,13%</w:t>
            </w:r>
          </w:p>
        </w:tc>
        <w:tc>
          <w:tcPr>
            <w:tcW w:w="268" w:type="pct"/>
            <w:tcBorders>
              <w:top w:val="nil"/>
              <w:left w:val="nil"/>
              <w:bottom w:val="single" w:sz="4" w:space="0" w:color="auto"/>
              <w:right w:val="single" w:sz="4" w:space="0" w:color="auto"/>
            </w:tcBorders>
            <w:shd w:val="clear" w:color="auto" w:fill="auto"/>
            <w:noWrap/>
            <w:vAlign w:val="bottom"/>
            <w:hideMark/>
          </w:tcPr>
          <w:p w14:paraId="53D12F5E"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29</w:t>
            </w:r>
          </w:p>
        </w:tc>
        <w:tc>
          <w:tcPr>
            <w:tcW w:w="513" w:type="pct"/>
            <w:tcBorders>
              <w:top w:val="nil"/>
              <w:left w:val="nil"/>
              <w:bottom w:val="single" w:sz="4" w:space="0" w:color="auto"/>
              <w:right w:val="single" w:sz="4" w:space="0" w:color="auto"/>
            </w:tcBorders>
            <w:shd w:val="clear" w:color="auto" w:fill="auto"/>
            <w:noWrap/>
            <w:vAlign w:val="bottom"/>
            <w:hideMark/>
          </w:tcPr>
          <w:p w14:paraId="1B130AEF"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17,26%</w:t>
            </w:r>
          </w:p>
        </w:tc>
        <w:tc>
          <w:tcPr>
            <w:tcW w:w="276" w:type="pct"/>
            <w:tcBorders>
              <w:top w:val="nil"/>
              <w:left w:val="nil"/>
              <w:bottom w:val="single" w:sz="4" w:space="0" w:color="auto"/>
              <w:right w:val="single" w:sz="4" w:space="0" w:color="auto"/>
            </w:tcBorders>
            <w:shd w:val="clear" w:color="auto" w:fill="auto"/>
            <w:noWrap/>
            <w:vAlign w:val="bottom"/>
            <w:hideMark/>
          </w:tcPr>
          <w:p w14:paraId="449727E0"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26</w:t>
            </w:r>
          </w:p>
        </w:tc>
        <w:tc>
          <w:tcPr>
            <w:tcW w:w="526" w:type="pct"/>
            <w:tcBorders>
              <w:top w:val="nil"/>
              <w:left w:val="nil"/>
              <w:bottom w:val="single" w:sz="4" w:space="0" w:color="auto"/>
              <w:right w:val="single" w:sz="4" w:space="0" w:color="auto"/>
            </w:tcBorders>
            <w:shd w:val="clear" w:color="auto" w:fill="auto"/>
            <w:noWrap/>
            <w:vAlign w:val="bottom"/>
            <w:hideMark/>
          </w:tcPr>
          <w:p w14:paraId="75E186ED"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11,50%</w:t>
            </w:r>
          </w:p>
        </w:tc>
        <w:tc>
          <w:tcPr>
            <w:tcW w:w="276" w:type="pct"/>
            <w:tcBorders>
              <w:top w:val="nil"/>
              <w:left w:val="nil"/>
              <w:bottom w:val="single" w:sz="4" w:space="0" w:color="auto"/>
              <w:right w:val="single" w:sz="4" w:space="0" w:color="auto"/>
            </w:tcBorders>
            <w:shd w:val="clear" w:color="auto" w:fill="auto"/>
            <w:noWrap/>
            <w:vAlign w:val="bottom"/>
            <w:hideMark/>
          </w:tcPr>
          <w:p w14:paraId="68022808"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59</w:t>
            </w:r>
          </w:p>
        </w:tc>
        <w:tc>
          <w:tcPr>
            <w:tcW w:w="526" w:type="pct"/>
            <w:tcBorders>
              <w:top w:val="nil"/>
              <w:left w:val="nil"/>
              <w:bottom w:val="single" w:sz="4" w:space="0" w:color="auto"/>
              <w:right w:val="single" w:sz="4" w:space="0" w:color="auto"/>
            </w:tcBorders>
            <w:shd w:val="clear" w:color="auto" w:fill="auto"/>
            <w:noWrap/>
            <w:vAlign w:val="bottom"/>
            <w:hideMark/>
          </w:tcPr>
          <w:p w14:paraId="35C6B783" w14:textId="77777777" w:rsidR="0018217D" w:rsidRPr="0018217D" w:rsidRDefault="0018217D" w:rsidP="0018217D">
            <w:pPr>
              <w:spacing w:after="0" w:line="240" w:lineRule="auto"/>
              <w:jc w:val="center"/>
              <w:rPr>
                <w:rFonts w:ascii="Arial" w:eastAsia="Times New Roman" w:hAnsi="Arial" w:cs="Arial"/>
                <w:color w:val="000000"/>
                <w:sz w:val="16"/>
                <w:szCs w:val="16"/>
                <w:lang w:val="ca-ES" w:eastAsia="es-ES"/>
              </w:rPr>
            </w:pPr>
            <w:r w:rsidRPr="0018217D">
              <w:rPr>
                <w:rFonts w:ascii="Arial" w:eastAsia="Times New Roman" w:hAnsi="Arial" w:cs="Arial"/>
                <w:color w:val="000000"/>
                <w:sz w:val="16"/>
                <w:szCs w:val="16"/>
                <w:lang w:val="ca-ES" w:eastAsia="es-ES"/>
              </w:rPr>
              <w:t>16,43%</w:t>
            </w:r>
          </w:p>
        </w:tc>
      </w:tr>
      <w:tr w:rsidR="0018217D" w:rsidRPr="0018217D" w14:paraId="1609FEB8" w14:textId="77777777" w:rsidTr="0018217D">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3FB1471B" w14:textId="77777777" w:rsidR="0018217D" w:rsidRPr="0018217D" w:rsidRDefault="0018217D" w:rsidP="0018217D">
            <w:pPr>
              <w:spacing w:after="0" w:line="240" w:lineRule="auto"/>
              <w:jc w:val="right"/>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TOTAL</w:t>
            </w:r>
          </w:p>
        </w:tc>
        <w:tc>
          <w:tcPr>
            <w:tcW w:w="191" w:type="pct"/>
            <w:tcBorders>
              <w:top w:val="nil"/>
              <w:left w:val="nil"/>
              <w:bottom w:val="single" w:sz="4" w:space="0" w:color="auto"/>
              <w:right w:val="single" w:sz="4" w:space="0" w:color="auto"/>
            </w:tcBorders>
            <w:shd w:val="clear" w:color="auto" w:fill="auto"/>
            <w:noWrap/>
            <w:vAlign w:val="bottom"/>
            <w:hideMark/>
          </w:tcPr>
          <w:p w14:paraId="0F01B96B"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35</w:t>
            </w:r>
          </w:p>
        </w:tc>
        <w:tc>
          <w:tcPr>
            <w:tcW w:w="528" w:type="pct"/>
            <w:tcBorders>
              <w:top w:val="nil"/>
              <w:left w:val="nil"/>
              <w:bottom w:val="single" w:sz="4" w:space="0" w:color="auto"/>
              <w:right w:val="single" w:sz="4" w:space="0" w:color="auto"/>
            </w:tcBorders>
            <w:shd w:val="clear" w:color="auto" w:fill="auto"/>
            <w:noWrap/>
            <w:vAlign w:val="bottom"/>
            <w:hideMark/>
          </w:tcPr>
          <w:p w14:paraId="5032F2D8"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100%</w:t>
            </w:r>
          </w:p>
        </w:tc>
        <w:tc>
          <w:tcPr>
            <w:tcW w:w="276" w:type="pct"/>
            <w:tcBorders>
              <w:top w:val="nil"/>
              <w:left w:val="nil"/>
              <w:bottom w:val="single" w:sz="4" w:space="0" w:color="auto"/>
              <w:right w:val="single" w:sz="4" w:space="0" w:color="auto"/>
            </w:tcBorders>
            <w:shd w:val="clear" w:color="auto" w:fill="auto"/>
            <w:noWrap/>
            <w:vAlign w:val="bottom"/>
            <w:hideMark/>
          </w:tcPr>
          <w:p w14:paraId="4D9B326B"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181</w:t>
            </w:r>
          </w:p>
        </w:tc>
        <w:tc>
          <w:tcPr>
            <w:tcW w:w="526" w:type="pct"/>
            <w:tcBorders>
              <w:top w:val="nil"/>
              <w:left w:val="nil"/>
              <w:bottom w:val="single" w:sz="4" w:space="0" w:color="auto"/>
              <w:right w:val="single" w:sz="4" w:space="0" w:color="auto"/>
            </w:tcBorders>
            <w:shd w:val="clear" w:color="auto" w:fill="auto"/>
            <w:noWrap/>
            <w:vAlign w:val="bottom"/>
            <w:hideMark/>
          </w:tcPr>
          <w:p w14:paraId="55EA0691"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100%</w:t>
            </w:r>
          </w:p>
        </w:tc>
        <w:tc>
          <w:tcPr>
            <w:tcW w:w="268" w:type="pct"/>
            <w:tcBorders>
              <w:top w:val="nil"/>
              <w:left w:val="nil"/>
              <w:bottom w:val="single" w:sz="4" w:space="0" w:color="auto"/>
              <w:right w:val="single" w:sz="4" w:space="0" w:color="auto"/>
            </w:tcBorders>
            <w:shd w:val="clear" w:color="auto" w:fill="auto"/>
            <w:noWrap/>
            <w:vAlign w:val="bottom"/>
            <w:hideMark/>
          </w:tcPr>
          <w:p w14:paraId="0E0ABE66"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168</w:t>
            </w:r>
          </w:p>
        </w:tc>
        <w:tc>
          <w:tcPr>
            <w:tcW w:w="513" w:type="pct"/>
            <w:tcBorders>
              <w:top w:val="nil"/>
              <w:left w:val="nil"/>
              <w:bottom w:val="single" w:sz="4" w:space="0" w:color="auto"/>
              <w:right w:val="single" w:sz="4" w:space="0" w:color="auto"/>
            </w:tcBorders>
            <w:shd w:val="clear" w:color="auto" w:fill="auto"/>
            <w:noWrap/>
            <w:vAlign w:val="bottom"/>
            <w:hideMark/>
          </w:tcPr>
          <w:p w14:paraId="4D36FABD"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100%</w:t>
            </w:r>
          </w:p>
        </w:tc>
        <w:tc>
          <w:tcPr>
            <w:tcW w:w="276" w:type="pct"/>
            <w:tcBorders>
              <w:top w:val="nil"/>
              <w:left w:val="nil"/>
              <w:bottom w:val="single" w:sz="4" w:space="0" w:color="auto"/>
              <w:right w:val="single" w:sz="4" w:space="0" w:color="auto"/>
            </w:tcBorders>
            <w:shd w:val="clear" w:color="auto" w:fill="auto"/>
            <w:noWrap/>
            <w:vAlign w:val="bottom"/>
            <w:hideMark/>
          </w:tcPr>
          <w:p w14:paraId="513DFA87"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226</w:t>
            </w:r>
          </w:p>
        </w:tc>
        <w:tc>
          <w:tcPr>
            <w:tcW w:w="526" w:type="pct"/>
            <w:tcBorders>
              <w:top w:val="nil"/>
              <w:left w:val="nil"/>
              <w:bottom w:val="single" w:sz="4" w:space="0" w:color="auto"/>
              <w:right w:val="single" w:sz="4" w:space="0" w:color="auto"/>
            </w:tcBorders>
            <w:shd w:val="clear" w:color="auto" w:fill="auto"/>
            <w:noWrap/>
            <w:vAlign w:val="bottom"/>
            <w:hideMark/>
          </w:tcPr>
          <w:p w14:paraId="51C0ED06"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100%</w:t>
            </w:r>
          </w:p>
        </w:tc>
        <w:tc>
          <w:tcPr>
            <w:tcW w:w="276" w:type="pct"/>
            <w:tcBorders>
              <w:top w:val="nil"/>
              <w:left w:val="nil"/>
              <w:bottom w:val="single" w:sz="4" w:space="0" w:color="auto"/>
              <w:right w:val="single" w:sz="4" w:space="0" w:color="auto"/>
            </w:tcBorders>
            <w:shd w:val="clear" w:color="auto" w:fill="auto"/>
            <w:noWrap/>
            <w:vAlign w:val="bottom"/>
            <w:hideMark/>
          </w:tcPr>
          <w:p w14:paraId="7151F32A"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359</w:t>
            </w:r>
          </w:p>
        </w:tc>
        <w:tc>
          <w:tcPr>
            <w:tcW w:w="526" w:type="pct"/>
            <w:tcBorders>
              <w:top w:val="nil"/>
              <w:left w:val="nil"/>
              <w:bottom w:val="single" w:sz="4" w:space="0" w:color="auto"/>
              <w:right w:val="single" w:sz="4" w:space="0" w:color="auto"/>
            </w:tcBorders>
            <w:shd w:val="clear" w:color="auto" w:fill="auto"/>
            <w:noWrap/>
            <w:vAlign w:val="bottom"/>
            <w:hideMark/>
          </w:tcPr>
          <w:p w14:paraId="6FEA995A" w14:textId="77777777" w:rsidR="0018217D" w:rsidRPr="0018217D" w:rsidRDefault="0018217D" w:rsidP="0018217D">
            <w:pPr>
              <w:spacing w:after="0" w:line="240" w:lineRule="auto"/>
              <w:jc w:val="center"/>
              <w:rPr>
                <w:rFonts w:ascii="Arial" w:eastAsia="Times New Roman" w:hAnsi="Arial" w:cs="Arial"/>
                <w:b/>
                <w:bCs/>
                <w:color w:val="000000"/>
                <w:sz w:val="16"/>
                <w:szCs w:val="16"/>
                <w:lang w:val="ca-ES" w:eastAsia="es-ES"/>
              </w:rPr>
            </w:pPr>
            <w:r w:rsidRPr="0018217D">
              <w:rPr>
                <w:rFonts w:ascii="Arial" w:eastAsia="Times New Roman" w:hAnsi="Arial" w:cs="Arial"/>
                <w:b/>
                <w:bCs/>
                <w:color w:val="000000"/>
                <w:sz w:val="16"/>
                <w:szCs w:val="16"/>
                <w:lang w:val="ca-ES" w:eastAsia="es-ES"/>
              </w:rPr>
              <w:t>100%</w:t>
            </w:r>
          </w:p>
        </w:tc>
      </w:tr>
    </w:tbl>
    <w:p w14:paraId="7E620565" w14:textId="1175DCAB" w:rsidR="008F6CB1" w:rsidRDefault="008F6CB1" w:rsidP="0018217D">
      <w:pPr>
        <w:spacing w:after="120" w:line="276" w:lineRule="auto"/>
        <w:rPr>
          <w:rFonts w:ascii="Arial" w:eastAsia="Times New Roman" w:hAnsi="Arial" w:cs="Arial"/>
          <w:color w:val="000000"/>
          <w:sz w:val="21"/>
          <w:szCs w:val="21"/>
        </w:rPr>
      </w:pPr>
    </w:p>
    <w:p w14:paraId="03419C33" w14:textId="77777777" w:rsidR="0018217D" w:rsidRDefault="0018217D" w:rsidP="0018217D">
      <w:pPr>
        <w:keepNext/>
        <w:spacing w:after="120" w:line="276" w:lineRule="auto"/>
      </w:pPr>
      <w:r w:rsidRPr="001E45F9">
        <w:rPr>
          <w:noProof/>
          <w:lang w:val="ca-ES"/>
        </w:rPr>
        <w:drawing>
          <wp:inline distT="0" distB="0" distL="0" distR="0" wp14:anchorId="2B63CF9C" wp14:editId="2F206532">
            <wp:extent cx="5183505" cy="3454400"/>
            <wp:effectExtent l="0" t="0" r="17145" b="12700"/>
            <wp:docPr id="78" name="Gráfico 78">
              <a:extLst xmlns:a="http://schemas.openxmlformats.org/drawingml/2006/main">
                <a:ext uri="{FF2B5EF4-FFF2-40B4-BE49-F238E27FC236}">
                  <a16:creationId xmlns:a16="http://schemas.microsoft.com/office/drawing/2014/main" id="{D6637A57-923F-4D9A-9692-862F87A04D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5"/>
              </a:graphicData>
            </a:graphic>
          </wp:inline>
        </w:drawing>
      </w:r>
    </w:p>
    <w:p w14:paraId="719F5207" w14:textId="7C1DF44D" w:rsidR="008F6CB1" w:rsidRPr="0018217D" w:rsidRDefault="0018217D" w:rsidP="0018217D">
      <w:pPr>
        <w:pStyle w:val="Descripcin"/>
        <w:jc w:val="center"/>
        <w:rPr>
          <w:rFonts w:ascii="Arial" w:eastAsia="Times New Roman" w:hAnsi="Arial" w:cs="Arial"/>
          <w:smallCaps w:val="0"/>
          <w:color w:val="000000"/>
          <w:sz w:val="18"/>
          <w:szCs w:val="18"/>
        </w:rPr>
      </w:pPr>
      <w:bookmarkStart w:id="164" w:name="_Toc99110975"/>
      <w:r w:rsidRPr="0018217D">
        <w:rPr>
          <w:rFonts w:ascii="Arial" w:hAnsi="Arial" w:cs="Arial"/>
          <w:smallCaps w:val="0"/>
          <w:color w:val="9D2235" w:themeColor="accent1"/>
          <w:sz w:val="18"/>
          <w:szCs w:val="18"/>
        </w:rPr>
        <w:t xml:space="preserve">Gràfic </w:t>
      </w:r>
      <w:r w:rsidRPr="0018217D">
        <w:rPr>
          <w:rFonts w:ascii="Arial" w:hAnsi="Arial" w:cs="Arial"/>
          <w:smallCaps w:val="0"/>
          <w:color w:val="9D2235" w:themeColor="accent1"/>
          <w:sz w:val="18"/>
          <w:szCs w:val="18"/>
        </w:rPr>
        <w:fldChar w:fldCharType="begin" w:fldLock="1"/>
      </w:r>
      <w:r w:rsidRPr="0018217D">
        <w:rPr>
          <w:rFonts w:ascii="Arial" w:hAnsi="Arial" w:cs="Arial"/>
          <w:smallCaps w:val="0"/>
          <w:color w:val="9D2235" w:themeColor="accent1"/>
          <w:sz w:val="18"/>
          <w:szCs w:val="18"/>
        </w:rPr>
        <w:instrText xml:space="preserve"> SEQ Gràfic \* ARABIC </w:instrText>
      </w:r>
      <w:r w:rsidRPr="0018217D">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16</w:t>
      </w:r>
      <w:r w:rsidRPr="0018217D">
        <w:rPr>
          <w:rFonts w:ascii="Arial" w:hAnsi="Arial" w:cs="Arial"/>
          <w:smallCaps w:val="0"/>
          <w:color w:val="9D2235" w:themeColor="accent1"/>
          <w:sz w:val="18"/>
          <w:szCs w:val="18"/>
        </w:rPr>
        <w:fldChar w:fldCharType="end"/>
      </w:r>
      <w:r w:rsidRPr="0018217D">
        <w:rPr>
          <w:rFonts w:ascii="Arial" w:hAnsi="Arial" w:cs="Arial"/>
          <w:smallCaps w:val="0"/>
          <w:color w:val="9D2235" w:themeColor="accent1"/>
          <w:sz w:val="18"/>
          <w:szCs w:val="18"/>
        </w:rPr>
        <w:t xml:space="preserve">. </w:t>
      </w:r>
      <w:r w:rsidRPr="0018217D">
        <w:rPr>
          <w:rFonts w:ascii="Arial" w:hAnsi="Arial" w:cs="Arial"/>
          <w:smallCaps w:val="0"/>
          <w:sz w:val="18"/>
          <w:szCs w:val="18"/>
        </w:rPr>
        <w:t>Denúncies presentades segons el territori d'afec</w:t>
      </w:r>
      <w:r w:rsidR="00AE24EC">
        <w:rPr>
          <w:rFonts w:ascii="Arial" w:hAnsi="Arial" w:cs="Arial"/>
          <w:smallCaps w:val="0"/>
          <w:sz w:val="18"/>
          <w:szCs w:val="18"/>
        </w:rPr>
        <w:t>ta</w:t>
      </w:r>
      <w:r w:rsidRPr="0018217D">
        <w:rPr>
          <w:rFonts w:ascii="Arial" w:hAnsi="Arial" w:cs="Arial"/>
          <w:smallCaps w:val="0"/>
          <w:sz w:val="18"/>
          <w:szCs w:val="18"/>
        </w:rPr>
        <w:t>ció</w:t>
      </w:r>
      <w:bookmarkEnd w:id="164"/>
    </w:p>
    <w:p w14:paraId="2D1F73C4" w14:textId="77777777" w:rsidR="0018217D" w:rsidRPr="0018217D" w:rsidRDefault="0018217D" w:rsidP="0018217D">
      <w:pPr>
        <w:spacing w:after="240" w:line="276" w:lineRule="auto"/>
        <w:jc w:val="both"/>
        <w:rPr>
          <w:rFonts w:ascii="Arial" w:eastAsia="Times New Roman" w:hAnsi="Arial" w:cs="Arial"/>
          <w:color w:val="000000"/>
          <w:sz w:val="21"/>
          <w:szCs w:val="21"/>
        </w:rPr>
      </w:pPr>
      <w:r w:rsidRPr="0018217D">
        <w:rPr>
          <w:rFonts w:ascii="Arial" w:eastAsia="Times New Roman" w:hAnsi="Arial" w:cs="Arial"/>
          <w:color w:val="000000"/>
          <w:sz w:val="21"/>
          <w:szCs w:val="21"/>
        </w:rPr>
        <w:t>L'evolució de les anualitats des de 2018 fins a 2021 mostra l'establiment d'unes tendències que es confirmen amb el pas del temps, responent a la configuració pròpia de l'organització administrativa de base territorial.</w:t>
      </w:r>
    </w:p>
    <w:p w14:paraId="2AA8EE10" w14:textId="77777777" w:rsidR="0018217D" w:rsidRPr="0018217D" w:rsidRDefault="0018217D" w:rsidP="0018217D">
      <w:pPr>
        <w:spacing w:after="240" w:line="276" w:lineRule="auto"/>
        <w:jc w:val="both"/>
        <w:rPr>
          <w:rFonts w:ascii="Arial" w:eastAsia="Times New Roman" w:hAnsi="Arial" w:cs="Arial"/>
          <w:color w:val="000000"/>
          <w:sz w:val="21"/>
          <w:szCs w:val="21"/>
        </w:rPr>
      </w:pPr>
      <w:r w:rsidRPr="0018217D">
        <w:rPr>
          <w:rFonts w:ascii="Arial" w:eastAsia="Times New Roman" w:hAnsi="Arial" w:cs="Arial"/>
          <w:color w:val="000000"/>
          <w:sz w:val="21"/>
          <w:szCs w:val="21"/>
        </w:rPr>
        <w:t>De nou les denúncies respecte a la província de València aglutinen la major representativitat amb el 49,86% dels casos, 179 denúncies en termes absoluts.</w:t>
      </w:r>
    </w:p>
    <w:p w14:paraId="2DC196B5" w14:textId="77777777" w:rsidR="0018217D" w:rsidRPr="0018217D" w:rsidRDefault="0018217D" w:rsidP="0018217D">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65" w:name="_Toc95913837"/>
      <w:bookmarkStart w:id="166" w:name="_Toc99110720"/>
      <w:r w:rsidRPr="0018217D">
        <w:rPr>
          <w:rFonts w:ascii="Arial" w:eastAsia="Times New Roman" w:hAnsi="Arial" w:cs="Arial"/>
          <w:b/>
          <w:color w:val="9D2235"/>
          <w:sz w:val="28"/>
          <w:szCs w:val="28"/>
        </w:rPr>
        <w:t>Denúncies presentades segons l’àmbit material</w:t>
      </w:r>
      <w:bookmarkEnd w:id="165"/>
      <w:bookmarkEnd w:id="166"/>
    </w:p>
    <w:p w14:paraId="76BF6EC0" w14:textId="77777777" w:rsidR="0018217D" w:rsidRPr="0018217D" w:rsidRDefault="0018217D" w:rsidP="0018217D">
      <w:pPr>
        <w:spacing w:after="240" w:line="276" w:lineRule="auto"/>
        <w:jc w:val="both"/>
        <w:rPr>
          <w:rFonts w:ascii="Arial" w:eastAsia="Times New Roman" w:hAnsi="Arial" w:cs="Arial"/>
          <w:color w:val="000000"/>
          <w:sz w:val="21"/>
          <w:szCs w:val="21"/>
        </w:rPr>
      </w:pPr>
      <w:r w:rsidRPr="0018217D">
        <w:rPr>
          <w:rFonts w:ascii="Arial" w:eastAsia="Times New Roman" w:hAnsi="Arial" w:cs="Arial"/>
          <w:color w:val="000000"/>
          <w:sz w:val="21"/>
          <w:szCs w:val="21"/>
        </w:rPr>
        <w:t xml:space="preserve">En aquest apartat, es presenta la classificació de les denúncies segons l'àmbit material de l'actuació administrativa. </w:t>
      </w:r>
    </w:p>
    <w:p w14:paraId="2908A327" w14:textId="77777777" w:rsidR="0018217D" w:rsidRPr="0018217D" w:rsidRDefault="0018217D" w:rsidP="0018217D">
      <w:pPr>
        <w:spacing w:after="240" w:line="276" w:lineRule="auto"/>
        <w:jc w:val="both"/>
        <w:rPr>
          <w:rFonts w:ascii="Arial" w:eastAsia="Times New Roman" w:hAnsi="Arial" w:cs="Arial"/>
          <w:color w:val="000000"/>
          <w:sz w:val="21"/>
          <w:szCs w:val="21"/>
        </w:rPr>
      </w:pPr>
      <w:r w:rsidRPr="0018217D">
        <w:rPr>
          <w:rFonts w:ascii="Arial" w:eastAsia="Times New Roman" w:hAnsi="Arial" w:cs="Arial"/>
          <w:color w:val="000000"/>
          <w:sz w:val="21"/>
          <w:szCs w:val="21"/>
        </w:rPr>
        <w:t xml:space="preserve">La classificació, en funció de la matèria, s'ha realitzat per mitjà de la classificació en atenció a les grans àrees d'actuació tradicionals en el si de l'activitat administrativa de caràcter general. </w:t>
      </w:r>
    </w:p>
    <w:p w14:paraId="4B67DC1E" w14:textId="77777777" w:rsidR="0018217D" w:rsidRPr="0018217D" w:rsidRDefault="0018217D" w:rsidP="0018217D">
      <w:pPr>
        <w:spacing w:after="240" w:line="276" w:lineRule="auto"/>
        <w:jc w:val="both"/>
        <w:rPr>
          <w:rFonts w:ascii="Arial" w:eastAsia="Times New Roman" w:hAnsi="Arial" w:cs="Arial"/>
          <w:color w:val="000000"/>
          <w:sz w:val="21"/>
          <w:szCs w:val="21"/>
        </w:rPr>
      </w:pPr>
      <w:r w:rsidRPr="0018217D">
        <w:rPr>
          <w:rFonts w:ascii="Arial" w:eastAsia="Times New Roman" w:hAnsi="Arial" w:cs="Arial"/>
          <w:color w:val="000000"/>
          <w:sz w:val="21"/>
          <w:szCs w:val="21"/>
        </w:rPr>
        <w:t>Així mateix, en la mesura que siga possible, s'ha realitzat un desglossament en submatèries, a fi de fitar en major grau les dades que s'extrauen de l'anàlisi de la tipologia de les denúncies presentades.</w:t>
      </w:r>
    </w:p>
    <w:p w14:paraId="01AF03D5" w14:textId="463817BA" w:rsidR="00CE368F" w:rsidRPr="00CE368F" w:rsidRDefault="00CE368F" w:rsidP="00CE368F">
      <w:pPr>
        <w:pStyle w:val="Descripcin"/>
        <w:keepNext/>
        <w:rPr>
          <w:rFonts w:ascii="Arial" w:hAnsi="Arial" w:cs="Arial"/>
          <w:smallCaps w:val="0"/>
          <w:sz w:val="18"/>
          <w:szCs w:val="18"/>
        </w:rPr>
      </w:pPr>
      <w:bookmarkStart w:id="167" w:name="_Toc99110857"/>
      <w:r w:rsidRPr="00CE368F">
        <w:rPr>
          <w:rFonts w:ascii="Arial" w:hAnsi="Arial" w:cs="Arial"/>
          <w:smallCaps w:val="0"/>
          <w:color w:val="9D2235" w:themeColor="accent1"/>
          <w:sz w:val="18"/>
          <w:szCs w:val="18"/>
        </w:rPr>
        <w:t xml:space="preserve">Taula </w:t>
      </w:r>
      <w:r w:rsidRPr="00CE368F">
        <w:rPr>
          <w:rFonts w:ascii="Arial" w:hAnsi="Arial" w:cs="Arial"/>
          <w:smallCaps w:val="0"/>
          <w:color w:val="9D2235" w:themeColor="accent1"/>
          <w:sz w:val="18"/>
          <w:szCs w:val="18"/>
        </w:rPr>
        <w:fldChar w:fldCharType="begin" w:fldLock="1"/>
      </w:r>
      <w:r w:rsidRPr="00CE368F">
        <w:rPr>
          <w:rFonts w:ascii="Arial" w:hAnsi="Arial" w:cs="Arial"/>
          <w:smallCaps w:val="0"/>
          <w:color w:val="9D2235" w:themeColor="accent1"/>
          <w:sz w:val="18"/>
          <w:szCs w:val="18"/>
        </w:rPr>
        <w:instrText xml:space="preserve"> SEQ Taula \* ARABIC </w:instrText>
      </w:r>
      <w:r w:rsidRPr="00CE368F">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12</w:t>
      </w:r>
      <w:r w:rsidRPr="00CE368F">
        <w:rPr>
          <w:rFonts w:ascii="Arial" w:hAnsi="Arial" w:cs="Arial"/>
          <w:smallCaps w:val="0"/>
          <w:color w:val="9D2235" w:themeColor="accent1"/>
          <w:sz w:val="18"/>
          <w:szCs w:val="18"/>
        </w:rPr>
        <w:fldChar w:fldCharType="end"/>
      </w:r>
      <w:r w:rsidRPr="00CE368F">
        <w:rPr>
          <w:rFonts w:ascii="Arial" w:hAnsi="Arial" w:cs="Arial"/>
          <w:smallCaps w:val="0"/>
          <w:color w:val="9D2235" w:themeColor="accent1"/>
          <w:sz w:val="18"/>
          <w:szCs w:val="18"/>
        </w:rPr>
        <w:t xml:space="preserve">. </w:t>
      </w:r>
      <w:r w:rsidRPr="00CE368F">
        <w:rPr>
          <w:rFonts w:ascii="Arial" w:hAnsi="Arial" w:cs="Arial"/>
          <w:smallCaps w:val="0"/>
          <w:sz w:val="18"/>
          <w:szCs w:val="18"/>
        </w:rPr>
        <w:t>Denúncies presentades segons l’àmbit material</w:t>
      </w:r>
      <w:bookmarkEnd w:id="167"/>
    </w:p>
    <w:tbl>
      <w:tblPr>
        <w:tblW w:w="5000" w:type="pct"/>
        <w:tblCellMar>
          <w:left w:w="70" w:type="dxa"/>
          <w:right w:w="70" w:type="dxa"/>
        </w:tblCellMar>
        <w:tblLook w:val="04A0" w:firstRow="1" w:lastRow="0" w:firstColumn="1" w:lastColumn="0" w:noHBand="0" w:noVBand="1"/>
      </w:tblPr>
      <w:tblGrid>
        <w:gridCol w:w="3004"/>
        <w:gridCol w:w="418"/>
        <w:gridCol w:w="655"/>
        <w:gridCol w:w="428"/>
        <w:gridCol w:w="641"/>
        <w:gridCol w:w="429"/>
        <w:gridCol w:w="641"/>
        <w:gridCol w:w="429"/>
        <w:gridCol w:w="641"/>
        <w:gridCol w:w="485"/>
        <w:gridCol w:w="713"/>
      </w:tblGrid>
      <w:tr w:rsidR="00CE368F" w:rsidRPr="00CE368F" w14:paraId="50A618E9" w14:textId="77777777" w:rsidTr="00CE368F">
        <w:trPr>
          <w:trHeight w:val="300"/>
          <w:tblHeader/>
        </w:trPr>
        <w:tc>
          <w:tcPr>
            <w:tcW w:w="1770" w:type="pct"/>
            <w:vMerge w:val="restart"/>
            <w:tcBorders>
              <w:top w:val="single" w:sz="8" w:space="0" w:color="auto"/>
              <w:left w:val="single" w:sz="8" w:space="0" w:color="auto"/>
              <w:bottom w:val="single" w:sz="8" w:space="0" w:color="000000"/>
              <w:right w:val="single" w:sz="8" w:space="0" w:color="auto"/>
            </w:tcBorders>
            <w:shd w:val="clear" w:color="000000" w:fill="B6A39A"/>
            <w:noWrap/>
            <w:vAlign w:val="center"/>
            <w:hideMark/>
          </w:tcPr>
          <w:p w14:paraId="16844698"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bookmarkStart w:id="168" w:name="_Hlk95675949"/>
            <w:r w:rsidRPr="00CE368F">
              <w:rPr>
                <w:rFonts w:ascii="Arial" w:eastAsia="Times New Roman" w:hAnsi="Arial" w:cs="Arial"/>
                <w:b/>
                <w:bCs/>
                <w:color w:val="000000"/>
                <w:sz w:val="16"/>
                <w:szCs w:val="16"/>
                <w:lang w:val="ca-ES" w:eastAsia="es-ES"/>
              </w:rPr>
              <w:t>MATERIES*</w:t>
            </w:r>
          </w:p>
        </w:tc>
        <w:tc>
          <w:tcPr>
            <w:tcW w:w="632"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6B94EB6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2017</w:t>
            </w:r>
          </w:p>
        </w:tc>
        <w:tc>
          <w:tcPr>
            <w:tcW w:w="630"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4B1758A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2018</w:t>
            </w:r>
          </w:p>
        </w:tc>
        <w:tc>
          <w:tcPr>
            <w:tcW w:w="631"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59B2071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2019</w:t>
            </w:r>
          </w:p>
        </w:tc>
        <w:tc>
          <w:tcPr>
            <w:tcW w:w="631"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1DC5FAA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2020</w:t>
            </w:r>
          </w:p>
        </w:tc>
        <w:tc>
          <w:tcPr>
            <w:tcW w:w="707"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4F2EC77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2021</w:t>
            </w:r>
          </w:p>
        </w:tc>
      </w:tr>
      <w:bookmarkEnd w:id="168"/>
      <w:tr w:rsidR="00CE368F" w:rsidRPr="00CE368F" w14:paraId="04BAAE18" w14:textId="77777777" w:rsidTr="00CE368F">
        <w:trPr>
          <w:trHeight w:val="300"/>
          <w:tblHeader/>
        </w:trPr>
        <w:tc>
          <w:tcPr>
            <w:tcW w:w="1770" w:type="pct"/>
            <w:vMerge/>
            <w:tcBorders>
              <w:top w:val="single" w:sz="8" w:space="0" w:color="auto"/>
              <w:left w:val="single" w:sz="8" w:space="0" w:color="auto"/>
              <w:bottom w:val="single" w:sz="8" w:space="0" w:color="000000"/>
              <w:right w:val="single" w:sz="8" w:space="0" w:color="auto"/>
            </w:tcBorders>
            <w:vAlign w:val="center"/>
            <w:hideMark/>
          </w:tcPr>
          <w:p w14:paraId="0F167AD7"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p>
        </w:tc>
        <w:tc>
          <w:tcPr>
            <w:tcW w:w="246" w:type="pct"/>
            <w:tcBorders>
              <w:top w:val="nil"/>
              <w:left w:val="nil"/>
              <w:bottom w:val="single" w:sz="8" w:space="0" w:color="auto"/>
              <w:right w:val="single" w:sz="8" w:space="0" w:color="auto"/>
            </w:tcBorders>
            <w:shd w:val="clear" w:color="000000" w:fill="B6A39A"/>
            <w:noWrap/>
            <w:vAlign w:val="center"/>
            <w:hideMark/>
          </w:tcPr>
          <w:p w14:paraId="6C73359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 </w:t>
            </w:r>
          </w:p>
        </w:tc>
        <w:tc>
          <w:tcPr>
            <w:tcW w:w="385" w:type="pct"/>
            <w:tcBorders>
              <w:top w:val="nil"/>
              <w:left w:val="nil"/>
              <w:bottom w:val="single" w:sz="8" w:space="0" w:color="auto"/>
              <w:right w:val="single" w:sz="8" w:space="0" w:color="auto"/>
            </w:tcBorders>
            <w:shd w:val="clear" w:color="000000" w:fill="B6A39A"/>
            <w:noWrap/>
            <w:vAlign w:val="center"/>
            <w:hideMark/>
          </w:tcPr>
          <w:p w14:paraId="1ADABCA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252" w:type="pct"/>
            <w:tcBorders>
              <w:top w:val="nil"/>
              <w:left w:val="nil"/>
              <w:bottom w:val="single" w:sz="8" w:space="0" w:color="auto"/>
              <w:right w:val="single" w:sz="8" w:space="0" w:color="auto"/>
            </w:tcBorders>
            <w:shd w:val="clear" w:color="000000" w:fill="B6A39A"/>
            <w:noWrap/>
            <w:vAlign w:val="center"/>
            <w:hideMark/>
          </w:tcPr>
          <w:p w14:paraId="5483A5A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 </w:t>
            </w:r>
          </w:p>
        </w:tc>
        <w:tc>
          <w:tcPr>
            <w:tcW w:w="378" w:type="pct"/>
            <w:tcBorders>
              <w:top w:val="nil"/>
              <w:left w:val="nil"/>
              <w:bottom w:val="single" w:sz="8" w:space="0" w:color="auto"/>
              <w:right w:val="single" w:sz="8" w:space="0" w:color="auto"/>
            </w:tcBorders>
            <w:shd w:val="clear" w:color="000000" w:fill="B6A39A"/>
            <w:noWrap/>
            <w:vAlign w:val="center"/>
            <w:hideMark/>
          </w:tcPr>
          <w:p w14:paraId="597631A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253" w:type="pct"/>
            <w:tcBorders>
              <w:top w:val="nil"/>
              <w:left w:val="nil"/>
              <w:bottom w:val="single" w:sz="8" w:space="0" w:color="auto"/>
              <w:right w:val="single" w:sz="8" w:space="0" w:color="auto"/>
            </w:tcBorders>
            <w:shd w:val="clear" w:color="000000" w:fill="B6A39A"/>
            <w:noWrap/>
            <w:vAlign w:val="center"/>
            <w:hideMark/>
          </w:tcPr>
          <w:p w14:paraId="265CEDC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 </w:t>
            </w:r>
          </w:p>
        </w:tc>
        <w:tc>
          <w:tcPr>
            <w:tcW w:w="378" w:type="pct"/>
            <w:tcBorders>
              <w:top w:val="nil"/>
              <w:left w:val="nil"/>
              <w:bottom w:val="single" w:sz="8" w:space="0" w:color="auto"/>
              <w:right w:val="single" w:sz="8" w:space="0" w:color="auto"/>
            </w:tcBorders>
            <w:shd w:val="clear" w:color="000000" w:fill="B6A39A"/>
            <w:noWrap/>
            <w:vAlign w:val="center"/>
            <w:hideMark/>
          </w:tcPr>
          <w:p w14:paraId="5619BD2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253" w:type="pct"/>
            <w:tcBorders>
              <w:top w:val="nil"/>
              <w:left w:val="nil"/>
              <w:bottom w:val="single" w:sz="8" w:space="0" w:color="auto"/>
              <w:right w:val="single" w:sz="8" w:space="0" w:color="auto"/>
            </w:tcBorders>
            <w:shd w:val="clear" w:color="000000" w:fill="B6A39A"/>
            <w:noWrap/>
            <w:vAlign w:val="center"/>
            <w:hideMark/>
          </w:tcPr>
          <w:p w14:paraId="347AA2A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 </w:t>
            </w:r>
          </w:p>
        </w:tc>
        <w:tc>
          <w:tcPr>
            <w:tcW w:w="378" w:type="pct"/>
            <w:tcBorders>
              <w:top w:val="nil"/>
              <w:left w:val="nil"/>
              <w:bottom w:val="single" w:sz="8" w:space="0" w:color="auto"/>
              <w:right w:val="single" w:sz="8" w:space="0" w:color="auto"/>
            </w:tcBorders>
            <w:shd w:val="clear" w:color="000000" w:fill="B6A39A"/>
            <w:noWrap/>
            <w:vAlign w:val="center"/>
            <w:hideMark/>
          </w:tcPr>
          <w:p w14:paraId="5FBE31C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286" w:type="pct"/>
            <w:tcBorders>
              <w:top w:val="nil"/>
              <w:left w:val="nil"/>
              <w:bottom w:val="single" w:sz="8" w:space="0" w:color="auto"/>
              <w:right w:val="single" w:sz="8" w:space="0" w:color="auto"/>
            </w:tcBorders>
            <w:shd w:val="clear" w:color="000000" w:fill="B6A39A"/>
            <w:noWrap/>
            <w:vAlign w:val="center"/>
            <w:hideMark/>
          </w:tcPr>
          <w:p w14:paraId="1E87EAE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 </w:t>
            </w:r>
          </w:p>
        </w:tc>
        <w:tc>
          <w:tcPr>
            <w:tcW w:w="421" w:type="pct"/>
            <w:tcBorders>
              <w:top w:val="nil"/>
              <w:left w:val="nil"/>
              <w:bottom w:val="single" w:sz="8" w:space="0" w:color="auto"/>
              <w:right w:val="single" w:sz="8" w:space="0" w:color="auto"/>
            </w:tcBorders>
            <w:shd w:val="clear" w:color="000000" w:fill="B6A39A"/>
            <w:noWrap/>
            <w:vAlign w:val="center"/>
            <w:hideMark/>
          </w:tcPr>
          <w:p w14:paraId="5F4C147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r>
      <w:tr w:rsidR="00CE368F" w:rsidRPr="00CE368F" w14:paraId="393D9AD1"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08B5886B"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Conflicte interessos càrrec públic</w:t>
            </w:r>
          </w:p>
        </w:tc>
        <w:tc>
          <w:tcPr>
            <w:tcW w:w="246" w:type="pct"/>
            <w:tcBorders>
              <w:top w:val="nil"/>
              <w:left w:val="nil"/>
              <w:bottom w:val="single" w:sz="8" w:space="0" w:color="auto"/>
              <w:right w:val="single" w:sz="8" w:space="0" w:color="auto"/>
            </w:tcBorders>
            <w:shd w:val="clear" w:color="000000" w:fill="D8C1BD"/>
            <w:noWrap/>
            <w:vAlign w:val="center"/>
            <w:hideMark/>
          </w:tcPr>
          <w:p w14:paraId="373F1F1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85" w:type="pct"/>
            <w:tcBorders>
              <w:top w:val="nil"/>
              <w:left w:val="nil"/>
              <w:bottom w:val="single" w:sz="8" w:space="0" w:color="auto"/>
              <w:right w:val="single" w:sz="8" w:space="0" w:color="auto"/>
            </w:tcBorders>
            <w:shd w:val="clear" w:color="000000" w:fill="D8C1BD"/>
            <w:noWrap/>
            <w:vAlign w:val="center"/>
            <w:hideMark/>
          </w:tcPr>
          <w:p w14:paraId="0B99050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2" w:type="pct"/>
            <w:tcBorders>
              <w:top w:val="nil"/>
              <w:left w:val="nil"/>
              <w:bottom w:val="single" w:sz="8" w:space="0" w:color="auto"/>
              <w:right w:val="single" w:sz="8" w:space="0" w:color="auto"/>
            </w:tcBorders>
            <w:shd w:val="clear" w:color="000000" w:fill="D8C1BD"/>
            <w:noWrap/>
            <w:vAlign w:val="center"/>
            <w:hideMark/>
          </w:tcPr>
          <w:p w14:paraId="0863D76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794B8B2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6225E68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6309AC05"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05193A0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33D2C0F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D8C1BD"/>
            <w:noWrap/>
            <w:vAlign w:val="center"/>
            <w:hideMark/>
          </w:tcPr>
          <w:p w14:paraId="374232C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7</w:t>
            </w:r>
          </w:p>
        </w:tc>
        <w:tc>
          <w:tcPr>
            <w:tcW w:w="421" w:type="pct"/>
            <w:tcBorders>
              <w:top w:val="nil"/>
              <w:left w:val="nil"/>
              <w:bottom w:val="single" w:sz="8" w:space="0" w:color="auto"/>
              <w:right w:val="single" w:sz="8" w:space="0" w:color="auto"/>
            </w:tcBorders>
            <w:shd w:val="clear" w:color="000000" w:fill="D8C1BD"/>
            <w:noWrap/>
            <w:vAlign w:val="center"/>
            <w:hideMark/>
          </w:tcPr>
          <w:p w14:paraId="01A1DA3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w:t>
            </w:r>
          </w:p>
        </w:tc>
      </w:tr>
      <w:tr w:rsidR="00CE368F" w:rsidRPr="00CE368F" w14:paraId="08FF01C2"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0B69232A"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Conflicte interessos empleat públic</w:t>
            </w:r>
          </w:p>
        </w:tc>
        <w:tc>
          <w:tcPr>
            <w:tcW w:w="246" w:type="pct"/>
            <w:tcBorders>
              <w:top w:val="nil"/>
              <w:left w:val="nil"/>
              <w:bottom w:val="single" w:sz="8" w:space="0" w:color="auto"/>
              <w:right w:val="single" w:sz="8" w:space="0" w:color="auto"/>
            </w:tcBorders>
            <w:shd w:val="clear" w:color="000000" w:fill="D8C1BD"/>
            <w:noWrap/>
            <w:vAlign w:val="center"/>
            <w:hideMark/>
          </w:tcPr>
          <w:p w14:paraId="5B76BC0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85" w:type="pct"/>
            <w:tcBorders>
              <w:top w:val="nil"/>
              <w:left w:val="nil"/>
              <w:bottom w:val="single" w:sz="8" w:space="0" w:color="auto"/>
              <w:right w:val="single" w:sz="8" w:space="0" w:color="auto"/>
            </w:tcBorders>
            <w:shd w:val="clear" w:color="000000" w:fill="D8C1BD"/>
            <w:noWrap/>
            <w:vAlign w:val="center"/>
            <w:hideMark/>
          </w:tcPr>
          <w:p w14:paraId="7518341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2" w:type="pct"/>
            <w:tcBorders>
              <w:top w:val="nil"/>
              <w:left w:val="nil"/>
              <w:bottom w:val="single" w:sz="8" w:space="0" w:color="auto"/>
              <w:right w:val="single" w:sz="8" w:space="0" w:color="auto"/>
            </w:tcBorders>
            <w:shd w:val="clear" w:color="000000" w:fill="D8C1BD"/>
            <w:noWrap/>
            <w:vAlign w:val="center"/>
            <w:hideMark/>
          </w:tcPr>
          <w:p w14:paraId="3C93C84D"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0C77F962"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71A6DC0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2954A216"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2EDAE4D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1E8A8E9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D8C1BD"/>
            <w:noWrap/>
            <w:vAlign w:val="center"/>
            <w:hideMark/>
          </w:tcPr>
          <w:p w14:paraId="448DC37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w:t>
            </w:r>
          </w:p>
        </w:tc>
        <w:tc>
          <w:tcPr>
            <w:tcW w:w="421" w:type="pct"/>
            <w:tcBorders>
              <w:top w:val="nil"/>
              <w:left w:val="nil"/>
              <w:bottom w:val="single" w:sz="8" w:space="0" w:color="auto"/>
              <w:right w:val="single" w:sz="8" w:space="0" w:color="auto"/>
            </w:tcBorders>
            <w:shd w:val="clear" w:color="000000" w:fill="D8C1BD"/>
            <w:noWrap/>
            <w:vAlign w:val="center"/>
            <w:hideMark/>
          </w:tcPr>
          <w:p w14:paraId="0D90D9C5"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w:t>
            </w:r>
          </w:p>
        </w:tc>
      </w:tr>
      <w:tr w:rsidR="00CE368F" w:rsidRPr="00CE368F" w14:paraId="342595C7"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39F322E1"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Contractació pública</w:t>
            </w:r>
          </w:p>
        </w:tc>
        <w:tc>
          <w:tcPr>
            <w:tcW w:w="246" w:type="pct"/>
            <w:tcBorders>
              <w:top w:val="nil"/>
              <w:left w:val="nil"/>
              <w:bottom w:val="single" w:sz="8" w:space="0" w:color="auto"/>
              <w:right w:val="single" w:sz="8" w:space="0" w:color="auto"/>
            </w:tcBorders>
            <w:shd w:val="clear" w:color="000000" w:fill="D8C1BD"/>
            <w:noWrap/>
            <w:vAlign w:val="center"/>
            <w:hideMark/>
          </w:tcPr>
          <w:p w14:paraId="3F8DDC7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12</w:t>
            </w:r>
          </w:p>
        </w:tc>
        <w:tc>
          <w:tcPr>
            <w:tcW w:w="385" w:type="pct"/>
            <w:tcBorders>
              <w:top w:val="nil"/>
              <w:left w:val="nil"/>
              <w:bottom w:val="single" w:sz="8" w:space="0" w:color="auto"/>
              <w:right w:val="single" w:sz="8" w:space="0" w:color="auto"/>
            </w:tcBorders>
            <w:shd w:val="clear" w:color="000000" w:fill="D8C1BD"/>
            <w:noWrap/>
            <w:vAlign w:val="center"/>
            <w:hideMark/>
          </w:tcPr>
          <w:p w14:paraId="404EB89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34%</w:t>
            </w:r>
          </w:p>
        </w:tc>
        <w:tc>
          <w:tcPr>
            <w:tcW w:w="252" w:type="pct"/>
            <w:tcBorders>
              <w:top w:val="nil"/>
              <w:left w:val="nil"/>
              <w:bottom w:val="single" w:sz="8" w:space="0" w:color="auto"/>
              <w:right w:val="single" w:sz="8" w:space="0" w:color="auto"/>
            </w:tcBorders>
            <w:shd w:val="clear" w:color="000000" w:fill="D8C1BD"/>
            <w:noWrap/>
            <w:vAlign w:val="center"/>
            <w:hideMark/>
          </w:tcPr>
          <w:p w14:paraId="270B3A2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57</w:t>
            </w:r>
          </w:p>
        </w:tc>
        <w:tc>
          <w:tcPr>
            <w:tcW w:w="378" w:type="pct"/>
            <w:tcBorders>
              <w:top w:val="nil"/>
              <w:left w:val="nil"/>
              <w:bottom w:val="single" w:sz="8" w:space="0" w:color="auto"/>
              <w:right w:val="single" w:sz="8" w:space="0" w:color="auto"/>
            </w:tcBorders>
            <w:shd w:val="clear" w:color="000000" w:fill="D8C1BD"/>
            <w:noWrap/>
            <w:vAlign w:val="center"/>
            <w:hideMark/>
          </w:tcPr>
          <w:p w14:paraId="74C32C8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31%</w:t>
            </w:r>
          </w:p>
        </w:tc>
        <w:tc>
          <w:tcPr>
            <w:tcW w:w="253" w:type="pct"/>
            <w:tcBorders>
              <w:top w:val="nil"/>
              <w:left w:val="nil"/>
              <w:bottom w:val="single" w:sz="8" w:space="0" w:color="auto"/>
              <w:right w:val="single" w:sz="8" w:space="0" w:color="auto"/>
            </w:tcBorders>
            <w:shd w:val="clear" w:color="000000" w:fill="D8C1BD"/>
            <w:noWrap/>
            <w:vAlign w:val="center"/>
            <w:hideMark/>
          </w:tcPr>
          <w:p w14:paraId="7E903DF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42</w:t>
            </w:r>
          </w:p>
        </w:tc>
        <w:tc>
          <w:tcPr>
            <w:tcW w:w="378" w:type="pct"/>
            <w:tcBorders>
              <w:top w:val="nil"/>
              <w:left w:val="nil"/>
              <w:bottom w:val="single" w:sz="8" w:space="0" w:color="auto"/>
              <w:right w:val="single" w:sz="8" w:space="0" w:color="auto"/>
            </w:tcBorders>
            <w:shd w:val="clear" w:color="000000" w:fill="D8C1BD"/>
            <w:noWrap/>
            <w:vAlign w:val="center"/>
            <w:hideMark/>
          </w:tcPr>
          <w:p w14:paraId="7EA6F1F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25%</w:t>
            </w:r>
          </w:p>
        </w:tc>
        <w:tc>
          <w:tcPr>
            <w:tcW w:w="253" w:type="pct"/>
            <w:tcBorders>
              <w:top w:val="nil"/>
              <w:left w:val="nil"/>
              <w:bottom w:val="single" w:sz="8" w:space="0" w:color="auto"/>
              <w:right w:val="single" w:sz="8" w:space="0" w:color="auto"/>
            </w:tcBorders>
            <w:shd w:val="clear" w:color="000000" w:fill="D8C1BD"/>
            <w:noWrap/>
            <w:vAlign w:val="center"/>
            <w:hideMark/>
          </w:tcPr>
          <w:p w14:paraId="659E8A7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72</w:t>
            </w:r>
          </w:p>
        </w:tc>
        <w:tc>
          <w:tcPr>
            <w:tcW w:w="378" w:type="pct"/>
            <w:tcBorders>
              <w:top w:val="nil"/>
              <w:left w:val="nil"/>
              <w:bottom w:val="single" w:sz="8" w:space="0" w:color="auto"/>
              <w:right w:val="single" w:sz="8" w:space="0" w:color="auto"/>
            </w:tcBorders>
            <w:shd w:val="clear" w:color="000000" w:fill="D8C1BD"/>
            <w:noWrap/>
            <w:vAlign w:val="center"/>
            <w:hideMark/>
          </w:tcPr>
          <w:p w14:paraId="0E3203E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32%</w:t>
            </w:r>
          </w:p>
        </w:tc>
        <w:tc>
          <w:tcPr>
            <w:tcW w:w="286" w:type="pct"/>
            <w:tcBorders>
              <w:top w:val="nil"/>
              <w:left w:val="nil"/>
              <w:bottom w:val="single" w:sz="8" w:space="0" w:color="auto"/>
              <w:right w:val="single" w:sz="8" w:space="0" w:color="auto"/>
            </w:tcBorders>
            <w:shd w:val="clear" w:color="000000" w:fill="D8C1BD"/>
            <w:noWrap/>
            <w:vAlign w:val="center"/>
            <w:hideMark/>
          </w:tcPr>
          <w:p w14:paraId="2FCD134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51</w:t>
            </w:r>
          </w:p>
        </w:tc>
        <w:tc>
          <w:tcPr>
            <w:tcW w:w="421" w:type="pct"/>
            <w:tcBorders>
              <w:top w:val="nil"/>
              <w:left w:val="nil"/>
              <w:bottom w:val="single" w:sz="8" w:space="0" w:color="auto"/>
              <w:right w:val="single" w:sz="8" w:space="0" w:color="auto"/>
            </w:tcBorders>
            <w:shd w:val="clear" w:color="000000" w:fill="D8C1BD"/>
            <w:noWrap/>
            <w:vAlign w:val="center"/>
            <w:hideMark/>
          </w:tcPr>
          <w:p w14:paraId="696A755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14%</w:t>
            </w:r>
          </w:p>
        </w:tc>
      </w:tr>
      <w:tr w:rsidR="00CE368F" w:rsidRPr="00CE368F" w14:paraId="2F76B0B6" w14:textId="77777777" w:rsidTr="00CE368F">
        <w:trPr>
          <w:trHeight w:val="300"/>
        </w:trPr>
        <w:tc>
          <w:tcPr>
            <w:tcW w:w="1770" w:type="pct"/>
            <w:tcBorders>
              <w:top w:val="nil"/>
              <w:left w:val="single" w:sz="8" w:space="0" w:color="auto"/>
              <w:bottom w:val="single" w:sz="8" w:space="0" w:color="auto"/>
              <w:right w:val="single" w:sz="8" w:space="0" w:color="auto"/>
            </w:tcBorders>
            <w:shd w:val="clear" w:color="auto" w:fill="auto"/>
            <w:noWrap/>
            <w:vAlign w:val="center"/>
            <w:hideMark/>
          </w:tcPr>
          <w:p w14:paraId="20EFCC16"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Concessions</w:t>
            </w:r>
          </w:p>
        </w:tc>
        <w:tc>
          <w:tcPr>
            <w:tcW w:w="246" w:type="pct"/>
            <w:tcBorders>
              <w:top w:val="nil"/>
              <w:left w:val="nil"/>
              <w:bottom w:val="single" w:sz="8" w:space="0" w:color="auto"/>
              <w:right w:val="single" w:sz="8" w:space="0" w:color="auto"/>
            </w:tcBorders>
            <w:shd w:val="clear" w:color="auto" w:fill="auto"/>
            <w:noWrap/>
            <w:vAlign w:val="center"/>
            <w:hideMark/>
          </w:tcPr>
          <w:p w14:paraId="2A7524D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c>
          <w:tcPr>
            <w:tcW w:w="385" w:type="pct"/>
            <w:tcBorders>
              <w:top w:val="nil"/>
              <w:left w:val="nil"/>
              <w:bottom w:val="single" w:sz="8" w:space="0" w:color="auto"/>
              <w:right w:val="single" w:sz="8" w:space="0" w:color="auto"/>
            </w:tcBorders>
            <w:shd w:val="clear" w:color="auto" w:fill="auto"/>
            <w:noWrap/>
            <w:vAlign w:val="center"/>
            <w:hideMark/>
          </w:tcPr>
          <w:p w14:paraId="6B12EC1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9%</w:t>
            </w:r>
          </w:p>
        </w:tc>
        <w:tc>
          <w:tcPr>
            <w:tcW w:w="252" w:type="pct"/>
            <w:tcBorders>
              <w:top w:val="nil"/>
              <w:left w:val="nil"/>
              <w:bottom w:val="single" w:sz="8" w:space="0" w:color="auto"/>
              <w:right w:val="single" w:sz="8" w:space="0" w:color="auto"/>
            </w:tcBorders>
            <w:shd w:val="clear" w:color="auto" w:fill="auto"/>
            <w:noWrap/>
            <w:vAlign w:val="center"/>
            <w:hideMark/>
          </w:tcPr>
          <w:p w14:paraId="4FF86A6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c>
          <w:tcPr>
            <w:tcW w:w="378" w:type="pct"/>
            <w:tcBorders>
              <w:top w:val="nil"/>
              <w:left w:val="nil"/>
              <w:bottom w:val="single" w:sz="8" w:space="0" w:color="auto"/>
              <w:right w:val="single" w:sz="8" w:space="0" w:color="auto"/>
            </w:tcBorders>
            <w:shd w:val="clear" w:color="auto" w:fill="auto"/>
            <w:noWrap/>
            <w:vAlign w:val="center"/>
            <w:hideMark/>
          </w:tcPr>
          <w:p w14:paraId="0817AE7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c>
          <w:tcPr>
            <w:tcW w:w="253" w:type="pct"/>
            <w:tcBorders>
              <w:top w:val="nil"/>
              <w:left w:val="nil"/>
              <w:bottom w:val="single" w:sz="8" w:space="0" w:color="auto"/>
              <w:right w:val="single" w:sz="8" w:space="0" w:color="auto"/>
            </w:tcBorders>
            <w:shd w:val="clear" w:color="auto" w:fill="auto"/>
            <w:noWrap/>
            <w:vAlign w:val="center"/>
            <w:hideMark/>
          </w:tcPr>
          <w:p w14:paraId="0F8BEC8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8</w:t>
            </w:r>
          </w:p>
        </w:tc>
        <w:tc>
          <w:tcPr>
            <w:tcW w:w="378" w:type="pct"/>
            <w:tcBorders>
              <w:top w:val="nil"/>
              <w:left w:val="nil"/>
              <w:bottom w:val="single" w:sz="8" w:space="0" w:color="auto"/>
              <w:right w:val="single" w:sz="8" w:space="0" w:color="auto"/>
            </w:tcBorders>
            <w:shd w:val="clear" w:color="auto" w:fill="auto"/>
            <w:noWrap/>
            <w:vAlign w:val="center"/>
            <w:hideMark/>
          </w:tcPr>
          <w:p w14:paraId="05FE023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5%</w:t>
            </w:r>
          </w:p>
        </w:tc>
        <w:tc>
          <w:tcPr>
            <w:tcW w:w="253" w:type="pct"/>
            <w:tcBorders>
              <w:top w:val="nil"/>
              <w:left w:val="nil"/>
              <w:bottom w:val="single" w:sz="8" w:space="0" w:color="auto"/>
              <w:right w:val="single" w:sz="8" w:space="0" w:color="auto"/>
            </w:tcBorders>
            <w:shd w:val="clear" w:color="auto" w:fill="auto"/>
            <w:noWrap/>
            <w:vAlign w:val="center"/>
            <w:hideMark/>
          </w:tcPr>
          <w:p w14:paraId="7CA6AAA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11</w:t>
            </w:r>
          </w:p>
        </w:tc>
        <w:tc>
          <w:tcPr>
            <w:tcW w:w="378" w:type="pct"/>
            <w:tcBorders>
              <w:top w:val="nil"/>
              <w:left w:val="nil"/>
              <w:bottom w:val="single" w:sz="8" w:space="0" w:color="auto"/>
              <w:right w:val="single" w:sz="8" w:space="0" w:color="auto"/>
            </w:tcBorders>
            <w:shd w:val="clear" w:color="auto" w:fill="auto"/>
            <w:noWrap/>
            <w:vAlign w:val="center"/>
            <w:hideMark/>
          </w:tcPr>
          <w:p w14:paraId="20EE946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5%</w:t>
            </w:r>
          </w:p>
        </w:tc>
        <w:tc>
          <w:tcPr>
            <w:tcW w:w="286" w:type="pct"/>
            <w:tcBorders>
              <w:top w:val="nil"/>
              <w:left w:val="nil"/>
              <w:bottom w:val="single" w:sz="8" w:space="0" w:color="auto"/>
              <w:right w:val="single" w:sz="8" w:space="0" w:color="auto"/>
            </w:tcBorders>
            <w:shd w:val="clear" w:color="auto" w:fill="auto"/>
            <w:noWrap/>
            <w:vAlign w:val="center"/>
            <w:hideMark/>
          </w:tcPr>
          <w:p w14:paraId="7BBF058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8</w:t>
            </w:r>
          </w:p>
        </w:tc>
        <w:tc>
          <w:tcPr>
            <w:tcW w:w="421" w:type="pct"/>
            <w:tcBorders>
              <w:top w:val="nil"/>
              <w:left w:val="nil"/>
              <w:bottom w:val="single" w:sz="8" w:space="0" w:color="auto"/>
              <w:right w:val="single" w:sz="8" w:space="0" w:color="auto"/>
            </w:tcBorders>
            <w:shd w:val="clear" w:color="auto" w:fill="auto"/>
            <w:noWrap/>
            <w:vAlign w:val="center"/>
            <w:hideMark/>
          </w:tcPr>
          <w:p w14:paraId="6A4335E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w:t>
            </w:r>
          </w:p>
        </w:tc>
      </w:tr>
      <w:tr w:rsidR="00CE368F" w:rsidRPr="00CE368F" w14:paraId="615D294F" w14:textId="77777777" w:rsidTr="00CE368F">
        <w:trPr>
          <w:trHeight w:val="300"/>
        </w:trPr>
        <w:tc>
          <w:tcPr>
            <w:tcW w:w="1770" w:type="pct"/>
            <w:tcBorders>
              <w:top w:val="nil"/>
              <w:left w:val="single" w:sz="8" w:space="0" w:color="auto"/>
              <w:bottom w:val="single" w:sz="8" w:space="0" w:color="auto"/>
              <w:right w:val="single" w:sz="8" w:space="0" w:color="auto"/>
            </w:tcBorders>
            <w:shd w:val="clear" w:color="auto" w:fill="auto"/>
            <w:noWrap/>
            <w:vAlign w:val="center"/>
            <w:hideMark/>
          </w:tcPr>
          <w:p w14:paraId="776603E4"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Obres</w:t>
            </w:r>
          </w:p>
        </w:tc>
        <w:tc>
          <w:tcPr>
            <w:tcW w:w="246" w:type="pct"/>
            <w:tcBorders>
              <w:top w:val="nil"/>
              <w:left w:val="nil"/>
              <w:bottom w:val="single" w:sz="8" w:space="0" w:color="auto"/>
              <w:right w:val="single" w:sz="8" w:space="0" w:color="auto"/>
            </w:tcBorders>
            <w:shd w:val="clear" w:color="auto" w:fill="auto"/>
            <w:noWrap/>
            <w:vAlign w:val="center"/>
            <w:hideMark/>
          </w:tcPr>
          <w:p w14:paraId="1FB0308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w:t>
            </w:r>
          </w:p>
        </w:tc>
        <w:tc>
          <w:tcPr>
            <w:tcW w:w="385" w:type="pct"/>
            <w:tcBorders>
              <w:top w:val="nil"/>
              <w:left w:val="nil"/>
              <w:bottom w:val="single" w:sz="8" w:space="0" w:color="auto"/>
              <w:right w:val="single" w:sz="8" w:space="0" w:color="auto"/>
            </w:tcBorders>
            <w:shd w:val="clear" w:color="auto" w:fill="auto"/>
            <w:noWrap/>
            <w:vAlign w:val="center"/>
            <w:hideMark/>
          </w:tcPr>
          <w:p w14:paraId="45415CE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c>
          <w:tcPr>
            <w:tcW w:w="252" w:type="pct"/>
            <w:tcBorders>
              <w:top w:val="nil"/>
              <w:left w:val="nil"/>
              <w:bottom w:val="single" w:sz="8" w:space="0" w:color="auto"/>
              <w:right w:val="single" w:sz="8" w:space="0" w:color="auto"/>
            </w:tcBorders>
            <w:shd w:val="clear" w:color="auto" w:fill="auto"/>
            <w:noWrap/>
            <w:vAlign w:val="center"/>
            <w:hideMark/>
          </w:tcPr>
          <w:p w14:paraId="7796629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17</w:t>
            </w:r>
          </w:p>
        </w:tc>
        <w:tc>
          <w:tcPr>
            <w:tcW w:w="378" w:type="pct"/>
            <w:tcBorders>
              <w:top w:val="nil"/>
              <w:left w:val="nil"/>
              <w:bottom w:val="single" w:sz="8" w:space="0" w:color="auto"/>
              <w:right w:val="single" w:sz="8" w:space="0" w:color="auto"/>
            </w:tcBorders>
            <w:shd w:val="clear" w:color="auto" w:fill="auto"/>
            <w:noWrap/>
            <w:vAlign w:val="center"/>
            <w:hideMark/>
          </w:tcPr>
          <w:p w14:paraId="5F51E03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9%</w:t>
            </w:r>
          </w:p>
        </w:tc>
        <w:tc>
          <w:tcPr>
            <w:tcW w:w="253" w:type="pct"/>
            <w:tcBorders>
              <w:top w:val="nil"/>
              <w:left w:val="nil"/>
              <w:bottom w:val="single" w:sz="8" w:space="0" w:color="auto"/>
              <w:right w:val="single" w:sz="8" w:space="0" w:color="auto"/>
            </w:tcBorders>
            <w:shd w:val="clear" w:color="auto" w:fill="auto"/>
            <w:noWrap/>
            <w:vAlign w:val="center"/>
            <w:hideMark/>
          </w:tcPr>
          <w:p w14:paraId="6312E32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c>
          <w:tcPr>
            <w:tcW w:w="378" w:type="pct"/>
            <w:tcBorders>
              <w:top w:val="nil"/>
              <w:left w:val="nil"/>
              <w:bottom w:val="single" w:sz="8" w:space="0" w:color="auto"/>
              <w:right w:val="single" w:sz="8" w:space="0" w:color="auto"/>
            </w:tcBorders>
            <w:shd w:val="clear" w:color="auto" w:fill="auto"/>
            <w:noWrap/>
            <w:vAlign w:val="center"/>
            <w:hideMark/>
          </w:tcPr>
          <w:p w14:paraId="66A1858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w:t>
            </w:r>
          </w:p>
        </w:tc>
        <w:tc>
          <w:tcPr>
            <w:tcW w:w="253" w:type="pct"/>
            <w:tcBorders>
              <w:top w:val="nil"/>
              <w:left w:val="nil"/>
              <w:bottom w:val="single" w:sz="8" w:space="0" w:color="auto"/>
              <w:right w:val="single" w:sz="8" w:space="0" w:color="auto"/>
            </w:tcBorders>
            <w:shd w:val="clear" w:color="auto" w:fill="auto"/>
            <w:noWrap/>
            <w:vAlign w:val="center"/>
            <w:hideMark/>
          </w:tcPr>
          <w:p w14:paraId="5D8D03AE"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5</w:t>
            </w:r>
          </w:p>
        </w:tc>
        <w:tc>
          <w:tcPr>
            <w:tcW w:w="378" w:type="pct"/>
            <w:tcBorders>
              <w:top w:val="nil"/>
              <w:left w:val="nil"/>
              <w:bottom w:val="single" w:sz="8" w:space="0" w:color="auto"/>
              <w:right w:val="single" w:sz="8" w:space="0" w:color="auto"/>
            </w:tcBorders>
            <w:shd w:val="clear" w:color="auto" w:fill="auto"/>
            <w:noWrap/>
            <w:vAlign w:val="center"/>
            <w:hideMark/>
          </w:tcPr>
          <w:p w14:paraId="05D3106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w:t>
            </w:r>
          </w:p>
        </w:tc>
        <w:tc>
          <w:tcPr>
            <w:tcW w:w="286" w:type="pct"/>
            <w:tcBorders>
              <w:top w:val="nil"/>
              <w:left w:val="nil"/>
              <w:bottom w:val="single" w:sz="8" w:space="0" w:color="auto"/>
              <w:right w:val="single" w:sz="8" w:space="0" w:color="auto"/>
            </w:tcBorders>
            <w:shd w:val="clear" w:color="auto" w:fill="auto"/>
            <w:noWrap/>
            <w:vAlign w:val="center"/>
            <w:hideMark/>
          </w:tcPr>
          <w:p w14:paraId="0D29830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421" w:type="pct"/>
            <w:tcBorders>
              <w:top w:val="nil"/>
              <w:left w:val="nil"/>
              <w:bottom w:val="single" w:sz="8" w:space="0" w:color="auto"/>
              <w:right w:val="single" w:sz="8" w:space="0" w:color="auto"/>
            </w:tcBorders>
            <w:shd w:val="clear" w:color="auto" w:fill="auto"/>
            <w:noWrap/>
            <w:vAlign w:val="center"/>
            <w:hideMark/>
          </w:tcPr>
          <w:p w14:paraId="0C95940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r>
      <w:tr w:rsidR="00CE368F" w:rsidRPr="00CE368F" w14:paraId="1DCFEF2D" w14:textId="77777777" w:rsidTr="00CE368F">
        <w:trPr>
          <w:trHeight w:val="300"/>
        </w:trPr>
        <w:tc>
          <w:tcPr>
            <w:tcW w:w="1770" w:type="pct"/>
            <w:tcBorders>
              <w:top w:val="nil"/>
              <w:left w:val="single" w:sz="8" w:space="0" w:color="auto"/>
              <w:bottom w:val="single" w:sz="8" w:space="0" w:color="auto"/>
              <w:right w:val="single" w:sz="8" w:space="0" w:color="auto"/>
            </w:tcBorders>
            <w:shd w:val="clear" w:color="auto" w:fill="auto"/>
            <w:noWrap/>
            <w:vAlign w:val="center"/>
            <w:hideMark/>
          </w:tcPr>
          <w:p w14:paraId="4E06A832"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Subministraments</w:t>
            </w:r>
          </w:p>
        </w:tc>
        <w:tc>
          <w:tcPr>
            <w:tcW w:w="246" w:type="pct"/>
            <w:tcBorders>
              <w:top w:val="nil"/>
              <w:left w:val="nil"/>
              <w:bottom w:val="single" w:sz="8" w:space="0" w:color="auto"/>
              <w:right w:val="single" w:sz="8" w:space="0" w:color="auto"/>
            </w:tcBorders>
            <w:shd w:val="clear" w:color="auto" w:fill="auto"/>
            <w:noWrap/>
            <w:vAlign w:val="center"/>
            <w:hideMark/>
          </w:tcPr>
          <w:p w14:paraId="706F609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385" w:type="pct"/>
            <w:tcBorders>
              <w:top w:val="nil"/>
              <w:left w:val="nil"/>
              <w:bottom w:val="single" w:sz="8" w:space="0" w:color="auto"/>
              <w:right w:val="single" w:sz="8" w:space="0" w:color="auto"/>
            </w:tcBorders>
            <w:shd w:val="clear" w:color="auto" w:fill="auto"/>
            <w:noWrap/>
            <w:vAlign w:val="center"/>
            <w:hideMark/>
          </w:tcPr>
          <w:p w14:paraId="7BD9D6F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252" w:type="pct"/>
            <w:tcBorders>
              <w:top w:val="nil"/>
              <w:left w:val="nil"/>
              <w:bottom w:val="single" w:sz="8" w:space="0" w:color="auto"/>
              <w:right w:val="single" w:sz="8" w:space="0" w:color="auto"/>
            </w:tcBorders>
            <w:shd w:val="clear" w:color="auto" w:fill="auto"/>
            <w:noWrap/>
            <w:vAlign w:val="center"/>
            <w:hideMark/>
          </w:tcPr>
          <w:p w14:paraId="6F19F9EE"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c>
          <w:tcPr>
            <w:tcW w:w="378" w:type="pct"/>
            <w:tcBorders>
              <w:top w:val="nil"/>
              <w:left w:val="nil"/>
              <w:bottom w:val="single" w:sz="8" w:space="0" w:color="auto"/>
              <w:right w:val="single" w:sz="8" w:space="0" w:color="auto"/>
            </w:tcBorders>
            <w:shd w:val="clear" w:color="auto" w:fill="auto"/>
            <w:noWrap/>
            <w:vAlign w:val="center"/>
            <w:hideMark/>
          </w:tcPr>
          <w:p w14:paraId="5296250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c>
          <w:tcPr>
            <w:tcW w:w="253" w:type="pct"/>
            <w:tcBorders>
              <w:top w:val="nil"/>
              <w:left w:val="nil"/>
              <w:bottom w:val="single" w:sz="8" w:space="0" w:color="auto"/>
              <w:right w:val="single" w:sz="8" w:space="0" w:color="auto"/>
            </w:tcBorders>
            <w:shd w:val="clear" w:color="auto" w:fill="auto"/>
            <w:noWrap/>
            <w:vAlign w:val="center"/>
            <w:hideMark/>
          </w:tcPr>
          <w:p w14:paraId="6518853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378" w:type="pct"/>
            <w:tcBorders>
              <w:top w:val="nil"/>
              <w:left w:val="nil"/>
              <w:bottom w:val="single" w:sz="8" w:space="0" w:color="auto"/>
              <w:right w:val="single" w:sz="8" w:space="0" w:color="auto"/>
            </w:tcBorders>
            <w:shd w:val="clear" w:color="auto" w:fill="auto"/>
            <w:noWrap/>
            <w:vAlign w:val="center"/>
            <w:hideMark/>
          </w:tcPr>
          <w:p w14:paraId="78BA9358"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253" w:type="pct"/>
            <w:tcBorders>
              <w:top w:val="nil"/>
              <w:left w:val="nil"/>
              <w:bottom w:val="single" w:sz="8" w:space="0" w:color="auto"/>
              <w:right w:val="single" w:sz="8" w:space="0" w:color="auto"/>
            </w:tcBorders>
            <w:shd w:val="clear" w:color="auto" w:fill="auto"/>
            <w:noWrap/>
            <w:vAlign w:val="center"/>
            <w:hideMark/>
          </w:tcPr>
          <w:p w14:paraId="28B3A26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7</w:t>
            </w:r>
          </w:p>
        </w:tc>
        <w:tc>
          <w:tcPr>
            <w:tcW w:w="378" w:type="pct"/>
            <w:tcBorders>
              <w:top w:val="nil"/>
              <w:left w:val="nil"/>
              <w:bottom w:val="single" w:sz="8" w:space="0" w:color="auto"/>
              <w:right w:val="single" w:sz="8" w:space="0" w:color="auto"/>
            </w:tcBorders>
            <w:shd w:val="clear" w:color="auto" w:fill="auto"/>
            <w:noWrap/>
            <w:vAlign w:val="center"/>
            <w:hideMark/>
          </w:tcPr>
          <w:p w14:paraId="0E6A715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c>
          <w:tcPr>
            <w:tcW w:w="286" w:type="pct"/>
            <w:tcBorders>
              <w:top w:val="nil"/>
              <w:left w:val="nil"/>
              <w:bottom w:val="single" w:sz="8" w:space="0" w:color="auto"/>
              <w:right w:val="single" w:sz="8" w:space="0" w:color="auto"/>
            </w:tcBorders>
            <w:shd w:val="clear" w:color="auto" w:fill="auto"/>
            <w:noWrap/>
            <w:vAlign w:val="center"/>
            <w:hideMark/>
          </w:tcPr>
          <w:p w14:paraId="248AA5E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w:t>
            </w:r>
          </w:p>
        </w:tc>
        <w:tc>
          <w:tcPr>
            <w:tcW w:w="421" w:type="pct"/>
            <w:tcBorders>
              <w:top w:val="nil"/>
              <w:left w:val="nil"/>
              <w:bottom w:val="single" w:sz="8" w:space="0" w:color="auto"/>
              <w:right w:val="single" w:sz="8" w:space="0" w:color="auto"/>
            </w:tcBorders>
            <w:shd w:val="clear" w:color="auto" w:fill="auto"/>
            <w:noWrap/>
            <w:vAlign w:val="center"/>
            <w:hideMark/>
          </w:tcPr>
          <w:p w14:paraId="760AF7C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r>
      <w:tr w:rsidR="00CE368F" w:rsidRPr="00CE368F" w14:paraId="6F6FB44E" w14:textId="77777777" w:rsidTr="00CE368F">
        <w:trPr>
          <w:trHeight w:val="300"/>
        </w:trPr>
        <w:tc>
          <w:tcPr>
            <w:tcW w:w="1770" w:type="pct"/>
            <w:tcBorders>
              <w:top w:val="nil"/>
              <w:left w:val="single" w:sz="8" w:space="0" w:color="auto"/>
              <w:bottom w:val="single" w:sz="8" w:space="0" w:color="auto"/>
              <w:right w:val="single" w:sz="8" w:space="0" w:color="auto"/>
            </w:tcBorders>
            <w:shd w:val="clear" w:color="auto" w:fill="auto"/>
            <w:noWrap/>
            <w:vAlign w:val="center"/>
            <w:hideMark/>
          </w:tcPr>
          <w:p w14:paraId="4D174439"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Serveis</w:t>
            </w:r>
          </w:p>
        </w:tc>
        <w:tc>
          <w:tcPr>
            <w:tcW w:w="246" w:type="pct"/>
            <w:tcBorders>
              <w:top w:val="nil"/>
              <w:left w:val="nil"/>
              <w:bottom w:val="single" w:sz="8" w:space="0" w:color="auto"/>
              <w:right w:val="single" w:sz="8" w:space="0" w:color="auto"/>
            </w:tcBorders>
            <w:shd w:val="clear" w:color="auto" w:fill="auto"/>
            <w:noWrap/>
            <w:vAlign w:val="center"/>
            <w:hideMark/>
          </w:tcPr>
          <w:p w14:paraId="10A1255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7</w:t>
            </w:r>
          </w:p>
        </w:tc>
        <w:tc>
          <w:tcPr>
            <w:tcW w:w="385" w:type="pct"/>
            <w:tcBorders>
              <w:top w:val="nil"/>
              <w:left w:val="nil"/>
              <w:bottom w:val="single" w:sz="8" w:space="0" w:color="auto"/>
              <w:right w:val="single" w:sz="8" w:space="0" w:color="auto"/>
            </w:tcBorders>
            <w:shd w:val="clear" w:color="auto" w:fill="auto"/>
            <w:noWrap/>
            <w:vAlign w:val="center"/>
            <w:hideMark/>
          </w:tcPr>
          <w:p w14:paraId="11230E6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20%</w:t>
            </w:r>
          </w:p>
        </w:tc>
        <w:tc>
          <w:tcPr>
            <w:tcW w:w="252" w:type="pct"/>
            <w:tcBorders>
              <w:top w:val="nil"/>
              <w:left w:val="nil"/>
              <w:bottom w:val="single" w:sz="8" w:space="0" w:color="auto"/>
              <w:right w:val="single" w:sz="8" w:space="0" w:color="auto"/>
            </w:tcBorders>
            <w:shd w:val="clear" w:color="auto" w:fill="auto"/>
            <w:noWrap/>
            <w:vAlign w:val="center"/>
            <w:hideMark/>
          </w:tcPr>
          <w:p w14:paraId="08ECEA1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28</w:t>
            </w:r>
          </w:p>
        </w:tc>
        <w:tc>
          <w:tcPr>
            <w:tcW w:w="378" w:type="pct"/>
            <w:tcBorders>
              <w:top w:val="nil"/>
              <w:left w:val="nil"/>
              <w:bottom w:val="single" w:sz="8" w:space="0" w:color="auto"/>
              <w:right w:val="single" w:sz="8" w:space="0" w:color="auto"/>
            </w:tcBorders>
            <w:shd w:val="clear" w:color="auto" w:fill="auto"/>
            <w:noWrap/>
            <w:vAlign w:val="center"/>
            <w:hideMark/>
          </w:tcPr>
          <w:p w14:paraId="03DDA90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15%</w:t>
            </w:r>
          </w:p>
        </w:tc>
        <w:tc>
          <w:tcPr>
            <w:tcW w:w="253" w:type="pct"/>
            <w:tcBorders>
              <w:top w:val="nil"/>
              <w:left w:val="nil"/>
              <w:bottom w:val="single" w:sz="8" w:space="0" w:color="auto"/>
              <w:right w:val="single" w:sz="8" w:space="0" w:color="auto"/>
            </w:tcBorders>
            <w:shd w:val="clear" w:color="auto" w:fill="auto"/>
            <w:noWrap/>
            <w:vAlign w:val="center"/>
            <w:hideMark/>
          </w:tcPr>
          <w:p w14:paraId="69A9891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27</w:t>
            </w:r>
          </w:p>
        </w:tc>
        <w:tc>
          <w:tcPr>
            <w:tcW w:w="378" w:type="pct"/>
            <w:tcBorders>
              <w:top w:val="nil"/>
              <w:left w:val="nil"/>
              <w:bottom w:val="single" w:sz="8" w:space="0" w:color="auto"/>
              <w:right w:val="single" w:sz="8" w:space="0" w:color="auto"/>
            </w:tcBorders>
            <w:shd w:val="clear" w:color="auto" w:fill="auto"/>
            <w:noWrap/>
            <w:vAlign w:val="center"/>
            <w:hideMark/>
          </w:tcPr>
          <w:p w14:paraId="27FD2F9E"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16%</w:t>
            </w:r>
          </w:p>
        </w:tc>
        <w:tc>
          <w:tcPr>
            <w:tcW w:w="253" w:type="pct"/>
            <w:tcBorders>
              <w:top w:val="nil"/>
              <w:left w:val="nil"/>
              <w:bottom w:val="single" w:sz="8" w:space="0" w:color="auto"/>
              <w:right w:val="single" w:sz="8" w:space="0" w:color="auto"/>
            </w:tcBorders>
            <w:shd w:val="clear" w:color="auto" w:fill="auto"/>
            <w:noWrap/>
            <w:vAlign w:val="center"/>
            <w:hideMark/>
          </w:tcPr>
          <w:p w14:paraId="3718885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42</w:t>
            </w:r>
          </w:p>
        </w:tc>
        <w:tc>
          <w:tcPr>
            <w:tcW w:w="378" w:type="pct"/>
            <w:tcBorders>
              <w:top w:val="nil"/>
              <w:left w:val="nil"/>
              <w:bottom w:val="single" w:sz="8" w:space="0" w:color="auto"/>
              <w:right w:val="single" w:sz="8" w:space="0" w:color="auto"/>
            </w:tcBorders>
            <w:shd w:val="clear" w:color="auto" w:fill="auto"/>
            <w:noWrap/>
            <w:vAlign w:val="center"/>
            <w:hideMark/>
          </w:tcPr>
          <w:p w14:paraId="4332E6BE"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19%</w:t>
            </w:r>
          </w:p>
        </w:tc>
        <w:tc>
          <w:tcPr>
            <w:tcW w:w="286" w:type="pct"/>
            <w:tcBorders>
              <w:top w:val="nil"/>
              <w:left w:val="nil"/>
              <w:bottom w:val="single" w:sz="8" w:space="0" w:color="auto"/>
              <w:right w:val="single" w:sz="8" w:space="0" w:color="auto"/>
            </w:tcBorders>
            <w:shd w:val="clear" w:color="auto" w:fill="auto"/>
            <w:noWrap/>
            <w:vAlign w:val="center"/>
            <w:hideMark/>
          </w:tcPr>
          <w:p w14:paraId="12CAD3E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20</w:t>
            </w:r>
          </w:p>
        </w:tc>
        <w:tc>
          <w:tcPr>
            <w:tcW w:w="421" w:type="pct"/>
            <w:tcBorders>
              <w:top w:val="nil"/>
              <w:left w:val="nil"/>
              <w:bottom w:val="single" w:sz="8" w:space="0" w:color="auto"/>
              <w:right w:val="single" w:sz="8" w:space="0" w:color="auto"/>
            </w:tcBorders>
            <w:shd w:val="clear" w:color="auto" w:fill="auto"/>
            <w:noWrap/>
            <w:vAlign w:val="center"/>
            <w:hideMark/>
          </w:tcPr>
          <w:p w14:paraId="0A30065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r>
      <w:tr w:rsidR="00CE368F" w:rsidRPr="00CE368F" w14:paraId="6033B64F" w14:textId="77777777" w:rsidTr="00CE368F">
        <w:trPr>
          <w:trHeight w:val="300"/>
        </w:trPr>
        <w:tc>
          <w:tcPr>
            <w:tcW w:w="1770" w:type="pct"/>
            <w:tcBorders>
              <w:top w:val="nil"/>
              <w:left w:val="single" w:sz="8" w:space="0" w:color="auto"/>
              <w:bottom w:val="single" w:sz="8" w:space="0" w:color="auto"/>
              <w:right w:val="single" w:sz="8" w:space="0" w:color="auto"/>
            </w:tcBorders>
            <w:shd w:val="clear" w:color="auto" w:fill="auto"/>
            <w:noWrap/>
            <w:vAlign w:val="center"/>
            <w:hideMark/>
          </w:tcPr>
          <w:p w14:paraId="2B6514D7"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Contractes menors</w:t>
            </w:r>
          </w:p>
        </w:tc>
        <w:tc>
          <w:tcPr>
            <w:tcW w:w="246" w:type="pct"/>
            <w:tcBorders>
              <w:top w:val="nil"/>
              <w:left w:val="nil"/>
              <w:bottom w:val="single" w:sz="8" w:space="0" w:color="auto"/>
              <w:right w:val="single" w:sz="8" w:space="0" w:color="auto"/>
            </w:tcBorders>
            <w:shd w:val="clear" w:color="auto" w:fill="auto"/>
            <w:noWrap/>
            <w:vAlign w:val="center"/>
            <w:hideMark/>
          </w:tcPr>
          <w:p w14:paraId="5FDD435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466E16A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08681D0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1D2D470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6D0B33C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1CD6D3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20E4E6B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0874231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auto" w:fill="auto"/>
            <w:noWrap/>
            <w:vAlign w:val="center"/>
            <w:hideMark/>
          </w:tcPr>
          <w:p w14:paraId="6A72378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9</w:t>
            </w:r>
          </w:p>
        </w:tc>
        <w:tc>
          <w:tcPr>
            <w:tcW w:w="421" w:type="pct"/>
            <w:tcBorders>
              <w:top w:val="nil"/>
              <w:left w:val="nil"/>
              <w:bottom w:val="single" w:sz="8" w:space="0" w:color="auto"/>
              <w:right w:val="single" w:sz="8" w:space="0" w:color="auto"/>
            </w:tcBorders>
            <w:shd w:val="clear" w:color="auto" w:fill="auto"/>
            <w:noWrap/>
            <w:vAlign w:val="center"/>
            <w:hideMark/>
          </w:tcPr>
          <w:p w14:paraId="3AC98658"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r>
      <w:tr w:rsidR="00CE368F" w:rsidRPr="00CE368F" w14:paraId="7471235B" w14:textId="77777777" w:rsidTr="00CE368F">
        <w:trPr>
          <w:trHeight w:val="300"/>
        </w:trPr>
        <w:tc>
          <w:tcPr>
            <w:tcW w:w="1770" w:type="pct"/>
            <w:tcBorders>
              <w:top w:val="nil"/>
              <w:left w:val="single" w:sz="8" w:space="0" w:color="auto"/>
              <w:bottom w:val="single" w:sz="8" w:space="0" w:color="auto"/>
              <w:right w:val="single" w:sz="8" w:space="0" w:color="auto"/>
            </w:tcBorders>
            <w:shd w:val="clear" w:color="auto" w:fill="auto"/>
            <w:noWrap/>
            <w:vAlign w:val="center"/>
            <w:hideMark/>
          </w:tcPr>
          <w:p w14:paraId="3AE5D475"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Fraccionament</w:t>
            </w:r>
          </w:p>
        </w:tc>
        <w:tc>
          <w:tcPr>
            <w:tcW w:w="246" w:type="pct"/>
            <w:tcBorders>
              <w:top w:val="nil"/>
              <w:left w:val="nil"/>
              <w:bottom w:val="single" w:sz="8" w:space="0" w:color="auto"/>
              <w:right w:val="single" w:sz="8" w:space="0" w:color="auto"/>
            </w:tcBorders>
            <w:shd w:val="clear" w:color="auto" w:fill="auto"/>
            <w:noWrap/>
            <w:vAlign w:val="center"/>
            <w:hideMark/>
          </w:tcPr>
          <w:p w14:paraId="1E146B9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1070469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3E50D45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3DEDE98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6B24285E"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52D9FE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225D11A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77B033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auto" w:fill="auto"/>
            <w:noWrap/>
            <w:vAlign w:val="center"/>
            <w:hideMark/>
          </w:tcPr>
          <w:p w14:paraId="7538379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w:t>
            </w:r>
          </w:p>
        </w:tc>
        <w:tc>
          <w:tcPr>
            <w:tcW w:w="421" w:type="pct"/>
            <w:tcBorders>
              <w:top w:val="nil"/>
              <w:left w:val="nil"/>
              <w:bottom w:val="single" w:sz="8" w:space="0" w:color="auto"/>
              <w:right w:val="single" w:sz="8" w:space="0" w:color="auto"/>
            </w:tcBorders>
            <w:shd w:val="clear" w:color="auto" w:fill="auto"/>
            <w:noWrap/>
            <w:vAlign w:val="center"/>
            <w:hideMark/>
          </w:tcPr>
          <w:p w14:paraId="08BA76E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r>
      <w:tr w:rsidR="00CE368F" w:rsidRPr="00CE368F" w14:paraId="55D1CAD3" w14:textId="77777777" w:rsidTr="00CE368F">
        <w:trPr>
          <w:trHeight w:val="300"/>
        </w:trPr>
        <w:tc>
          <w:tcPr>
            <w:tcW w:w="1770" w:type="pct"/>
            <w:tcBorders>
              <w:top w:val="nil"/>
              <w:left w:val="single" w:sz="8" w:space="0" w:color="auto"/>
              <w:bottom w:val="single" w:sz="8" w:space="0" w:color="auto"/>
              <w:right w:val="single" w:sz="8" w:space="0" w:color="auto"/>
            </w:tcBorders>
            <w:shd w:val="clear" w:color="auto" w:fill="auto"/>
            <w:noWrap/>
            <w:vAlign w:val="center"/>
            <w:hideMark/>
          </w:tcPr>
          <w:p w14:paraId="33666248"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Altres</w:t>
            </w:r>
          </w:p>
        </w:tc>
        <w:tc>
          <w:tcPr>
            <w:tcW w:w="246" w:type="pct"/>
            <w:tcBorders>
              <w:top w:val="nil"/>
              <w:left w:val="nil"/>
              <w:bottom w:val="single" w:sz="8" w:space="0" w:color="auto"/>
              <w:right w:val="single" w:sz="8" w:space="0" w:color="auto"/>
            </w:tcBorders>
            <w:shd w:val="clear" w:color="auto" w:fill="auto"/>
            <w:noWrap/>
            <w:vAlign w:val="center"/>
            <w:hideMark/>
          </w:tcPr>
          <w:p w14:paraId="79D5205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385" w:type="pct"/>
            <w:tcBorders>
              <w:top w:val="nil"/>
              <w:left w:val="nil"/>
              <w:bottom w:val="single" w:sz="8" w:space="0" w:color="auto"/>
              <w:right w:val="single" w:sz="8" w:space="0" w:color="auto"/>
            </w:tcBorders>
            <w:shd w:val="clear" w:color="auto" w:fill="auto"/>
            <w:noWrap/>
            <w:vAlign w:val="center"/>
            <w:hideMark/>
          </w:tcPr>
          <w:p w14:paraId="0045E48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252" w:type="pct"/>
            <w:tcBorders>
              <w:top w:val="nil"/>
              <w:left w:val="nil"/>
              <w:bottom w:val="single" w:sz="8" w:space="0" w:color="auto"/>
              <w:right w:val="single" w:sz="8" w:space="0" w:color="auto"/>
            </w:tcBorders>
            <w:shd w:val="clear" w:color="auto" w:fill="auto"/>
            <w:noWrap/>
            <w:vAlign w:val="center"/>
            <w:hideMark/>
          </w:tcPr>
          <w:p w14:paraId="145CB08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378" w:type="pct"/>
            <w:tcBorders>
              <w:top w:val="nil"/>
              <w:left w:val="nil"/>
              <w:bottom w:val="single" w:sz="8" w:space="0" w:color="auto"/>
              <w:right w:val="single" w:sz="8" w:space="0" w:color="auto"/>
            </w:tcBorders>
            <w:shd w:val="clear" w:color="auto" w:fill="auto"/>
            <w:noWrap/>
            <w:vAlign w:val="center"/>
            <w:hideMark/>
          </w:tcPr>
          <w:p w14:paraId="42ED590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253" w:type="pct"/>
            <w:tcBorders>
              <w:top w:val="nil"/>
              <w:left w:val="nil"/>
              <w:bottom w:val="single" w:sz="8" w:space="0" w:color="auto"/>
              <w:right w:val="single" w:sz="8" w:space="0" w:color="auto"/>
            </w:tcBorders>
            <w:shd w:val="clear" w:color="auto" w:fill="auto"/>
            <w:noWrap/>
            <w:vAlign w:val="center"/>
            <w:hideMark/>
          </w:tcPr>
          <w:p w14:paraId="267D40E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378" w:type="pct"/>
            <w:tcBorders>
              <w:top w:val="nil"/>
              <w:left w:val="nil"/>
              <w:bottom w:val="single" w:sz="8" w:space="0" w:color="auto"/>
              <w:right w:val="single" w:sz="8" w:space="0" w:color="auto"/>
            </w:tcBorders>
            <w:shd w:val="clear" w:color="auto" w:fill="auto"/>
            <w:noWrap/>
            <w:vAlign w:val="center"/>
            <w:hideMark/>
          </w:tcPr>
          <w:p w14:paraId="2E2FEEC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253" w:type="pct"/>
            <w:tcBorders>
              <w:top w:val="nil"/>
              <w:left w:val="nil"/>
              <w:bottom w:val="single" w:sz="8" w:space="0" w:color="auto"/>
              <w:right w:val="single" w:sz="8" w:space="0" w:color="auto"/>
            </w:tcBorders>
            <w:shd w:val="clear" w:color="auto" w:fill="auto"/>
            <w:noWrap/>
            <w:vAlign w:val="center"/>
            <w:hideMark/>
          </w:tcPr>
          <w:p w14:paraId="7FE74038"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7</w:t>
            </w:r>
          </w:p>
        </w:tc>
        <w:tc>
          <w:tcPr>
            <w:tcW w:w="378" w:type="pct"/>
            <w:tcBorders>
              <w:top w:val="nil"/>
              <w:left w:val="nil"/>
              <w:bottom w:val="single" w:sz="8" w:space="0" w:color="auto"/>
              <w:right w:val="single" w:sz="8" w:space="0" w:color="auto"/>
            </w:tcBorders>
            <w:shd w:val="clear" w:color="auto" w:fill="auto"/>
            <w:noWrap/>
            <w:vAlign w:val="center"/>
            <w:hideMark/>
          </w:tcPr>
          <w:p w14:paraId="6597A9F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c>
          <w:tcPr>
            <w:tcW w:w="286" w:type="pct"/>
            <w:tcBorders>
              <w:top w:val="nil"/>
              <w:left w:val="nil"/>
              <w:bottom w:val="single" w:sz="8" w:space="0" w:color="auto"/>
              <w:right w:val="single" w:sz="8" w:space="0" w:color="auto"/>
            </w:tcBorders>
            <w:shd w:val="clear" w:color="auto" w:fill="auto"/>
            <w:noWrap/>
            <w:vAlign w:val="center"/>
            <w:hideMark/>
          </w:tcPr>
          <w:p w14:paraId="065F574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5</w:t>
            </w:r>
          </w:p>
        </w:tc>
        <w:tc>
          <w:tcPr>
            <w:tcW w:w="421" w:type="pct"/>
            <w:tcBorders>
              <w:top w:val="nil"/>
              <w:left w:val="nil"/>
              <w:bottom w:val="single" w:sz="8" w:space="0" w:color="auto"/>
              <w:right w:val="single" w:sz="8" w:space="0" w:color="auto"/>
            </w:tcBorders>
            <w:shd w:val="clear" w:color="auto" w:fill="auto"/>
            <w:noWrap/>
            <w:vAlign w:val="center"/>
            <w:hideMark/>
          </w:tcPr>
          <w:p w14:paraId="12A4C2C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r>
      <w:tr w:rsidR="00CE368F" w:rsidRPr="00CE368F" w14:paraId="6F059FAC"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6C5EDBC3"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Convenis Administratius</w:t>
            </w:r>
          </w:p>
        </w:tc>
        <w:tc>
          <w:tcPr>
            <w:tcW w:w="246" w:type="pct"/>
            <w:tcBorders>
              <w:top w:val="nil"/>
              <w:left w:val="nil"/>
              <w:bottom w:val="single" w:sz="8" w:space="0" w:color="auto"/>
              <w:right w:val="single" w:sz="8" w:space="0" w:color="auto"/>
            </w:tcBorders>
            <w:shd w:val="clear" w:color="000000" w:fill="D8C1BD"/>
            <w:noWrap/>
            <w:vAlign w:val="center"/>
            <w:hideMark/>
          </w:tcPr>
          <w:p w14:paraId="0E21C34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85" w:type="pct"/>
            <w:tcBorders>
              <w:top w:val="nil"/>
              <w:left w:val="nil"/>
              <w:bottom w:val="single" w:sz="8" w:space="0" w:color="auto"/>
              <w:right w:val="single" w:sz="8" w:space="0" w:color="auto"/>
            </w:tcBorders>
            <w:shd w:val="clear" w:color="000000" w:fill="D8C1BD"/>
            <w:noWrap/>
            <w:vAlign w:val="center"/>
            <w:hideMark/>
          </w:tcPr>
          <w:p w14:paraId="404C2805"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2" w:type="pct"/>
            <w:tcBorders>
              <w:top w:val="nil"/>
              <w:left w:val="nil"/>
              <w:bottom w:val="single" w:sz="8" w:space="0" w:color="auto"/>
              <w:right w:val="single" w:sz="8" w:space="0" w:color="auto"/>
            </w:tcBorders>
            <w:shd w:val="clear" w:color="000000" w:fill="D8C1BD"/>
            <w:noWrap/>
            <w:vAlign w:val="center"/>
            <w:hideMark/>
          </w:tcPr>
          <w:p w14:paraId="44A8236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016218B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2B5B854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7114588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3495C5D8"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70D3BC9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D8C1BD"/>
            <w:noWrap/>
            <w:vAlign w:val="center"/>
            <w:hideMark/>
          </w:tcPr>
          <w:p w14:paraId="05F6035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w:t>
            </w:r>
          </w:p>
        </w:tc>
        <w:tc>
          <w:tcPr>
            <w:tcW w:w="421" w:type="pct"/>
            <w:tcBorders>
              <w:top w:val="nil"/>
              <w:left w:val="nil"/>
              <w:bottom w:val="single" w:sz="8" w:space="0" w:color="auto"/>
              <w:right w:val="single" w:sz="8" w:space="0" w:color="auto"/>
            </w:tcBorders>
            <w:shd w:val="clear" w:color="000000" w:fill="D8C1BD"/>
            <w:noWrap/>
            <w:vAlign w:val="center"/>
            <w:hideMark/>
          </w:tcPr>
          <w:p w14:paraId="49EB9D7D"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w:t>
            </w:r>
          </w:p>
        </w:tc>
      </w:tr>
      <w:tr w:rsidR="00CE368F" w:rsidRPr="00CE368F" w14:paraId="54DE2B89"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45CB6C77"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Gestió d'Actius/Patrimoni</w:t>
            </w:r>
          </w:p>
        </w:tc>
        <w:tc>
          <w:tcPr>
            <w:tcW w:w="246" w:type="pct"/>
            <w:tcBorders>
              <w:top w:val="nil"/>
              <w:left w:val="nil"/>
              <w:bottom w:val="single" w:sz="8" w:space="0" w:color="auto"/>
              <w:right w:val="single" w:sz="8" w:space="0" w:color="auto"/>
            </w:tcBorders>
            <w:shd w:val="clear" w:color="000000" w:fill="D8C1BD"/>
            <w:noWrap/>
            <w:vAlign w:val="center"/>
            <w:hideMark/>
          </w:tcPr>
          <w:p w14:paraId="280CE92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w:t>
            </w:r>
          </w:p>
        </w:tc>
        <w:tc>
          <w:tcPr>
            <w:tcW w:w="385" w:type="pct"/>
            <w:tcBorders>
              <w:top w:val="nil"/>
              <w:left w:val="nil"/>
              <w:bottom w:val="single" w:sz="8" w:space="0" w:color="auto"/>
              <w:right w:val="single" w:sz="8" w:space="0" w:color="auto"/>
            </w:tcBorders>
            <w:shd w:val="clear" w:color="000000" w:fill="D8C1BD"/>
            <w:noWrap/>
            <w:vAlign w:val="center"/>
            <w:hideMark/>
          </w:tcPr>
          <w:p w14:paraId="1258269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11%</w:t>
            </w:r>
          </w:p>
        </w:tc>
        <w:tc>
          <w:tcPr>
            <w:tcW w:w="252" w:type="pct"/>
            <w:tcBorders>
              <w:top w:val="nil"/>
              <w:left w:val="nil"/>
              <w:bottom w:val="single" w:sz="8" w:space="0" w:color="auto"/>
              <w:right w:val="single" w:sz="8" w:space="0" w:color="auto"/>
            </w:tcBorders>
            <w:shd w:val="clear" w:color="000000" w:fill="D8C1BD"/>
            <w:noWrap/>
            <w:vAlign w:val="center"/>
            <w:hideMark/>
          </w:tcPr>
          <w:p w14:paraId="5ACCA6D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18</w:t>
            </w:r>
          </w:p>
        </w:tc>
        <w:tc>
          <w:tcPr>
            <w:tcW w:w="378" w:type="pct"/>
            <w:tcBorders>
              <w:top w:val="nil"/>
              <w:left w:val="nil"/>
              <w:bottom w:val="single" w:sz="8" w:space="0" w:color="auto"/>
              <w:right w:val="single" w:sz="8" w:space="0" w:color="auto"/>
            </w:tcBorders>
            <w:shd w:val="clear" w:color="000000" w:fill="D8C1BD"/>
            <w:noWrap/>
            <w:vAlign w:val="center"/>
            <w:hideMark/>
          </w:tcPr>
          <w:p w14:paraId="7829BDAD"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10%</w:t>
            </w:r>
          </w:p>
        </w:tc>
        <w:tc>
          <w:tcPr>
            <w:tcW w:w="253" w:type="pct"/>
            <w:tcBorders>
              <w:top w:val="nil"/>
              <w:left w:val="nil"/>
              <w:bottom w:val="single" w:sz="8" w:space="0" w:color="auto"/>
              <w:right w:val="single" w:sz="8" w:space="0" w:color="auto"/>
            </w:tcBorders>
            <w:shd w:val="clear" w:color="000000" w:fill="D8C1BD"/>
            <w:noWrap/>
            <w:vAlign w:val="center"/>
            <w:hideMark/>
          </w:tcPr>
          <w:p w14:paraId="745E96C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7</w:t>
            </w:r>
          </w:p>
        </w:tc>
        <w:tc>
          <w:tcPr>
            <w:tcW w:w="378" w:type="pct"/>
            <w:tcBorders>
              <w:top w:val="nil"/>
              <w:left w:val="nil"/>
              <w:bottom w:val="single" w:sz="8" w:space="0" w:color="auto"/>
              <w:right w:val="single" w:sz="8" w:space="0" w:color="auto"/>
            </w:tcBorders>
            <w:shd w:val="clear" w:color="000000" w:fill="D8C1BD"/>
            <w:noWrap/>
            <w:vAlign w:val="center"/>
            <w:hideMark/>
          </w:tcPr>
          <w:p w14:paraId="6BCC012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w:t>
            </w:r>
          </w:p>
        </w:tc>
        <w:tc>
          <w:tcPr>
            <w:tcW w:w="253" w:type="pct"/>
            <w:tcBorders>
              <w:top w:val="nil"/>
              <w:left w:val="nil"/>
              <w:bottom w:val="single" w:sz="8" w:space="0" w:color="auto"/>
              <w:right w:val="single" w:sz="8" w:space="0" w:color="auto"/>
            </w:tcBorders>
            <w:shd w:val="clear" w:color="000000" w:fill="D8C1BD"/>
            <w:noWrap/>
            <w:vAlign w:val="center"/>
            <w:hideMark/>
          </w:tcPr>
          <w:p w14:paraId="0C55F8F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9</w:t>
            </w:r>
          </w:p>
        </w:tc>
        <w:tc>
          <w:tcPr>
            <w:tcW w:w="378" w:type="pct"/>
            <w:tcBorders>
              <w:top w:val="nil"/>
              <w:left w:val="nil"/>
              <w:bottom w:val="single" w:sz="8" w:space="0" w:color="auto"/>
              <w:right w:val="single" w:sz="8" w:space="0" w:color="auto"/>
            </w:tcBorders>
            <w:shd w:val="clear" w:color="000000" w:fill="D8C1BD"/>
            <w:noWrap/>
            <w:vAlign w:val="center"/>
            <w:hideMark/>
          </w:tcPr>
          <w:p w14:paraId="593BBDB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w:t>
            </w:r>
          </w:p>
        </w:tc>
        <w:tc>
          <w:tcPr>
            <w:tcW w:w="286" w:type="pct"/>
            <w:tcBorders>
              <w:top w:val="nil"/>
              <w:left w:val="nil"/>
              <w:bottom w:val="single" w:sz="8" w:space="0" w:color="auto"/>
              <w:right w:val="single" w:sz="8" w:space="0" w:color="auto"/>
            </w:tcBorders>
            <w:shd w:val="clear" w:color="000000" w:fill="D8C1BD"/>
            <w:noWrap/>
            <w:vAlign w:val="center"/>
            <w:hideMark/>
          </w:tcPr>
          <w:p w14:paraId="63EA0DF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w:t>
            </w:r>
          </w:p>
        </w:tc>
        <w:tc>
          <w:tcPr>
            <w:tcW w:w="421" w:type="pct"/>
            <w:tcBorders>
              <w:top w:val="nil"/>
              <w:left w:val="nil"/>
              <w:bottom w:val="single" w:sz="8" w:space="0" w:color="auto"/>
              <w:right w:val="single" w:sz="8" w:space="0" w:color="auto"/>
            </w:tcBorders>
            <w:shd w:val="clear" w:color="000000" w:fill="D8C1BD"/>
            <w:noWrap/>
            <w:vAlign w:val="center"/>
            <w:hideMark/>
          </w:tcPr>
          <w:p w14:paraId="25269992"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w:t>
            </w:r>
          </w:p>
        </w:tc>
      </w:tr>
      <w:tr w:rsidR="00CE368F" w:rsidRPr="00CE368F" w14:paraId="0394B037"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6A391B22"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Gestió de RR.HH.</w:t>
            </w:r>
          </w:p>
        </w:tc>
        <w:tc>
          <w:tcPr>
            <w:tcW w:w="246" w:type="pct"/>
            <w:tcBorders>
              <w:top w:val="nil"/>
              <w:left w:val="nil"/>
              <w:bottom w:val="single" w:sz="8" w:space="0" w:color="auto"/>
              <w:right w:val="single" w:sz="8" w:space="0" w:color="auto"/>
            </w:tcBorders>
            <w:shd w:val="clear" w:color="000000" w:fill="D8C1BD"/>
            <w:noWrap/>
            <w:vAlign w:val="center"/>
            <w:hideMark/>
          </w:tcPr>
          <w:p w14:paraId="2BD2C49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8</w:t>
            </w:r>
          </w:p>
        </w:tc>
        <w:tc>
          <w:tcPr>
            <w:tcW w:w="385" w:type="pct"/>
            <w:tcBorders>
              <w:top w:val="nil"/>
              <w:left w:val="nil"/>
              <w:bottom w:val="single" w:sz="8" w:space="0" w:color="auto"/>
              <w:right w:val="single" w:sz="8" w:space="0" w:color="auto"/>
            </w:tcBorders>
            <w:shd w:val="clear" w:color="000000" w:fill="D8C1BD"/>
            <w:noWrap/>
            <w:vAlign w:val="center"/>
            <w:hideMark/>
          </w:tcPr>
          <w:p w14:paraId="4FCBA0A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23%</w:t>
            </w:r>
          </w:p>
        </w:tc>
        <w:tc>
          <w:tcPr>
            <w:tcW w:w="252" w:type="pct"/>
            <w:tcBorders>
              <w:top w:val="nil"/>
              <w:left w:val="nil"/>
              <w:bottom w:val="single" w:sz="8" w:space="0" w:color="auto"/>
              <w:right w:val="single" w:sz="8" w:space="0" w:color="auto"/>
            </w:tcBorders>
            <w:shd w:val="clear" w:color="000000" w:fill="D8C1BD"/>
            <w:noWrap/>
            <w:vAlign w:val="center"/>
            <w:hideMark/>
          </w:tcPr>
          <w:p w14:paraId="51DF066D"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64</w:t>
            </w:r>
          </w:p>
        </w:tc>
        <w:tc>
          <w:tcPr>
            <w:tcW w:w="378" w:type="pct"/>
            <w:tcBorders>
              <w:top w:val="nil"/>
              <w:left w:val="nil"/>
              <w:bottom w:val="single" w:sz="8" w:space="0" w:color="auto"/>
              <w:right w:val="single" w:sz="8" w:space="0" w:color="auto"/>
            </w:tcBorders>
            <w:shd w:val="clear" w:color="000000" w:fill="D8C1BD"/>
            <w:noWrap/>
            <w:vAlign w:val="center"/>
            <w:hideMark/>
          </w:tcPr>
          <w:p w14:paraId="740662A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35%</w:t>
            </w:r>
          </w:p>
        </w:tc>
        <w:tc>
          <w:tcPr>
            <w:tcW w:w="253" w:type="pct"/>
            <w:tcBorders>
              <w:top w:val="nil"/>
              <w:left w:val="nil"/>
              <w:bottom w:val="single" w:sz="8" w:space="0" w:color="auto"/>
              <w:right w:val="single" w:sz="8" w:space="0" w:color="auto"/>
            </w:tcBorders>
            <w:shd w:val="clear" w:color="000000" w:fill="D8C1BD"/>
            <w:noWrap/>
            <w:vAlign w:val="center"/>
            <w:hideMark/>
          </w:tcPr>
          <w:p w14:paraId="34049A4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68</w:t>
            </w:r>
          </w:p>
        </w:tc>
        <w:tc>
          <w:tcPr>
            <w:tcW w:w="378" w:type="pct"/>
            <w:tcBorders>
              <w:top w:val="nil"/>
              <w:left w:val="nil"/>
              <w:bottom w:val="single" w:sz="8" w:space="0" w:color="auto"/>
              <w:right w:val="single" w:sz="8" w:space="0" w:color="auto"/>
            </w:tcBorders>
            <w:shd w:val="clear" w:color="000000" w:fill="D8C1BD"/>
            <w:noWrap/>
            <w:vAlign w:val="center"/>
            <w:hideMark/>
          </w:tcPr>
          <w:p w14:paraId="2FA08E2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40%</w:t>
            </w:r>
          </w:p>
        </w:tc>
        <w:tc>
          <w:tcPr>
            <w:tcW w:w="253" w:type="pct"/>
            <w:tcBorders>
              <w:top w:val="nil"/>
              <w:left w:val="nil"/>
              <w:bottom w:val="single" w:sz="8" w:space="0" w:color="auto"/>
              <w:right w:val="single" w:sz="8" w:space="0" w:color="auto"/>
            </w:tcBorders>
            <w:shd w:val="clear" w:color="000000" w:fill="D8C1BD"/>
            <w:noWrap/>
            <w:vAlign w:val="center"/>
            <w:hideMark/>
          </w:tcPr>
          <w:p w14:paraId="3D7A7CF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64</w:t>
            </w:r>
          </w:p>
        </w:tc>
        <w:tc>
          <w:tcPr>
            <w:tcW w:w="378" w:type="pct"/>
            <w:tcBorders>
              <w:top w:val="nil"/>
              <w:left w:val="nil"/>
              <w:bottom w:val="single" w:sz="8" w:space="0" w:color="auto"/>
              <w:right w:val="single" w:sz="8" w:space="0" w:color="auto"/>
            </w:tcBorders>
            <w:shd w:val="clear" w:color="000000" w:fill="D8C1BD"/>
            <w:noWrap/>
            <w:vAlign w:val="center"/>
            <w:hideMark/>
          </w:tcPr>
          <w:p w14:paraId="1F198AF8"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28%</w:t>
            </w:r>
          </w:p>
        </w:tc>
        <w:tc>
          <w:tcPr>
            <w:tcW w:w="286" w:type="pct"/>
            <w:tcBorders>
              <w:top w:val="nil"/>
              <w:left w:val="nil"/>
              <w:bottom w:val="single" w:sz="8" w:space="0" w:color="auto"/>
              <w:right w:val="single" w:sz="8" w:space="0" w:color="auto"/>
            </w:tcBorders>
            <w:shd w:val="clear" w:color="000000" w:fill="D8C1BD"/>
            <w:noWrap/>
            <w:vAlign w:val="center"/>
            <w:hideMark/>
          </w:tcPr>
          <w:p w14:paraId="31F50125"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161</w:t>
            </w:r>
          </w:p>
        </w:tc>
        <w:tc>
          <w:tcPr>
            <w:tcW w:w="421" w:type="pct"/>
            <w:tcBorders>
              <w:top w:val="nil"/>
              <w:left w:val="nil"/>
              <w:bottom w:val="single" w:sz="8" w:space="0" w:color="auto"/>
              <w:right w:val="single" w:sz="8" w:space="0" w:color="auto"/>
            </w:tcBorders>
            <w:shd w:val="clear" w:color="000000" w:fill="D8C1BD"/>
            <w:noWrap/>
            <w:vAlign w:val="center"/>
            <w:hideMark/>
          </w:tcPr>
          <w:p w14:paraId="1F39B2F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45%</w:t>
            </w:r>
          </w:p>
        </w:tc>
      </w:tr>
      <w:tr w:rsidR="00CE368F" w:rsidRPr="00CE368F" w14:paraId="2AC84C32"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7A38DDB5"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Accés</w:t>
            </w:r>
          </w:p>
        </w:tc>
        <w:tc>
          <w:tcPr>
            <w:tcW w:w="246" w:type="pct"/>
            <w:tcBorders>
              <w:top w:val="nil"/>
              <w:left w:val="nil"/>
              <w:bottom w:val="single" w:sz="8" w:space="0" w:color="auto"/>
              <w:right w:val="single" w:sz="8" w:space="0" w:color="auto"/>
            </w:tcBorders>
            <w:shd w:val="clear" w:color="auto" w:fill="auto"/>
            <w:noWrap/>
            <w:vAlign w:val="center"/>
            <w:hideMark/>
          </w:tcPr>
          <w:p w14:paraId="729E5DA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407B443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53F460D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13341A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0669F2E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2997E52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433ED838"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5CF9A80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auto" w:fill="auto"/>
            <w:noWrap/>
            <w:vAlign w:val="center"/>
            <w:hideMark/>
          </w:tcPr>
          <w:p w14:paraId="70AFB33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24</w:t>
            </w:r>
          </w:p>
        </w:tc>
        <w:tc>
          <w:tcPr>
            <w:tcW w:w="421" w:type="pct"/>
            <w:tcBorders>
              <w:top w:val="nil"/>
              <w:left w:val="nil"/>
              <w:bottom w:val="single" w:sz="8" w:space="0" w:color="auto"/>
              <w:right w:val="single" w:sz="8" w:space="0" w:color="auto"/>
            </w:tcBorders>
            <w:shd w:val="clear" w:color="auto" w:fill="auto"/>
            <w:noWrap/>
            <w:vAlign w:val="center"/>
            <w:hideMark/>
          </w:tcPr>
          <w:p w14:paraId="1F7A1D7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7%</w:t>
            </w:r>
          </w:p>
        </w:tc>
      </w:tr>
      <w:tr w:rsidR="00CE368F" w:rsidRPr="00CE368F" w14:paraId="33DCFEA4"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611FF354"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Procediments Selectius</w:t>
            </w:r>
          </w:p>
        </w:tc>
        <w:tc>
          <w:tcPr>
            <w:tcW w:w="246" w:type="pct"/>
            <w:tcBorders>
              <w:top w:val="nil"/>
              <w:left w:val="nil"/>
              <w:bottom w:val="single" w:sz="8" w:space="0" w:color="auto"/>
              <w:right w:val="single" w:sz="8" w:space="0" w:color="auto"/>
            </w:tcBorders>
            <w:shd w:val="clear" w:color="000000" w:fill="FFFFFF"/>
            <w:noWrap/>
            <w:vAlign w:val="center"/>
            <w:hideMark/>
          </w:tcPr>
          <w:p w14:paraId="21C6BD3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5</w:t>
            </w:r>
          </w:p>
        </w:tc>
        <w:tc>
          <w:tcPr>
            <w:tcW w:w="385" w:type="pct"/>
            <w:tcBorders>
              <w:top w:val="nil"/>
              <w:left w:val="nil"/>
              <w:bottom w:val="single" w:sz="8" w:space="0" w:color="auto"/>
              <w:right w:val="single" w:sz="8" w:space="0" w:color="auto"/>
            </w:tcBorders>
            <w:shd w:val="clear" w:color="000000" w:fill="FFFFFF"/>
            <w:noWrap/>
            <w:vAlign w:val="center"/>
            <w:hideMark/>
          </w:tcPr>
          <w:p w14:paraId="605525A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14%</w:t>
            </w:r>
          </w:p>
        </w:tc>
        <w:tc>
          <w:tcPr>
            <w:tcW w:w="252" w:type="pct"/>
            <w:tcBorders>
              <w:top w:val="nil"/>
              <w:left w:val="nil"/>
              <w:bottom w:val="single" w:sz="8" w:space="0" w:color="auto"/>
              <w:right w:val="single" w:sz="8" w:space="0" w:color="auto"/>
            </w:tcBorders>
            <w:shd w:val="clear" w:color="000000" w:fill="FFFFFF"/>
            <w:noWrap/>
            <w:vAlign w:val="center"/>
            <w:hideMark/>
          </w:tcPr>
          <w:p w14:paraId="3D91F5C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33</w:t>
            </w:r>
          </w:p>
        </w:tc>
        <w:tc>
          <w:tcPr>
            <w:tcW w:w="378" w:type="pct"/>
            <w:tcBorders>
              <w:top w:val="nil"/>
              <w:left w:val="nil"/>
              <w:bottom w:val="single" w:sz="8" w:space="0" w:color="auto"/>
              <w:right w:val="single" w:sz="8" w:space="0" w:color="auto"/>
            </w:tcBorders>
            <w:shd w:val="clear" w:color="000000" w:fill="FFFFFF"/>
            <w:noWrap/>
            <w:vAlign w:val="center"/>
            <w:hideMark/>
          </w:tcPr>
          <w:p w14:paraId="238F583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18%</w:t>
            </w:r>
          </w:p>
        </w:tc>
        <w:tc>
          <w:tcPr>
            <w:tcW w:w="253" w:type="pct"/>
            <w:tcBorders>
              <w:top w:val="nil"/>
              <w:left w:val="nil"/>
              <w:bottom w:val="single" w:sz="8" w:space="0" w:color="auto"/>
              <w:right w:val="single" w:sz="8" w:space="0" w:color="auto"/>
            </w:tcBorders>
            <w:shd w:val="clear" w:color="000000" w:fill="FFFFFF"/>
            <w:noWrap/>
            <w:vAlign w:val="center"/>
            <w:hideMark/>
          </w:tcPr>
          <w:p w14:paraId="4D373BC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47</w:t>
            </w:r>
          </w:p>
        </w:tc>
        <w:tc>
          <w:tcPr>
            <w:tcW w:w="378" w:type="pct"/>
            <w:tcBorders>
              <w:top w:val="nil"/>
              <w:left w:val="nil"/>
              <w:bottom w:val="single" w:sz="8" w:space="0" w:color="auto"/>
              <w:right w:val="single" w:sz="8" w:space="0" w:color="auto"/>
            </w:tcBorders>
            <w:shd w:val="clear" w:color="000000" w:fill="FFFFFF"/>
            <w:noWrap/>
            <w:vAlign w:val="center"/>
            <w:hideMark/>
          </w:tcPr>
          <w:p w14:paraId="5AFCEAF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28%</w:t>
            </w:r>
          </w:p>
        </w:tc>
        <w:tc>
          <w:tcPr>
            <w:tcW w:w="253" w:type="pct"/>
            <w:tcBorders>
              <w:top w:val="nil"/>
              <w:left w:val="nil"/>
              <w:bottom w:val="single" w:sz="8" w:space="0" w:color="auto"/>
              <w:right w:val="single" w:sz="8" w:space="0" w:color="auto"/>
            </w:tcBorders>
            <w:shd w:val="clear" w:color="000000" w:fill="FFFFFF"/>
            <w:noWrap/>
            <w:vAlign w:val="center"/>
            <w:hideMark/>
          </w:tcPr>
          <w:p w14:paraId="33CE6C2E"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22</w:t>
            </w:r>
          </w:p>
        </w:tc>
        <w:tc>
          <w:tcPr>
            <w:tcW w:w="378" w:type="pct"/>
            <w:tcBorders>
              <w:top w:val="nil"/>
              <w:left w:val="nil"/>
              <w:bottom w:val="single" w:sz="8" w:space="0" w:color="auto"/>
              <w:right w:val="single" w:sz="8" w:space="0" w:color="auto"/>
            </w:tcBorders>
            <w:shd w:val="clear" w:color="000000" w:fill="FFFFFF"/>
            <w:noWrap/>
            <w:vAlign w:val="center"/>
            <w:hideMark/>
          </w:tcPr>
          <w:p w14:paraId="1118FCE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10%</w:t>
            </w:r>
          </w:p>
        </w:tc>
        <w:tc>
          <w:tcPr>
            <w:tcW w:w="286" w:type="pct"/>
            <w:tcBorders>
              <w:top w:val="nil"/>
              <w:left w:val="nil"/>
              <w:bottom w:val="single" w:sz="8" w:space="0" w:color="auto"/>
              <w:right w:val="single" w:sz="8" w:space="0" w:color="auto"/>
            </w:tcBorders>
            <w:shd w:val="clear" w:color="000000" w:fill="FFFFFF"/>
            <w:noWrap/>
            <w:vAlign w:val="center"/>
            <w:hideMark/>
          </w:tcPr>
          <w:p w14:paraId="06A9E0E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74</w:t>
            </w:r>
          </w:p>
        </w:tc>
        <w:tc>
          <w:tcPr>
            <w:tcW w:w="421" w:type="pct"/>
            <w:tcBorders>
              <w:top w:val="nil"/>
              <w:left w:val="nil"/>
              <w:bottom w:val="single" w:sz="8" w:space="0" w:color="auto"/>
              <w:right w:val="single" w:sz="8" w:space="0" w:color="auto"/>
            </w:tcBorders>
            <w:shd w:val="clear" w:color="000000" w:fill="FFFFFF"/>
            <w:noWrap/>
            <w:vAlign w:val="center"/>
            <w:hideMark/>
          </w:tcPr>
          <w:p w14:paraId="3E25313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21%</w:t>
            </w:r>
          </w:p>
        </w:tc>
      </w:tr>
      <w:tr w:rsidR="00CE368F" w:rsidRPr="00CE368F" w14:paraId="0183233D"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4021AB40"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Procediments de Provisió</w:t>
            </w:r>
          </w:p>
        </w:tc>
        <w:tc>
          <w:tcPr>
            <w:tcW w:w="246" w:type="pct"/>
            <w:tcBorders>
              <w:top w:val="nil"/>
              <w:left w:val="nil"/>
              <w:bottom w:val="single" w:sz="8" w:space="0" w:color="auto"/>
              <w:right w:val="single" w:sz="8" w:space="0" w:color="auto"/>
            </w:tcBorders>
            <w:shd w:val="clear" w:color="000000" w:fill="FFFFFF"/>
            <w:noWrap/>
            <w:vAlign w:val="center"/>
            <w:hideMark/>
          </w:tcPr>
          <w:p w14:paraId="66B38FA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385" w:type="pct"/>
            <w:tcBorders>
              <w:top w:val="nil"/>
              <w:left w:val="nil"/>
              <w:bottom w:val="single" w:sz="8" w:space="0" w:color="auto"/>
              <w:right w:val="single" w:sz="8" w:space="0" w:color="auto"/>
            </w:tcBorders>
            <w:shd w:val="clear" w:color="000000" w:fill="FFFFFF"/>
            <w:noWrap/>
            <w:vAlign w:val="center"/>
            <w:hideMark/>
          </w:tcPr>
          <w:p w14:paraId="119A54CE"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c>
          <w:tcPr>
            <w:tcW w:w="252" w:type="pct"/>
            <w:tcBorders>
              <w:top w:val="nil"/>
              <w:left w:val="nil"/>
              <w:bottom w:val="single" w:sz="8" w:space="0" w:color="auto"/>
              <w:right w:val="single" w:sz="8" w:space="0" w:color="auto"/>
            </w:tcBorders>
            <w:shd w:val="clear" w:color="000000" w:fill="FFFFFF"/>
            <w:noWrap/>
            <w:vAlign w:val="center"/>
            <w:hideMark/>
          </w:tcPr>
          <w:p w14:paraId="68B42E9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8</w:t>
            </w:r>
          </w:p>
        </w:tc>
        <w:tc>
          <w:tcPr>
            <w:tcW w:w="378" w:type="pct"/>
            <w:tcBorders>
              <w:top w:val="nil"/>
              <w:left w:val="nil"/>
              <w:bottom w:val="single" w:sz="8" w:space="0" w:color="auto"/>
              <w:right w:val="single" w:sz="8" w:space="0" w:color="auto"/>
            </w:tcBorders>
            <w:shd w:val="clear" w:color="000000" w:fill="FFFFFF"/>
            <w:noWrap/>
            <w:vAlign w:val="center"/>
            <w:hideMark/>
          </w:tcPr>
          <w:p w14:paraId="636C22D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w:t>
            </w:r>
          </w:p>
        </w:tc>
        <w:tc>
          <w:tcPr>
            <w:tcW w:w="253" w:type="pct"/>
            <w:tcBorders>
              <w:top w:val="nil"/>
              <w:left w:val="nil"/>
              <w:bottom w:val="single" w:sz="8" w:space="0" w:color="auto"/>
              <w:right w:val="single" w:sz="8" w:space="0" w:color="auto"/>
            </w:tcBorders>
            <w:shd w:val="clear" w:color="000000" w:fill="FFFFFF"/>
            <w:noWrap/>
            <w:vAlign w:val="center"/>
            <w:hideMark/>
          </w:tcPr>
          <w:p w14:paraId="4681264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c>
          <w:tcPr>
            <w:tcW w:w="378" w:type="pct"/>
            <w:tcBorders>
              <w:top w:val="nil"/>
              <w:left w:val="nil"/>
              <w:bottom w:val="single" w:sz="8" w:space="0" w:color="auto"/>
              <w:right w:val="single" w:sz="8" w:space="0" w:color="auto"/>
            </w:tcBorders>
            <w:shd w:val="clear" w:color="000000" w:fill="FFFFFF"/>
            <w:noWrap/>
            <w:vAlign w:val="center"/>
            <w:hideMark/>
          </w:tcPr>
          <w:p w14:paraId="63A5ACD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w:t>
            </w:r>
          </w:p>
        </w:tc>
        <w:tc>
          <w:tcPr>
            <w:tcW w:w="253" w:type="pct"/>
            <w:tcBorders>
              <w:top w:val="nil"/>
              <w:left w:val="nil"/>
              <w:bottom w:val="single" w:sz="8" w:space="0" w:color="auto"/>
              <w:right w:val="single" w:sz="8" w:space="0" w:color="auto"/>
            </w:tcBorders>
            <w:shd w:val="clear" w:color="000000" w:fill="FFFFFF"/>
            <w:noWrap/>
            <w:vAlign w:val="center"/>
            <w:hideMark/>
          </w:tcPr>
          <w:p w14:paraId="65E5499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18</w:t>
            </w:r>
          </w:p>
        </w:tc>
        <w:tc>
          <w:tcPr>
            <w:tcW w:w="378" w:type="pct"/>
            <w:tcBorders>
              <w:top w:val="nil"/>
              <w:left w:val="nil"/>
              <w:bottom w:val="single" w:sz="8" w:space="0" w:color="auto"/>
              <w:right w:val="single" w:sz="8" w:space="0" w:color="auto"/>
            </w:tcBorders>
            <w:shd w:val="clear" w:color="000000" w:fill="FFFFFF"/>
            <w:noWrap/>
            <w:vAlign w:val="center"/>
            <w:hideMark/>
          </w:tcPr>
          <w:p w14:paraId="28440AC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8%</w:t>
            </w:r>
          </w:p>
        </w:tc>
        <w:tc>
          <w:tcPr>
            <w:tcW w:w="286" w:type="pct"/>
            <w:tcBorders>
              <w:top w:val="nil"/>
              <w:left w:val="nil"/>
              <w:bottom w:val="single" w:sz="8" w:space="0" w:color="auto"/>
              <w:right w:val="single" w:sz="8" w:space="0" w:color="auto"/>
            </w:tcBorders>
            <w:shd w:val="clear" w:color="000000" w:fill="FFFFFF"/>
            <w:noWrap/>
            <w:vAlign w:val="center"/>
            <w:hideMark/>
          </w:tcPr>
          <w:p w14:paraId="555D681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21</w:t>
            </w:r>
          </w:p>
        </w:tc>
        <w:tc>
          <w:tcPr>
            <w:tcW w:w="421" w:type="pct"/>
            <w:tcBorders>
              <w:top w:val="nil"/>
              <w:left w:val="nil"/>
              <w:bottom w:val="single" w:sz="8" w:space="0" w:color="auto"/>
              <w:right w:val="single" w:sz="8" w:space="0" w:color="auto"/>
            </w:tcBorders>
            <w:shd w:val="clear" w:color="000000" w:fill="FFFFFF"/>
            <w:noWrap/>
            <w:vAlign w:val="center"/>
            <w:hideMark/>
          </w:tcPr>
          <w:p w14:paraId="7B6F8D0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r>
      <w:tr w:rsidR="00CE368F" w:rsidRPr="00CE368F" w14:paraId="7A2CAFE8"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1EEB83D9"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Drets/Deures/Incompatibilitats</w:t>
            </w:r>
          </w:p>
        </w:tc>
        <w:tc>
          <w:tcPr>
            <w:tcW w:w="246" w:type="pct"/>
            <w:tcBorders>
              <w:top w:val="nil"/>
              <w:left w:val="nil"/>
              <w:bottom w:val="single" w:sz="8" w:space="0" w:color="auto"/>
              <w:right w:val="single" w:sz="8" w:space="0" w:color="auto"/>
            </w:tcBorders>
            <w:shd w:val="clear" w:color="000000" w:fill="FFFFFF"/>
            <w:noWrap/>
            <w:vAlign w:val="center"/>
            <w:hideMark/>
          </w:tcPr>
          <w:p w14:paraId="4C2DE78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w:t>
            </w:r>
          </w:p>
        </w:tc>
        <w:tc>
          <w:tcPr>
            <w:tcW w:w="385" w:type="pct"/>
            <w:tcBorders>
              <w:top w:val="nil"/>
              <w:left w:val="nil"/>
              <w:bottom w:val="single" w:sz="8" w:space="0" w:color="auto"/>
              <w:right w:val="single" w:sz="8" w:space="0" w:color="auto"/>
            </w:tcBorders>
            <w:shd w:val="clear" w:color="000000" w:fill="FFFFFF"/>
            <w:noWrap/>
            <w:vAlign w:val="center"/>
            <w:hideMark/>
          </w:tcPr>
          <w:p w14:paraId="18175D1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c>
          <w:tcPr>
            <w:tcW w:w="252" w:type="pct"/>
            <w:tcBorders>
              <w:top w:val="nil"/>
              <w:left w:val="nil"/>
              <w:bottom w:val="single" w:sz="8" w:space="0" w:color="auto"/>
              <w:right w:val="single" w:sz="8" w:space="0" w:color="auto"/>
            </w:tcBorders>
            <w:shd w:val="clear" w:color="000000" w:fill="FFFFFF"/>
            <w:noWrap/>
            <w:vAlign w:val="center"/>
            <w:hideMark/>
          </w:tcPr>
          <w:p w14:paraId="535B7BC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21</w:t>
            </w:r>
          </w:p>
        </w:tc>
        <w:tc>
          <w:tcPr>
            <w:tcW w:w="378" w:type="pct"/>
            <w:tcBorders>
              <w:top w:val="nil"/>
              <w:left w:val="nil"/>
              <w:bottom w:val="single" w:sz="8" w:space="0" w:color="auto"/>
              <w:right w:val="single" w:sz="8" w:space="0" w:color="auto"/>
            </w:tcBorders>
            <w:shd w:val="clear" w:color="000000" w:fill="FFFFFF"/>
            <w:noWrap/>
            <w:vAlign w:val="center"/>
            <w:hideMark/>
          </w:tcPr>
          <w:p w14:paraId="77A81FC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12%</w:t>
            </w:r>
          </w:p>
        </w:tc>
        <w:tc>
          <w:tcPr>
            <w:tcW w:w="253" w:type="pct"/>
            <w:tcBorders>
              <w:top w:val="nil"/>
              <w:left w:val="nil"/>
              <w:bottom w:val="single" w:sz="8" w:space="0" w:color="auto"/>
              <w:right w:val="single" w:sz="8" w:space="0" w:color="auto"/>
            </w:tcBorders>
            <w:shd w:val="clear" w:color="000000" w:fill="FFFFFF"/>
            <w:noWrap/>
            <w:vAlign w:val="center"/>
            <w:hideMark/>
          </w:tcPr>
          <w:p w14:paraId="07D85F7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15</w:t>
            </w:r>
          </w:p>
        </w:tc>
        <w:tc>
          <w:tcPr>
            <w:tcW w:w="378" w:type="pct"/>
            <w:tcBorders>
              <w:top w:val="nil"/>
              <w:left w:val="nil"/>
              <w:bottom w:val="single" w:sz="8" w:space="0" w:color="auto"/>
              <w:right w:val="single" w:sz="8" w:space="0" w:color="auto"/>
            </w:tcBorders>
            <w:shd w:val="clear" w:color="000000" w:fill="FFFFFF"/>
            <w:noWrap/>
            <w:vAlign w:val="center"/>
            <w:hideMark/>
          </w:tcPr>
          <w:p w14:paraId="12D29B5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9%</w:t>
            </w:r>
          </w:p>
        </w:tc>
        <w:tc>
          <w:tcPr>
            <w:tcW w:w="253" w:type="pct"/>
            <w:tcBorders>
              <w:top w:val="nil"/>
              <w:left w:val="nil"/>
              <w:bottom w:val="single" w:sz="8" w:space="0" w:color="auto"/>
              <w:right w:val="single" w:sz="8" w:space="0" w:color="auto"/>
            </w:tcBorders>
            <w:shd w:val="clear" w:color="000000" w:fill="FFFFFF"/>
            <w:noWrap/>
            <w:vAlign w:val="center"/>
            <w:hideMark/>
          </w:tcPr>
          <w:p w14:paraId="349D326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16</w:t>
            </w:r>
          </w:p>
        </w:tc>
        <w:tc>
          <w:tcPr>
            <w:tcW w:w="378" w:type="pct"/>
            <w:tcBorders>
              <w:top w:val="nil"/>
              <w:left w:val="nil"/>
              <w:bottom w:val="single" w:sz="8" w:space="0" w:color="auto"/>
              <w:right w:val="single" w:sz="8" w:space="0" w:color="auto"/>
            </w:tcBorders>
            <w:shd w:val="clear" w:color="000000" w:fill="FFFFFF"/>
            <w:noWrap/>
            <w:vAlign w:val="center"/>
            <w:hideMark/>
          </w:tcPr>
          <w:p w14:paraId="0DA3EAF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7%</w:t>
            </w:r>
          </w:p>
        </w:tc>
        <w:tc>
          <w:tcPr>
            <w:tcW w:w="286" w:type="pct"/>
            <w:tcBorders>
              <w:top w:val="nil"/>
              <w:left w:val="nil"/>
              <w:bottom w:val="single" w:sz="8" w:space="0" w:color="auto"/>
              <w:right w:val="single" w:sz="8" w:space="0" w:color="auto"/>
            </w:tcBorders>
            <w:shd w:val="clear" w:color="000000" w:fill="FFFFFF"/>
            <w:noWrap/>
            <w:vAlign w:val="center"/>
            <w:hideMark/>
          </w:tcPr>
          <w:p w14:paraId="647AEDF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14</w:t>
            </w:r>
          </w:p>
        </w:tc>
        <w:tc>
          <w:tcPr>
            <w:tcW w:w="421" w:type="pct"/>
            <w:tcBorders>
              <w:top w:val="nil"/>
              <w:left w:val="nil"/>
              <w:bottom w:val="single" w:sz="8" w:space="0" w:color="auto"/>
              <w:right w:val="single" w:sz="8" w:space="0" w:color="auto"/>
            </w:tcBorders>
            <w:shd w:val="clear" w:color="000000" w:fill="FFFFFF"/>
            <w:noWrap/>
            <w:vAlign w:val="center"/>
            <w:hideMark/>
          </w:tcPr>
          <w:p w14:paraId="5B08C2F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w:t>
            </w:r>
          </w:p>
        </w:tc>
      </w:tr>
      <w:tr w:rsidR="00CE368F" w:rsidRPr="00CE368F" w14:paraId="1728118B"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1F65553D"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Retribucions</w:t>
            </w:r>
          </w:p>
        </w:tc>
        <w:tc>
          <w:tcPr>
            <w:tcW w:w="246" w:type="pct"/>
            <w:tcBorders>
              <w:top w:val="nil"/>
              <w:left w:val="nil"/>
              <w:bottom w:val="single" w:sz="8" w:space="0" w:color="auto"/>
              <w:right w:val="single" w:sz="8" w:space="0" w:color="auto"/>
            </w:tcBorders>
            <w:shd w:val="clear" w:color="auto" w:fill="auto"/>
            <w:noWrap/>
            <w:vAlign w:val="center"/>
            <w:hideMark/>
          </w:tcPr>
          <w:p w14:paraId="0D83C5A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1343406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1609D4D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1236B21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575A02F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333111A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7C7E1B0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0CE0286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FFFFFF"/>
            <w:noWrap/>
            <w:vAlign w:val="center"/>
            <w:hideMark/>
          </w:tcPr>
          <w:p w14:paraId="0E7A9BE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12</w:t>
            </w:r>
          </w:p>
        </w:tc>
        <w:tc>
          <w:tcPr>
            <w:tcW w:w="421" w:type="pct"/>
            <w:tcBorders>
              <w:top w:val="nil"/>
              <w:left w:val="nil"/>
              <w:bottom w:val="single" w:sz="8" w:space="0" w:color="auto"/>
              <w:right w:val="single" w:sz="8" w:space="0" w:color="auto"/>
            </w:tcBorders>
            <w:shd w:val="clear" w:color="000000" w:fill="FFFFFF"/>
            <w:noWrap/>
            <w:vAlign w:val="center"/>
            <w:hideMark/>
          </w:tcPr>
          <w:p w14:paraId="10BBFEB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r>
      <w:tr w:rsidR="00CE368F" w:rsidRPr="00CE368F" w14:paraId="401BF8B2"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7735D184"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Altres</w:t>
            </w:r>
          </w:p>
        </w:tc>
        <w:tc>
          <w:tcPr>
            <w:tcW w:w="246" w:type="pct"/>
            <w:tcBorders>
              <w:top w:val="nil"/>
              <w:left w:val="nil"/>
              <w:bottom w:val="single" w:sz="8" w:space="0" w:color="auto"/>
              <w:right w:val="single" w:sz="8" w:space="0" w:color="auto"/>
            </w:tcBorders>
            <w:shd w:val="clear" w:color="000000" w:fill="FFFFFF"/>
            <w:noWrap/>
            <w:vAlign w:val="center"/>
            <w:hideMark/>
          </w:tcPr>
          <w:p w14:paraId="66B3B4D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385" w:type="pct"/>
            <w:tcBorders>
              <w:top w:val="nil"/>
              <w:left w:val="nil"/>
              <w:bottom w:val="single" w:sz="8" w:space="0" w:color="auto"/>
              <w:right w:val="single" w:sz="8" w:space="0" w:color="auto"/>
            </w:tcBorders>
            <w:shd w:val="clear" w:color="000000" w:fill="FFFFFF"/>
            <w:noWrap/>
            <w:vAlign w:val="center"/>
            <w:hideMark/>
          </w:tcPr>
          <w:p w14:paraId="172E11C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252" w:type="pct"/>
            <w:tcBorders>
              <w:top w:val="nil"/>
              <w:left w:val="nil"/>
              <w:bottom w:val="single" w:sz="8" w:space="0" w:color="auto"/>
              <w:right w:val="single" w:sz="8" w:space="0" w:color="auto"/>
            </w:tcBorders>
            <w:shd w:val="clear" w:color="000000" w:fill="FFFFFF"/>
            <w:noWrap/>
            <w:vAlign w:val="center"/>
            <w:hideMark/>
          </w:tcPr>
          <w:p w14:paraId="5D6D899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w:t>
            </w:r>
          </w:p>
        </w:tc>
        <w:tc>
          <w:tcPr>
            <w:tcW w:w="378" w:type="pct"/>
            <w:tcBorders>
              <w:top w:val="nil"/>
              <w:left w:val="nil"/>
              <w:bottom w:val="single" w:sz="8" w:space="0" w:color="auto"/>
              <w:right w:val="single" w:sz="8" w:space="0" w:color="auto"/>
            </w:tcBorders>
            <w:shd w:val="clear" w:color="000000" w:fill="FFFFFF"/>
            <w:noWrap/>
            <w:vAlign w:val="center"/>
            <w:hideMark/>
          </w:tcPr>
          <w:p w14:paraId="4E442E7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253" w:type="pct"/>
            <w:tcBorders>
              <w:top w:val="nil"/>
              <w:left w:val="nil"/>
              <w:bottom w:val="single" w:sz="8" w:space="0" w:color="auto"/>
              <w:right w:val="single" w:sz="8" w:space="0" w:color="auto"/>
            </w:tcBorders>
            <w:shd w:val="clear" w:color="000000" w:fill="FFFFFF"/>
            <w:noWrap/>
            <w:vAlign w:val="center"/>
            <w:hideMark/>
          </w:tcPr>
          <w:p w14:paraId="28B73F1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378" w:type="pct"/>
            <w:tcBorders>
              <w:top w:val="nil"/>
              <w:left w:val="nil"/>
              <w:bottom w:val="single" w:sz="8" w:space="0" w:color="auto"/>
              <w:right w:val="single" w:sz="8" w:space="0" w:color="auto"/>
            </w:tcBorders>
            <w:shd w:val="clear" w:color="000000" w:fill="FFFFFF"/>
            <w:noWrap/>
            <w:vAlign w:val="center"/>
            <w:hideMark/>
          </w:tcPr>
          <w:p w14:paraId="18FBD6C8"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c>
          <w:tcPr>
            <w:tcW w:w="253" w:type="pct"/>
            <w:tcBorders>
              <w:top w:val="nil"/>
              <w:left w:val="nil"/>
              <w:bottom w:val="single" w:sz="8" w:space="0" w:color="auto"/>
              <w:right w:val="single" w:sz="8" w:space="0" w:color="auto"/>
            </w:tcBorders>
            <w:shd w:val="clear" w:color="000000" w:fill="FFFFFF"/>
            <w:noWrap/>
            <w:vAlign w:val="center"/>
            <w:hideMark/>
          </w:tcPr>
          <w:p w14:paraId="106B7B7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8</w:t>
            </w:r>
          </w:p>
        </w:tc>
        <w:tc>
          <w:tcPr>
            <w:tcW w:w="378" w:type="pct"/>
            <w:tcBorders>
              <w:top w:val="nil"/>
              <w:left w:val="nil"/>
              <w:bottom w:val="single" w:sz="8" w:space="0" w:color="auto"/>
              <w:right w:val="single" w:sz="8" w:space="0" w:color="auto"/>
            </w:tcBorders>
            <w:shd w:val="clear" w:color="000000" w:fill="FFFFFF"/>
            <w:noWrap/>
            <w:vAlign w:val="center"/>
            <w:hideMark/>
          </w:tcPr>
          <w:p w14:paraId="066B6E2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w:t>
            </w:r>
          </w:p>
        </w:tc>
        <w:tc>
          <w:tcPr>
            <w:tcW w:w="286" w:type="pct"/>
            <w:tcBorders>
              <w:top w:val="nil"/>
              <w:left w:val="nil"/>
              <w:bottom w:val="single" w:sz="8" w:space="0" w:color="auto"/>
              <w:right w:val="single" w:sz="8" w:space="0" w:color="auto"/>
            </w:tcBorders>
            <w:shd w:val="clear" w:color="000000" w:fill="FFFFFF"/>
            <w:noWrap/>
            <w:vAlign w:val="center"/>
            <w:hideMark/>
          </w:tcPr>
          <w:p w14:paraId="626D885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16</w:t>
            </w:r>
          </w:p>
        </w:tc>
        <w:tc>
          <w:tcPr>
            <w:tcW w:w="421" w:type="pct"/>
            <w:tcBorders>
              <w:top w:val="nil"/>
              <w:left w:val="nil"/>
              <w:bottom w:val="single" w:sz="8" w:space="0" w:color="auto"/>
              <w:right w:val="single" w:sz="8" w:space="0" w:color="auto"/>
            </w:tcBorders>
            <w:shd w:val="clear" w:color="000000" w:fill="FFFFFF"/>
            <w:noWrap/>
            <w:vAlign w:val="center"/>
            <w:hideMark/>
          </w:tcPr>
          <w:p w14:paraId="1F133D1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4%</w:t>
            </w:r>
          </w:p>
        </w:tc>
      </w:tr>
      <w:tr w:rsidR="00CE368F" w:rsidRPr="00CE368F" w14:paraId="359B3A90"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0C208DDF"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Medi ambient**</w:t>
            </w:r>
          </w:p>
        </w:tc>
        <w:tc>
          <w:tcPr>
            <w:tcW w:w="246" w:type="pct"/>
            <w:tcBorders>
              <w:top w:val="nil"/>
              <w:left w:val="nil"/>
              <w:bottom w:val="single" w:sz="8" w:space="0" w:color="auto"/>
              <w:right w:val="single" w:sz="8" w:space="0" w:color="auto"/>
            </w:tcBorders>
            <w:shd w:val="clear" w:color="000000" w:fill="D8C1BD"/>
            <w:noWrap/>
            <w:vAlign w:val="center"/>
            <w:hideMark/>
          </w:tcPr>
          <w:p w14:paraId="57EF693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w:t>
            </w:r>
          </w:p>
        </w:tc>
        <w:tc>
          <w:tcPr>
            <w:tcW w:w="385" w:type="pct"/>
            <w:tcBorders>
              <w:top w:val="nil"/>
              <w:left w:val="nil"/>
              <w:bottom w:val="single" w:sz="8" w:space="0" w:color="auto"/>
              <w:right w:val="single" w:sz="8" w:space="0" w:color="auto"/>
            </w:tcBorders>
            <w:shd w:val="clear" w:color="000000" w:fill="D8C1BD"/>
            <w:noWrap/>
            <w:vAlign w:val="center"/>
            <w:hideMark/>
          </w:tcPr>
          <w:p w14:paraId="16A5696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6%</w:t>
            </w:r>
          </w:p>
        </w:tc>
        <w:tc>
          <w:tcPr>
            <w:tcW w:w="252" w:type="pct"/>
            <w:tcBorders>
              <w:top w:val="nil"/>
              <w:left w:val="nil"/>
              <w:bottom w:val="single" w:sz="8" w:space="0" w:color="auto"/>
              <w:right w:val="single" w:sz="8" w:space="0" w:color="auto"/>
            </w:tcBorders>
            <w:shd w:val="clear" w:color="000000" w:fill="D8C1BD"/>
            <w:noWrap/>
            <w:vAlign w:val="center"/>
            <w:hideMark/>
          </w:tcPr>
          <w:p w14:paraId="62CA8F1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13</w:t>
            </w:r>
          </w:p>
        </w:tc>
        <w:tc>
          <w:tcPr>
            <w:tcW w:w="378" w:type="pct"/>
            <w:tcBorders>
              <w:top w:val="nil"/>
              <w:left w:val="nil"/>
              <w:bottom w:val="single" w:sz="8" w:space="0" w:color="auto"/>
              <w:right w:val="single" w:sz="8" w:space="0" w:color="auto"/>
            </w:tcBorders>
            <w:shd w:val="clear" w:color="000000" w:fill="D8C1BD"/>
            <w:noWrap/>
            <w:vAlign w:val="center"/>
            <w:hideMark/>
          </w:tcPr>
          <w:p w14:paraId="0FE0D91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7%</w:t>
            </w:r>
          </w:p>
        </w:tc>
        <w:tc>
          <w:tcPr>
            <w:tcW w:w="253" w:type="pct"/>
            <w:tcBorders>
              <w:top w:val="nil"/>
              <w:left w:val="nil"/>
              <w:bottom w:val="single" w:sz="8" w:space="0" w:color="auto"/>
              <w:right w:val="single" w:sz="8" w:space="0" w:color="auto"/>
            </w:tcBorders>
            <w:shd w:val="clear" w:color="000000" w:fill="D8C1BD"/>
            <w:noWrap/>
            <w:vAlign w:val="center"/>
            <w:hideMark/>
          </w:tcPr>
          <w:p w14:paraId="3FF5693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17</w:t>
            </w:r>
          </w:p>
        </w:tc>
        <w:tc>
          <w:tcPr>
            <w:tcW w:w="378" w:type="pct"/>
            <w:tcBorders>
              <w:top w:val="nil"/>
              <w:left w:val="nil"/>
              <w:bottom w:val="single" w:sz="8" w:space="0" w:color="auto"/>
              <w:right w:val="single" w:sz="8" w:space="0" w:color="auto"/>
            </w:tcBorders>
            <w:shd w:val="clear" w:color="000000" w:fill="D8C1BD"/>
            <w:noWrap/>
            <w:vAlign w:val="center"/>
            <w:hideMark/>
          </w:tcPr>
          <w:p w14:paraId="44D1B08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10%</w:t>
            </w:r>
          </w:p>
        </w:tc>
        <w:tc>
          <w:tcPr>
            <w:tcW w:w="253" w:type="pct"/>
            <w:tcBorders>
              <w:top w:val="nil"/>
              <w:left w:val="nil"/>
              <w:bottom w:val="single" w:sz="8" w:space="0" w:color="auto"/>
              <w:right w:val="single" w:sz="8" w:space="0" w:color="auto"/>
            </w:tcBorders>
            <w:shd w:val="clear" w:color="000000" w:fill="D8C1BD"/>
            <w:noWrap/>
            <w:vAlign w:val="center"/>
            <w:hideMark/>
          </w:tcPr>
          <w:p w14:paraId="3B6F080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22</w:t>
            </w:r>
          </w:p>
        </w:tc>
        <w:tc>
          <w:tcPr>
            <w:tcW w:w="378" w:type="pct"/>
            <w:tcBorders>
              <w:top w:val="nil"/>
              <w:left w:val="nil"/>
              <w:bottom w:val="single" w:sz="8" w:space="0" w:color="auto"/>
              <w:right w:val="single" w:sz="8" w:space="0" w:color="auto"/>
            </w:tcBorders>
            <w:shd w:val="clear" w:color="000000" w:fill="D8C1BD"/>
            <w:noWrap/>
            <w:vAlign w:val="center"/>
            <w:hideMark/>
          </w:tcPr>
          <w:p w14:paraId="2D95047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10%</w:t>
            </w:r>
          </w:p>
        </w:tc>
        <w:tc>
          <w:tcPr>
            <w:tcW w:w="286" w:type="pct"/>
            <w:tcBorders>
              <w:top w:val="nil"/>
              <w:left w:val="nil"/>
              <w:bottom w:val="single" w:sz="8" w:space="0" w:color="auto"/>
              <w:right w:val="single" w:sz="8" w:space="0" w:color="auto"/>
            </w:tcBorders>
            <w:shd w:val="clear" w:color="000000" w:fill="D8C1BD"/>
            <w:noWrap/>
            <w:vAlign w:val="center"/>
            <w:hideMark/>
          </w:tcPr>
          <w:p w14:paraId="48D8001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12</w:t>
            </w:r>
          </w:p>
        </w:tc>
        <w:tc>
          <w:tcPr>
            <w:tcW w:w="421" w:type="pct"/>
            <w:tcBorders>
              <w:top w:val="nil"/>
              <w:left w:val="nil"/>
              <w:bottom w:val="single" w:sz="8" w:space="0" w:color="auto"/>
              <w:right w:val="single" w:sz="8" w:space="0" w:color="auto"/>
            </w:tcBorders>
            <w:shd w:val="clear" w:color="000000" w:fill="D8C1BD"/>
            <w:noWrap/>
            <w:vAlign w:val="center"/>
            <w:hideMark/>
          </w:tcPr>
          <w:p w14:paraId="2189916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w:t>
            </w:r>
          </w:p>
        </w:tc>
      </w:tr>
      <w:tr w:rsidR="00CE368F" w:rsidRPr="00CE368F" w14:paraId="1FB181B6"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1F22779D"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Polítiques Públiques</w:t>
            </w:r>
          </w:p>
        </w:tc>
        <w:tc>
          <w:tcPr>
            <w:tcW w:w="246" w:type="pct"/>
            <w:tcBorders>
              <w:top w:val="nil"/>
              <w:left w:val="nil"/>
              <w:bottom w:val="single" w:sz="8" w:space="0" w:color="auto"/>
              <w:right w:val="single" w:sz="8" w:space="0" w:color="auto"/>
            </w:tcBorders>
            <w:shd w:val="clear" w:color="000000" w:fill="D8C1BD"/>
            <w:noWrap/>
            <w:vAlign w:val="center"/>
            <w:hideMark/>
          </w:tcPr>
          <w:p w14:paraId="08537896"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85" w:type="pct"/>
            <w:tcBorders>
              <w:top w:val="nil"/>
              <w:left w:val="nil"/>
              <w:bottom w:val="single" w:sz="8" w:space="0" w:color="auto"/>
              <w:right w:val="single" w:sz="8" w:space="0" w:color="auto"/>
            </w:tcBorders>
            <w:shd w:val="clear" w:color="000000" w:fill="D8C1BD"/>
            <w:noWrap/>
            <w:vAlign w:val="center"/>
            <w:hideMark/>
          </w:tcPr>
          <w:p w14:paraId="0545CEF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2" w:type="pct"/>
            <w:tcBorders>
              <w:top w:val="nil"/>
              <w:left w:val="nil"/>
              <w:bottom w:val="single" w:sz="8" w:space="0" w:color="auto"/>
              <w:right w:val="single" w:sz="8" w:space="0" w:color="auto"/>
            </w:tcBorders>
            <w:shd w:val="clear" w:color="000000" w:fill="D8C1BD"/>
            <w:noWrap/>
            <w:vAlign w:val="center"/>
            <w:hideMark/>
          </w:tcPr>
          <w:p w14:paraId="62217D3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39CEB77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4A6171C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1756AA7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72D5B85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0C0EF00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D8C1BD"/>
            <w:noWrap/>
            <w:vAlign w:val="center"/>
            <w:hideMark/>
          </w:tcPr>
          <w:p w14:paraId="341A019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w:t>
            </w:r>
          </w:p>
        </w:tc>
        <w:tc>
          <w:tcPr>
            <w:tcW w:w="421" w:type="pct"/>
            <w:tcBorders>
              <w:top w:val="nil"/>
              <w:left w:val="nil"/>
              <w:bottom w:val="single" w:sz="8" w:space="0" w:color="auto"/>
              <w:right w:val="single" w:sz="8" w:space="0" w:color="auto"/>
            </w:tcBorders>
            <w:shd w:val="clear" w:color="000000" w:fill="D8C1BD"/>
            <w:noWrap/>
            <w:vAlign w:val="center"/>
            <w:hideMark/>
          </w:tcPr>
          <w:p w14:paraId="64BC1D0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w:t>
            </w:r>
          </w:p>
        </w:tc>
      </w:tr>
      <w:tr w:rsidR="00CE368F" w:rsidRPr="00CE368F" w14:paraId="49E62007"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77C9EE7E"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Serveis Públics</w:t>
            </w:r>
          </w:p>
        </w:tc>
        <w:tc>
          <w:tcPr>
            <w:tcW w:w="246" w:type="pct"/>
            <w:tcBorders>
              <w:top w:val="nil"/>
              <w:left w:val="nil"/>
              <w:bottom w:val="single" w:sz="8" w:space="0" w:color="auto"/>
              <w:right w:val="single" w:sz="8" w:space="0" w:color="auto"/>
            </w:tcBorders>
            <w:shd w:val="clear" w:color="000000" w:fill="D8C1BD"/>
            <w:noWrap/>
            <w:vAlign w:val="center"/>
            <w:hideMark/>
          </w:tcPr>
          <w:p w14:paraId="18CF4DA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85" w:type="pct"/>
            <w:tcBorders>
              <w:top w:val="nil"/>
              <w:left w:val="nil"/>
              <w:bottom w:val="single" w:sz="8" w:space="0" w:color="auto"/>
              <w:right w:val="single" w:sz="8" w:space="0" w:color="auto"/>
            </w:tcBorders>
            <w:shd w:val="clear" w:color="000000" w:fill="D8C1BD"/>
            <w:noWrap/>
            <w:vAlign w:val="center"/>
            <w:hideMark/>
          </w:tcPr>
          <w:p w14:paraId="63E2356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2" w:type="pct"/>
            <w:tcBorders>
              <w:top w:val="nil"/>
              <w:left w:val="nil"/>
              <w:bottom w:val="single" w:sz="8" w:space="0" w:color="auto"/>
              <w:right w:val="single" w:sz="8" w:space="0" w:color="auto"/>
            </w:tcBorders>
            <w:shd w:val="clear" w:color="000000" w:fill="D8C1BD"/>
            <w:noWrap/>
            <w:vAlign w:val="center"/>
            <w:hideMark/>
          </w:tcPr>
          <w:p w14:paraId="7827FD1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31267165"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2AD8EF28"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5F5BA59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59ECD72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6E0663E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D8C1BD"/>
            <w:noWrap/>
            <w:vAlign w:val="center"/>
            <w:hideMark/>
          </w:tcPr>
          <w:p w14:paraId="0632ACD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6</w:t>
            </w:r>
          </w:p>
        </w:tc>
        <w:tc>
          <w:tcPr>
            <w:tcW w:w="421" w:type="pct"/>
            <w:tcBorders>
              <w:top w:val="nil"/>
              <w:left w:val="nil"/>
              <w:bottom w:val="single" w:sz="8" w:space="0" w:color="auto"/>
              <w:right w:val="single" w:sz="8" w:space="0" w:color="auto"/>
            </w:tcBorders>
            <w:shd w:val="clear" w:color="000000" w:fill="D8C1BD"/>
            <w:noWrap/>
            <w:vAlign w:val="center"/>
            <w:hideMark/>
          </w:tcPr>
          <w:p w14:paraId="611DA8E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w:t>
            </w:r>
          </w:p>
        </w:tc>
      </w:tr>
      <w:tr w:rsidR="00CE368F" w:rsidRPr="00CE368F" w14:paraId="115E5AEA"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1C679286"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Subvencions</w:t>
            </w:r>
          </w:p>
        </w:tc>
        <w:tc>
          <w:tcPr>
            <w:tcW w:w="246" w:type="pct"/>
            <w:tcBorders>
              <w:top w:val="nil"/>
              <w:left w:val="nil"/>
              <w:bottom w:val="single" w:sz="8" w:space="0" w:color="auto"/>
              <w:right w:val="single" w:sz="8" w:space="0" w:color="auto"/>
            </w:tcBorders>
            <w:shd w:val="clear" w:color="000000" w:fill="D8C1BD"/>
            <w:noWrap/>
            <w:vAlign w:val="center"/>
            <w:hideMark/>
          </w:tcPr>
          <w:p w14:paraId="4C6CDA52"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6</w:t>
            </w:r>
          </w:p>
        </w:tc>
        <w:tc>
          <w:tcPr>
            <w:tcW w:w="385" w:type="pct"/>
            <w:tcBorders>
              <w:top w:val="nil"/>
              <w:left w:val="nil"/>
              <w:bottom w:val="single" w:sz="8" w:space="0" w:color="auto"/>
              <w:right w:val="single" w:sz="8" w:space="0" w:color="auto"/>
            </w:tcBorders>
            <w:shd w:val="clear" w:color="000000" w:fill="D8C1BD"/>
            <w:noWrap/>
            <w:vAlign w:val="center"/>
            <w:hideMark/>
          </w:tcPr>
          <w:p w14:paraId="07006C1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17%</w:t>
            </w:r>
          </w:p>
        </w:tc>
        <w:tc>
          <w:tcPr>
            <w:tcW w:w="252" w:type="pct"/>
            <w:tcBorders>
              <w:top w:val="nil"/>
              <w:left w:val="nil"/>
              <w:bottom w:val="single" w:sz="8" w:space="0" w:color="auto"/>
              <w:right w:val="single" w:sz="8" w:space="0" w:color="auto"/>
            </w:tcBorders>
            <w:shd w:val="clear" w:color="000000" w:fill="D8C1BD"/>
            <w:noWrap/>
            <w:vAlign w:val="center"/>
            <w:hideMark/>
          </w:tcPr>
          <w:p w14:paraId="36402C5D"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16</w:t>
            </w:r>
          </w:p>
        </w:tc>
        <w:tc>
          <w:tcPr>
            <w:tcW w:w="378" w:type="pct"/>
            <w:tcBorders>
              <w:top w:val="nil"/>
              <w:left w:val="nil"/>
              <w:bottom w:val="single" w:sz="8" w:space="0" w:color="auto"/>
              <w:right w:val="single" w:sz="8" w:space="0" w:color="auto"/>
            </w:tcBorders>
            <w:shd w:val="clear" w:color="000000" w:fill="D8C1BD"/>
            <w:noWrap/>
            <w:vAlign w:val="center"/>
            <w:hideMark/>
          </w:tcPr>
          <w:p w14:paraId="56F2BC7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9%</w:t>
            </w:r>
          </w:p>
        </w:tc>
        <w:tc>
          <w:tcPr>
            <w:tcW w:w="253" w:type="pct"/>
            <w:tcBorders>
              <w:top w:val="nil"/>
              <w:left w:val="nil"/>
              <w:bottom w:val="single" w:sz="8" w:space="0" w:color="auto"/>
              <w:right w:val="single" w:sz="8" w:space="0" w:color="auto"/>
            </w:tcBorders>
            <w:shd w:val="clear" w:color="000000" w:fill="D8C1BD"/>
            <w:noWrap/>
            <w:vAlign w:val="center"/>
            <w:hideMark/>
          </w:tcPr>
          <w:p w14:paraId="3935AC9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7</w:t>
            </w:r>
          </w:p>
        </w:tc>
        <w:tc>
          <w:tcPr>
            <w:tcW w:w="378" w:type="pct"/>
            <w:tcBorders>
              <w:top w:val="nil"/>
              <w:left w:val="nil"/>
              <w:bottom w:val="single" w:sz="8" w:space="0" w:color="auto"/>
              <w:right w:val="single" w:sz="8" w:space="0" w:color="auto"/>
            </w:tcBorders>
            <w:shd w:val="clear" w:color="000000" w:fill="D8C1BD"/>
            <w:noWrap/>
            <w:vAlign w:val="center"/>
            <w:hideMark/>
          </w:tcPr>
          <w:p w14:paraId="5B2A60D6"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4%</w:t>
            </w:r>
          </w:p>
        </w:tc>
        <w:tc>
          <w:tcPr>
            <w:tcW w:w="253" w:type="pct"/>
            <w:tcBorders>
              <w:top w:val="nil"/>
              <w:left w:val="nil"/>
              <w:bottom w:val="single" w:sz="8" w:space="0" w:color="auto"/>
              <w:right w:val="single" w:sz="8" w:space="0" w:color="auto"/>
            </w:tcBorders>
            <w:shd w:val="clear" w:color="000000" w:fill="D8C1BD"/>
            <w:noWrap/>
            <w:vAlign w:val="center"/>
            <w:hideMark/>
          </w:tcPr>
          <w:p w14:paraId="03D1DEF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26</w:t>
            </w:r>
          </w:p>
        </w:tc>
        <w:tc>
          <w:tcPr>
            <w:tcW w:w="378" w:type="pct"/>
            <w:tcBorders>
              <w:top w:val="nil"/>
              <w:left w:val="nil"/>
              <w:bottom w:val="single" w:sz="8" w:space="0" w:color="auto"/>
              <w:right w:val="single" w:sz="8" w:space="0" w:color="auto"/>
            </w:tcBorders>
            <w:shd w:val="clear" w:color="000000" w:fill="D8C1BD"/>
            <w:noWrap/>
            <w:vAlign w:val="center"/>
            <w:hideMark/>
          </w:tcPr>
          <w:p w14:paraId="2564634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12%</w:t>
            </w:r>
          </w:p>
        </w:tc>
        <w:tc>
          <w:tcPr>
            <w:tcW w:w="286" w:type="pct"/>
            <w:tcBorders>
              <w:top w:val="nil"/>
              <w:left w:val="nil"/>
              <w:bottom w:val="single" w:sz="8" w:space="0" w:color="auto"/>
              <w:right w:val="single" w:sz="8" w:space="0" w:color="auto"/>
            </w:tcBorders>
            <w:shd w:val="clear" w:color="000000" w:fill="D8C1BD"/>
            <w:noWrap/>
            <w:vAlign w:val="center"/>
            <w:hideMark/>
          </w:tcPr>
          <w:p w14:paraId="1742878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24</w:t>
            </w:r>
          </w:p>
        </w:tc>
        <w:tc>
          <w:tcPr>
            <w:tcW w:w="421" w:type="pct"/>
            <w:tcBorders>
              <w:top w:val="nil"/>
              <w:left w:val="nil"/>
              <w:bottom w:val="single" w:sz="8" w:space="0" w:color="auto"/>
              <w:right w:val="single" w:sz="8" w:space="0" w:color="auto"/>
            </w:tcBorders>
            <w:shd w:val="clear" w:color="000000" w:fill="D8C1BD"/>
            <w:noWrap/>
            <w:vAlign w:val="center"/>
            <w:hideMark/>
          </w:tcPr>
          <w:p w14:paraId="6E56C206"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7%</w:t>
            </w:r>
          </w:p>
        </w:tc>
      </w:tr>
      <w:tr w:rsidR="00CE368F" w:rsidRPr="00CE368F" w14:paraId="49A36685"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6BD28ADD"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Concessió Directa</w:t>
            </w:r>
          </w:p>
        </w:tc>
        <w:tc>
          <w:tcPr>
            <w:tcW w:w="246" w:type="pct"/>
            <w:tcBorders>
              <w:top w:val="nil"/>
              <w:left w:val="nil"/>
              <w:bottom w:val="single" w:sz="8" w:space="0" w:color="auto"/>
              <w:right w:val="single" w:sz="8" w:space="0" w:color="auto"/>
            </w:tcBorders>
            <w:shd w:val="clear" w:color="auto" w:fill="auto"/>
            <w:noWrap/>
            <w:vAlign w:val="center"/>
            <w:hideMark/>
          </w:tcPr>
          <w:p w14:paraId="0726218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5CE1A2A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572962E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9C4961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35BE6CC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55F331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10386A7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5F5991B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auto" w:fill="auto"/>
            <w:noWrap/>
            <w:vAlign w:val="center"/>
            <w:hideMark/>
          </w:tcPr>
          <w:p w14:paraId="0A386A6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11</w:t>
            </w:r>
          </w:p>
        </w:tc>
        <w:tc>
          <w:tcPr>
            <w:tcW w:w="421" w:type="pct"/>
            <w:tcBorders>
              <w:top w:val="nil"/>
              <w:left w:val="nil"/>
              <w:bottom w:val="single" w:sz="8" w:space="0" w:color="auto"/>
              <w:right w:val="single" w:sz="8" w:space="0" w:color="auto"/>
            </w:tcBorders>
            <w:shd w:val="clear" w:color="auto" w:fill="auto"/>
            <w:noWrap/>
            <w:vAlign w:val="center"/>
            <w:hideMark/>
          </w:tcPr>
          <w:p w14:paraId="3155F4F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3%</w:t>
            </w:r>
          </w:p>
        </w:tc>
      </w:tr>
      <w:tr w:rsidR="00CE368F" w:rsidRPr="00CE368F" w14:paraId="13D0CDB1"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1CA0DE66"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Concessió Subvencions</w:t>
            </w:r>
          </w:p>
        </w:tc>
        <w:tc>
          <w:tcPr>
            <w:tcW w:w="246" w:type="pct"/>
            <w:tcBorders>
              <w:top w:val="nil"/>
              <w:left w:val="nil"/>
              <w:bottom w:val="single" w:sz="8" w:space="0" w:color="auto"/>
              <w:right w:val="single" w:sz="8" w:space="0" w:color="auto"/>
            </w:tcBorders>
            <w:shd w:val="clear" w:color="auto" w:fill="auto"/>
            <w:noWrap/>
            <w:vAlign w:val="center"/>
            <w:hideMark/>
          </w:tcPr>
          <w:p w14:paraId="6280BFF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0051BA4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5A6320A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27E9C7F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4EA8662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2D62EA5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46C3CF3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0F2184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FFFFFF"/>
            <w:noWrap/>
            <w:vAlign w:val="center"/>
            <w:hideMark/>
          </w:tcPr>
          <w:p w14:paraId="429A095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421" w:type="pct"/>
            <w:tcBorders>
              <w:top w:val="nil"/>
              <w:left w:val="nil"/>
              <w:bottom w:val="single" w:sz="8" w:space="0" w:color="auto"/>
              <w:right w:val="single" w:sz="8" w:space="0" w:color="auto"/>
            </w:tcBorders>
            <w:shd w:val="clear" w:color="000000" w:fill="FFFFFF"/>
            <w:noWrap/>
            <w:vAlign w:val="center"/>
            <w:hideMark/>
          </w:tcPr>
          <w:p w14:paraId="2A6585F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r>
      <w:tr w:rsidR="00CE368F" w:rsidRPr="00CE368F" w14:paraId="428F52DB"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4C6FAFEE"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Concurrència Competitiva</w:t>
            </w:r>
          </w:p>
        </w:tc>
        <w:tc>
          <w:tcPr>
            <w:tcW w:w="246" w:type="pct"/>
            <w:tcBorders>
              <w:top w:val="nil"/>
              <w:left w:val="nil"/>
              <w:bottom w:val="single" w:sz="8" w:space="0" w:color="auto"/>
              <w:right w:val="single" w:sz="8" w:space="0" w:color="auto"/>
            </w:tcBorders>
            <w:shd w:val="clear" w:color="auto" w:fill="auto"/>
            <w:noWrap/>
            <w:vAlign w:val="center"/>
            <w:hideMark/>
          </w:tcPr>
          <w:p w14:paraId="73BD12E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378A1E4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48B849D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0F63C0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616916AE"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1797F80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3C126D0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29ED422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FFFFFF"/>
            <w:noWrap/>
            <w:vAlign w:val="center"/>
            <w:hideMark/>
          </w:tcPr>
          <w:p w14:paraId="0E102DF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421" w:type="pct"/>
            <w:tcBorders>
              <w:top w:val="nil"/>
              <w:left w:val="nil"/>
              <w:bottom w:val="single" w:sz="8" w:space="0" w:color="auto"/>
              <w:right w:val="single" w:sz="8" w:space="0" w:color="auto"/>
            </w:tcBorders>
            <w:shd w:val="clear" w:color="000000" w:fill="FFFFFF"/>
            <w:noWrap/>
            <w:vAlign w:val="center"/>
            <w:hideMark/>
          </w:tcPr>
          <w:p w14:paraId="1DBEFA2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r>
      <w:tr w:rsidR="00CE368F" w:rsidRPr="00CE368F" w14:paraId="7D4D5E39"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0F6A673D"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Conveni/Convocatòria</w:t>
            </w:r>
          </w:p>
        </w:tc>
        <w:tc>
          <w:tcPr>
            <w:tcW w:w="246" w:type="pct"/>
            <w:tcBorders>
              <w:top w:val="nil"/>
              <w:left w:val="nil"/>
              <w:bottom w:val="single" w:sz="8" w:space="0" w:color="auto"/>
              <w:right w:val="single" w:sz="8" w:space="0" w:color="auto"/>
            </w:tcBorders>
            <w:shd w:val="clear" w:color="auto" w:fill="auto"/>
            <w:noWrap/>
            <w:vAlign w:val="center"/>
            <w:hideMark/>
          </w:tcPr>
          <w:p w14:paraId="0007542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3434DAA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6AB4004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167B3DD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11014F9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7A56CA1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6E94A33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57461F0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auto" w:fill="auto"/>
            <w:noWrap/>
            <w:vAlign w:val="center"/>
            <w:hideMark/>
          </w:tcPr>
          <w:p w14:paraId="3820B28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w:t>
            </w:r>
          </w:p>
        </w:tc>
        <w:tc>
          <w:tcPr>
            <w:tcW w:w="421" w:type="pct"/>
            <w:tcBorders>
              <w:top w:val="nil"/>
              <w:left w:val="nil"/>
              <w:bottom w:val="single" w:sz="8" w:space="0" w:color="auto"/>
              <w:right w:val="single" w:sz="8" w:space="0" w:color="auto"/>
            </w:tcBorders>
            <w:shd w:val="clear" w:color="auto" w:fill="auto"/>
            <w:noWrap/>
            <w:vAlign w:val="center"/>
            <w:hideMark/>
          </w:tcPr>
          <w:p w14:paraId="596E736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r>
      <w:tr w:rsidR="00CE368F" w:rsidRPr="00CE368F" w14:paraId="75DF8EFC"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1C24B8EE"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General</w:t>
            </w:r>
          </w:p>
        </w:tc>
        <w:tc>
          <w:tcPr>
            <w:tcW w:w="246" w:type="pct"/>
            <w:tcBorders>
              <w:top w:val="nil"/>
              <w:left w:val="nil"/>
              <w:bottom w:val="single" w:sz="8" w:space="0" w:color="auto"/>
              <w:right w:val="single" w:sz="8" w:space="0" w:color="auto"/>
            </w:tcBorders>
            <w:shd w:val="clear" w:color="auto" w:fill="auto"/>
            <w:noWrap/>
            <w:vAlign w:val="center"/>
            <w:hideMark/>
          </w:tcPr>
          <w:p w14:paraId="47D73EA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278A7AD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069811A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12E920D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149C7E7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52AB755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16C15E9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1357052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FFFFFF"/>
            <w:noWrap/>
            <w:vAlign w:val="center"/>
            <w:hideMark/>
          </w:tcPr>
          <w:p w14:paraId="0C6E50EA"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421" w:type="pct"/>
            <w:tcBorders>
              <w:top w:val="nil"/>
              <w:left w:val="nil"/>
              <w:bottom w:val="single" w:sz="8" w:space="0" w:color="auto"/>
              <w:right w:val="single" w:sz="8" w:space="0" w:color="auto"/>
            </w:tcBorders>
            <w:shd w:val="clear" w:color="000000" w:fill="FFFFFF"/>
            <w:noWrap/>
            <w:vAlign w:val="center"/>
            <w:hideMark/>
          </w:tcPr>
          <w:p w14:paraId="7F22D20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r>
      <w:tr w:rsidR="00CE368F" w:rsidRPr="00CE368F" w14:paraId="196BF899"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1C7D47EB"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Justificació</w:t>
            </w:r>
          </w:p>
        </w:tc>
        <w:tc>
          <w:tcPr>
            <w:tcW w:w="246" w:type="pct"/>
            <w:tcBorders>
              <w:top w:val="nil"/>
              <w:left w:val="nil"/>
              <w:bottom w:val="single" w:sz="8" w:space="0" w:color="auto"/>
              <w:right w:val="single" w:sz="8" w:space="0" w:color="auto"/>
            </w:tcBorders>
            <w:shd w:val="clear" w:color="auto" w:fill="auto"/>
            <w:noWrap/>
            <w:vAlign w:val="center"/>
            <w:hideMark/>
          </w:tcPr>
          <w:p w14:paraId="0D3CCB48"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704F3284"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2951D5F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438AEAE8"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43628F43"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371ED408"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34B916D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3BAD169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FFFFFF"/>
            <w:noWrap/>
            <w:vAlign w:val="center"/>
            <w:hideMark/>
          </w:tcPr>
          <w:p w14:paraId="7A4836F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421" w:type="pct"/>
            <w:tcBorders>
              <w:top w:val="nil"/>
              <w:left w:val="nil"/>
              <w:bottom w:val="single" w:sz="8" w:space="0" w:color="auto"/>
              <w:right w:val="single" w:sz="8" w:space="0" w:color="auto"/>
            </w:tcBorders>
            <w:shd w:val="clear" w:color="000000" w:fill="FFFFFF"/>
            <w:noWrap/>
            <w:vAlign w:val="center"/>
            <w:hideMark/>
          </w:tcPr>
          <w:p w14:paraId="3F7227C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r>
      <w:tr w:rsidR="00CE368F" w:rsidRPr="00CE368F" w14:paraId="75941EC4"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5E2CC51F"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Reintegrament</w:t>
            </w:r>
          </w:p>
        </w:tc>
        <w:tc>
          <w:tcPr>
            <w:tcW w:w="246" w:type="pct"/>
            <w:tcBorders>
              <w:top w:val="nil"/>
              <w:left w:val="nil"/>
              <w:bottom w:val="single" w:sz="8" w:space="0" w:color="auto"/>
              <w:right w:val="single" w:sz="8" w:space="0" w:color="auto"/>
            </w:tcBorders>
            <w:shd w:val="clear" w:color="auto" w:fill="auto"/>
            <w:noWrap/>
            <w:vAlign w:val="center"/>
            <w:hideMark/>
          </w:tcPr>
          <w:p w14:paraId="7693114C"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030B850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6BFC01B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3DD99F19"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60B94AB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3F731C2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3E0BD25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6905892"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FFFFFF"/>
            <w:noWrap/>
            <w:vAlign w:val="center"/>
            <w:hideMark/>
          </w:tcPr>
          <w:p w14:paraId="4AA2CF8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1</w:t>
            </w:r>
          </w:p>
        </w:tc>
        <w:tc>
          <w:tcPr>
            <w:tcW w:w="421" w:type="pct"/>
            <w:tcBorders>
              <w:top w:val="nil"/>
              <w:left w:val="nil"/>
              <w:bottom w:val="single" w:sz="8" w:space="0" w:color="auto"/>
              <w:right w:val="single" w:sz="8" w:space="0" w:color="auto"/>
            </w:tcBorders>
            <w:shd w:val="clear" w:color="000000" w:fill="FFFFFF"/>
            <w:noWrap/>
            <w:vAlign w:val="center"/>
            <w:hideMark/>
          </w:tcPr>
          <w:p w14:paraId="62FF4201"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0%</w:t>
            </w:r>
          </w:p>
        </w:tc>
      </w:tr>
      <w:tr w:rsidR="00CE368F" w:rsidRPr="00CE368F" w14:paraId="6177222C"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FFFFFF"/>
            <w:noWrap/>
            <w:vAlign w:val="center"/>
            <w:hideMark/>
          </w:tcPr>
          <w:p w14:paraId="4E6D2F73" w14:textId="77777777" w:rsidR="00CE368F" w:rsidRPr="00CE368F" w:rsidRDefault="00CE368F" w:rsidP="00CE368F">
            <w:pPr>
              <w:spacing w:after="0" w:line="240" w:lineRule="auto"/>
              <w:ind w:firstLineChars="100" w:firstLine="160"/>
              <w:rPr>
                <w:rFonts w:ascii="Arial" w:eastAsia="Times New Roman" w:hAnsi="Arial" w:cs="Arial"/>
                <w:color w:val="000000"/>
                <w:sz w:val="16"/>
                <w:szCs w:val="16"/>
                <w:lang w:val="ca-ES" w:eastAsia="es-ES"/>
              </w:rPr>
            </w:pPr>
            <w:r w:rsidRPr="00CE368F">
              <w:rPr>
                <w:rFonts w:ascii="Arial" w:hAnsi="Arial" w:cs="Arial"/>
                <w:color w:val="000000"/>
                <w:sz w:val="16"/>
                <w:szCs w:val="16"/>
                <w:lang w:val="ca-ES"/>
              </w:rPr>
              <w:t>Altres</w:t>
            </w:r>
          </w:p>
        </w:tc>
        <w:tc>
          <w:tcPr>
            <w:tcW w:w="246" w:type="pct"/>
            <w:tcBorders>
              <w:top w:val="nil"/>
              <w:left w:val="nil"/>
              <w:bottom w:val="single" w:sz="8" w:space="0" w:color="auto"/>
              <w:right w:val="single" w:sz="8" w:space="0" w:color="auto"/>
            </w:tcBorders>
            <w:shd w:val="clear" w:color="auto" w:fill="auto"/>
            <w:noWrap/>
            <w:vAlign w:val="center"/>
            <w:hideMark/>
          </w:tcPr>
          <w:p w14:paraId="4DC23E7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85" w:type="pct"/>
            <w:tcBorders>
              <w:top w:val="nil"/>
              <w:left w:val="nil"/>
              <w:bottom w:val="single" w:sz="8" w:space="0" w:color="auto"/>
              <w:right w:val="single" w:sz="8" w:space="0" w:color="auto"/>
            </w:tcBorders>
            <w:shd w:val="clear" w:color="auto" w:fill="auto"/>
            <w:noWrap/>
            <w:vAlign w:val="center"/>
            <w:hideMark/>
          </w:tcPr>
          <w:p w14:paraId="2FE4614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2" w:type="pct"/>
            <w:tcBorders>
              <w:top w:val="nil"/>
              <w:left w:val="nil"/>
              <w:bottom w:val="single" w:sz="8" w:space="0" w:color="auto"/>
              <w:right w:val="single" w:sz="8" w:space="0" w:color="auto"/>
            </w:tcBorders>
            <w:shd w:val="clear" w:color="auto" w:fill="auto"/>
            <w:noWrap/>
            <w:vAlign w:val="center"/>
            <w:hideMark/>
          </w:tcPr>
          <w:p w14:paraId="6775DF00"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2FF8F1E5"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7C64B16F"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3DF7E7F6"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53" w:type="pct"/>
            <w:tcBorders>
              <w:top w:val="nil"/>
              <w:left w:val="nil"/>
              <w:bottom w:val="single" w:sz="8" w:space="0" w:color="auto"/>
              <w:right w:val="single" w:sz="8" w:space="0" w:color="auto"/>
            </w:tcBorders>
            <w:shd w:val="clear" w:color="auto" w:fill="auto"/>
            <w:noWrap/>
            <w:vAlign w:val="center"/>
            <w:hideMark/>
          </w:tcPr>
          <w:p w14:paraId="6A8A8CE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378" w:type="pct"/>
            <w:tcBorders>
              <w:top w:val="nil"/>
              <w:left w:val="nil"/>
              <w:bottom w:val="single" w:sz="8" w:space="0" w:color="auto"/>
              <w:right w:val="single" w:sz="8" w:space="0" w:color="auto"/>
            </w:tcBorders>
            <w:shd w:val="clear" w:color="auto" w:fill="auto"/>
            <w:noWrap/>
            <w:vAlign w:val="center"/>
            <w:hideMark/>
          </w:tcPr>
          <w:p w14:paraId="604D41A7"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FFFFFF"/>
            <w:noWrap/>
            <w:vAlign w:val="center"/>
            <w:hideMark/>
          </w:tcPr>
          <w:p w14:paraId="0EDC908B"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6</w:t>
            </w:r>
          </w:p>
        </w:tc>
        <w:tc>
          <w:tcPr>
            <w:tcW w:w="421" w:type="pct"/>
            <w:tcBorders>
              <w:top w:val="nil"/>
              <w:left w:val="nil"/>
              <w:bottom w:val="single" w:sz="8" w:space="0" w:color="auto"/>
              <w:right w:val="single" w:sz="8" w:space="0" w:color="auto"/>
            </w:tcBorders>
            <w:shd w:val="clear" w:color="000000" w:fill="FFFFFF"/>
            <w:noWrap/>
            <w:vAlign w:val="center"/>
            <w:hideMark/>
          </w:tcPr>
          <w:p w14:paraId="3EA1D50D" w14:textId="77777777" w:rsidR="00CE368F" w:rsidRPr="00CE368F" w:rsidRDefault="00CE368F" w:rsidP="00CE368F">
            <w:pPr>
              <w:spacing w:after="0" w:line="240" w:lineRule="auto"/>
              <w:jc w:val="center"/>
              <w:rPr>
                <w:rFonts w:ascii="Arial" w:eastAsia="Times New Roman" w:hAnsi="Arial" w:cs="Arial"/>
                <w:color w:val="000000"/>
                <w:sz w:val="16"/>
                <w:szCs w:val="16"/>
                <w:lang w:val="ca-ES" w:eastAsia="es-ES"/>
              </w:rPr>
            </w:pPr>
            <w:r w:rsidRPr="00CE368F">
              <w:rPr>
                <w:rFonts w:ascii="Arial" w:eastAsia="Times New Roman" w:hAnsi="Arial" w:cs="Arial"/>
                <w:color w:val="000000"/>
                <w:sz w:val="16"/>
                <w:szCs w:val="16"/>
                <w:lang w:val="ca-ES" w:eastAsia="es-ES"/>
              </w:rPr>
              <w:t>2%</w:t>
            </w:r>
          </w:p>
        </w:tc>
      </w:tr>
      <w:tr w:rsidR="00CE368F" w:rsidRPr="00CE368F" w14:paraId="4A354997"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3266D2A5"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Transparència</w:t>
            </w:r>
          </w:p>
        </w:tc>
        <w:tc>
          <w:tcPr>
            <w:tcW w:w="246" w:type="pct"/>
            <w:tcBorders>
              <w:top w:val="nil"/>
              <w:left w:val="nil"/>
              <w:bottom w:val="single" w:sz="8" w:space="0" w:color="auto"/>
              <w:right w:val="single" w:sz="8" w:space="0" w:color="auto"/>
            </w:tcBorders>
            <w:shd w:val="clear" w:color="000000" w:fill="D8C1BD"/>
            <w:noWrap/>
            <w:vAlign w:val="center"/>
            <w:hideMark/>
          </w:tcPr>
          <w:p w14:paraId="2DABC38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85" w:type="pct"/>
            <w:tcBorders>
              <w:top w:val="nil"/>
              <w:left w:val="nil"/>
              <w:bottom w:val="single" w:sz="8" w:space="0" w:color="auto"/>
              <w:right w:val="single" w:sz="8" w:space="0" w:color="auto"/>
            </w:tcBorders>
            <w:shd w:val="clear" w:color="000000" w:fill="D8C1BD"/>
            <w:noWrap/>
            <w:vAlign w:val="center"/>
            <w:hideMark/>
          </w:tcPr>
          <w:p w14:paraId="317A0098"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2" w:type="pct"/>
            <w:tcBorders>
              <w:top w:val="nil"/>
              <w:left w:val="nil"/>
              <w:bottom w:val="single" w:sz="8" w:space="0" w:color="auto"/>
              <w:right w:val="single" w:sz="8" w:space="0" w:color="auto"/>
            </w:tcBorders>
            <w:shd w:val="clear" w:color="000000" w:fill="D8C1BD"/>
            <w:noWrap/>
            <w:vAlign w:val="center"/>
            <w:hideMark/>
          </w:tcPr>
          <w:p w14:paraId="3075912D"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294F298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5CF963D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6677ADE8"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53" w:type="pct"/>
            <w:tcBorders>
              <w:top w:val="nil"/>
              <w:left w:val="nil"/>
              <w:bottom w:val="single" w:sz="8" w:space="0" w:color="auto"/>
              <w:right w:val="single" w:sz="8" w:space="0" w:color="auto"/>
            </w:tcBorders>
            <w:shd w:val="clear" w:color="000000" w:fill="D8C1BD"/>
            <w:noWrap/>
            <w:vAlign w:val="center"/>
            <w:hideMark/>
          </w:tcPr>
          <w:p w14:paraId="18577AB8"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378" w:type="pct"/>
            <w:tcBorders>
              <w:top w:val="nil"/>
              <w:left w:val="nil"/>
              <w:bottom w:val="single" w:sz="8" w:space="0" w:color="auto"/>
              <w:right w:val="single" w:sz="8" w:space="0" w:color="auto"/>
            </w:tcBorders>
            <w:shd w:val="clear" w:color="000000" w:fill="D8C1BD"/>
            <w:noWrap/>
            <w:vAlign w:val="center"/>
            <w:hideMark/>
          </w:tcPr>
          <w:p w14:paraId="6F0BABB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n/a</w:t>
            </w:r>
          </w:p>
        </w:tc>
        <w:tc>
          <w:tcPr>
            <w:tcW w:w="286" w:type="pct"/>
            <w:tcBorders>
              <w:top w:val="nil"/>
              <w:left w:val="nil"/>
              <w:bottom w:val="single" w:sz="8" w:space="0" w:color="auto"/>
              <w:right w:val="single" w:sz="8" w:space="0" w:color="auto"/>
            </w:tcBorders>
            <w:shd w:val="clear" w:color="000000" w:fill="D8C1BD"/>
            <w:noWrap/>
            <w:vAlign w:val="center"/>
            <w:hideMark/>
          </w:tcPr>
          <w:p w14:paraId="2DC7D1F8"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w:t>
            </w:r>
          </w:p>
        </w:tc>
        <w:tc>
          <w:tcPr>
            <w:tcW w:w="421" w:type="pct"/>
            <w:tcBorders>
              <w:top w:val="nil"/>
              <w:left w:val="nil"/>
              <w:bottom w:val="single" w:sz="8" w:space="0" w:color="auto"/>
              <w:right w:val="single" w:sz="8" w:space="0" w:color="auto"/>
            </w:tcBorders>
            <w:shd w:val="clear" w:color="000000" w:fill="D8C1BD"/>
            <w:noWrap/>
            <w:vAlign w:val="center"/>
            <w:hideMark/>
          </w:tcPr>
          <w:p w14:paraId="65CED10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w:t>
            </w:r>
          </w:p>
        </w:tc>
      </w:tr>
      <w:tr w:rsidR="00CE368F" w:rsidRPr="00CE368F" w14:paraId="208F5961"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7954F61A"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Urbanisme**</w:t>
            </w:r>
          </w:p>
        </w:tc>
        <w:tc>
          <w:tcPr>
            <w:tcW w:w="246" w:type="pct"/>
            <w:tcBorders>
              <w:top w:val="nil"/>
              <w:left w:val="nil"/>
              <w:bottom w:val="single" w:sz="8" w:space="0" w:color="auto"/>
              <w:right w:val="single" w:sz="8" w:space="0" w:color="auto"/>
            </w:tcBorders>
            <w:shd w:val="clear" w:color="000000" w:fill="D8C1BD"/>
            <w:noWrap/>
            <w:vAlign w:val="center"/>
            <w:hideMark/>
          </w:tcPr>
          <w:p w14:paraId="4B7231E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385" w:type="pct"/>
            <w:tcBorders>
              <w:top w:val="nil"/>
              <w:left w:val="nil"/>
              <w:bottom w:val="single" w:sz="8" w:space="0" w:color="auto"/>
              <w:right w:val="single" w:sz="8" w:space="0" w:color="auto"/>
            </w:tcBorders>
            <w:shd w:val="clear" w:color="000000" w:fill="D8C1BD"/>
            <w:noWrap/>
            <w:vAlign w:val="center"/>
            <w:hideMark/>
          </w:tcPr>
          <w:p w14:paraId="76F0C7C6"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252" w:type="pct"/>
            <w:tcBorders>
              <w:top w:val="nil"/>
              <w:left w:val="nil"/>
              <w:bottom w:val="single" w:sz="8" w:space="0" w:color="auto"/>
              <w:right w:val="single" w:sz="8" w:space="0" w:color="auto"/>
            </w:tcBorders>
            <w:shd w:val="clear" w:color="000000" w:fill="D8C1BD"/>
            <w:noWrap/>
            <w:vAlign w:val="center"/>
            <w:hideMark/>
          </w:tcPr>
          <w:p w14:paraId="0E2CEFDE"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378" w:type="pct"/>
            <w:tcBorders>
              <w:top w:val="nil"/>
              <w:left w:val="nil"/>
              <w:bottom w:val="single" w:sz="8" w:space="0" w:color="auto"/>
              <w:right w:val="single" w:sz="8" w:space="0" w:color="auto"/>
            </w:tcBorders>
            <w:shd w:val="clear" w:color="000000" w:fill="D8C1BD"/>
            <w:noWrap/>
            <w:vAlign w:val="center"/>
            <w:hideMark/>
          </w:tcPr>
          <w:p w14:paraId="6CFAD1B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253" w:type="pct"/>
            <w:tcBorders>
              <w:top w:val="nil"/>
              <w:left w:val="nil"/>
              <w:bottom w:val="single" w:sz="8" w:space="0" w:color="auto"/>
              <w:right w:val="single" w:sz="8" w:space="0" w:color="auto"/>
            </w:tcBorders>
            <w:shd w:val="clear" w:color="000000" w:fill="D8C1BD"/>
            <w:noWrap/>
            <w:vAlign w:val="center"/>
            <w:hideMark/>
          </w:tcPr>
          <w:p w14:paraId="6D4C50E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378" w:type="pct"/>
            <w:tcBorders>
              <w:top w:val="nil"/>
              <w:left w:val="nil"/>
              <w:bottom w:val="single" w:sz="8" w:space="0" w:color="auto"/>
              <w:right w:val="single" w:sz="8" w:space="0" w:color="auto"/>
            </w:tcBorders>
            <w:shd w:val="clear" w:color="000000" w:fill="D8C1BD"/>
            <w:noWrap/>
            <w:vAlign w:val="center"/>
            <w:hideMark/>
          </w:tcPr>
          <w:p w14:paraId="23C90F8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253" w:type="pct"/>
            <w:tcBorders>
              <w:top w:val="nil"/>
              <w:left w:val="nil"/>
              <w:bottom w:val="single" w:sz="8" w:space="0" w:color="auto"/>
              <w:right w:val="single" w:sz="8" w:space="0" w:color="auto"/>
            </w:tcBorders>
            <w:shd w:val="clear" w:color="000000" w:fill="D8C1BD"/>
            <w:noWrap/>
            <w:vAlign w:val="center"/>
            <w:hideMark/>
          </w:tcPr>
          <w:p w14:paraId="736584E2"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378" w:type="pct"/>
            <w:tcBorders>
              <w:top w:val="nil"/>
              <w:left w:val="nil"/>
              <w:bottom w:val="single" w:sz="8" w:space="0" w:color="auto"/>
              <w:right w:val="single" w:sz="8" w:space="0" w:color="auto"/>
            </w:tcBorders>
            <w:shd w:val="clear" w:color="000000" w:fill="D8C1BD"/>
            <w:noWrap/>
            <w:vAlign w:val="center"/>
            <w:hideMark/>
          </w:tcPr>
          <w:p w14:paraId="18A7BFF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w:t>
            </w:r>
          </w:p>
        </w:tc>
        <w:tc>
          <w:tcPr>
            <w:tcW w:w="286" w:type="pct"/>
            <w:tcBorders>
              <w:top w:val="nil"/>
              <w:left w:val="nil"/>
              <w:bottom w:val="single" w:sz="8" w:space="0" w:color="auto"/>
              <w:right w:val="single" w:sz="8" w:space="0" w:color="auto"/>
            </w:tcBorders>
            <w:shd w:val="clear" w:color="000000" w:fill="D8C1BD"/>
            <w:noWrap/>
            <w:vAlign w:val="center"/>
            <w:hideMark/>
          </w:tcPr>
          <w:p w14:paraId="767B8BD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20</w:t>
            </w:r>
          </w:p>
        </w:tc>
        <w:tc>
          <w:tcPr>
            <w:tcW w:w="421" w:type="pct"/>
            <w:tcBorders>
              <w:top w:val="nil"/>
              <w:left w:val="nil"/>
              <w:bottom w:val="single" w:sz="8" w:space="0" w:color="auto"/>
              <w:right w:val="single" w:sz="8" w:space="0" w:color="auto"/>
            </w:tcBorders>
            <w:shd w:val="clear" w:color="000000" w:fill="D8C1BD"/>
            <w:noWrap/>
            <w:vAlign w:val="center"/>
            <w:hideMark/>
          </w:tcPr>
          <w:p w14:paraId="7CB0AAA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6%</w:t>
            </w:r>
          </w:p>
        </w:tc>
      </w:tr>
      <w:tr w:rsidR="00CE368F" w:rsidRPr="00CE368F" w14:paraId="5979A159"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3664A532"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Ús indegut de recursos públics</w:t>
            </w:r>
          </w:p>
        </w:tc>
        <w:tc>
          <w:tcPr>
            <w:tcW w:w="246" w:type="pct"/>
            <w:tcBorders>
              <w:top w:val="nil"/>
              <w:left w:val="nil"/>
              <w:bottom w:val="single" w:sz="8" w:space="0" w:color="auto"/>
              <w:right w:val="single" w:sz="8" w:space="0" w:color="auto"/>
            </w:tcBorders>
            <w:shd w:val="clear" w:color="000000" w:fill="D8C1BD"/>
            <w:noWrap/>
            <w:vAlign w:val="center"/>
            <w:hideMark/>
          </w:tcPr>
          <w:p w14:paraId="4E22498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w:t>
            </w:r>
          </w:p>
        </w:tc>
        <w:tc>
          <w:tcPr>
            <w:tcW w:w="385" w:type="pct"/>
            <w:tcBorders>
              <w:top w:val="nil"/>
              <w:left w:val="nil"/>
              <w:bottom w:val="single" w:sz="8" w:space="0" w:color="auto"/>
              <w:right w:val="single" w:sz="8" w:space="0" w:color="auto"/>
            </w:tcBorders>
            <w:shd w:val="clear" w:color="000000" w:fill="D8C1BD"/>
            <w:noWrap/>
            <w:vAlign w:val="center"/>
            <w:hideMark/>
          </w:tcPr>
          <w:p w14:paraId="146B9C22"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9%</w:t>
            </w:r>
          </w:p>
        </w:tc>
        <w:tc>
          <w:tcPr>
            <w:tcW w:w="252" w:type="pct"/>
            <w:tcBorders>
              <w:top w:val="nil"/>
              <w:left w:val="nil"/>
              <w:bottom w:val="single" w:sz="8" w:space="0" w:color="auto"/>
              <w:right w:val="single" w:sz="8" w:space="0" w:color="auto"/>
            </w:tcBorders>
            <w:shd w:val="clear" w:color="000000" w:fill="D8C1BD"/>
            <w:noWrap/>
            <w:vAlign w:val="center"/>
            <w:hideMark/>
          </w:tcPr>
          <w:p w14:paraId="7F5180E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13</w:t>
            </w:r>
          </w:p>
        </w:tc>
        <w:tc>
          <w:tcPr>
            <w:tcW w:w="378" w:type="pct"/>
            <w:tcBorders>
              <w:top w:val="nil"/>
              <w:left w:val="nil"/>
              <w:bottom w:val="single" w:sz="8" w:space="0" w:color="auto"/>
              <w:right w:val="single" w:sz="8" w:space="0" w:color="auto"/>
            </w:tcBorders>
            <w:shd w:val="clear" w:color="000000" w:fill="D8C1BD"/>
            <w:noWrap/>
            <w:vAlign w:val="center"/>
            <w:hideMark/>
          </w:tcPr>
          <w:p w14:paraId="74CAA20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7%</w:t>
            </w:r>
          </w:p>
        </w:tc>
        <w:tc>
          <w:tcPr>
            <w:tcW w:w="253" w:type="pct"/>
            <w:tcBorders>
              <w:top w:val="nil"/>
              <w:left w:val="nil"/>
              <w:bottom w:val="single" w:sz="8" w:space="0" w:color="auto"/>
              <w:right w:val="single" w:sz="8" w:space="0" w:color="auto"/>
            </w:tcBorders>
            <w:shd w:val="clear" w:color="000000" w:fill="D8C1BD"/>
            <w:noWrap/>
            <w:vAlign w:val="center"/>
            <w:hideMark/>
          </w:tcPr>
          <w:p w14:paraId="1CB7332D"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27</w:t>
            </w:r>
          </w:p>
        </w:tc>
        <w:tc>
          <w:tcPr>
            <w:tcW w:w="378" w:type="pct"/>
            <w:tcBorders>
              <w:top w:val="nil"/>
              <w:left w:val="nil"/>
              <w:bottom w:val="single" w:sz="8" w:space="0" w:color="auto"/>
              <w:right w:val="single" w:sz="8" w:space="0" w:color="auto"/>
            </w:tcBorders>
            <w:shd w:val="clear" w:color="000000" w:fill="D8C1BD"/>
            <w:noWrap/>
            <w:vAlign w:val="center"/>
            <w:hideMark/>
          </w:tcPr>
          <w:p w14:paraId="3B32FB39"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16%</w:t>
            </w:r>
          </w:p>
        </w:tc>
        <w:tc>
          <w:tcPr>
            <w:tcW w:w="253" w:type="pct"/>
            <w:tcBorders>
              <w:top w:val="nil"/>
              <w:left w:val="nil"/>
              <w:bottom w:val="single" w:sz="8" w:space="0" w:color="auto"/>
              <w:right w:val="single" w:sz="8" w:space="0" w:color="auto"/>
            </w:tcBorders>
            <w:shd w:val="clear" w:color="000000" w:fill="D8C1BD"/>
            <w:noWrap/>
            <w:vAlign w:val="center"/>
            <w:hideMark/>
          </w:tcPr>
          <w:p w14:paraId="2DDC843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w:t>
            </w:r>
          </w:p>
        </w:tc>
        <w:tc>
          <w:tcPr>
            <w:tcW w:w="378" w:type="pct"/>
            <w:tcBorders>
              <w:top w:val="nil"/>
              <w:left w:val="nil"/>
              <w:bottom w:val="single" w:sz="8" w:space="0" w:color="auto"/>
              <w:right w:val="single" w:sz="8" w:space="0" w:color="auto"/>
            </w:tcBorders>
            <w:shd w:val="clear" w:color="000000" w:fill="D8C1BD"/>
            <w:noWrap/>
            <w:vAlign w:val="center"/>
            <w:hideMark/>
          </w:tcPr>
          <w:p w14:paraId="7FC7EE0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0%</w:t>
            </w:r>
          </w:p>
        </w:tc>
        <w:tc>
          <w:tcPr>
            <w:tcW w:w="286" w:type="pct"/>
            <w:tcBorders>
              <w:top w:val="nil"/>
              <w:left w:val="nil"/>
              <w:bottom w:val="single" w:sz="8" w:space="0" w:color="auto"/>
              <w:right w:val="single" w:sz="8" w:space="0" w:color="auto"/>
            </w:tcBorders>
            <w:shd w:val="clear" w:color="000000" w:fill="D8C1BD"/>
            <w:noWrap/>
            <w:vAlign w:val="center"/>
            <w:hideMark/>
          </w:tcPr>
          <w:p w14:paraId="3403F636"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6</w:t>
            </w:r>
          </w:p>
        </w:tc>
        <w:tc>
          <w:tcPr>
            <w:tcW w:w="421" w:type="pct"/>
            <w:tcBorders>
              <w:top w:val="nil"/>
              <w:left w:val="nil"/>
              <w:bottom w:val="single" w:sz="8" w:space="0" w:color="auto"/>
              <w:right w:val="single" w:sz="8" w:space="0" w:color="auto"/>
            </w:tcBorders>
            <w:shd w:val="clear" w:color="000000" w:fill="D8C1BD"/>
            <w:noWrap/>
            <w:vAlign w:val="center"/>
            <w:hideMark/>
          </w:tcPr>
          <w:p w14:paraId="170943C5"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w:t>
            </w:r>
          </w:p>
        </w:tc>
      </w:tr>
      <w:tr w:rsidR="00CE368F" w:rsidRPr="00CE368F" w14:paraId="2A9D35E9" w14:textId="77777777" w:rsidTr="00CE368F">
        <w:trPr>
          <w:trHeight w:val="300"/>
        </w:trPr>
        <w:tc>
          <w:tcPr>
            <w:tcW w:w="1770" w:type="pct"/>
            <w:tcBorders>
              <w:top w:val="nil"/>
              <w:left w:val="single" w:sz="8" w:space="0" w:color="auto"/>
              <w:bottom w:val="single" w:sz="8" w:space="0" w:color="auto"/>
              <w:right w:val="single" w:sz="8" w:space="0" w:color="auto"/>
            </w:tcBorders>
            <w:shd w:val="clear" w:color="000000" w:fill="D8C1BD"/>
            <w:noWrap/>
            <w:vAlign w:val="center"/>
            <w:hideMark/>
          </w:tcPr>
          <w:p w14:paraId="2A2FC9CC" w14:textId="77777777" w:rsidR="00CE368F" w:rsidRPr="00CE368F" w:rsidRDefault="00CE368F" w:rsidP="00CE368F">
            <w:pPr>
              <w:spacing w:after="0" w:line="240" w:lineRule="auto"/>
              <w:rPr>
                <w:rFonts w:ascii="Arial" w:eastAsia="Times New Roman" w:hAnsi="Arial" w:cs="Arial"/>
                <w:b/>
                <w:bCs/>
                <w:color w:val="000000"/>
                <w:sz w:val="16"/>
                <w:szCs w:val="16"/>
                <w:lang w:val="ca-ES" w:eastAsia="es-ES"/>
              </w:rPr>
            </w:pPr>
            <w:r w:rsidRPr="00CE368F">
              <w:rPr>
                <w:rFonts w:ascii="Arial" w:hAnsi="Arial" w:cs="Arial"/>
                <w:b/>
                <w:bCs/>
                <w:color w:val="000000"/>
                <w:sz w:val="16"/>
                <w:szCs w:val="16"/>
                <w:lang w:val="ca-ES"/>
              </w:rPr>
              <w:t>Altres</w:t>
            </w:r>
          </w:p>
        </w:tc>
        <w:tc>
          <w:tcPr>
            <w:tcW w:w="246" w:type="pct"/>
            <w:tcBorders>
              <w:top w:val="nil"/>
              <w:left w:val="nil"/>
              <w:bottom w:val="single" w:sz="8" w:space="0" w:color="auto"/>
              <w:right w:val="single" w:sz="8" w:space="0" w:color="auto"/>
            </w:tcBorders>
            <w:shd w:val="clear" w:color="000000" w:fill="D8C1BD"/>
            <w:noWrap/>
            <w:vAlign w:val="center"/>
            <w:hideMark/>
          </w:tcPr>
          <w:p w14:paraId="065D5142"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0</w:t>
            </w:r>
          </w:p>
        </w:tc>
        <w:tc>
          <w:tcPr>
            <w:tcW w:w="385" w:type="pct"/>
            <w:tcBorders>
              <w:top w:val="nil"/>
              <w:left w:val="nil"/>
              <w:bottom w:val="single" w:sz="8" w:space="0" w:color="auto"/>
              <w:right w:val="single" w:sz="8" w:space="0" w:color="auto"/>
            </w:tcBorders>
            <w:shd w:val="clear" w:color="000000" w:fill="D8C1BD"/>
            <w:noWrap/>
            <w:vAlign w:val="center"/>
            <w:hideMark/>
          </w:tcPr>
          <w:p w14:paraId="450302A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0%</w:t>
            </w:r>
          </w:p>
        </w:tc>
        <w:tc>
          <w:tcPr>
            <w:tcW w:w="252" w:type="pct"/>
            <w:tcBorders>
              <w:top w:val="nil"/>
              <w:left w:val="nil"/>
              <w:bottom w:val="single" w:sz="8" w:space="0" w:color="auto"/>
              <w:right w:val="single" w:sz="8" w:space="0" w:color="auto"/>
            </w:tcBorders>
            <w:shd w:val="clear" w:color="000000" w:fill="D8C1BD"/>
            <w:noWrap/>
            <w:vAlign w:val="center"/>
            <w:hideMark/>
          </w:tcPr>
          <w:p w14:paraId="1F89AAE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0</w:t>
            </w:r>
          </w:p>
        </w:tc>
        <w:tc>
          <w:tcPr>
            <w:tcW w:w="378" w:type="pct"/>
            <w:tcBorders>
              <w:top w:val="nil"/>
              <w:left w:val="nil"/>
              <w:bottom w:val="single" w:sz="8" w:space="0" w:color="auto"/>
              <w:right w:val="single" w:sz="8" w:space="0" w:color="auto"/>
            </w:tcBorders>
            <w:shd w:val="clear" w:color="000000" w:fill="D8C1BD"/>
            <w:noWrap/>
            <w:vAlign w:val="center"/>
            <w:hideMark/>
          </w:tcPr>
          <w:p w14:paraId="7F6EC29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0%</w:t>
            </w:r>
          </w:p>
        </w:tc>
        <w:tc>
          <w:tcPr>
            <w:tcW w:w="253" w:type="pct"/>
            <w:tcBorders>
              <w:top w:val="nil"/>
              <w:left w:val="nil"/>
              <w:bottom w:val="single" w:sz="8" w:space="0" w:color="auto"/>
              <w:right w:val="single" w:sz="8" w:space="0" w:color="auto"/>
            </w:tcBorders>
            <w:shd w:val="clear" w:color="000000" w:fill="D8C1BD"/>
            <w:noWrap/>
            <w:vAlign w:val="center"/>
            <w:hideMark/>
          </w:tcPr>
          <w:p w14:paraId="572B6D00"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0</w:t>
            </w:r>
          </w:p>
        </w:tc>
        <w:tc>
          <w:tcPr>
            <w:tcW w:w="378" w:type="pct"/>
            <w:tcBorders>
              <w:top w:val="nil"/>
              <w:left w:val="nil"/>
              <w:bottom w:val="single" w:sz="8" w:space="0" w:color="auto"/>
              <w:right w:val="single" w:sz="8" w:space="0" w:color="auto"/>
            </w:tcBorders>
            <w:shd w:val="clear" w:color="000000" w:fill="D8C1BD"/>
            <w:noWrap/>
            <w:vAlign w:val="center"/>
            <w:hideMark/>
          </w:tcPr>
          <w:p w14:paraId="38016C8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0%</w:t>
            </w:r>
          </w:p>
        </w:tc>
        <w:tc>
          <w:tcPr>
            <w:tcW w:w="253" w:type="pct"/>
            <w:tcBorders>
              <w:top w:val="nil"/>
              <w:left w:val="nil"/>
              <w:bottom w:val="single" w:sz="8" w:space="0" w:color="auto"/>
              <w:right w:val="single" w:sz="8" w:space="0" w:color="auto"/>
            </w:tcBorders>
            <w:shd w:val="clear" w:color="000000" w:fill="D8C1BD"/>
            <w:noWrap/>
            <w:vAlign w:val="center"/>
            <w:hideMark/>
          </w:tcPr>
          <w:p w14:paraId="29ADFEA4"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32</w:t>
            </w:r>
          </w:p>
        </w:tc>
        <w:tc>
          <w:tcPr>
            <w:tcW w:w="378" w:type="pct"/>
            <w:tcBorders>
              <w:top w:val="nil"/>
              <w:left w:val="nil"/>
              <w:bottom w:val="single" w:sz="8" w:space="0" w:color="auto"/>
              <w:right w:val="single" w:sz="8" w:space="0" w:color="auto"/>
            </w:tcBorders>
            <w:shd w:val="clear" w:color="000000" w:fill="D8C1BD"/>
            <w:noWrap/>
            <w:vAlign w:val="center"/>
            <w:hideMark/>
          </w:tcPr>
          <w:p w14:paraId="130EB3D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14%</w:t>
            </w:r>
          </w:p>
        </w:tc>
        <w:tc>
          <w:tcPr>
            <w:tcW w:w="286" w:type="pct"/>
            <w:tcBorders>
              <w:top w:val="nil"/>
              <w:left w:val="nil"/>
              <w:bottom w:val="single" w:sz="8" w:space="0" w:color="auto"/>
              <w:right w:val="single" w:sz="8" w:space="0" w:color="auto"/>
            </w:tcBorders>
            <w:shd w:val="clear" w:color="000000" w:fill="D8C1BD"/>
            <w:noWrap/>
            <w:vAlign w:val="center"/>
            <w:hideMark/>
          </w:tcPr>
          <w:p w14:paraId="361720C5"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58</w:t>
            </w:r>
          </w:p>
        </w:tc>
        <w:tc>
          <w:tcPr>
            <w:tcW w:w="421" w:type="pct"/>
            <w:tcBorders>
              <w:top w:val="nil"/>
              <w:left w:val="nil"/>
              <w:bottom w:val="single" w:sz="8" w:space="0" w:color="auto"/>
              <w:right w:val="single" w:sz="8" w:space="0" w:color="auto"/>
            </w:tcBorders>
            <w:shd w:val="clear" w:color="000000" w:fill="D8C1BD"/>
            <w:noWrap/>
            <w:vAlign w:val="center"/>
            <w:hideMark/>
          </w:tcPr>
          <w:p w14:paraId="3050E63B"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16%</w:t>
            </w:r>
          </w:p>
        </w:tc>
      </w:tr>
      <w:tr w:rsidR="00CE368F" w:rsidRPr="00CE368F" w14:paraId="4753B10C" w14:textId="77777777" w:rsidTr="00CE368F">
        <w:trPr>
          <w:trHeight w:val="300"/>
        </w:trPr>
        <w:tc>
          <w:tcPr>
            <w:tcW w:w="1770" w:type="pct"/>
            <w:tcBorders>
              <w:top w:val="nil"/>
              <w:left w:val="single" w:sz="8" w:space="0" w:color="auto"/>
              <w:bottom w:val="single" w:sz="8" w:space="0" w:color="auto"/>
              <w:right w:val="single" w:sz="8" w:space="0" w:color="auto"/>
            </w:tcBorders>
            <w:shd w:val="clear" w:color="auto" w:fill="auto"/>
            <w:noWrap/>
            <w:vAlign w:val="center"/>
            <w:hideMark/>
          </w:tcPr>
          <w:p w14:paraId="6C29E244" w14:textId="77777777" w:rsidR="00CE368F" w:rsidRPr="00CE368F" w:rsidRDefault="00CE368F" w:rsidP="00CE368F">
            <w:pPr>
              <w:spacing w:after="0" w:line="240" w:lineRule="auto"/>
              <w:jc w:val="right"/>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TOTAL</w:t>
            </w:r>
          </w:p>
        </w:tc>
        <w:tc>
          <w:tcPr>
            <w:tcW w:w="246" w:type="pct"/>
            <w:tcBorders>
              <w:top w:val="nil"/>
              <w:left w:val="nil"/>
              <w:bottom w:val="single" w:sz="8" w:space="0" w:color="auto"/>
              <w:right w:val="single" w:sz="8" w:space="0" w:color="auto"/>
            </w:tcBorders>
            <w:shd w:val="clear" w:color="auto" w:fill="auto"/>
            <w:noWrap/>
            <w:vAlign w:val="center"/>
            <w:hideMark/>
          </w:tcPr>
          <w:p w14:paraId="1DDA348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35</w:t>
            </w:r>
          </w:p>
        </w:tc>
        <w:tc>
          <w:tcPr>
            <w:tcW w:w="385" w:type="pct"/>
            <w:tcBorders>
              <w:top w:val="nil"/>
              <w:left w:val="nil"/>
              <w:bottom w:val="single" w:sz="8" w:space="0" w:color="auto"/>
              <w:right w:val="single" w:sz="8" w:space="0" w:color="auto"/>
            </w:tcBorders>
            <w:shd w:val="clear" w:color="auto" w:fill="auto"/>
            <w:noWrap/>
            <w:vAlign w:val="center"/>
            <w:hideMark/>
          </w:tcPr>
          <w:p w14:paraId="571CFE9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100%</w:t>
            </w:r>
          </w:p>
        </w:tc>
        <w:tc>
          <w:tcPr>
            <w:tcW w:w="252" w:type="pct"/>
            <w:tcBorders>
              <w:top w:val="nil"/>
              <w:left w:val="nil"/>
              <w:bottom w:val="single" w:sz="8" w:space="0" w:color="auto"/>
              <w:right w:val="single" w:sz="8" w:space="0" w:color="auto"/>
            </w:tcBorders>
            <w:shd w:val="clear" w:color="auto" w:fill="auto"/>
            <w:noWrap/>
            <w:vAlign w:val="center"/>
            <w:hideMark/>
          </w:tcPr>
          <w:p w14:paraId="0E60F7BA"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181</w:t>
            </w:r>
          </w:p>
        </w:tc>
        <w:tc>
          <w:tcPr>
            <w:tcW w:w="378" w:type="pct"/>
            <w:tcBorders>
              <w:top w:val="nil"/>
              <w:left w:val="nil"/>
              <w:bottom w:val="single" w:sz="8" w:space="0" w:color="auto"/>
              <w:right w:val="single" w:sz="8" w:space="0" w:color="auto"/>
            </w:tcBorders>
            <w:shd w:val="clear" w:color="auto" w:fill="auto"/>
            <w:noWrap/>
            <w:vAlign w:val="center"/>
            <w:hideMark/>
          </w:tcPr>
          <w:p w14:paraId="390C4581"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100%</w:t>
            </w:r>
          </w:p>
        </w:tc>
        <w:tc>
          <w:tcPr>
            <w:tcW w:w="253" w:type="pct"/>
            <w:tcBorders>
              <w:top w:val="nil"/>
              <w:left w:val="nil"/>
              <w:bottom w:val="single" w:sz="8" w:space="0" w:color="auto"/>
              <w:right w:val="single" w:sz="8" w:space="0" w:color="auto"/>
            </w:tcBorders>
            <w:shd w:val="clear" w:color="auto" w:fill="auto"/>
            <w:noWrap/>
            <w:vAlign w:val="center"/>
            <w:hideMark/>
          </w:tcPr>
          <w:p w14:paraId="26D342C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168</w:t>
            </w:r>
          </w:p>
        </w:tc>
        <w:tc>
          <w:tcPr>
            <w:tcW w:w="378" w:type="pct"/>
            <w:tcBorders>
              <w:top w:val="nil"/>
              <w:left w:val="nil"/>
              <w:bottom w:val="single" w:sz="8" w:space="0" w:color="auto"/>
              <w:right w:val="single" w:sz="8" w:space="0" w:color="auto"/>
            </w:tcBorders>
            <w:shd w:val="clear" w:color="auto" w:fill="auto"/>
            <w:noWrap/>
            <w:vAlign w:val="center"/>
            <w:hideMark/>
          </w:tcPr>
          <w:p w14:paraId="11B588C3"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100%</w:t>
            </w:r>
          </w:p>
        </w:tc>
        <w:tc>
          <w:tcPr>
            <w:tcW w:w="253" w:type="pct"/>
            <w:tcBorders>
              <w:top w:val="nil"/>
              <w:left w:val="nil"/>
              <w:bottom w:val="single" w:sz="8" w:space="0" w:color="auto"/>
              <w:right w:val="single" w:sz="8" w:space="0" w:color="auto"/>
            </w:tcBorders>
            <w:shd w:val="clear" w:color="auto" w:fill="auto"/>
            <w:noWrap/>
            <w:vAlign w:val="center"/>
            <w:hideMark/>
          </w:tcPr>
          <w:p w14:paraId="7C4C6AB7"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226</w:t>
            </w:r>
          </w:p>
        </w:tc>
        <w:tc>
          <w:tcPr>
            <w:tcW w:w="378" w:type="pct"/>
            <w:tcBorders>
              <w:top w:val="nil"/>
              <w:left w:val="nil"/>
              <w:bottom w:val="single" w:sz="8" w:space="0" w:color="auto"/>
              <w:right w:val="single" w:sz="8" w:space="0" w:color="auto"/>
            </w:tcBorders>
            <w:shd w:val="clear" w:color="auto" w:fill="auto"/>
            <w:noWrap/>
            <w:vAlign w:val="center"/>
            <w:hideMark/>
          </w:tcPr>
          <w:p w14:paraId="1AA6F26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100%</w:t>
            </w:r>
          </w:p>
        </w:tc>
        <w:tc>
          <w:tcPr>
            <w:tcW w:w="286" w:type="pct"/>
            <w:tcBorders>
              <w:top w:val="nil"/>
              <w:left w:val="nil"/>
              <w:bottom w:val="single" w:sz="8" w:space="0" w:color="auto"/>
              <w:right w:val="single" w:sz="8" w:space="0" w:color="auto"/>
            </w:tcBorders>
            <w:shd w:val="clear" w:color="auto" w:fill="auto"/>
            <w:noWrap/>
            <w:vAlign w:val="center"/>
            <w:hideMark/>
          </w:tcPr>
          <w:p w14:paraId="11AF3ADC"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359</w:t>
            </w:r>
          </w:p>
        </w:tc>
        <w:tc>
          <w:tcPr>
            <w:tcW w:w="421" w:type="pct"/>
            <w:tcBorders>
              <w:top w:val="nil"/>
              <w:left w:val="nil"/>
              <w:bottom w:val="single" w:sz="8" w:space="0" w:color="auto"/>
              <w:right w:val="single" w:sz="8" w:space="0" w:color="auto"/>
            </w:tcBorders>
            <w:shd w:val="clear" w:color="auto" w:fill="auto"/>
            <w:noWrap/>
            <w:vAlign w:val="center"/>
            <w:hideMark/>
          </w:tcPr>
          <w:p w14:paraId="0A71B5AF" w14:textId="77777777" w:rsidR="00CE368F" w:rsidRPr="00CE368F" w:rsidRDefault="00CE368F" w:rsidP="00CE368F">
            <w:pPr>
              <w:spacing w:after="0" w:line="240" w:lineRule="auto"/>
              <w:jc w:val="center"/>
              <w:rPr>
                <w:rFonts w:ascii="Arial" w:eastAsia="Times New Roman" w:hAnsi="Arial" w:cs="Arial"/>
                <w:b/>
                <w:bCs/>
                <w:color w:val="000000"/>
                <w:sz w:val="16"/>
                <w:szCs w:val="16"/>
                <w:lang w:val="ca-ES" w:eastAsia="es-ES"/>
              </w:rPr>
            </w:pPr>
            <w:r w:rsidRPr="00CE368F">
              <w:rPr>
                <w:rFonts w:ascii="Arial" w:eastAsia="Times New Roman" w:hAnsi="Arial" w:cs="Arial"/>
                <w:b/>
                <w:bCs/>
                <w:color w:val="000000"/>
                <w:sz w:val="16"/>
                <w:szCs w:val="16"/>
                <w:lang w:val="ca-ES" w:eastAsia="es-ES"/>
              </w:rPr>
              <w:t>100%</w:t>
            </w:r>
          </w:p>
        </w:tc>
      </w:tr>
    </w:tbl>
    <w:p w14:paraId="25F35BA0" w14:textId="77777777" w:rsidR="00CE368F" w:rsidRPr="00CE368F" w:rsidRDefault="00CE368F" w:rsidP="00CE368F">
      <w:pPr>
        <w:spacing w:after="240" w:line="276" w:lineRule="auto"/>
        <w:contextualSpacing/>
        <w:jc w:val="both"/>
        <w:rPr>
          <w:rFonts w:ascii="Arial" w:eastAsia="Times New Roman" w:hAnsi="Arial" w:cs="Arial"/>
          <w:bCs/>
          <w:i/>
          <w:iCs/>
          <w:color w:val="000000"/>
          <w:sz w:val="16"/>
          <w:szCs w:val="16"/>
          <w:lang w:val="ca-ES"/>
        </w:rPr>
      </w:pPr>
      <w:bookmarkStart w:id="169" w:name="_Hlk95374214"/>
      <w:r w:rsidRPr="00CE368F">
        <w:rPr>
          <w:rFonts w:ascii="Arial" w:eastAsia="Times New Roman" w:hAnsi="Arial" w:cs="Arial"/>
          <w:bCs/>
          <w:i/>
          <w:iCs/>
          <w:color w:val="000000"/>
          <w:sz w:val="16"/>
          <w:szCs w:val="16"/>
          <w:lang w:val="ca-ES"/>
        </w:rPr>
        <w:t>* ‘n/a’: No aplica</w:t>
      </w:r>
    </w:p>
    <w:bookmarkEnd w:id="169"/>
    <w:p w14:paraId="040ED674" w14:textId="77777777" w:rsidR="00CE368F" w:rsidRPr="00CE368F" w:rsidRDefault="00CE368F" w:rsidP="00CE368F">
      <w:pPr>
        <w:spacing w:after="240" w:line="276" w:lineRule="auto"/>
        <w:jc w:val="both"/>
        <w:rPr>
          <w:rFonts w:ascii="Arial" w:eastAsia="Times New Roman" w:hAnsi="Arial" w:cs="Arial"/>
          <w:bCs/>
          <w:i/>
          <w:iCs/>
          <w:color w:val="000000"/>
          <w:sz w:val="21"/>
          <w:szCs w:val="21"/>
          <w:lang w:val="ca-ES"/>
        </w:rPr>
      </w:pPr>
      <w:r w:rsidRPr="00CE368F">
        <w:rPr>
          <w:rFonts w:ascii="Arial" w:eastAsia="Times New Roman" w:hAnsi="Arial" w:cs="Arial"/>
          <w:bCs/>
          <w:i/>
          <w:iCs/>
          <w:color w:val="000000"/>
          <w:sz w:val="16"/>
          <w:szCs w:val="16"/>
          <w:lang w:val="ca-ES"/>
        </w:rPr>
        <w:t xml:space="preserve">** Abans de 2021, Medi Ambient i Urbanisme eren una única categoria. </w:t>
      </w:r>
    </w:p>
    <w:p w14:paraId="3A2E5D31" w14:textId="77777777" w:rsidR="00503C25" w:rsidRDefault="00503C25" w:rsidP="00CE368F">
      <w:pPr>
        <w:spacing w:after="240" w:line="276" w:lineRule="auto"/>
        <w:jc w:val="both"/>
        <w:rPr>
          <w:rFonts w:ascii="Arial" w:eastAsia="Times New Roman" w:hAnsi="Arial" w:cs="Arial"/>
          <w:bCs/>
          <w:color w:val="000000"/>
          <w:sz w:val="21"/>
          <w:szCs w:val="21"/>
        </w:rPr>
      </w:pPr>
    </w:p>
    <w:p w14:paraId="4845E500" w14:textId="6765745F" w:rsidR="00CE368F" w:rsidRPr="00CE368F" w:rsidRDefault="00CE368F" w:rsidP="00CE368F">
      <w:pPr>
        <w:spacing w:after="240" w:line="276" w:lineRule="auto"/>
        <w:jc w:val="both"/>
        <w:rPr>
          <w:rFonts w:ascii="Arial" w:eastAsia="Times New Roman" w:hAnsi="Arial" w:cs="Arial"/>
          <w:bCs/>
          <w:color w:val="000000"/>
          <w:sz w:val="21"/>
          <w:szCs w:val="21"/>
        </w:rPr>
      </w:pPr>
      <w:r w:rsidRPr="00CE368F">
        <w:rPr>
          <w:rFonts w:ascii="Arial" w:eastAsia="Times New Roman" w:hAnsi="Arial" w:cs="Arial"/>
          <w:bCs/>
          <w:color w:val="000000"/>
          <w:sz w:val="21"/>
          <w:szCs w:val="21"/>
        </w:rPr>
        <w:t xml:space="preserve">L'any 2021, s'ha ampliat el detall de matèries i el desglossament de submatèries, per la qual cosa el seguiment comparatiu per anys és més costós per l'ampliació de dades que donen un major nivell de detall, que no permet comparar de manera directes certes dades amb els anys previs per la falta de desglossament en els dits exercicis. Quan figura la crida ‘n/a’, significa que no aplica per no tindre el mateix nivell de desglossament en els anys precedents. </w:t>
      </w:r>
    </w:p>
    <w:p w14:paraId="3C6F0811" w14:textId="77777777" w:rsidR="00CE368F" w:rsidRPr="00CE368F" w:rsidRDefault="00CE368F" w:rsidP="00CE368F">
      <w:pPr>
        <w:spacing w:after="240" w:line="276" w:lineRule="auto"/>
        <w:jc w:val="both"/>
        <w:rPr>
          <w:rFonts w:ascii="Arial" w:eastAsia="Times New Roman" w:hAnsi="Arial" w:cs="Arial"/>
          <w:bCs/>
          <w:color w:val="000000"/>
          <w:sz w:val="21"/>
          <w:szCs w:val="21"/>
          <w:lang w:val="ca-ES"/>
        </w:rPr>
      </w:pPr>
      <w:r w:rsidRPr="00CE368F">
        <w:rPr>
          <w:rFonts w:ascii="Arial" w:eastAsia="Times New Roman" w:hAnsi="Arial" w:cs="Arial"/>
          <w:bCs/>
          <w:color w:val="000000"/>
          <w:sz w:val="21"/>
          <w:szCs w:val="21"/>
        </w:rPr>
        <w:t>S'han creat cinc noves categories de matèries; conflicte d'interés en càrrecs públics (CP), conflicte d'interés en empleats públics (EP), polítiques públiques, servicis públics i transparència. Al mateix temps, s'han desglossat en dos categories la prèvia d'urbanisme, creant la categoria de medi ambient i la d'urbanisme, que en els anys precedents s'agrupaven en una única categoria d'urbanisme. S'han creat huit noves subcategories, desglossant el detall de la categoria de subvencions, i agregant a la categoria de contractació pública, dos noves subcategories, contractes menors i fraccionament, finalment, a la categoria de Gestió de RRHH s'ha afegit una nova categoria de retribucions</w:t>
      </w:r>
      <w:r w:rsidRPr="00CE368F">
        <w:rPr>
          <w:rFonts w:ascii="Arial" w:eastAsia="Times New Roman" w:hAnsi="Arial" w:cs="Arial"/>
          <w:bCs/>
          <w:color w:val="000000"/>
          <w:sz w:val="21"/>
          <w:szCs w:val="21"/>
          <w:lang w:val="ca-ES"/>
        </w:rPr>
        <w:t>.</w:t>
      </w:r>
    </w:p>
    <w:p w14:paraId="38AD6835" w14:textId="77777777" w:rsidR="00994B18" w:rsidRDefault="002021F9" w:rsidP="00994B18">
      <w:pPr>
        <w:keepNext/>
        <w:spacing w:after="120" w:line="276" w:lineRule="auto"/>
        <w:jc w:val="both"/>
      </w:pPr>
      <w:r w:rsidRPr="001E45F9">
        <w:rPr>
          <w:noProof/>
          <w:lang w:val="ca-ES"/>
        </w:rPr>
        <w:drawing>
          <wp:inline distT="0" distB="0" distL="0" distR="0" wp14:anchorId="5A022F1C" wp14:editId="60FB1048">
            <wp:extent cx="5400040" cy="2465705"/>
            <wp:effectExtent l="0" t="0" r="10160" b="10795"/>
            <wp:docPr id="79" name="Gráfico 79">
              <a:extLst xmlns:a="http://schemas.openxmlformats.org/drawingml/2006/main">
                <a:ext uri="{FF2B5EF4-FFF2-40B4-BE49-F238E27FC236}">
                  <a16:creationId xmlns:a16="http://schemas.microsoft.com/office/drawing/2014/main" id="{933FA5F2-DE4F-49C5-BD40-6D7BE67A1C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6"/>
              </a:graphicData>
            </a:graphic>
          </wp:inline>
        </w:drawing>
      </w:r>
    </w:p>
    <w:p w14:paraId="05A2321C" w14:textId="726C7870" w:rsidR="008F6CB1" w:rsidRPr="00994B18" w:rsidRDefault="00994B18" w:rsidP="00994B18">
      <w:pPr>
        <w:pStyle w:val="Descripcin"/>
        <w:jc w:val="center"/>
        <w:rPr>
          <w:rFonts w:ascii="Arial" w:eastAsia="Times New Roman" w:hAnsi="Arial" w:cs="Arial"/>
          <w:smallCaps w:val="0"/>
          <w:color w:val="000000"/>
          <w:sz w:val="18"/>
          <w:szCs w:val="18"/>
          <w:lang w:val="ca-ES"/>
        </w:rPr>
      </w:pPr>
      <w:bookmarkStart w:id="170" w:name="_Toc99110976"/>
      <w:r w:rsidRPr="00994B18">
        <w:rPr>
          <w:rFonts w:ascii="Arial" w:hAnsi="Arial" w:cs="Arial"/>
          <w:smallCaps w:val="0"/>
          <w:color w:val="9D2235" w:themeColor="accent1"/>
          <w:sz w:val="18"/>
          <w:szCs w:val="18"/>
        </w:rPr>
        <w:t xml:space="preserve">Gràfic </w:t>
      </w:r>
      <w:r w:rsidRPr="00994B18">
        <w:rPr>
          <w:rFonts w:ascii="Arial" w:hAnsi="Arial" w:cs="Arial"/>
          <w:smallCaps w:val="0"/>
          <w:color w:val="9D2235" w:themeColor="accent1"/>
          <w:sz w:val="18"/>
          <w:szCs w:val="18"/>
        </w:rPr>
        <w:fldChar w:fldCharType="begin" w:fldLock="1"/>
      </w:r>
      <w:r w:rsidRPr="00994B18">
        <w:rPr>
          <w:rFonts w:ascii="Arial" w:hAnsi="Arial" w:cs="Arial"/>
          <w:smallCaps w:val="0"/>
          <w:color w:val="9D2235" w:themeColor="accent1"/>
          <w:sz w:val="18"/>
          <w:szCs w:val="18"/>
        </w:rPr>
        <w:instrText xml:space="preserve"> SEQ Gràfic \* ARABIC </w:instrText>
      </w:r>
      <w:r w:rsidRPr="00994B18">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17</w:t>
      </w:r>
      <w:r w:rsidRPr="00994B18">
        <w:rPr>
          <w:rFonts w:ascii="Arial" w:hAnsi="Arial" w:cs="Arial"/>
          <w:smallCaps w:val="0"/>
          <w:color w:val="9D2235" w:themeColor="accent1"/>
          <w:sz w:val="18"/>
          <w:szCs w:val="18"/>
        </w:rPr>
        <w:fldChar w:fldCharType="end"/>
      </w:r>
      <w:r w:rsidRPr="00994B18">
        <w:rPr>
          <w:rFonts w:ascii="Arial" w:hAnsi="Arial" w:cs="Arial"/>
          <w:smallCaps w:val="0"/>
          <w:color w:val="9D2235" w:themeColor="accent1"/>
          <w:sz w:val="18"/>
          <w:szCs w:val="18"/>
        </w:rPr>
        <w:t xml:space="preserve">. </w:t>
      </w:r>
      <w:r w:rsidRPr="00994B18">
        <w:rPr>
          <w:rFonts w:ascii="Arial" w:hAnsi="Arial" w:cs="Arial"/>
          <w:smallCaps w:val="0"/>
          <w:sz w:val="18"/>
          <w:szCs w:val="18"/>
        </w:rPr>
        <w:t>Denúncies presentades segons l’àmbit material</w:t>
      </w:r>
      <w:bookmarkEnd w:id="170"/>
    </w:p>
    <w:p w14:paraId="4925C5B8" w14:textId="77777777" w:rsidR="00994B18" w:rsidRPr="00994B18" w:rsidRDefault="00994B18" w:rsidP="00994B18">
      <w:pPr>
        <w:spacing w:after="240" w:line="276" w:lineRule="auto"/>
        <w:jc w:val="both"/>
        <w:rPr>
          <w:rFonts w:ascii="Arial" w:eastAsia="Times New Roman" w:hAnsi="Arial" w:cs="Arial"/>
          <w:color w:val="000000"/>
          <w:sz w:val="21"/>
          <w:szCs w:val="21"/>
        </w:rPr>
      </w:pPr>
      <w:r w:rsidRPr="00994B18">
        <w:rPr>
          <w:rFonts w:ascii="Arial" w:eastAsia="Times New Roman" w:hAnsi="Arial" w:cs="Arial"/>
          <w:color w:val="000000"/>
          <w:sz w:val="21"/>
          <w:szCs w:val="21"/>
        </w:rPr>
        <w:t>La categoria més important per àmbit material l'any 2021, amb molta diferència, és la gestió dels recursos humans, representant el 45% del total de les alertes, 161 denúncies. En termes absoluts i relatius guany pes, amb un increment de 17 punts percentuals i amb 97 denúncies més presentades respecte al 2020, sent significatiu el nivell de denúncies presentades sobre el col·lectiu de la Policia Local. En segon lloc, se situa la matèria de contractació pública, que aglutina el 14% de les denúncies, amb una reducció en termes percentuals de 18 punts, i en termes absoluts s'ha minorat en 21 denúncies respecte a l'any anterior.</w:t>
      </w:r>
    </w:p>
    <w:p w14:paraId="491EFE35" w14:textId="77777777" w:rsidR="00994B18" w:rsidRPr="00994B18" w:rsidRDefault="00994B18" w:rsidP="00994B18">
      <w:pPr>
        <w:spacing w:after="240" w:line="276" w:lineRule="auto"/>
        <w:jc w:val="both"/>
        <w:rPr>
          <w:rFonts w:ascii="Arial" w:eastAsia="Times New Roman" w:hAnsi="Arial" w:cs="Arial"/>
          <w:color w:val="000000"/>
          <w:sz w:val="21"/>
          <w:szCs w:val="21"/>
          <w:lang w:val="ca-ES"/>
        </w:rPr>
      </w:pPr>
      <w:r w:rsidRPr="00994B18">
        <w:rPr>
          <w:rFonts w:ascii="Arial" w:eastAsia="Times New Roman" w:hAnsi="Arial" w:cs="Arial"/>
          <w:color w:val="000000"/>
          <w:sz w:val="21"/>
          <w:szCs w:val="21"/>
        </w:rPr>
        <w:t>La resta de les matèries posseïxen uns valors de dispersió quant al seu pes relatiu, entre l'1 i el 7% del total de denúncies, excepte la categoria “Altres”, que ha suposat en 2021 el 16% del total de denúncies presentades. En dita categoria, s'han inclòs, majoritàriament, denúncies sobre àmbits d'actuació no previstos en la Llei 11/2016, i relatius a les competències d'altres administracions públiques, així mateix no relacionades en l'àmbit subjectiu de l'Agència taxat en l'art. 3 de dita norma</w:t>
      </w:r>
      <w:r w:rsidRPr="00994B18">
        <w:rPr>
          <w:rFonts w:ascii="Arial" w:eastAsia="Times New Roman" w:hAnsi="Arial" w:cs="Arial"/>
          <w:color w:val="000000"/>
          <w:sz w:val="21"/>
          <w:szCs w:val="21"/>
          <w:lang w:val="ca-ES"/>
        </w:rPr>
        <w:t>.</w:t>
      </w:r>
    </w:p>
    <w:p w14:paraId="5478C2F4" w14:textId="77777777" w:rsidR="00503C25" w:rsidRPr="00503C25" w:rsidRDefault="00503C25" w:rsidP="00503C25">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71" w:name="_Toc95913838"/>
      <w:bookmarkStart w:id="172" w:name="_Toc99110721"/>
      <w:r w:rsidRPr="00503C25">
        <w:rPr>
          <w:rFonts w:ascii="Arial" w:eastAsia="Times New Roman" w:hAnsi="Arial" w:cs="Arial"/>
          <w:b/>
          <w:color w:val="9D2235"/>
          <w:sz w:val="28"/>
          <w:szCs w:val="28"/>
        </w:rPr>
        <w:t>Denúncies presentades segons la tipologia, condició o naturalesa del comunicant</w:t>
      </w:r>
      <w:bookmarkEnd w:id="171"/>
      <w:bookmarkEnd w:id="172"/>
    </w:p>
    <w:p w14:paraId="37DBE262" w14:textId="77777777" w:rsidR="00503C25" w:rsidRPr="00503C25" w:rsidRDefault="00503C25" w:rsidP="00503C25">
      <w:pPr>
        <w:spacing w:after="240" w:line="276" w:lineRule="auto"/>
        <w:jc w:val="both"/>
        <w:rPr>
          <w:rFonts w:ascii="Arial" w:eastAsia="Times New Roman" w:hAnsi="Arial" w:cs="Arial"/>
          <w:color w:val="000000"/>
          <w:sz w:val="21"/>
          <w:szCs w:val="21"/>
        </w:rPr>
      </w:pPr>
      <w:r w:rsidRPr="00503C25">
        <w:rPr>
          <w:rFonts w:ascii="Arial" w:eastAsia="Times New Roman" w:hAnsi="Arial" w:cs="Arial"/>
          <w:color w:val="000000"/>
          <w:sz w:val="21"/>
          <w:szCs w:val="21"/>
        </w:rPr>
        <w:t xml:space="preserve">En el present apartat, distingix el volum de denunciants que es presenten de manera anònima i el volum que es realitza per mitjà d'identificació nominal. </w:t>
      </w:r>
    </w:p>
    <w:p w14:paraId="098897FB" w14:textId="77777777" w:rsidR="00503C25" w:rsidRPr="00503C25" w:rsidRDefault="00503C25" w:rsidP="00503C25">
      <w:pPr>
        <w:spacing w:after="240" w:line="276" w:lineRule="auto"/>
        <w:jc w:val="both"/>
        <w:rPr>
          <w:rFonts w:ascii="Arial" w:eastAsia="Times New Roman" w:hAnsi="Arial" w:cs="Arial"/>
          <w:color w:val="000000"/>
          <w:sz w:val="21"/>
          <w:szCs w:val="21"/>
        </w:rPr>
      </w:pPr>
      <w:r w:rsidRPr="00503C25">
        <w:rPr>
          <w:rFonts w:ascii="Arial" w:eastAsia="Times New Roman" w:hAnsi="Arial" w:cs="Arial"/>
          <w:color w:val="000000"/>
          <w:sz w:val="21"/>
          <w:szCs w:val="21"/>
        </w:rPr>
        <w:t>Dins de la categoria de denúncies amb identificació nominal, s'ha procedit a realitzar un desglossament en atenció al caràcter de persona física o jurídica i, dins d'ambdós grups, s'ha realitzat una subdivisió entre diferents categories d'especial rellevància, especialment per la intensitat del nexe que unix a cada una de les dites persones amb l'activitat administrativa denunciada.</w:t>
      </w:r>
    </w:p>
    <w:p w14:paraId="583B2B82" w14:textId="77777777" w:rsidR="00503C25" w:rsidRPr="00503C25" w:rsidRDefault="00503C25" w:rsidP="00503C25">
      <w:pPr>
        <w:spacing w:after="240" w:line="276" w:lineRule="auto"/>
        <w:jc w:val="both"/>
        <w:rPr>
          <w:rFonts w:ascii="Arial" w:eastAsia="Times New Roman" w:hAnsi="Arial" w:cs="Arial"/>
          <w:color w:val="000000"/>
          <w:sz w:val="21"/>
          <w:szCs w:val="21"/>
        </w:rPr>
      </w:pPr>
      <w:r w:rsidRPr="00503C25">
        <w:rPr>
          <w:rFonts w:ascii="Arial" w:eastAsia="Times New Roman" w:hAnsi="Arial" w:cs="Arial"/>
          <w:color w:val="000000"/>
          <w:sz w:val="21"/>
          <w:szCs w:val="21"/>
        </w:rPr>
        <w:t>La primera secció de la taula, que es mostra a continuació, contempla les categories corresponents a persones físiques en general, mentre que la segona part de la taula, contempla la classificació per tipus d'entitats amb personalitat jurídica, a més s'inclou el percentatge de denúncies presentades de forma anònima.</w:t>
      </w:r>
    </w:p>
    <w:p w14:paraId="3515E2F5" w14:textId="1EE5F7FE" w:rsidR="00503C25" w:rsidRPr="00840805" w:rsidRDefault="00503C25" w:rsidP="00503C25">
      <w:pPr>
        <w:pStyle w:val="Descripcin"/>
        <w:keepNext/>
        <w:rPr>
          <w:rFonts w:ascii="Arial" w:hAnsi="Arial" w:cs="Arial"/>
          <w:smallCaps w:val="0"/>
          <w:sz w:val="18"/>
          <w:szCs w:val="18"/>
        </w:rPr>
      </w:pPr>
      <w:bookmarkStart w:id="173" w:name="_Toc99110858"/>
      <w:r w:rsidRPr="00840805">
        <w:rPr>
          <w:rFonts w:ascii="Arial" w:hAnsi="Arial" w:cs="Arial"/>
          <w:smallCaps w:val="0"/>
          <w:color w:val="9D2235" w:themeColor="accent1"/>
          <w:sz w:val="18"/>
          <w:szCs w:val="18"/>
        </w:rPr>
        <w:t xml:space="preserve">Taula </w:t>
      </w:r>
      <w:r w:rsidRPr="00840805">
        <w:rPr>
          <w:rFonts w:ascii="Arial" w:hAnsi="Arial" w:cs="Arial"/>
          <w:smallCaps w:val="0"/>
          <w:color w:val="9D2235" w:themeColor="accent1"/>
          <w:sz w:val="18"/>
          <w:szCs w:val="18"/>
        </w:rPr>
        <w:fldChar w:fldCharType="begin" w:fldLock="1"/>
      </w:r>
      <w:r w:rsidRPr="00840805">
        <w:rPr>
          <w:rFonts w:ascii="Arial" w:hAnsi="Arial" w:cs="Arial"/>
          <w:smallCaps w:val="0"/>
          <w:color w:val="9D2235" w:themeColor="accent1"/>
          <w:sz w:val="18"/>
          <w:szCs w:val="18"/>
        </w:rPr>
        <w:instrText xml:space="preserve"> SEQ Taula \* ARABIC </w:instrText>
      </w:r>
      <w:r w:rsidRPr="00840805">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13</w:t>
      </w:r>
      <w:r w:rsidRPr="00840805">
        <w:rPr>
          <w:rFonts w:ascii="Arial" w:hAnsi="Arial" w:cs="Arial"/>
          <w:smallCaps w:val="0"/>
          <w:color w:val="9D2235" w:themeColor="accent1"/>
          <w:sz w:val="18"/>
          <w:szCs w:val="18"/>
        </w:rPr>
        <w:fldChar w:fldCharType="end"/>
      </w:r>
      <w:r w:rsidRPr="00840805">
        <w:rPr>
          <w:rFonts w:ascii="Arial" w:hAnsi="Arial" w:cs="Arial"/>
          <w:smallCaps w:val="0"/>
          <w:color w:val="9D2235" w:themeColor="accent1"/>
          <w:sz w:val="18"/>
          <w:szCs w:val="18"/>
        </w:rPr>
        <w:t xml:space="preserve">. </w:t>
      </w:r>
      <w:r w:rsidRPr="00840805">
        <w:rPr>
          <w:rFonts w:ascii="Arial" w:hAnsi="Arial" w:cs="Arial"/>
          <w:smallCaps w:val="0"/>
          <w:sz w:val="18"/>
          <w:szCs w:val="18"/>
        </w:rPr>
        <w:t>Denúncies presentades segons la tipologia, condició o naturalesa del comunicant</w:t>
      </w:r>
      <w:bookmarkEnd w:id="173"/>
    </w:p>
    <w:tbl>
      <w:tblPr>
        <w:tblW w:w="8448" w:type="dxa"/>
        <w:tblInd w:w="-10" w:type="dxa"/>
        <w:tblLayout w:type="fixed"/>
        <w:tblCellMar>
          <w:left w:w="70" w:type="dxa"/>
          <w:right w:w="70" w:type="dxa"/>
        </w:tblCellMar>
        <w:tblLook w:val="04A0" w:firstRow="1" w:lastRow="0" w:firstColumn="1" w:lastColumn="0" w:noHBand="0" w:noVBand="1"/>
      </w:tblPr>
      <w:tblGrid>
        <w:gridCol w:w="1560"/>
        <w:gridCol w:w="496"/>
        <w:gridCol w:w="772"/>
        <w:gridCol w:w="496"/>
        <w:gridCol w:w="772"/>
        <w:gridCol w:w="496"/>
        <w:gridCol w:w="772"/>
        <w:gridCol w:w="496"/>
        <w:gridCol w:w="772"/>
        <w:gridCol w:w="496"/>
        <w:gridCol w:w="772"/>
        <w:gridCol w:w="548"/>
      </w:tblGrid>
      <w:tr w:rsidR="00503C25" w:rsidRPr="00503C25" w14:paraId="55431490" w14:textId="77777777" w:rsidTr="00443473">
        <w:trPr>
          <w:trHeight w:val="300"/>
          <w:tblHeader/>
        </w:trPr>
        <w:tc>
          <w:tcPr>
            <w:tcW w:w="1560" w:type="dxa"/>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11866343" w14:textId="77777777" w:rsidR="00503C25" w:rsidRPr="00503C25" w:rsidRDefault="00503C25" w:rsidP="00503C25">
            <w:pPr>
              <w:spacing w:after="0" w:line="240" w:lineRule="auto"/>
              <w:rPr>
                <w:rFonts w:ascii="Arial" w:eastAsia="Times New Roman" w:hAnsi="Arial" w:cs="Arial"/>
                <w:b/>
                <w:bCs/>
                <w:color w:val="000000"/>
                <w:sz w:val="16"/>
                <w:szCs w:val="16"/>
                <w:lang w:val="ca-ES" w:eastAsia="es-ES"/>
              </w:rPr>
            </w:pPr>
            <w:bookmarkStart w:id="174" w:name="_Hlk95676027"/>
            <w:r w:rsidRPr="00503C25">
              <w:rPr>
                <w:rFonts w:ascii="Arial" w:eastAsia="Times New Roman" w:hAnsi="Arial" w:cs="Arial"/>
                <w:b/>
                <w:bCs/>
                <w:color w:val="000000"/>
                <w:sz w:val="16"/>
                <w:szCs w:val="16"/>
                <w:lang w:val="ca-ES" w:eastAsia="es-ES"/>
              </w:rPr>
              <w:t> </w:t>
            </w:r>
          </w:p>
        </w:tc>
        <w:tc>
          <w:tcPr>
            <w:tcW w:w="496" w:type="dxa"/>
            <w:tcBorders>
              <w:top w:val="single" w:sz="8" w:space="0" w:color="auto"/>
              <w:left w:val="nil"/>
              <w:bottom w:val="single" w:sz="4" w:space="0" w:color="auto"/>
              <w:right w:val="single" w:sz="4" w:space="0" w:color="auto"/>
            </w:tcBorders>
            <w:shd w:val="clear" w:color="000000" w:fill="B6A39A"/>
            <w:noWrap/>
            <w:vAlign w:val="bottom"/>
            <w:hideMark/>
          </w:tcPr>
          <w:p w14:paraId="6B9AC2C0"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2017</w:t>
            </w:r>
          </w:p>
        </w:tc>
        <w:tc>
          <w:tcPr>
            <w:tcW w:w="772" w:type="dxa"/>
            <w:tcBorders>
              <w:top w:val="single" w:sz="8" w:space="0" w:color="auto"/>
              <w:left w:val="nil"/>
              <w:bottom w:val="single" w:sz="4" w:space="0" w:color="auto"/>
              <w:right w:val="single" w:sz="4" w:space="0" w:color="auto"/>
            </w:tcBorders>
            <w:shd w:val="clear" w:color="000000" w:fill="B6A39A"/>
            <w:noWrap/>
            <w:vAlign w:val="bottom"/>
            <w:hideMark/>
          </w:tcPr>
          <w:p w14:paraId="2B2E2F8B"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w:t>
            </w:r>
          </w:p>
        </w:tc>
        <w:tc>
          <w:tcPr>
            <w:tcW w:w="496" w:type="dxa"/>
            <w:tcBorders>
              <w:top w:val="single" w:sz="8" w:space="0" w:color="auto"/>
              <w:left w:val="nil"/>
              <w:bottom w:val="single" w:sz="4" w:space="0" w:color="auto"/>
              <w:right w:val="single" w:sz="4" w:space="0" w:color="auto"/>
            </w:tcBorders>
            <w:shd w:val="clear" w:color="000000" w:fill="B6A39A"/>
            <w:noWrap/>
            <w:vAlign w:val="bottom"/>
            <w:hideMark/>
          </w:tcPr>
          <w:p w14:paraId="25E2C1A3"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2018</w:t>
            </w:r>
          </w:p>
        </w:tc>
        <w:tc>
          <w:tcPr>
            <w:tcW w:w="772" w:type="dxa"/>
            <w:tcBorders>
              <w:top w:val="single" w:sz="8" w:space="0" w:color="auto"/>
              <w:left w:val="nil"/>
              <w:bottom w:val="single" w:sz="4" w:space="0" w:color="auto"/>
              <w:right w:val="single" w:sz="4" w:space="0" w:color="auto"/>
            </w:tcBorders>
            <w:shd w:val="clear" w:color="000000" w:fill="B6A39A"/>
            <w:noWrap/>
            <w:vAlign w:val="bottom"/>
            <w:hideMark/>
          </w:tcPr>
          <w:p w14:paraId="072B5167"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w:t>
            </w:r>
          </w:p>
        </w:tc>
        <w:tc>
          <w:tcPr>
            <w:tcW w:w="496" w:type="dxa"/>
            <w:tcBorders>
              <w:top w:val="single" w:sz="8" w:space="0" w:color="auto"/>
              <w:left w:val="nil"/>
              <w:bottom w:val="single" w:sz="4" w:space="0" w:color="auto"/>
              <w:right w:val="single" w:sz="4" w:space="0" w:color="auto"/>
            </w:tcBorders>
            <w:shd w:val="clear" w:color="000000" w:fill="B6A39A"/>
            <w:noWrap/>
            <w:vAlign w:val="bottom"/>
            <w:hideMark/>
          </w:tcPr>
          <w:p w14:paraId="23DE7EF6"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2019</w:t>
            </w:r>
          </w:p>
        </w:tc>
        <w:tc>
          <w:tcPr>
            <w:tcW w:w="772" w:type="dxa"/>
            <w:tcBorders>
              <w:top w:val="single" w:sz="8" w:space="0" w:color="auto"/>
              <w:left w:val="nil"/>
              <w:bottom w:val="single" w:sz="4" w:space="0" w:color="auto"/>
              <w:right w:val="single" w:sz="4" w:space="0" w:color="auto"/>
            </w:tcBorders>
            <w:shd w:val="clear" w:color="000000" w:fill="B6A39A"/>
            <w:noWrap/>
            <w:vAlign w:val="bottom"/>
            <w:hideMark/>
          </w:tcPr>
          <w:p w14:paraId="29B97318"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w:t>
            </w:r>
          </w:p>
        </w:tc>
        <w:tc>
          <w:tcPr>
            <w:tcW w:w="496" w:type="dxa"/>
            <w:tcBorders>
              <w:top w:val="single" w:sz="8" w:space="0" w:color="auto"/>
              <w:left w:val="nil"/>
              <w:bottom w:val="single" w:sz="4" w:space="0" w:color="auto"/>
              <w:right w:val="single" w:sz="4" w:space="0" w:color="auto"/>
            </w:tcBorders>
            <w:shd w:val="clear" w:color="000000" w:fill="B6A39A"/>
            <w:noWrap/>
            <w:vAlign w:val="bottom"/>
            <w:hideMark/>
          </w:tcPr>
          <w:p w14:paraId="4A811D62"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2020</w:t>
            </w:r>
          </w:p>
        </w:tc>
        <w:tc>
          <w:tcPr>
            <w:tcW w:w="772" w:type="dxa"/>
            <w:tcBorders>
              <w:top w:val="single" w:sz="8" w:space="0" w:color="auto"/>
              <w:left w:val="nil"/>
              <w:bottom w:val="single" w:sz="4" w:space="0" w:color="auto"/>
              <w:right w:val="nil"/>
            </w:tcBorders>
            <w:shd w:val="clear" w:color="000000" w:fill="B6A39A"/>
            <w:noWrap/>
            <w:vAlign w:val="bottom"/>
            <w:hideMark/>
          </w:tcPr>
          <w:p w14:paraId="5651253F"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w:t>
            </w:r>
          </w:p>
        </w:tc>
        <w:tc>
          <w:tcPr>
            <w:tcW w:w="496" w:type="dxa"/>
            <w:tcBorders>
              <w:top w:val="single" w:sz="8" w:space="0" w:color="auto"/>
              <w:left w:val="single" w:sz="4" w:space="0" w:color="auto"/>
              <w:bottom w:val="single" w:sz="4" w:space="0" w:color="auto"/>
              <w:right w:val="single" w:sz="4" w:space="0" w:color="auto"/>
            </w:tcBorders>
            <w:shd w:val="clear" w:color="000000" w:fill="B6A39A"/>
            <w:noWrap/>
            <w:vAlign w:val="bottom"/>
            <w:hideMark/>
          </w:tcPr>
          <w:p w14:paraId="020ECA44"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2021</w:t>
            </w:r>
          </w:p>
        </w:tc>
        <w:tc>
          <w:tcPr>
            <w:tcW w:w="772" w:type="dxa"/>
            <w:tcBorders>
              <w:top w:val="single" w:sz="8" w:space="0" w:color="auto"/>
              <w:left w:val="nil"/>
              <w:bottom w:val="single" w:sz="4" w:space="0" w:color="auto"/>
              <w:right w:val="single" w:sz="4" w:space="0" w:color="auto"/>
            </w:tcBorders>
            <w:shd w:val="clear" w:color="000000" w:fill="B6A39A"/>
            <w:noWrap/>
            <w:vAlign w:val="bottom"/>
            <w:hideMark/>
          </w:tcPr>
          <w:p w14:paraId="0C724728"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w:t>
            </w:r>
          </w:p>
        </w:tc>
        <w:tc>
          <w:tcPr>
            <w:tcW w:w="548" w:type="dxa"/>
            <w:tcBorders>
              <w:top w:val="single" w:sz="8" w:space="0" w:color="auto"/>
              <w:left w:val="nil"/>
              <w:bottom w:val="single" w:sz="4" w:space="0" w:color="auto"/>
              <w:right w:val="single" w:sz="8" w:space="0" w:color="auto"/>
            </w:tcBorders>
            <w:shd w:val="clear" w:color="000000" w:fill="B6A39A"/>
            <w:noWrap/>
            <w:vAlign w:val="bottom"/>
            <w:hideMark/>
          </w:tcPr>
          <w:p w14:paraId="172082B5"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TOTAL</w:t>
            </w:r>
          </w:p>
        </w:tc>
      </w:tr>
      <w:bookmarkEnd w:id="174"/>
      <w:tr w:rsidR="00503C25" w:rsidRPr="00503C25" w14:paraId="238FF63B" w14:textId="77777777" w:rsidTr="00443473">
        <w:trPr>
          <w:trHeight w:val="300"/>
        </w:trPr>
        <w:tc>
          <w:tcPr>
            <w:tcW w:w="1560" w:type="dxa"/>
            <w:tcBorders>
              <w:top w:val="nil"/>
              <w:left w:val="single" w:sz="8" w:space="0" w:color="auto"/>
              <w:bottom w:val="single" w:sz="4" w:space="0" w:color="auto"/>
              <w:right w:val="single" w:sz="4" w:space="0" w:color="auto"/>
            </w:tcBorders>
            <w:shd w:val="clear" w:color="000000" w:fill="D1C6C0"/>
            <w:noWrap/>
            <w:vAlign w:val="bottom"/>
            <w:hideMark/>
          </w:tcPr>
          <w:p w14:paraId="0978B976" w14:textId="77777777" w:rsidR="00503C25" w:rsidRPr="00503C25" w:rsidRDefault="00503C25" w:rsidP="00503C25">
            <w:pPr>
              <w:spacing w:after="0" w:line="240" w:lineRule="auto"/>
              <w:rPr>
                <w:rFonts w:ascii="Arial" w:eastAsia="Times New Roman" w:hAnsi="Arial" w:cs="Arial"/>
                <w:b/>
                <w:bCs/>
                <w:color w:val="000000"/>
                <w:sz w:val="16"/>
                <w:szCs w:val="16"/>
                <w:lang w:val="ca-ES" w:eastAsia="es-ES"/>
              </w:rPr>
            </w:pPr>
            <w:r w:rsidRPr="00503C25">
              <w:rPr>
                <w:rFonts w:ascii="Arial" w:hAnsi="Arial" w:cs="Arial"/>
                <w:b/>
                <w:bCs/>
                <w:color w:val="000000"/>
                <w:sz w:val="16"/>
                <w:szCs w:val="16"/>
                <w:lang w:val="ca-ES"/>
              </w:rPr>
              <w:t>Persona física</w:t>
            </w:r>
          </w:p>
        </w:tc>
        <w:tc>
          <w:tcPr>
            <w:tcW w:w="496" w:type="dxa"/>
            <w:tcBorders>
              <w:top w:val="nil"/>
              <w:left w:val="nil"/>
              <w:bottom w:val="single" w:sz="4" w:space="0" w:color="auto"/>
              <w:right w:val="single" w:sz="4" w:space="0" w:color="auto"/>
            </w:tcBorders>
            <w:shd w:val="clear" w:color="000000" w:fill="D1C6C0"/>
            <w:noWrap/>
            <w:vAlign w:val="bottom"/>
            <w:hideMark/>
          </w:tcPr>
          <w:p w14:paraId="776F9744"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30</w:t>
            </w:r>
          </w:p>
        </w:tc>
        <w:tc>
          <w:tcPr>
            <w:tcW w:w="772" w:type="dxa"/>
            <w:tcBorders>
              <w:top w:val="nil"/>
              <w:left w:val="nil"/>
              <w:bottom w:val="single" w:sz="4" w:space="0" w:color="auto"/>
              <w:right w:val="single" w:sz="4" w:space="0" w:color="auto"/>
            </w:tcBorders>
            <w:shd w:val="clear" w:color="000000" w:fill="D1C6C0"/>
            <w:noWrap/>
            <w:vAlign w:val="bottom"/>
            <w:hideMark/>
          </w:tcPr>
          <w:p w14:paraId="0F0AFCC6"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85,71%</w:t>
            </w:r>
          </w:p>
        </w:tc>
        <w:tc>
          <w:tcPr>
            <w:tcW w:w="496" w:type="dxa"/>
            <w:tcBorders>
              <w:top w:val="nil"/>
              <w:left w:val="nil"/>
              <w:bottom w:val="single" w:sz="4" w:space="0" w:color="auto"/>
              <w:right w:val="single" w:sz="4" w:space="0" w:color="auto"/>
            </w:tcBorders>
            <w:shd w:val="clear" w:color="000000" w:fill="D1C6C0"/>
            <w:noWrap/>
            <w:vAlign w:val="bottom"/>
            <w:hideMark/>
          </w:tcPr>
          <w:p w14:paraId="338FEF27"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75</w:t>
            </w:r>
          </w:p>
        </w:tc>
        <w:tc>
          <w:tcPr>
            <w:tcW w:w="772" w:type="dxa"/>
            <w:tcBorders>
              <w:top w:val="nil"/>
              <w:left w:val="nil"/>
              <w:bottom w:val="single" w:sz="4" w:space="0" w:color="auto"/>
              <w:right w:val="single" w:sz="4" w:space="0" w:color="auto"/>
            </w:tcBorders>
            <w:shd w:val="clear" w:color="000000" w:fill="D1C6C0"/>
            <w:noWrap/>
            <w:vAlign w:val="bottom"/>
            <w:hideMark/>
          </w:tcPr>
          <w:p w14:paraId="33D67FFD"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41,44%</w:t>
            </w:r>
          </w:p>
        </w:tc>
        <w:tc>
          <w:tcPr>
            <w:tcW w:w="496" w:type="dxa"/>
            <w:tcBorders>
              <w:top w:val="nil"/>
              <w:left w:val="nil"/>
              <w:bottom w:val="single" w:sz="4" w:space="0" w:color="auto"/>
              <w:right w:val="single" w:sz="4" w:space="0" w:color="auto"/>
            </w:tcBorders>
            <w:shd w:val="clear" w:color="000000" w:fill="D1C6C0"/>
            <w:noWrap/>
            <w:vAlign w:val="bottom"/>
            <w:hideMark/>
          </w:tcPr>
          <w:p w14:paraId="46F8D810"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74</w:t>
            </w:r>
          </w:p>
        </w:tc>
        <w:tc>
          <w:tcPr>
            <w:tcW w:w="772" w:type="dxa"/>
            <w:tcBorders>
              <w:top w:val="nil"/>
              <w:left w:val="nil"/>
              <w:bottom w:val="single" w:sz="4" w:space="0" w:color="auto"/>
              <w:right w:val="single" w:sz="4" w:space="0" w:color="auto"/>
            </w:tcBorders>
            <w:shd w:val="clear" w:color="000000" w:fill="D1C6C0"/>
            <w:noWrap/>
            <w:vAlign w:val="bottom"/>
            <w:hideMark/>
          </w:tcPr>
          <w:p w14:paraId="5385BEC5"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44,05%</w:t>
            </w:r>
          </w:p>
        </w:tc>
        <w:tc>
          <w:tcPr>
            <w:tcW w:w="496" w:type="dxa"/>
            <w:tcBorders>
              <w:top w:val="nil"/>
              <w:left w:val="nil"/>
              <w:bottom w:val="single" w:sz="4" w:space="0" w:color="auto"/>
              <w:right w:val="single" w:sz="4" w:space="0" w:color="auto"/>
            </w:tcBorders>
            <w:shd w:val="clear" w:color="000000" w:fill="D1C6C0"/>
            <w:noWrap/>
            <w:vAlign w:val="bottom"/>
            <w:hideMark/>
          </w:tcPr>
          <w:p w14:paraId="4CF4670E"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120</w:t>
            </w:r>
          </w:p>
        </w:tc>
        <w:tc>
          <w:tcPr>
            <w:tcW w:w="772" w:type="dxa"/>
            <w:tcBorders>
              <w:top w:val="nil"/>
              <w:left w:val="nil"/>
              <w:bottom w:val="single" w:sz="4" w:space="0" w:color="auto"/>
              <w:right w:val="nil"/>
            </w:tcBorders>
            <w:shd w:val="clear" w:color="000000" w:fill="D1C6C0"/>
            <w:noWrap/>
            <w:vAlign w:val="bottom"/>
            <w:hideMark/>
          </w:tcPr>
          <w:p w14:paraId="5722559B"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53,10%</w:t>
            </w:r>
          </w:p>
        </w:tc>
        <w:tc>
          <w:tcPr>
            <w:tcW w:w="496" w:type="dxa"/>
            <w:tcBorders>
              <w:top w:val="nil"/>
              <w:left w:val="single" w:sz="4" w:space="0" w:color="auto"/>
              <w:bottom w:val="single" w:sz="4" w:space="0" w:color="auto"/>
              <w:right w:val="single" w:sz="4" w:space="0" w:color="auto"/>
            </w:tcBorders>
            <w:shd w:val="clear" w:color="000000" w:fill="D1C6C0"/>
            <w:noWrap/>
            <w:vAlign w:val="bottom"/>
            <w:hideMark/>
          </w:tcPr>
          <w:p w14:paraId="5B3B0D20"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142</w:t>
            </w:r>
          </w:p>
        </w:tc>
        <w:tc>
          <w:tcPr>
            <w:tcW w:w="772" w:type="dxa"/>
            <w:tcBorders>
              <w:top w:val="nil"/>
              <w:left w:val="nil"/>
              <w:bottom w:val="single" w:sz="4" w:space="0" w:color="auto"/>
              <w:right w:val="single" w:sz="4" w:space="0" w:color="auto"/>
            </w:tcBorders>
            <w:shd w:val="clear" w:color="000000" w:fill="D1C6C0"/>
            <w:noWrap/>
            <w:vAlign w:val="bottom"/>
            <w:hideMark/>
          </w:tcPr>
          <w:p w14:paraId="03735B19"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39,55%</w:t>
            </w:r>
          </w:p>
        </w:tc>
        <w:tc>
          <w:tcPr>
            <w:tcW w:w="548" w:type="dxa"/>
            <w:tcBorders>
              <w:top w:val="nil"/>
              <w:left w:val="nil"/>
              <w:bottom w:val="single" w:sz="4" w:space="0" w:color="auto"/>
              <w:right w:val="single" w:sz="8" w:space="0" w:color="auto"/>
            </w:tcBorders>
            <w:shd w:val="clear" w:color="000000" w:fill="D1C6C0"/>
            <w:noWrap/>
            <w:vAlign w:val="bottom"/>
            <w:hideMark/>
          </w:tcPr>
          <w:p w14:paraId="7B7A72B8"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441</w:t>
            </w:r>
          </w:p>
        </w:tc>
      </w:tr>
      <w:tr w:rsidR="00503C25" w:rsidRPr="00503C25" w14:paraId="57080B86"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64E5F2CC"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Càrrec polític</w:t>
            </w:r>
          </w:p>
        </w:tc>
        <w:tc>
          <w:tcPr>
            <w:tcW w:w="496" w:type="dxa"/>
            <w:tcBorders>
              <w:top w:val="nil"/>
              <w:left w:val="nil"/>
              <w:bottom w:val="single" w:sz="4" w:space="0" w:color="auto"/>
              <w:right w:val="single" w:sz="4" w:space="0" w:color="auto"/>
            </w:tcBorders>
            <w:shd w:val="clear" w:color="auto" w:fill="auto"/>
            <w:noWrap/>
            <w:vAlign w:val="bottom"/>
            <w:hideMark/>
          </w:tcPr>
          <w:p w14:paraId="64A0733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w:t>
            </w:r>
          </w:p>
        </w:tc>
        <w:tc>
          <w:tcPr>
            <w:tcW w:w="772" w:type="dxa"/>
            <w:tcBorders>
              <w:top w:val="nil"/>
              <w:left w:val="nil"/>
              <w:bottom w:val="single" w:sz="4" w:space="0" w:color="auto"/>
              <w:right w:val="single" w:sz="4" w:space="0" w:color="auto"/>
            </w:tcBorders>
            <w:shd w:val="clear" w:color="auto" w:fill="auto"/>
            <w:noWrap/>
            <w:vAlign w:val="bottom"/>
            <w:hideMark/>
          </w:tcPr>
          <w:p w14:paraId="7A720A61"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5,71%</w:t>
            </w:r>
          </w:p>
        </w:tc>
        <w:tc>
          <w:tcPr>
            <w:tcW w:w="496" w:type="dxa"/>
            <w:tcBorders>
              <w:top w:val="nil"/>
              <w:left w:val="nil"/>
              <w:bottom w:val="single" w:sz="4" w:space="0" w:color="auto"/>
              <w:right w:val="single" w:sz="4" w:space="0" w:color="auto"/>
            </w:tcBorders>
            <w:shd w:val="clear" w:color="auto" w:fill="auto"/>
            <w:noWrap/>
            <w:vAlign w:val="bottom"/>
            <w:hideMark/>
          </w:tcPr>
          <w:p w14:paraId="04052AE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18</w:t>
            </w:r>
          </w:p>
        </w:tc>
        <w:tc>
          <w:tcPr>
            <w:tcW w:w="772" w:type="dxa"/>
            <w:tcBorders>
              <w:top w:val="nil"/>
              <w:left w:val="nil"/>
              <w:bottom w:val="single" w:sz="4" w:space="0" w:color="auto"/>
              <w:right w:val="single" w:sz="4" w:space="0" w:color="auto"/>
            </w:tcBorders>
            <w:shd w:val="clear" w:color="auto" w:fill="auto"/>
            <w:noWrap/>
            <w:vAlign w:val="bottom"/>
            <w:hideMark/>
          </w:tcPr>
          <w:p w14:paraId="554C40A0"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9,94%</w:t>
            </w:r>
          </w:p>
        </w:tc>
        <w:tc>
          <w:tcPr>
            <w:tcW w:w="496" w:type="dxa"/>
            <w:tcBorders>
              <w:top w:val="nil"/>
              <w:left w:val="nil"/>
              <w:bottom w:val="single" w:sz="4" w:space="0" w:color="auto"/>
              <w:right w:val="single" w:sz="4" w:space="0" w:color="auto"/>
            </w:tcBorders>
            <w:shd w:val="clear" w:color="auto" w:fill="auto"/>
            <w:noWrap/>
            <w:vAlign w:val="bottom"/>
            <w:hideMark/>
          </w:tcPr>
          <w:p w14:paraId="6958305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11</w:t>
            </w:r>
          </w:p>
        </w:tc>
        <w:tc>
          <w:tcPr>
            <w:tcW w:w="772" w:type="dxa"/>
            <w:tcBorders>
              <w:top w:val="nil"/>
              <w:left w:val="nil"/>
              <w:bottom w:val="single" w:sz="4" w:space="0" w:color="auto"/>
              <w:right w:val="single" w:sz="4" w:space="0" w:color="auto"/>
            </w:tcBorders>
            <w:shd w:val="clear" w:color="auto" w:fill="auto"/>
            <w:noWrap/>
            <w:vAlign w:val="bottom"/>
            <w:hideMark/>
          </w:tcPr>
          <w:p w14:paraId="77442B62"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6,55%</w:t>
            </w:r>
          </w:p>
        </w:tc>
        <w:tc>
          <w:tcPr>
            <w:tcW w:w="496" w:type="dxa"/>
            <w:tcBorders>
              <w:top w:val="nil"/>
              <w:left w:val="nil"/>
              <w:bottom w:val="single" w:sz="4" w:space="0" w:color="auto"/>
              <w:right w:val="single" w:sz="4" w:space="0" w:color="auto"/>
            </w:tcBorders>
            <w:shd w:val="clear" w:color="auto" w:fill="auto"/>
            <w:noWrap/>
            <w:vAlign w:val="bottom"/>
            <w:hideMark/>
          </w:tcPr>
          <w:p w14:paraId="0D41595F"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13</w:t>
            </w:r>
          </w:p>
        </w:tc>
        <w:tc>
          <w:tcPr>
            <w:tcW w:w="772" w:type="dxa"/>
            <w:tcBorders>
              <w:top w:val="nil"/>
              <w:left w:val="nil"/>
              <w:bottom w:val="single" w:sz="4" w:space="0" w:color="auto"/>
              <w:right w:val="nil"/>
            </w:tcBorders>
            <w:shd w:val="clear" w:color="auto" w:fill="auto"/>
            <w:noWrap/>
            <w:vAlign w:val="bottom"/>
            <w:hideMark/>
          </w:tcPr>
          <w:p w14:paraId="1F0E5446"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5,75%</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03C3D534"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23</w:t>
            </w:r>
          </w:p>
        </w:tc>
        <w:tc>
          <w:tcPr>
            <w:tcW w:w="772" w:type="dxa"/>
            <w:tcBorders>
              <w:top w:val="nil"/>
              <w:left w:val="nil"/>
              <w:bottom w:val="single" w:sz="4" w:space="0" w:color="auto"/>
              <w:right w:val="single" w:sz="4" w:space="0" w:color="auto"/>
            </w:tcBorders>
            <w:shd w:val="clear" w:color="auto" w:fill="auto"/>
            <w:noWrap/>
            <w:vAlign w:val="bottom"/>
            <w:hideMark/>
          </w:tcPr>
          <w:p w14:paraId="0AD6E238"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6,41%</w:t>
            </w:r>
          </w:p>
        </w:tc>
        <w:tc>
          <w:tcPr>
            <w:tcW w:w="548" w:type="dxa"/>
            <w:tcBorders>
              <w:top w:val="nil"/>
              <w:left w:val="nil"/>
              <w:bottom w:val="single" w:sz="4" w:space="0" w:color="auto"/>
              <w:right w:val="single" w:sz="8" w:space="0" w:color="auto"/>
            </w:tcBorders>
            <w:shd w:val="clear" w:color="auto" w:fill="auto"/>
            <w:noWrap/>
            <w:vAlign w:val="bottom"/>
            <w:hideMark/>
          </w:tcPr>
          <w:p w14:paraId="70B125E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67</w:t>
            </w:r>
          </w:p>
        </w:tc>
      </w:tr>
      <w:tr w:rsidR="00503C25" w:rsidRPr="00503C25" w14:paraId="630439E6"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6AAEF037"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Empleat públic</w:t>
            </w:r>
          </w:p>
        </w:tc>
        <w:tc>
          <w:tcPr>
            <w:tcW w:w="496" w:type="dxa"/>
            <w:tcBorders>
              <w:top w:val="nil"/>
              <w:left w:val="nil"/>
              <w:bottom w:val="single" w:sz="4" w:space="0" w:color="auto"/>
              <w:right w:val="single" w:sz="4" w:space="0" w:color="auto"/>
            </w:tcBorders>
            <w:shd w:val="clear" w:color="auto" w:fill="auto"/>
            <w:noWrap/>
            <w:vAlign w:val="bottom"/>
            <w:hideMark/>
          </w:tcPr>
          <w:p w14:paraId="5442545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23</w:t>
            </w:r>
          </w:p>
        </w:tc>
        <w:tc>
          <w:tcPr>
            <w:tcW w:w="772" w:type="dxa"/>
            <w:tcBorders>
              <w:top w:val="nil"/>
              <w:left w:val="nil"/>
              <w:bottom w:val="single" w:sz="4" w:space="0" w:color="auto"/>
              <w:right w:val="single" w:sz="4" w:space="0" w:color="auto"/>
            </w:tcBorders>
            <w:shd w:val="clear" w:color="auto" w:fill="auto"/>
            <w:noWrap/>
            <w:vAlign w:val="bottom"/>
            <w:hideMark/>
          </w:tcPr>
          <w:p w14:paraId="0FAA1F5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65,71%</w:t>
            </w:r>
          </w:p>
        </w:tc>
        <w:tc>
          <w:tcPr>
            <w:tcW w:w="496" w:type="dxa"/>
            <w:tcBorders>
              <w:top w:val="nil"/>
              <w:left w:val="nil"/>
              <w:bottom w:val="single" w:sz="4" w:space="0" w:color="auto"/>
              <w:right w:val="single" w:sz="4" w:space="0" w:color="auto"/>
            </w:tcBorders>
            <w:shd w:val="clear" w:color="auto" w:fill="auto"/>
            <w:noWrap/>
            <w:vAlign w:val="bottom"/>
            <w:hideMark/>
          </w:tcPr>
          <w:p w14:paraId="0C820E80"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28</w:t>
            </w:r>
          </w:p>
        </w:tc>
        <w:tc>
          <w:tcPr>
            <w:tcW w:w="772" w:type="dxa"/>
            <w:tcBorders>
              <w:top w:val="nil"/>
              <w:left w:val="nil"/>
              <w:bottom w:val="single" w:sz="4" w:space="0" w:color="auto"/>
              <w:right w:val="single" w:sz="4" w:space="0" w:color="auto"/>
            </w:tcBorders>
            <w:shd w:val="clear" w:color="auto" w:fill="auto"/>
            <w:noWrap/>
            <w:vAlign w:val="bottom"/>
            <w:hideMark/>
          </w:tcPr>
          <w:p w14:paraId="74730490"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15,47%</w:t>
            </w:r>
          </w:p>
        </w:tc>
        <w:tc>
          <w:tcPr>
            <w:tcW w:w="496" w:type="dxa"/>
            <w:tcBorders>
              <w:top w:val="nil"/>
              <w:left w:val="nil"/>
              <w:bottom w:val="single" w:sz="4" w:space="0" w:color="auto"/>
              <w:right w:val="single" w:sz="4" w:space="0" w:color="auto"/>
            </w:tcBorders>
            <w:shd w:val="clear" w:color="auto" w:fill="auto"/>
            <w:noWrap/>
            <w:vAlign w:val="bottom"/>
            <w:hideMark/>
          </w:tcPr>
          <w:p w14:paraId="7B82EDC3"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18</w:t>
            </w:r>
          </w:p>
        </w:tc>
        <w:tc>
          <w:tcPr>
            <w:tcW w:w="772" w:type="dxa"/>
            <w:tcBorders>
              <w:top w:val="nil"/>
              <w:left w:val="nil"/>
              <w:bottom w:val="single" w:sz="4" w:space="0" w:color="auto"/>
              <w:right w:val="single" w:sz="4" w:space="0" w:color="auto"/>
            </w:tcBorders>
            <w:shd w:val="clear" w:color="auto" w:fill="auto"/>
            <w:noWrap/>
            <w:vAlign w:val="bottom"/>
            <w:hideMark/>
          </w:tcPr>
          <w:p w14:paraId="68E84FF1"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10,71%</w:t>
            </w:r>
          </w:p>
        </w:tc>
        <w:tc>
          <w:tcPr>
            <w:tcW w:w="496" w:type="dxa"/>
            <w:tcBorders>
              <w:top w:val="nil"/>
              <w:left w:val="nil"/>
              <w:bottom w:val="single" w:sz="4" w:space="0" w:color="auto"/>
              <w:right w:val="single" w:sz="4" w:space="0" w:color="auto"/>
            </w:tcBorders>
            <w:shd w:val="clear" w:color="auto" w:fill="auto"/>
            <w:noWrap/>
            <w:vAlign w:val="bottom"/>
            <w:hideMark/>
          </w:tcPr>
          <w:p w14:paraId="334FC55D"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59</w:t>
            </w:r>
          </w:p>
        </w:tc>
        <w:tc>
          <w:tcPr>
            <w:tcW w:w="772" w:type="dxa"/>
            <w:tcBorders>
              <w:top w:val="nil"/>
              <w:left w:val="nil"/>
              <w:bottom w:val="single" w:sz="4" w:space="0" w:color="auto"/>
              <w:right w:val="nil"/>
            </w:tcBorders>
            <w:shd w:val="clear" w:color="auto" w:fill="auto"/>
            <w:noWrap/>
            <w:vAlign w:val="bottom"/>
            <w:hideMark/>
          </w:tcPr>
          <w:p w14:paraId="16536172"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26,11%</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17CE1208"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56</w:t>
            </w:r>
          </w:p>
        </w:tc>
        <w:tc>
          <w:tcPr>
            <w:tcW w:w="772" w:type="dxa"/>
            <w:tcBorders>
              <w:top w:val="nil"/>
              <w:left w:val="nil"/>
              <w:bottom w:val="single" w:sz="4" w:space="0" w:color="auto"/>
              <w:right w:val="single" w:sz="4" w:space="0" w:color="auto"/>
            </w:tcBorders>
            <w:shd w:val="clear" w:color="auto" w:fill="auto"/>
            <w:noWrap/>
            <w:vAlign w:val="bottom"/>
            <w:hideMark/>
          </w:tcPr>
          <w:p w14:paraId="5796788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15,60%</w:t>
            </w:r>
          </w:p>
        </w:tc>
        <w:tc>
          <w:tcPr>
            <w:tcW w:w="548" w:type="dxa"/>
            <w:tcBorders>
              <w:top w:val="nil"/>
              <w:left w:val="nil"/>
              <w:bottom w:val="single" w:sz="4" w:space="0" w:color="auto"/>
              <w:right w:val="single" w:sz="8" w:space="0" w:color="auto"/>
            </w:tcBorders>
            <w:shd w:val="clear" w:color="auto" w:fill="auto"/>
            <w:noWrap/>
            <w:vAlign w:val="bottom"/>
            <w:hideMark/>
          </w:tcPr>
          <w:p w14:paraId="429B832D"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184</w:t>
            </w:r>
          </w:p>
        </w:tc>
      </w:tr>
      <w:tr w:rsidR="00503C25" w:rsidRPr="00503C25" w14:paraId="5437CC4E"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342E239E"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Particular</w:t>
            </w:r>
          </w:p>
        </w:tc>
        <w:tc>
          <w:tcPr>
            <w:tcW w:w="496" w:type="dxa"/>
            <w:tcBorders>
              <w:top w:val="nil"/>
              <w:left w:val="nil"/>
              <w:bottom w:val="single" w:sz="4" w:space="0" w:color="auto"/>
              <w:right w:val="single" w:sz="4" w:space="0" w:color="auto"/>
            </w:tcBorders>
            <w:shd w:val="clear" w:color="auto" w:fill="auto"/>
            <w:noWrap/>
            <w:vAlign w:val="bottom"/>
            <w:hideMark/>
          </w:tcPr>
          <w:p w14:paraId="69192FED"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5</w:t>
            </w:r>
          </w:p>
        </w:tc>
        <w:tc>
          <w:tcPr>
            <w:tcW w:w="772" w:type="dxa"/>
            <w:tcBorders>
              <w:top w:val="nil"/>
              <w:left w:val="nil"/>
              <w:bottom w:val="single" w:sz="4" w:space="0" w:color="auto"/>
              <w:right w:val="single" w:sz="4" w:space="0" w:color="auto"/>
            </w:tcBorders>
            <w:shd w:val="clear" w:color="auto" w:fill="auto"/>
            <w:noWrap/>
            <w:vAlign w:val="bottom"/>
            <w:hideMark/>
          </w:tcPr>
          <w:p w14:paraId="0650748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14,29%</w:t>
            </w:r>
          </w:p>
        </w:tc>
        <w:tc>
          <w:tcPr>
            <w:tcW w:w="496" w:type="dxa"/>
            <w:tcBorders>
              <w:top w:val="nil"/>
              <w:left w:val="nil"/>
              <w:bottom w:val="single" w:sz="4" w:space="0" w:color="auto"/>
              <w:right w:val="single" w:sz="4" w:space="0" w:color="auto"/>
            </w:tcBorders>
            <w:shd w:val="clear" w:color="auto" w:fill="auto"/>
            <w:noWrap/>
            <w:vAlign w:val="bottom"/>
            <w:hideMark/>
          </w:tcPr>
          <w:p w14:paraId="579372A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29</w:t>
            </w:r>
          </w:p>
        </w:tc>
        <w:tc>
          <w:tcPr>
            <w:tcW w:w="772" w:type="dxa"/>
            <w:tcBorders>
              <w:top w:val="nil"/>
              <w:left w:val="nil"/>
              <w:bottom w:val="single" w:sz="4" w:space="0" w:color="auto"/>
              <w:right w:val="single" w:sz="4" w:space="0" w:color="auto"/>
            </w:tcBorders>
            <w:shd w:val="clear" w:color="auto" w:fill="auto"/>
            <w:noWrap/>
            <w:vAlign w:val="bottom"/>
            <w:hideMark/>
          </w:tcPr>
          <w:p w14:paraId="4EA24410"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16,02%</w:t>
            </w:r>
          </w:p>
        </w:tc>
        <w:tc>
          <w:tcPr>
            <w:tcW w:w="496" w:type="dxa"/>
            <w:tcBorders>
              <w:top w:val="nil"/>
              <w:left w:val="nil"/>
              <w:bottom w:val="single" w:sz="4" w:space="0" w:color="auto"/>
              <w:right w:val="single" w:sz="4" w:space="0" w:color="auto"/>
            </w:tcBorders>
            <w:shd w:val="clear" w:color="auto" w:fill="auto"/>
            <w:noWrap/>
            <w:vAlign w:val="bottom"/>
            <w:hideMark/>
          </w:tcPr>
          <w:p w14:paraId="4219FA0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45</w:t>
            </w:r>
          </w:p>
        </w:tc>
        <w:tc>
          <w:tcPr>
            <w:tcW w:w="772" w:type="dxa"/>
            <w:tcBorders>
              <w:top w:val="nil"/>
              <w:left w:val="nil"/>
              <w:bottom w:val="single" w:sz="4" w:space="0" w:color="auto"/>
              <w:right w:val="single" w:sz="4" w:space="0" w:color="auto"/>
            </w:tcBorders>
            <w:shd w:val="clear" w:color="auto" w:fill="auto"/>
            <w:noWrap/>
            <w:vAlign w:val="bottom"/>
            <w:hideMark/>
          </w:tcPr>
          <w:p w14:paraId="79997458"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26,79%</w:t>
            </w:r>
          </w:p>
        </w:tc>
        <w:tc>
          <w:tcPr>
            <w:tcW w:w="496" w:type="dxa"/>
            <w:tcBorders>
              <w:top w:val="nil"/>
              <w:left w:val="nil"/>
              <w:bottom w:val="single" w:sz="4" w:space="0" w:color="auto"/>
              <w:right w:val="single" w:sz="4" w:space="0" w:color="auto"/>
            </w:tcBorders>
            <w:shd w:val="clear" w:color="auto" w:fill="auto"/>
            <w:noWrap/>
            <w:vAlign w:val="bottom"/>
            <w:hideMark/>
          </w:tcPr>
          <w:p w14:paraId="0F114EB4"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48</w:t>
            </w:r>
          </w:p>
        </w:tc>
        <w:tc>
          <w:tcPr>
            <w:tcW w:w="772" w:type="dxa"/>
            <w:tcBorders>
              <w:top w:val="nil"/>
              <w:left w:val="nil"/>
              <w:bottom w:val="single" w:sz="4" w:space="0" w:color="auto"/>
              <w:right w:val="nil"/>
            </w:tcBorders>
            <w:shd w:val="clear" w:color="auto" w:fill="auto"/>
            <w:noWrap/>
            <w:vAlign w:val="bottom"/>
            <w:hideMark/>
          </w:tcPr>
          <w:p w14:paraId="26051740"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21,24%</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2C59AD2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63</w:t>
            </w:r>
          </w:p>
        </w:tc>
        <w:tc>
          <w:tcPr>
            <w:tcW w:w="772" w:type="dxa"/>
            <w:tcBorders>
              <w:top w:val="nil"/>
              <w:left w:val="nil"/>
              <w:bottom w:val="single" w:sz="4" w:space="0" w:color="auto"/>
              <w:right w:val="single" w:sz="4" w:space="0" w:color="auto"/>
            </w:tcBorders>
            <w:shd w:val="clear" w:color="auto" w:fill="auto"/>
            <w:noWrap/>
            <w:vAlign w:val="bottom"/>
            <w:hideMark/>
          </w:tcPr>
          <w:p w14:paraId="07543571"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17,55%</w:t>
            </w:r>
          </w:p>
        </w:tc>
        <w:tc>
          <w:tcPr>
            <w:tcW w:w="548" w:type="dxa"/>
            <w:tcBorders>
              <w:top w:val="nil"/>
              <w:left w:val="nil"/>
              <w:bottom w:val="single" w:sz="4" w:space="0" w:color="auto"/>
              <w:right w:val="single" w:sz="8" w:space="0" w:color="auto"/>
            </w:tcBorders>
            <w:shd w:val="clear" w:color="auto" w:fill="auto"/>
            <w:noWrap/>
            <w:vAlign w:val="bottom"/>
            <w:hideMark/>
          </w:tcPr>
          <w:p w14:paraId="4492F11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190</w:t>
            </w:r>
          </w:p>
        </w:tc>
      </w:tr>
      <w:tr w:rsidR="00503C25" w:rsidRPr="00503C25" w14:paraId="103A5349" w14:textId="77777777" w:rsidTr="00443473">
        <w:trPr>
          <w:trHeight w:val="300"/>
        </w:trPr>
        <w:tc>
          <w:tcPr>
            <w:tcW w:w="1560" w:type="dxa"/>
            <w:tcBorders>
              <w:top w:val="nil"/>
              <w:left w:val="single" w:sz="8" w:space="0" w:color="auto"/>
              <w:bottom w:val="single" w:sz="4" w:space="0" w:color="auto"/>
              <w:right w:val="single" w:sz="4" w:space="0" w:color="auto"/>
            </w:tcBorders>
            <w:shd w:val="clear" w:color="000000" w:fill="D1C6C0"/>
            <w:noWrap/>
            <w:vAlign w:val="bottom"/>
            <w:hideMark/>
          </w:tcPr>
          <w:p w14:paraId="7BA5BB14" w14:textId="77777777" w:rsidR="00503C25" w:rsidRPr="00503C25" w:rsidRDefault="00503C25" w:rsidP="00503C25">
            <w:pPr>
              <w:spacing w:after="0" w:line="240" w:lineRule="auto"/>
              <w:rPr>
                <w:rFonts w:ascii="Arial" w:eastAsia="Times New Roman" w:hAnsi="Arial" w:cs="Arial"/>
                <w:b/>
                <w:bCs/>
                <w:color w:val="000000"/>
                <w:sz w:val="16"/>
                <w:szCs w:val="16"/>
                <w:lang w:val="ca-ES" w:eastAsia="es-ES"/>
              </w:rPr>
            </w:pPr>
            <w:r w:rsidRPr="00503C25">
              <w:rPr>
                <w:rFonts w:ascii="Arial" w:hAnsi="Arial" w:cs="Arial"/>
                <w:b/>
                <w:bCs/>
                <w:color w:val="000000"/>
                <w:sz w:val="16"/>
                <w:szCs w:val="16"/>
                <w:lang w:val="ca-ES"/>
              </w:rPr>
              <w:t>Persona jurídica</w:t>
            </w:r>
          </w:p>
        </w:tc>
        <w:tc>
          <w:tcPr>
            <w:tcW w:w="496" w:type="dxa"/>
            <w:tcBorders>
              <w:top w:val="nil"/>
              <w:left w:val="nil"/>
              <w:bottom w:val="single" w:sz="4" w:space="0" w:color="auto"/>
              <w:right w:val="single" w:sz="4" w:space="0" w:color="auto"/>
            </w:tcBorders>
            <w:shd w:val="clear" w:color="000000" w:fill="D1C6C0"/>
            <w:noWrap/>
            <w:vAlign w:val="bottom"/>
            <w:hideMark/>
          </w:tcPr>
          <w:p w14:paraId="2006D9F1"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3</w:t>
            </w:r>
          </w:p>
        </w:tc>
        <w:tc>
          <w:tcPr>
            <w:tcW w:w="772" w:type="dxa"/>
            <w:tcBorders>
              <w:top w:val="nil"/>
              <w:left w:val="nil"/>
              <w:bottom w:val="single" w:sz="4" w:space="0" w:color="auto"/>
              <w:right w:val="single" w:sz="4" w:space="0" w:color="auto"/>
            </w:tcBorders>
            <w:shd w:val="clear" w:color="000000" w:fill="D1C6C0"/>
            <w:noWrap/>
            <w:vAlign w:val="bottom"/>
            <w:hideMark/>
          </w:tcPr>
          <w:p w14:paraId="41E3A6C7"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8,57%</w:t>
            </w:r>
          </w:p>
        </w:tc>
        <w:tc>
          <w:tcPr>
            <w:tcW w:w="496" w:type="dxa"/>
            <w:tcBorders>
              <w:top w:val="nil"/>
              <w:left w:val="nil"/>
              <w:bottom w:val="single" w:sz="4" w:space="0" w:color="auto"/>
              <w:right w:val="single" w:sz="4" w:space="0" w:color="auto"/>
            </w:tcBorders>
            <w:shd w:val="clear" w:color="000000" w:fill="D1C6C0"/>
            <w:noWrap/>
            <w:vAlign w:val="bottom"/>
            <w:hideMark/>
          </w:tcPr>
          <w:p w14:paraId="5581EAEC"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14</w:t>
            </w:r>
          </w:p>
        </w:tc>
        <w:tc>
          <w:tcPr>
            <w:tcW w:w="772" w:type="dxa"/>
            <w:tcBorders>
              <w:top w:val="nil"/>
              <w:left w:val="nil"/>
              <w:bottom w:val="single" w:sz="4" w:space="0" w:color="auto"/>
              <w:right w:val="single" w:sz="4" w:space="0" w:color="auto"/>
            </w:tcBorders>
            <w:shd w:val="clear" w:color="000000" w:fill="D1C6C0"/>
            <w:noWrap/>
            <w:vAlign w:val="bottom"/>
            <w:hideMark/>
          </w:tcPr>
          <w:p w14:paraId="741E3646"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7,73%</w:t>
            </w:r>
          </w:p>
        </w:tc>
        <w:tc>
          <w:tcPr>
            <w:tcW w:w="496" w:type="dxa"/>
            <w:tcBorders>
              <w:top w:val="nil"/>
              <w:left w:val="nil"/>
              <w:bottom w:val="single" w:sz="4" w:space="0" w:color="auto"/>
              <w:right w:val="single" w:sz="4" w:space="0" w:color="auto"/>
            </w:tcBorders>
            <w:shd w:val="clear" w:color="000000" w:fill="D1C6C0"/>
            <w:noWrap/>
            <w:vAlign w:val="bottom"/>
            <w:hideMark/>
          </w:tcPr>
          <w:p w14:paraId="461513C4"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8</w:t>
            </w:r>
          </w:p>
        </w:tc>
        <w:tc>
          <w:tcPr>
            <w:tcW w:w="772" w:type="dxa"/>
            <w:tcBorders>
              <w:top w:val="nil"/>
              <w:left w:val="nil"/>
              <w:bottom w:val="single" w:sz="4" w:space="0" w:color="auto"/>
              <w:right w:val="single" w:sz="4" w:space="0" w:color="auto"/>
            </w:tcBorders>
            <w:shd w:val="clear" w:color="000000" w:fill="D1C6C0"/>
            <w:noWrap/>
            <w:vAlign w:val="bottom"/>
            <w:hideMark/>
          </w:tcPr>
          <w:p w14:paraId="31A41541"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4,76%</w:t>
            </w:r>
          </w:p>
        </w:tc>
        <w:tc>
          <w:tcPr>
            <w:tcW w:w="496" w:type="dxa"/>
            <w:tcBorders>
              <w:top w:val="nil"/>
              <w:left w:val="nil"/>
              <w:bottom w:val="single" w:sz="4" w:space="0" w:color="auto"/>
              <w:right w:val="single" w:sz="4" w:space="0" w:color="auto"/>
            </w:tcBorders>
            <w:shd w:val="clear" w:color="000000" w:fill="D1C6C0"/>
            <w:noWrap/>
            <w:vAlign w:val="bottom"/>
            <w:hideMark/>
          </w:tcPr>
          <w:p w14:paraId="7ED02A4A"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15</w:t>
            </w:r>
          </w:p>
        </w:tc>
        <w:tc>
          <w:tcPr>
            <w:tcW w:w="772" w:type="dxa"/>
            <w:tcBorders>
              <w:top w:val="nil"/>
              <w:left w:val="nil"/>
              <w:bottom w:val="single" w:sz="4" w:space="0" w:color="auto"/>
              <w:right w:val="nil"/>
            </w:tcBorders>
            <w:shd w:val="clear" w:color="000000" w:fill="D1C6C0"/>
            <w:noWrap/>
            <w:vAlign w:val="bottom"/>
            <w:hideMark/>
          </w:tcPr>
          <w:p w14:paraId="12F34442"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6,64%</w:t>
            </w:r>
          </w:p>
        </w:tc>
        <w:tc>
          <w:tcPr>
            <w:tcW w:w="496" w:type="dxa"/>
            <w:tcBorders>
              <w:top w:val="nil"/>
              <w:left w:val="single" w:sz="4" w:space="0" w:color="auto"/>
              <w:bottom w:val="single" w:sz="4" w:space="0" w:color="auto"/>
              <w:right w:val="single" w:sz="4" w:space="0" w:color="auto"/>
            </w:tcBorders>
            <w:shd w:val="clear" w:color="000000" w:fill="D1C6C0"/>
            <w:noWrap/>
            <w:vAlign w:val="bottom"/>
            <w:hideMark/>
          </w:tcPr>
          <w:p w14:paraId="198E56B2"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18</w:t>
            </w:r>
          </w:p>
        </w:tc>
        <w:tc>
          <w:tcPr>
            <w:tcW w:w="772" w:type="dxa"/>
            <w:tcBorders>
              <w:top w:val="nil"/>
              <w:left w:val="nil"/>
              <w:bottom w:val="single" w:sz="4" w:space="0" w:color="auto"/>
              <w:right w:val="single" w:sz="4" w:space="0" w:color="auto"/>
            </w:tcBorders>
            <w:shd w:val="clear" w:color="000000" w:fill="D1C6C0"/>
            <w:noWrap/>
            <w:vAlign w:val="bottom"/>
            <w:hideMark/>
          </w:tcPr>
          <w:p w14:paraId="04A09F6B"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5,01%</w:t>
            </w:r>
          </w:p>
        </w:tc>
        <w:tc>
          <w:tcPr>
            <w:tcW w:w="548" w:type="dxa"/>
            <w:tcBorders>
              <w:top w:val="nil"/>
              <w:left w:val="nil"/>
              <w:bottom w:val="single" w:sz="4" w:space="0" w:color="auto"/>
              <w:right w:val="single" w:sz="8" w:space="0" w:color="auto"/>
            </w:tcBorders>
            <w:shd w:val="clear" w:color="000000" w:fill="D1C6C0"/>
            <w:noWrap/>
            <w:vAlign w:val="bottom"/>
            <w:hideMark/>
          </w:tcPr>
          <w:p w14:paraId="21107A8E"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58</w:t>
            </w:r>
          </w:p>
        </w:tc>
      </w:tr>
      <w:tr w:rsidR="00503C25" w:rsidRPr="00503C25" w14:paraId="5E37EF1D"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2899C5C1"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Associacions – ONG</w:t>
            </w:r>
          </w:p>
        </w:tc>
        <w:tc>
          <w:tcPr>
            <w:tcW w:w="496" w:type="dxa"/>
            <w:tcBorders>
              <w:top w:val="nil"/>
              <w:left w:val="nil"/>
              <w:bottom w:val="single" w:sz="4" w:space="0" w:color="auto"/>
              <w:right w:val="single" w:sz="4" w:space="0" w:color="auto"/>
            </w:tcBorders>
            <w:shd w:val="clear" w:color="auto" w:fill="auto"/>
            <w:noWrap/>
            <w:vAlign w:val="bottom"/>
            <w:hideMark/>
          </w:tcPr>
          <w:p w14:paraId="2E44335D"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09733DBF"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2,86%</w:t>
            </w:r>
          </w:p>
        </w:tc>
        <w:tc>
          <w:tcPr>
            <w:tcW w:w="496" w:type="dxa"/>
            <w:tcBorders>
              <w:top w:val="nil"/>
              <w:left w:val="nil"/>
              <w:bottom w:val="single" w:sz="4" w:space="0" w:color="auto"/>
              <w:right w:val="single" w:sz="4" w:space="0" w:color="auto"/>
            </w:tcBorders>
            <w:shd w:val="clear" w:color="auto" w:fill="auto"/>
            <w:noWrap/>
            <w:vAlign w:val="bottom"/>
            <w:hideMark/>
          </w:tcPr>
          <w:p w14:paraId="25147C64"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1DF4BE0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0,55%</w:t>
            </w:r>
          </w:p>
        </w:tc>
        <w:tc>
          <w:tcPr>
            <w:tcW w:w="496" w:type="dxa"/>
            <w:tcBorders>
              <w:top w:val="nil"/>
              <w:left w:val="nil"/>
              <w:bottom w:val="single" w:sz="4" w:space="0" w:color="auto"/>
              <w:right w:val="single" w:sz="4" w:space="0" w:color="auto"/>
            </w:tcBorders>
            <w:shd w:val="clear" w:color="auto" w:fill="auto"/>
            <w:noWrap/>
            <w:vAlign w:val="bottom"/>
            <w:hideMark/>
          </w:tcPr>
          <w:p w14:paraId="512BDBA1"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1A95805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0,60%</w:t>
            </w:r>
          </w:p>
        </w:tc>
        <w:tc>
          <w:tcPr>
            <w:tcW w:w="496" w:type="dxa"/>
            <w:tcBorders>
              <w:top w:val="nil"/>
              <w:left w:val="nil"/>
              <w:bottom w:val="single" w:sz="4" w:space="0" w:color="auto"/>
              <w:right w:val="single" w:sz="4" w:space="0" w:color="auto"/>
            </w:tcBorders>
            <w:shd w:val="clear" w:color="auto" w:fill="auto"/>
            <w:noWrap/>
            <w:vAlign w:val="bottom"/>
            <w:hideMark/>
          </w:tcPr>
          <w:p w14:paraId="74693CB4"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4</w:t>
            </w:r>
          </w:p>
        </w:tc>
        <w:tc>
          <w:tcPr>
            <w:tcW w:w="772" w:type="dxa"/>
            <w:tcBorders>
              <w:top w:val="nil"/>
              <w:left w:val="nil"/>
              <w:bottom w:val="single" w:sz="4" w:space="0" w:color="auto"/>
              <w:right w:val="nil"/>
            </w:tcBorders>
            <w:shd w:val="clear" w:color="auto" w:fill="auto"/>
            <w:noWrap/>
            <w:vAlign w:val="bottom"/>
            <w:hideMark/>
          </w:tcPr>
          <w:p w14:paraId="044AC0F4"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1,77%</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42D8F1F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w:t>
            </w:r>
          </w:p>
        </w:tc>
        <w:tc>
          <w:tcPr>
            <w:tcW w:w="772" w:type="dxa"/>
            <w:tcBorders>
              <w:top w:val="nil"/>
              <w:left w:val="nil"/>
              <w:bottom w:val="single" w:sz="4" w:space="0" w:color="auto"/>
              <w:right w:val="single" w:sz="4" w:space="0" w:color="auto"/>
            </w:tcBorders>
            <w:shd w:val="clear" w:color="auto" w:fill="auto"/>
            <w:noWrap/>
            <w:vAlign w:val="bottom"/>
            <w:hideMark/>
          </w:tcPr>
          <w:p w14:paraId="17C823DF"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0,56%</w:t>
            </w:r>
          </w:p>
        </w:tc>
        <w:tc>
          <w:tcPr>
            <w:tcW w:w="548" w:type="dxa"/>
            <w:tcBorders>
              <w:top w:val="nil"/>
              <w:left w:val="nil"/>
              <w:bottom w:val="single" w:sz="4" w:space="0" w:color="auto"/>
              <w:right w:val="single" w:sz="8" w:space="0" w:color="auto"/>
            </w:tcBorders>
            <w:shd w:val="clear" w:color="auto" w:fill="auto"/>
            <w:noWrap/>
            <w:vAlign w:val="bottom"/>
            <w:hideMark/>
          </w:tcPr>
          <w:p w14:paraId="7414D4E3"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9</w:t>
            </w:r>
          </w:p>
        </w:tc>
      </w:tr>
      <w:tr w:rsidR="00503C25" w:rsidRPr="00503C25" w14:paraId="58BE796C"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22DD260C"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Institucions</w:t>
            </w:r>
          </w:p>
        </w:tc>
        <w:tc>
          <w:tcPr>
            <w:tcW w:w="496" w:type="dxa"/>
            <w:tcBorders>
              <w:top w:val="nil"/>
              <w:left w:val="nil"/>
              <w:bottom w:val="single" w:sz="4" w:space="0" w:color="auto"/>
              <w:right w:val="single" w:sz="4" w:space="0" w:color="auto"/>
            </w:tcBorders>
            <w:shd w:val="clear" w:color="auto" w:fill="auto"/>
            <w:noWrap/>
            <w:vAlign w:val="bottom"/>
            <w:hideMark/>
          </w:tcPr>
          <w:p w14:paraId="19094D2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14E1FD9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3CC9EEE2"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3</w:t>
            </w:r>
          </w:p>
        </w:tc>
        <w:tc>
          <w:tcPr>
            <w:tcW w:w="772" w:type="dxa"/>
            <w:tcBorders>
              <w:top w:val="nil"/>
              <w:left w:val="nil"/>
              <w:bottom w:val="single" w:sz="4" w:space="0" w:color="auto"/>
              <w:right w:val="single" w:sz="4" w:space="0" w:color="auto"/>
            </w:tcBorders>
            <w:shd w:val="clear" w:color="auto" w:fill="auto"/>
            <w:noWrap/>
            <w:vAlign w:val="bottom"/>
            <w:hideMark/>
          </w:tcPr>
          <w:p w14:paraId="29DE1EF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1,66%</w:t>
            </w:r>
          </w:p>
        </w:tc>
        <w:tc>
          <w:tcPr>
            <w:tcW w:w="496" w:type="dxa"/>
            <w:tcBorders>
              <w:top w:val="nil"/>
              <w:left w:val="nil"/>
              <w:bottom w:val="single" w:sz="4" w:space="0" w:color="auto"/>
              <w:right w:val="single" w:sz="4" w:space="0" w:color="auto"/>
            </w:tcBorders>
            <w:shd w:val="clear" w:color="auto" w:fill="auto"/>
            <w:noWrap/>
            <w:vAlign w:val="bottom"/>
            <w:hideMark/>
          </w:tcPr>
          <w:p w14:paraId="49566216"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11FDD1F8"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516CC0C1"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3</w:t>
            </w:r>
          </w:p>
        </w:tc>
        <w:tc>
          <w:tcPr>
            <w:tcW w:w="772" w:type="dxa"/>
            <w:tcBorders>
              <w:top w:val="nil"/>
              <w:left w:val="nil"/>
              <w:bottom w:val="single" w:sz="4" w:space="0" w:color="auto"/>
              <w:right w:val="nil"/>
            </w:tcBorders>
            <w:shd w:val="clear" w:color="auto" w:fill="auto"/>
            <w:noWrap/>
            <w:vAlign w:val="bottom"/>
            <w:hideMark/>
          </w:tcPr>
          <w:p w14:paraId="542B85A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1,33%</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24B333D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09D835E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0,28%</w:t>
            </w:r>
          </w:p>
        </w:tc>
        <w:tc>
          <w:tcPr>
            <w:tcW w:w="548" w:type="dxa"/>
            <w:tcBorders>
              <w:top w:val="nil"/>
              <w:left w:val="nil"/>
              <w:bottom w:val="single" w:sz="4" w:space="0" w:color="auto"/>
              <w:right w:val="single" w:sz="8" w:space="0" w:color="auto"/>
            </w:tcBorders>
            <w:shd w:val="clear" w:color="auto" w:fill="auto"/>
            <w:noWrap/>
            <w:vAlign w:val="bottom"/>
            <w:hideMark/>
          </w:tcPr>
          <w:p w14:paraId="4698388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7</w:t>
            </w:r>
          </w:p>
        </w:tc>
      </w:tr>
      <w:tr w:rsidR="00503C25" w:rsidRPr="00503C25" w14:paraId="43BF90FA"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1E451C46"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Empreses</w:t>
            </w:r>
          </w:p>
        </w:tc>
        <w:tc>
          <w:tcPr>
            <w:tcW w:w="496" w:type="dxa"/>
            <w:tcBorders>
              <w:top w:val="nil"/>
              <w:left w:val="nil"/>
              <w:bottom w:val="single" w:sz="4" w:space="0" w:color="auto"/>
              <w:right w:val="single" w:sz="4" w:space="0" w:color="auto"/>
            </w:tcBorders>
            <w:shd w:val="clear" w:color="auto" w:fill="auto"/>
            <w:noWrap/>
            <w:vAlign w:val="bottom"/>
            <w:hideMark/>
          </w:tcPr>
          <w:p w14:paraId="5C5A5C74"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1199C2BB"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2,86%</w:t>
            </w:r>
          </w:p>
        </w:tc>
        <w:tc>
          <w:tcPr>
            <w:tcW w:w="496" w:type="dxa"/>
            <w:tcBorders>
              <w:top w:val="nil"/>
              <w:left w:val="nil"/>
              <w:bottom w:val="single" w:sz="4" w:space="0" w:color="auto"/>
              <w:right w:val="single" w:sz="4" w:space="0" w:color="auto"/>
            </w:tcBorders>
            <w:shd w:val="clear" w:color="auto" w:fill="auto"/>
            <w:noWrap/>
            <w:vAlign w:val="bottom"/>
            <w:hideMark/>
          </w:tcPr>
          <w:p w14:paraId="52D04BAF"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1BF46AEB"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0AB673E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1488C65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5E2E19F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c>
          <w:tcPr>
            <w:tcW w:w="772" w:type="dxa"/>
            <w:tcBorders>
              <w:top w:val="nil"/>
              <w:left w:val="nil"/>
              <w:bottom w:val="single" w:sz="4" w:space="0" w:color="auto"/>
              <w:right w:val="nil"/>
            </w:tcBorders>
            <w:shd w:val="clear" w:color="auto" w:fill="auto"/>
            <w:noWrap/>
            <w:vAlign w:val="bottom"/>
            <w:hideMark/>
          </w:tcPr>
          <w:p w14:paraId="29A756E6"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0,44%</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13BD8F8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4</w:t>
            </w:r>
          </w:p>
        </w:tc>
        <w:tc>
          <w:tcPr>
            <w:tcW w:w="772" w:type="dxa"/>
            <w:tcBorders>
              <w:top w:val="nil"/>
              <w:left w:val="nil"/>
              <w:bottom w:val="single" w:sz="4" w:space="0" w:color="auto"/>
              <w:right w:val="single" w:sz="4" w:space="0" w:color="auto"/>
            </w:tcBorders>
            <w:shd w:val="clear" w:color="auto" w:fill="auto"/>
            <w:noWrap/>
            <w:vAlign w:val="bottom"/>
            <w:hideMark/>
          </w:tcPr>
          <w:p w14:paraId="6A38A71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1,11%</w:t>
            </w:r>
          </w:p>
        </w:tc>
        <w:tc>
          <w:tcPr>
            <w:tcW w:w="548" w:type="dxa"/>
            <w:tcBorders>
              <w:top w:val="nil"/>
              <w:left w:val="nil"/>
              <w:bottom w:val="single" w:sz="4" w:space="0" w:color="auto"/>
              <w:right w:val="single" w:sz="8" w:space="0" w:color="auto"/>
            </w:tcBorders>
            <w:shd w:val="clear" w:color="auto" w:fill="auto"/>
            <w:noWrap/>
            <w:vAlign w:val="bottom"/>
            <w:hideMark/>
          </w:tcPr>
          <w:p w14:paraId="1A6F87F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6</w:t>
            </w:r>
          </w:p>
        </w:tc>
      </w:tr>
      <w:tr w:rsidR="00503C25" w:rsidRPr="00503C25" w14:paraId="29D45BAE"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2729B1E5"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Col·legis professionals</w:t>
            </w:r>
          </w:p>
        </w:tc>
        <w:tc>
          <w:tcPr>
            <w:tcW w:w="496" w:type="dxa"/>
            <w:tcBorders>
              <w:top w:val="nil"/>
              <w:left w:val="nil"/>
              <w:bottom w:val="single" w:sz="4" w:space="0" w:color="auto"/>
              <w:right w:val="single" w:sz="4" w:space="0" w:color="auto"/>
            </w:tcBorders>
            <w:shd w:val="clear" w:color="auto" w:fill="auto"/>
            <w:noWrap/>
            <w:vAlign w:val="bottom"/>
            <w:hideMark/>
          </w:tcPr>
          <w:p w14:paraId="059A6753"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0F7A996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6D5C758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0F15F68B"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589FEA04"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09E18C26"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2CCA487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c>
          <w:tcPr>
            <w:tcW w:w="772" w:type="dxa"/>
            <w:tcBorders>
              <w:top w:val="nil"/>
              <w:left w:val="nil"/>
              <w:bottom w:val="single" w:sz="4" w:space="0" w:color="auto"/>
              <w:right w:val="nil"/>
            </w:tcBorders>
            <w:shd w:val="clear" w:color="auto" w:fill="auto"/>
            <w:noWrap/>
            <w:vAlign w:val="bottom"/>
            <w:hideMark/>
          </w:tcPr>
          <w:p w14:paraId="674B2C6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0,44%</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49F3ABE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2416D57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548" w:type="dxa"/>
            <w:tcBorders>
              <w:top w:val="nil"/>
              <w:left w:val="nil"/>
              <w:bottom w:val="single" w:sz="4" w:space="0" w:color="auto"/>
              <w:right w:val="single" w:sz="8" w:space="0" w:color="auto"/>
            </w:tcBorders>
            <w:shd w:val="clear" w:color="auto" w:fill="auto"/>
            <w:noWrap/>
            <w:vAlign w:val="bottom"/>
            <w:hideMark/>
          </w:tcPr>
          <w:p w14:paraId="1B0855E8"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r>
      <w:tr w:rsidR="00503C25" w:rsidRPr="00503C25" w14:paraId="4467D5DE"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52CDF71B"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Sindicats</w:t>
            </w:r>
          </w:p>
        </w:tc>
        <w:tc>
          <w:tcPr>
            <w:tcW w:w="496" w:type="dxa"/>
            <w:tcBorders>
              <w:top w:val="nil"/>
              <w:left w:val="nil"/>
              <w:bottom w:val="single" w:sz="4" w:space="0" w:color="auto"/>
              <w:right w:val="single" w:sz="4" w:space="0" w:color="auto"/>
            </w:tcBorders>
            <w:shd w:val="clear" w:color="auto" w:fill="auto"/>
            <w:noWrap/>
            <w:vAlign w:val="bottom"/>
            <w:hideMark/>
          </w:tcPr>
          <w:p w14:paraId="428D98E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4D30BF4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2,86%</w:t>
            </w:r>
          </w:p>
        </w:tc>
        <w:tc>
          <w:tcPr>
            <w:tcW w:w="496" w:type="dxa"/>
            <w:tcBorders>
              <w:top w:val="nil"/>
              <w:left w:val="nil"/>
              <w:bottom w:val="single" w:sz="4" w:space="0" w:color="auto"/>
              <w:right w:val="single" w:sz="4" w:space="0" w:color="auto"/>
            </w:tcBorders>
            <w:shd w:val="clear" w:color="auto" w:fill="auto"/>
            <w:noWrap/>
            <w:vAlign w:val="bottom"/>
            <w:hideMark/>
          </w:tcPr>
          <w:p w14:paraId="6227A278"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6</w:t>
            </w:r>
          </w:p>
        </w:tc>
        <w:tc>
          <w:tcPr>
            <w:tcW w:w="772" w:type="dxa"/>
            <w:tcBorders>
              <w:top w:val="nil"/>
              <w:left w:val="nil"/>
              <w:bottom w:val="single" w:sz="4" w:space="0" w:color="auto"/>
              <w:right w:val="single" w:sz="4" w:space="0" w:color="auto"/>
            </w:tcBorders>
            <w:shd w:val="clear" w:color="auto" w:fill="auto"/>
            <w:noWrap/>
            <w:vAlign w:val="bottom"/>
            <w:hideMark/>
          </w:tcPr>
          <w:p w14:paraId="2590C9F6"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3,31%</w:t>
            </w:r>
          </w:p>
        </w:tc>
        <w:tc>
          <w:tcPr>
            <w:tcW w:w="496" w:type="dxa"/>
            <w:tcBorders>
              <w:top w:val="nil"/>
              <w:left w:val="nil"/>
              <w:bottom w:val="single" w:sz="4" w:space="0" w:color="auto"/>
              <w:right w:val="single" w:sz="4" w:space="0" w:color="auto"/>
            </w:tcBorders>
            <w:shd w:val="clear" w:color="auto" w:fill="auto"/>
            <w:noWrap/>
            <w:vAlign w:val="bottom"/>
            <w:hideMark/>
          </w:tcPr>
          <w:p w14:paraId="3EA0993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w:t>
            </w:r>
          </w:p>
        </w:tc>
        <w:tc>
          <w:tcPr>
            <w:tcW w:w="772" w:type="dxa"/>
            <w:tcBorders>
              <w:top w:val="nil"/>
              <w:left w:val="nil"/>
              <w:bottom w:val="single" w:sz="4" w:space="0" w:color="auto"/>
              <w:right w:val="single" w:sz="4" w:space="0" w:color="auto"/>
            </w:tcBorders>
            <w:shd w:val="clear" w:color="auto" w:fill="auto"/>
            <w:noWrap/>
            <w:vAlign w:val="bottom"/>
            <w:hideMark/>
          </w:tcPr>
          <w:p w14:paraId="3222AB52"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1,19%</w:t>
            </w:r>
          </w:p>
        </w:tc>
        <w:tc>
          <w:tcPr>
            <w:tcW w:w="496" w:type="dxa"/>
            <w:tcBorders>
              <w:top w:val="nil"/>
              <w:left w:val="nil"/>
              <w:bottom w:val="single" w:sz="4" w:space="0" w:color="auto"/>
              <w:right w:val="single" w:sz="4" w:space="0" w:color="auto"/>
            </w:tcBorders>
            <w:shd w:val="clear" w:color="auto" w:fill="auto"/>
            <w:noWrap/>
            <w:vAlign w:val="bottom"/>
            <w:hideMark/>
          </w:tcPr>
          <w:p w14:paraId="7713488B"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w:t>
            </w:r>
          </w:p>
        </w:tc>
        <w:tc>
          <w:tcPr>
            <w:tcW w:w="772" w:type="dxa"/>
            <w:tcBorders>
              <w:top w:val="nil"/>
              <w:left w:val="nil"/>
              <w:bottom w:val="single" w:sz="4" w:space="0" w:color="auto"/>
              <w:right w:val="nil"/>
            </w:tcBorders>
            <w:shd w:val="clear" w:color="auto" w:fill="auto"/>
            <w:noWrap/>
            <w:vAlign w:val="bottom"/>
            <w:hideMark/>
          </w:tcPr>
          <w:p w14:paraId="39D301F2"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0,88%</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6EFE67B8"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6</w:t>
            </w:r>
          </w:p>
        </w:tc>
        <w:tc>
          <w:tcPr>
            <w:tcW w:w="772" w:type="dxa"/>
            <w:tcBorders>
              <w:top w:val="nil"/>
              <w:left w:val="nil"/>
              <w:bottom w:val="single" w:sz="4" w:space="0" w:color="auto"/>
              <w:right w:val="single" w:sz="4" w:space="0" w:color="auto"/>
            </w:tcBorders>
            <w:shd w:val="clear" w:color="auto" w:fill="auto"/>
            <w:noWrap/>
            <w:vAlign w:val="bottom"/>
            <w:hideMark/>
          </w:tcPr>
          <w:p w14:paraId="30DDF0A3"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1,67%</w:t>
            </w:r>
          </w:p>
        </w:tc>
        <w:tc>
          <w:tcPr>
            <w:tcW w:w="548" w:type="dxa"/>
            <w:tcBorders>
              <w:top w:val="nil"/>
              <w:left w:val="nil"/>
              <w:bottom w:val="single" w:sz="4" w:space="0" w:color="auto"/>
              <w:right w:val="single" w:sz="8" w:space="0" w:color="auto"/>
            </w:tcBorders>
            <w:shd w:val="clear" w:color="auto" w:fill="auto"/>
            <w:noWrap/>
            <w:vAlign w:val="bottom"/>
            <w:hideMark/>
          </w:tcPr>
          <w:p w14:paraId="4D655B2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17</w:t>
            </w:r>
          </w:p>
        </w:tc>
      </w:tr>
      <w:tr w:rsidR="00503C25" w:rsidRPr="00503C25" w14:paraId="33324DF6"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5E847D8A"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Grups polítics</w:t>
            </w:r>
          </w:p>
        </w:tc>
        <w:tc>
          <w:tcPr>
            <w:tcW w:w="496" w:type="dxa"/>
            <w:tcBorders>
              <w:top w:val="nil"/>
              <w:left w:val="nil"/>
              <w:bottom w:val="single" w:sz="4" w:space="0" w:color="auto"/>
              <w:right w:val="single" w:sz="4" w:space="0" w:color="auto"/>
            </w:tcBorders>
            <w:shd w:val="clear" w:color="auto" w:fill="auto"/>
            <w:noWrap/>
            <w:vAlign w:val="bottom"/>
            <w:hideMark/>
          </w:tcPr>
          <w:p w14:paraId="1BD0F372"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3A182DDD"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4CA43BC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4</w:t>
            </w:r>
          </w:p>
        </w:tc>
        <w:tc>
          <w:tcPr>
            <w:tcW w:w="772" w:type="dxa"/>
            <w:tcBorders>
              <w:top w:val="nil"/>
              <w:left w:val="nil"/>
              <w:bottom w:val="single" w:sz="4" w:space="0" w:color="auto"/>
              <w:right w:val="single" w:sz="4" w:space="0" w:color="auto"/>
            </w:tcBorders>
            <w:shd w:val="clear" w:color="auto" w:fill="auto"/>
            <w:noWrap/>
            <w:vAlign w:val="bottom"/>
            <w:hideMark/>
          </w:tcPr>
          <w:p w14:paraId="5395CF2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2,21%</w:t>
            </w:r>
          </w:p>
        </w:tc>
        <w:tc>
          <w:tcPr>
            <w:tcW w:w="496" w:type="dxa"/>
            <w:tcBorders>
              <w:top w:val="nil"/>
              <w:left w:val="nil"/>
              <w:bottom w:val="single" w:sz="4" w:space="0" w:color="auto"/>
              <w:right w:val="single" w:sz="4" w:space="0" w:color="auto"/>
            </w:tcBorders>
            <w:shd w:val="clear" w:color="auto" w:fill="auto"/>
            <w:noWrap/>
            <w:vAlign w:val="bottom"/>
            <w:hideMark/>
          </w:tcPr>
          <w:p w14:paraId="3538FC2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5</w:t>
            </w:r>
          </w:p>
        </w:tc>
        <w:tc>
          <w:tcPr>
            <w:tcW w:w="772" w:type="dxa"/>
            <w:tcBorders>
              <w:top w:val="nil"/>
              <w:left w:val="nil"/>
              <w:bottom w:val="single" w:sz="4" w:space="0" w:color="auto"/>
              <w:right w:val="single" w:sz="4" w:space="0" w:color="auto"/>
            </w:tcBorders>
            <w:shd w:val="clear" w:color="auto" w:fill="auto"/>
            <w:noWrap/>
            <w:vAlign w:val="bottom"/>
            <w:hideMark/>
          </w:tcPr>
          <w:p w14:paraId="662E876F"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2,98%</w:t>
            </w:r>
          </w:p>
        </w:tc>
        <w:tc>
          <w:tcPr>
            <w:tcW w:w="496" w:type="dxa"/>
            <w:tcBorders>
              <w:top w:val="nil"/>
              <w:left w:val="nil"/>
              <w:bottom w:val="single" w:sz="4" w:space="0" w:color="auto"/>
              <w:right w:val="single" w:sz="4" w:space="0" w:color="auto"/>
            </w:tcBorders>
            <w:shd w:val="clear" w:color="auto" w:fill="auto"/>
            <w:noWrap/>
            <w:vAlign w:val="bottom"/>
            <w:hideMark/>
          </w:tcPr>
          <w:p w14:paraId="220EA5A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4</w:t>
            </w:r>
          </w:p>
        </w:tc>
        <w:tc>
          <w:tcPr>
            <w:tcW w:w="772" w:type="dxa"/>
            <w:tcBorders>
              <w:top w:val="nil"/>
              <w:left w:val="nil"/>
              <w:bottom w:val="single" w:sz="4" w:space="0" w:color="auto"/>
              <w:right w:val="nil"/>
            </w:tcBorders>
            <w:shd w:val="clear" w:color="auto" w:fill="auto"/>
            <w:noWrap/>
            <w:vAlign w:val="bottom"/>
            <w:hideMark/>
          </w:tcPr>
          <w:p w14:paraId="26F6134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1,77%</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494F085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5</w:t>
            </w:r>
          </w:p>
        </w:tc>
        <w:tc>
          <w:tcPr>
            <w:tcW w:w="772" w:type="dxa"/>
            <w:tcBorders>
              <w:top w:val="nil"/>
              <w:left w:val="nil"/>
              <w:bottom w:val="single" w:sz="4" w:space="0" w:color="auto"/>
              <w:right w:val="single" w:sz="4" w:space="0" w:color="auto"/>
            </w:tcBorders>
            <w:shd w:val="clear" w:color="auto" w:fill="auto"/>
            <w:noWrap/>
            <w:vAlign w:val="bottom"/>
            <w:hideMark/>
          </w:tcPr>
          <w:p w14:paraId="780031F1"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1,39%</w:t>
            </w:r>
          </w:p>
        </w:tc>
        <w:tc>
          <w:tcPr>
            <w:tcW w:w="548" w:type="dxa"/>
            <w:tcBorders>
              <w:top w:val="nil"/>
              <w:left w:val="nil"/>
              <w:bottom w:val="single" w:sz="4" w:space="0" w:color="auto"/>
              <w:right w:val="single" w:sz="8" w:space="0" w:color="auto"/>
            </w:tcBorders>
            <w:shd w:val="clear" w:color="auto" w:fill="auto"/>
            <w:noWrap/>
            <w:vAlign w:val="bottom"/>
            <w:hideMark/>
          </w:tcPr>
          <w:p w14:paraId="3A88F52B"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18</w:t>
            </w:r>
          </w:p>
        </w:tc>
      </w:tr>
      <w:tr w:rsidR="00503C25" w:rsidRPr="00503C25" w14:paraId="63F38AE8" w14:textId="77777777" w:rsidTr="00443473">
        <w:trPr>
          <w:trHeight w:val="300"/>
        </w:trPr>
        <w:tc>
          <w:tcPr>
            <w:tcW w:w="1560" w:type="dxa"/>
            <w:tcBorders>
              <w:top w:val="nil"/>
              <w:left w:val="single" w:sz="8" w:space="0" w:color="auto"/>
              <w:bottom w:val="single" w:sz="4" w:space="0" w:color="auto"/>
              <w:right w:val="single" w:sz="4" w:space="0" w:color="auto"/>
            </w:tcBorders>
            <w:shd w:val="clear" w:color="000000" w:fill="CE9FA1"/>
            <w:noWrap/>
            <w:vAlign w:val="bottom"/>
            <w:hideMark/>
          </w:tcPr>
          <w:p w14:paraId="2BE599F4" w14:textId="77777777" w:rsidR="00503C25" w:rsidRPr="00503C25" w:rsidRDefault="00503C25" w:rsidP="00503C25">
            <w:pPr>
              <w:spacing w:after="0" w:line="240" w:lineRule="auto"/>
              <w:rPr>
                <w:rFonts w:ascii="Arial" w:eastAsia="Times New Roman" w:hAnsi="Arial" w:cs="Arial"/>
                <w:b/>
                <w:bCs/>
                <w:color w:val="000000"/>
                <w:sz w:val="16"/>
                <w:szCs w:val="16"/>
                <w:lang w:val="ca-ES" w:eastAsia="es-ES"/>
              </w:rPr>
            </w:pPr>
            <w:r w:rsidRPr="00503C25">
              <w:rPr>
                <w:rFonts w:ascii="Arial" w:hAnsi="Arial" w:cs="Arial"/>
                <w:b/>
                <w:bCs/>
                <w:color w:val="000000"/>
                <w:sz w:val="16"/>
                <w:szCs w:val="16"/>
                <w:lang w:val="ca-ES"/>
              </w:rPr>
              <w:t>Anònims</w:t>
            </w:r>
          </w:p>
        </w:tc>
        <w:tc>
          <w:tcPr>
            <w:tcW w:w="496" w:type="dxa"/>
            <w:tcBorders>
              <w:top w:val="nil"/>
              <w:left w:val="nil"/>
              <w:bottom w:val="single" w:sz="4" w:space="0" w:color="auto"/>
              <w:right w:val="single" w:sz="4" w:space="0" w:color="auto"/>
            </w:tcBorders>
            <w:shd w:val="clear" w:color="000000" w:fill="CE9FA1"/>
            <w:noWrap/>
            <w:vAlign w:val="bottom"/>
            <w:hideMark/>
          </w:tcPr>
          <w:p w14:paraId="224FF956"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2</w:t>
            </w:r>
          </w:p>
        </w:tc>
        <w:tc>
          <w:tcPr>
            <w:tcW w:w="772" w:type="dxa"/>
            <w:tcBorders>
              <w:top w:val="nil"/>
              <w:left w:val="nil"/>
              <w:bottom w:val="single" w:sz="4" w:space="0" w:color="auto"/>
              <w:right w:val="single" w:sz="4" w:space="0" w:color="auto"/>
            </w:tcBorders>
            <w:shd w:val="clear" w:color="000000" w:fill="CE9FA1"/>
            <w:noWrap/>
            <w:vAlign w:val="bottom"/>
            <w:hideMark/>
          </w:tcPr>
          <w:p w14:paraId="711D2DF5"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5,71%</w:t>
            </w:r>
          </w:p>
        </w:tc>
        <w:tc>
          <w:tcPr>
            <w:tcW w:w="496" w:type="dxa"/>
            <w:tcBorders>
              <w:top w:val="nil"/>
              <w:left w:val="nil"/>
              <w:bottom w:val="single" w:sz="4" w:space="0" w:color="auto"/>
              <w:right w:val="single" w:sz="4" w:space="0" w:color="auto"/>
            </w:tcBorders>
            <w:shd w:val="clear" w:color="000000" w:fill="CE9FA1"/>
            <w:noWrap/>
            <w:vAlign w:val="bottom"/>
            <w:hideMark/>
          </w:tcPr>
          <w:p w14:paraId="0779086B"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92</w:t>
            </w:r>
          </w:p>
        </w:tc>
        <w:tc>
          <w:tcPr>
            <w:tcW w:w="772" w:type="dxa"/>
            <w:tcBorders>
              <w:top w:val="nil"/>
              <w:left w:val="nil"/>
              <w:bottom w:val="single" w:sz="4" w:space="0" w:color="auto"/>
              <w:right w:val="single" w:sz="4" w:space="0" w:color="auto"/>
            </w:tcBorders>
            <w:shd w:val="clear" w:color="000000" w:fill="CE9FA1"/>
            <w:noWrap/>
            <w:vAlign w:val="bottom"/>
            <w:hideMark/>
          </w:tcPr>
          <w:p w14:paraId="4944A073"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50,83%</w:t>
            </w:r>
          </w:p>
        </w:tc>
        <w:tc>
          <w:tcPr>
            <w:tcW w:w="496" w:type="dxa"/>
            <w:tcBorders>
              <w:top w:val="nil"/>
              <w:left w:val="nil"/>
              <w:bottom w:val="single" w:sz="4" w:space="0" w:color="auto"/>
              <w:right w:val="single" w:sz="4" w:space="0" w:color="auto"/>
            </w:tcBorders>
            <w:shd w:val="clear" w:color="000000" w:fill="CE9FA1"/>
            <w:noWrap/>
            <w:vAlign w:val="bottom"/>
            <w:hideMark/>
          </w:tcPr>
          <w:p w14:paraId="68CC42BA"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86</w:t>
            </w:r>
          </w:p>
        </w:tc>
        <w:tc>
          <w:tcPr>
            <w:tcW w:w="772" w:type="dxa"/>
            <w:tcBorders>
              <w:top w:val="nil"/>
              <w:left w:val="nil"/>
              <w:bottom w:val="single" w:sz="4" w:space="0" w:color="auto"/>
              <w:right w:val="single" w:sz="4" w:space="0" w:color="auto"/>
            </w:tcBorders>
            <w:shd w:val="clear" w:color="000000" w:fill="CE9FA1"/>
            <w:noWrap/>
            <w:vAlign w:val="bottom"/>
            <w:hideMark/>
          </w:tcPr>
          <w:p w14:paraId="7F28C96F"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51,19%</w:t>
            </w:r>
          </w:p>
        </w:tc>
        <w:tc>
          <w:tcPr>
            <w:tcW w:w="496" w:type="dxa"/>
            <w:tcBorders>
              <w:top w:val="nil"/>
              <w:left w:val="nil"/>
              <w:bottom w:val="single" w:sz="4" w:space="0" w:color="auto"/>
              <w:right w:val="single" w:sz="4" w:space="0" w:color="auto"/>
            </w:tcBorders>
            <w:shd w:val="clear" w:color="000000" w:fill="CE9FA1"/>
            <w:noWrap/>
            <w:vAlign w:val="bottom"/>
            <w:hideMark/>
          </w:tcPr>
          <w:p w14:paraId="5AC4AECB"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91</w:t>
            </w:r>
          </w:p>
        </w:tc>
        <w:tc>
          <w:tcPr>
            <w:tcW w:w="772" w:type="dxa"/>
            <w:tcBorders>
              <w:top w:val="nil"/>
              <w:left w:val="nil"/>
              <w:bottom w:val="single" w:sz="4" w:space="0" w:color="auto"/>
              <w:right w:val="nil"/>
            </w:tcBorders>
            <w:shd w:val="clear" w:color="000000" w:fill="CE9FA1"/>
            <w:noWrap/>
            <w:vAlign w:val="bottom"/>
            <w:hideMark/>
          </w:tcPr>
          <w:p w14:paraId="46728B2C"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40,27%</w:t>
            </w:r>
          </w:p>
        </w:tc>
        <w:tc>
          <w:tcPr>
            <w:tcW w:w="496" w:type="dxa"/>
            <w:tcBorders>
              <w:top w:val="nil"/>
              <w:left w:val="single" w:sz="4" w:space="0" w:color="auto"/>
              <w:bottom w:val="single" w:sz="4" w:space="0" w:color="auto"/>
              <w:right w:val="single" w:sz="4" w:space="0" w:color="auto"/>
            </w:tcBorders>
            <w:shd w:val="clear" w:color="000000" w:fill="CE9FA1"/>
            <w:noWrap/>
            <w:vAlign w:val="bottom"/>
            <w:hideMark/>
          </w:tcPr>
          <w:p w14:paraId="3351E044"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199</w:t>
            </w:r>
          </w:p>
        </w:tc>
        <w:tc>
          <w:tcPr>
            <w:tcW w:w="772" w:type="dxa"/>
            <w:tcBorders>
              <w:top w:val="nil"/>
              <w:left w:val="nil"/>
              <w:bottom w:val="single" w:sz="4" w:space="0" w:color="auto"/>
              <w:right w:val="single" w:sz="4" w:space="0" w:color="auto"/>
            </w:tcBorders>
            <w:shd w:val="clear" w:color="000000" w:fill="CE9FA1"/>
            <w:noWrap/>
            <w:vAlign w:val="bottom"/>
            <w:hideMark/>
          </w:tcPr>
          <w:p w14:paraId="67155CE7"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55,43%</w:t>
            </w:r>
          </w:p>
        </w:tc>
        <w:tc>
          <w:tcPr>
            <w:tcW w:w="548" w:type="dxa"/>
            <w:tcBorders>
              <w:top w:val="nil"/>
              <w:left w:val="nil"/>
              <w:bottom w:val="single" w:sz="4" w:space="0" w:color="auto"/>
              <w:right w:val="single" w:sz="8" w:space="0" w:color="auto"/>
            </w:tcBorders>
            <w:shd w:val="clear" w:color="000000" w:fill="CE9FA1"/>
            <w:noWrap/>
            <w:vAlign w:val="bottom"/>
            <w:hideMark/>
          </w:tcPr>
          <w:p w14:paraId="3999FFB5"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470</w:t>
            </w:r>
          </w:p>
        </w:tc>
      </w:tr>
      <w:tr w:rsidR="00503C25" w:rsidRPr="00503C25" w14:paraId="1F1D6CFB"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1124E36A"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Càrrec polític</w:t>
            </w:r>
          </w:p>
        </w:tc>
        <w:tc>
          <w:tcPr>
            <w:tcW w:w="496" w:type="dxa"/>
            <w:tcBorders>
              <w:top w:val="nil"/>
              <w:left w:val="nil"/>
              <w:bottom w:val="single" w:sz="4" w:space="0" w:color="auto"/>
              <w:right w:val="single" w:sz="4" w:space="0" w:color="auto"/>
            </w:tcBorders>
            <w:shd w:val="clear" w:color="auto" w:fill="auto"/>
            <w:noWrap/>
            <w:vAlign w:val="bottom"/>
            <w:hideMark/>
          </w:tcPr>
          <w:p w14:paraId="4F351A0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43341AB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40F1C3B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15EDDFC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61AFAEA3"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2BCB8406"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3994A7BB"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16F38AB3"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181CBFB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3</w:t>
            </w:r>
          </w:p>
        </w:tc>
        <w:tc>
          <w:tcPr>
            <w:tcW w:w="772" w:type="dxa"/>
            <w:tcBorders>
              <w:top w:val="nil"/>
              <w:left w:val="nil"/>
              <w:bottom w:val="single" w:sz="4" w:space="0" w:color="auto"/>
              <w:right w:val="single" w:sz="4" w:space="0" w:color="auto"/>
            </w:tcBorders>
            <w:shd w:val="clear" w:color="auto" w:fill="auto"/>
            <w:noWrap/>
            <w:vAlign w:val="bottom"/>
            <w:hideMark/>
          </w:tcPr>
          <w:p w14:paraId="21F44672"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0,84%</w:t>
            </w:r>
          </w:p>
        </w:tc>
        <w:tc>
          <w:tcPr>
            <w:tcW w:w="548" w:type="dxa"/>
            <w:tcBorders>
              <w:top w:val="nil"/>
              <w:left w:val="nil"/>
              <w:bottom w:val="single" w:sz="4" w:space="0" w:color="auto"/>
              <w:right w:val="single" w:sz="8" w:space="0" w:color="auto"/>
            </w:tcBorders>
            <w:shd w:val="clear" w:color="auto" w:fill="auto"/>
            <w:noWrap/>
            <w:vAlign w:val="bottom"/>
            <w:hideMark/>
          </w:tcPr>
          <w:p w14:paraId="333F5144"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3</w:t>
            </w:r>
          </w:p>
        </w:tc>
      </w:tr>
      <w:tr w:rsidR="00503C25" w:rsidRPr="00503C25" w14:paraId="0DBEAADD"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46EA9367"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Empleat públic</w:t>
            </w:r>
          </w:p>
        </w:tc>
        <w:tc>
          <w:tcPr>
            <w:tcW w:w="496" w:type="dxa"/>
            <w:tcBorders>
              <w:top w:val="nil"/>
              <w:left w:val="nil"/>
              <w:bottom w:val="single" w:sz="4" w:space="0" w:color="auto"/>
              <w:right w:val="single" w:sz="4" w:space="0" w:color="auto"/>
            </w:tcBorders>
            <w:shd w:val="clear" w:color="auto" w:fill="auto"/>
            <w:noWrap/>
            <w:vAlign w:val="bottom"/>
            <w:hideMark/>
          </w:tcPr>
          <w:p w14:paraId="3025B56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31ADFCB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7AC53526"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7A94DAE0"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3B9DCF1E"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301F829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43E1F31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4E38569B"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625F658D"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16</w:t>
            </w:r>
          </w:p>
        </w:tc>
        <w:tc>
          <w:tcPr>
            <w:tcW w:w="772" w:type="dxa"/>
            <w:tcBorders>
              <w:top w:val="nil"/>
              <w:left w:val="nil"/>
              <w:bottom w:val="single" w:sz="4" w:space="0" w:color="auto"/>
              <w:right w:val="single" w:sz="4" w:space="0" w:color="auto"/>
            </w:tcBorders>
            <w:shd w:val="clear" w:color="auto" w:fill="auto"/>
            <w:noWrap/>
            <w:vAlign w:val="bottom"/>
            <w:hideMark/>
          </w:tcPr>
          <w:p w14:paraId="00C7CBF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4,46%</w:t>
            </w:r>
          </w:p>
        </w:tc>
        <w:tc>
          <w:tcPr>
            <w:tcW w:w="548" w:type="dxa"/>
            <w:tcBorders>
              <w:top w:val="nil"/>
              <w:left w:val="nil"/>
              <w:bottom w:val="single" w:sz="4" w:space="0" w:color="auto"/>
              <w:right w:val="single" w:sz="8" w:space="0" w:color="auto"/>
            </w:tcBorders>
            <w:shd w:val="clear" w:color="auto" w:fill="auto"/>
            <w:noWrap/>
            <w:vAlign w:val="bottom"/>
            <w:hideMark/>
          </w:tcPr>
          <w:p w14:paraId="0BE93C65"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16</w:t>
            </w:r>
          </w:p>
        </w:tc>
      </w:tr>
      <w:tr w:rsidR="00503C25" w:rsidRPr="00503C25" w14:paraId="09A5F449" w14:textId="77777777" w:rsidTr="00443473">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66AD99CA" w14:textId="77777777" w:rsidR="00503C25" w:rsidRPr="00503C25" w:rsidRDefault="00503C25" w:rsidP="00503C25">
            <w:pPr>
              <w:spacing w:after="0" w:line="240" w:lineRule="auto"/>
              <w:rPr>
                <w:rFonts w:ascii="Arial" w:eastAsia="Times New Roman" w:hAnsi="Arial" w:cs="Arial"/>
                <w:color w:val="000000"/>
                <w:sz w:val="16"/>
                <w:szCs w:val="16"/>
                <w:lang w:val="ca-ES" w:eastAsia="es-ES"/>
              </w:rPr>
            </w:pPr>
            <w:r w:rsidRPr="00503C25">
              <w:rPr>
                <w:rFonts w:ascii="Arial" w:hAnsi="Arial" w:cs="Arial"/>
                <w:color w:val="000000"/>
                <w:sz w:val="16"/>
                <w:szCs w:val="16"/>
                <w:lang w:val="ca-ES"/>
              </w:rPr>
              <w:t>Particular</w:t>
            </w:r>
          </w:p>
        </w:tc>
        <w:tc>
          <w:tcPr>
            <w:tcW w:w="496" w:type="dxa"/>
            <w:tcBorders>
              <w:top w:val="nil"/>
              <w:left w:val="nil"/>
              <w:bottom w:val="single" w:sz="4" w:space="0" w:color="auto"/>
              <w:right w:val="single" w:sz="4" w:space="0" w:color="auto"/>
            </w:tcBorders>
            <w:shd w:val="clear" w:color="auto" w:fill="auto"/>
            <w:noWrap/>
            <w:vAlign w:val="bottom"/>
            <w:hideMark/>
          </w:tcPr>
          <w:p w14:paraId="2CF1D71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54D5D437"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2A3B1EAB"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3914540C"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5BE9269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1A7ABE69"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71E77B2A"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586CDCDD"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6361E59F"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16</w:t>
            </w:r>
          </w:p>
        </w:tc>
        <w:tc>
          <w:tcPr>
            <w:tcW w:w="772" w:type="dxa"/>
            <w:tcBorders>
              <w:top w:val="nil"/>
              <w:left w:val="nil"/>
              <w:bottom w:val="single" w:sz="4" w:space="0" w:color="auto"/>
              <w:right w:val="single" w:sz="4" w:space="0" w:color="auto"/>
            </w:tcBorders>
            <w:shd w:val="clear" w:color="auto" w:fill="auto"/>
            <w:noWrap/>
            <w:vAlign w:val="bottom"/>
            <w:hideMark/>
          </w:tcPr>
          <w:p w14:paraId="3DB2EEB6"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4,46%</w:t>
            </w:r>
          </w:p>
        </w:tc>
        <w:tc>
          <w:tcPr>
            <w:tcW w:w="548" w:type="dxa"/>
            <w:tcBorders>
              <w:top w:val="nil"/>
              <w:left w:val="nil"/>
              <w:bottom w:val="single" w:sz="4" w:space="0" w:color="auto"/>
              <w:right w:val="single" w:sz="8" w:space="0" w:color="auto"/>
            </w:tcBorders>
            <w:shd w:val="clear" w:color="auto" w:fill="auto"/>
            <w:noWrap/>
            <w:vAlign w:val="bottom"/>
            <w:hideMark/>
          </w:tcPr>
          <w:p w14:paraId="147C8FD1" w14:textId="77777777" w:rsidR="00503C25" w:rsidRPr="00503C25" w:rsidRDefault="00503C25" w:rsidP="00503C25">
            <w:pPr>
              <w:spacing w:after="0" w:line="240" w:lineRule="auto"/>
              <w:jc w:val="center"/>
              <w:rPr>
                <w:rFonts w:ascii="Arial" w:eastAsia="Times New Roman" w:hAnsi="Arial" w:cs="Arial"/>
                <w:color w:val="000000"/>
                <w:sz w:val="16"/>
                <w:szCs w:val="16"/>
                <w:lang w:val="ca-ES" w:eastAsia="es-ES"/>
              </w:rPr>
            </w:pPr>
            <w:r w:rsidRPr="00503C25">
              <w:rPr>
                <w:rFonts w:ascii="Arial" w:eastAsia="Times New Roman" w:hAnsi="Arial" w:cs="Arial"/>
                <w:color w:val="000000"/>
                <w:sz w:val="16"/>
                <w:szCs w:val="16"/>
                <w:lang w:val="ca-ES" w:eastAsia="es-ES"/>
              </w:rPr>
              <w:t>16</w:t>
            </w:r>
          </w:p>
        </w:tc>
      </w:tr>
      <w:tr w:rsidR="00503C25" w:rsidRPr="00503C25" w14:paraId="15B0FD91" w14:textId="77777777" w:rsidTr="00443473">
        <w:trPr>
          <w:trHeight w:val="300"/>
        </w:trPr>
        <w:tc>
          <w:tcPr>
            <w:tcW w:w="1560" w:type="dxa"/>
            <w:tcBorders>
              <w:top w:val="nil"/>
              <w:left w:val="single" w:sz="8" w:space="0" w:color="auto"/>
              <w:bottom w:val="single" w:sz="8" w:space="0" w:color="auto"/>
              <w:right w:val="single" w:sz="4" w:space="0" w:color="auto"/>
            </w:tcBorders>
            <w:shd w:val="clear" w:color="auto" w:fill="auto"/>
            <w:noWrap/>
            <w:vAlign w:val="bottom"/>
            <w:hideMark/>
          </w:tcPr>
          <w:p w14:paraId="3E994034" w14:textId="77777777" w:rsidR="00503C25" w:rsidRPr="00503C25" w:rsidRDefault="00503C25" w:rsidP="00503C25">
            <w:pPr>
              <w:spacing w:after="0" w:line="240" w:lineRule="auto"/>
              <w:jc w:val="right"/>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TOTAL</w:t>
            </w:r>
          </w:p>
        </w:tc>
        <w:tc>
          <w:tcPr>
            <w:tcW w:w="496" w:type="dxa"/>
            <w:tcBorders>
              <w:top w:val="nil"/>
              <w:left w:val="nil"/>
              <w:bottom w:val="single" w:sz="8" w:space="0" w:color="auto"/>
              <w:right w:val="single" w:sz="4" w:space="0" w:color="auto"/>
            </w:tcBorders>
            <w:shd w:val="clear" w:color="auto" w:fill="auto"/>
            <w:noWrap/>
            <w:vAlign w:val="bottom"/>
            <w:hideMark/>
          </w:tcPr>
          <w:p w14:paraId="1840E0C3"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35</w:t>
            </w:r>
          </w:p>
        </w:tc>
        <w:tc>
          <w:tcPr>
            <w:tcW w:w="772" w:type="dxa"/>
            <w:tcBorders>
              <w:top w:val="nil"/>
              <w:left w:val="nil"/>
              <w:bottom w:val="single" w:sz="8" w:space="0" w:color="auto"/>
              <w:right w:val="single" w:sz="4" w:space="0" w:color="auto"/>
            </w:tcBorders>
            <w:shd w:val="clear" w:color="auto" w:fill="auto"/>
            <w:noWrap/>
            <w:vAlign w:val="bottom"/>
            <w:hideMark/>
          </w:tcPr>
          <w:p w14:paraId="0BFB5277"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100,00%</w:t>
            </w:r>
          </w:p>
        </w:tc>
        <w:tc>
          <w:tcPr>
            <w:tcW w:w="496" w:type="dxa"/>
            <w:tcBorders>
              <w:top w:val="nil"/>
              <w:left w:val="nil"/>
              <w:bottom w:val="single" w:sz="8" w:space="0" w:color="auto"/>
              <w:right w:val="single" w:sz="4" w:space="0" w:color="auto"/>
            </w:tcBorders>
            <w:shd w:val="clear" w:color="auto" w:fill="auto"/>
            <w:noWrap/>
            <w:vAlign w:val="bottom"/>
            <w:hideMark/>
          </w:tcPr>
          <w:p w14:paraId="4397467E"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181</w:t>
            </w:r>
          </w:p>
        </w:tc>
        <w:tc>
          <w:tcPr>
            <w:tcW w:w="772" w:type="dxa"/>
            <w:tcBorders>
              <w:top w:val="nil"/>
              <w:left w:val="nil"/>
              <w:bottom w:val="single" w:sz="8" w:space="0" w:color="auto"/>
              <w:right w:val="single" w:sz="4" w:space="0" w:color="auto"/>
            </w:tcBorders>
            <w:shd w:val="clear" w:color="auto" w:fill="auto"/>
            <w:noWrap/>
            <w:vAlign w:val="bottom"/>
            <w:hideMark/>
          </w:tcPr>
          <w:p w14:paraId="1D783082"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100,00%</w:t>
            </w:r>
          </w:p>
        </w:tc>
        <w:tc>
          <w:tcPr>
            <w:tcW w:w="496" w:type="dxa"/>
            <w:tcBorders>
              <w:top w:val="nil"/>
              <w:left w:val="nil"/>
              <w:bottom w:val="single" w:sz="8" w:space="0" w:color="auto"/>
              <w:right w:val="single" w:sz="4" w:space="0" w:color="auto"/>
            </w:tcBorders>
            <w:shd w:val="clear" w:color="auto" w:fill="auto"/>
            <w:noWrap/>
            <w:vAlign w:val="bottom"/>
            <w:hideMark/>
          </w:tcPr>
          <w:p w14:paraId="26E9B1D0"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168</w:t>
            </w:r>
          </w:p>
        </w:tc>
        <w:tc>
          <w:tcPr>
            <w:tcW w:w="772" w:type="dxa"/>
            <w:tcBorders>
              <w:top w:val="nil"/>
              <w:left w:val="nil"/>
              <w:bottom w:val="single" w:sz="8" w:space="0" w:color="auto"/>
              <w:right w:val="single" w:sz="4" w:space="0" w:color="auto"/>
            </w:tcBorders>
            <w:shd w:val="clear" w:color="auto" w:fill="auto"/>
            <w:noWrap/>
            <w:vAlign w:val="bottom"/>
            <w:hideMark/>
          </w:tcPr>
          <w:p w14:paraId="6E573015"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100,00%</w:t>
            </w:r>
          </w:p>
        </w:tc>
        <w:tc>
          <w:tcPr>
            <w:tcW w:w="496" w:type="dxa"/>
            <w:tcBorders>
              <w:top w:val="nil"/>
              <w:left w:val="nil"/>
              <w:bottom w:val="single" w:sz="8" w:space="0" w:color="auto"/>
              <w:right w:val="single" w:sz="4" w:space="0" w:color="auto"/>
            </w:tcBorders>
            <w:shd w:val="clear" w:color="auto" w:fill="auto"/>
            <w:noWrap/>
            <w:vAlign w:val="bottom"/>
            <w:hideMark/>
          </w:tcPr>
          <w:p w14:paraId="21DC8653"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226</w:t>
            </w:r>
          </w:p>
        </w:tc>
        <w:tc>
          <w:tcPr>
            <w:tcW w:w="772" w:type="dxa"/>
            <w:tcBorders>
              <w:top w:val="nil"/>
              <w:left w:val="nil"/>
              <w:bottom w:val="single" w:sz="8" w:space="0" w:color="auto"/>
              <w:right w:val="nil"/>
            </w:tcBorders>
            <w:shd w:val="clear" w:color="auto" w:fill="auto"/>
            <w:noWrap/>
            <w:vAlign w:val="bottom"/>
            <w:hideMark/>
          </w:tcPr>
          <w:p w14:paraId="2419D8D3"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100,00%</w:t>
            </w:r>
          </w:p>
        </w:tc>
        <w:tc>
          <w:tcPr>
            <w:tcW w:w="496" w:type="dxa"/>
            <w:tcBorders>
              <w:top w:val="nil"/>
              <w:left w:val="single" w:sz="4" w:space="0" w:color="auto"/>
              <w:bottom w:val="single" w:sz="8" w:space="0" w:color="auto"/>
              <w:right w:val="single" w:sz="4" w:space="0" w:color="auto"/>
            </w:tcBorders>
            <w:shd w:val="clear" w:color="auto" w:fill="auto"/>
            <w:noWrap/>
            <w:vAlign w:val="bottom"/>
            <w:hideMark/>
          </w:tcPr>
          <w:p w14:paraId="0E9FD2C0"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359</w:t>
            </w:r>
          </w:p>
        </w:tc>
        <w:tc>
          <w:tcPr>
            <w:tcW w:w="772" w:type="dxa"/>
            <w:tcBorders>
              <w:top w:val="nil"/>
              <w:left w:val="nil"/>
              <w:bottom w:val="single" w:sz="8" w:space="0" w:color="auto"/>
              <w:right w:val="single" w:sz="4" w:space="0" w:color="auto"/>
            </w:tcBorders>
            <w:shd w:val="clear" w:color="auto" w:fill="auto"/>
            <w:noWrap/>
            <w:vAlign w:val="bottom"/>
            <w:hideMark/>
          </w:tcPr>
          <w:p w14:paraId="2464B6CA"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100,00%</w:t>
            </w:r>
          </w:p>
        </w:tc>
        <w:tc>
          <w:tcPr>
            <w:tcW w:w="548" w:type="dxa"/>
            <w:tcBorders>
              <w:top w:val="nil"/>
              <w:left w:val="nil"/>
              <w:bottom w:val="single" w:sz="8" w:space="0" w:color="auto"/>
              <w:right w:val="single" w:sz="8" w:space="0" w:color="auto"/>
            </w:tcBorders>
            <w:shd w:val="clear" w:color="auto" w:fill="auto"/>
            <w:noWrap/>
            <w:vAlign w:val="bottom"/>
            <w:hideMark/>
          </w:tcPr>
          <w:p w14:paraId="46C52F36" w14:textId="77777777" w:rsidR="00503C25" w:rsidRPr="00503C25" w:rsidRDefault="00503C25" w:rsidP="00503C25">
            <w:pPr>
              <w:spacing w:after="0" w:line="240" w:lineRule="auto"/>
              <w:jc w:val="center"/>
              <w:rPr>
                <w:rFonts w:ascii="Arial" w:eastAsia="Times New Roman" w:hAnsi="Arial" w:cs="Arial"/>
                <w:b/>
                <w:bCs/>
                <w:color w:val="000000"/>
                <w:sz w:val="16"/>
                <w:szCs w:val="16"/>
                <w:lang w:val="ca-ES" w:eastAsia="es-ES"/>
              </w:rPr>
            </w:pPr>
            <w:r w:rsidRPr="00503C25">
              <w:rPr>
                <w:rFonts w:ascii="Arial" w:eastAsia="Times New Roman" w:hAnsi="Arial" w:cs="Arial"/>
                <w:b/>
                <w:bCs/>
                <w:color w:val="000000"/>
                <w:sz w:val="16"/>
                <w:szCs w:val="16"/>
                <w:lang w:val="ca-ES" w:eastAsia="es-ES"/>
              </w:rPr>
              <w:t>969</w:t>
            </w:r>
          </w:p>
        </w:tc>
      </w:tr>
    </w:tbl>
    <w:p w14:paraId="6C1CBE61" w14:textId="25C07CA3" w:rsidR="008F6CB1" w:rsidRPr="00503C25" w:rsidRDefault="008F6CB1" w:rsidP="00840805">
      <w:pPr>
        <w:spacing w:after="120" w:line="276" w:lineRule="auto"/>
        <w:rPr>
          <w:rFonts w:ascii="Arial" w:eastAsia="Times New Roman" w:hAnsi="Arial" w:cs="Arial"/>
          <w:color w:val="000000"/>
          <w:sz w:val="21"/>
          <w:szCs w:val="21"/>
          <w:lang w:val="ca-ES"/>
        </w:rPr>
      </w:pPr>
    </w:p>
    <w:p w14:paraId="0067FD6C" w14:textId="77777777" w:rsidR="00840805" w:rsidRDefault="00840805" w:rsidP="00840805">
      <w:pPr>
        <w:keepNext/>
        <w:spacing w:after="120" w:line="276" w:lineRule="auto"/>
        <w:jc w:val="center"/>
      </w:pPr>
      <w:r w:rsidRPr="001E45F9">
        <w:rPr>
          <w:noProof/>
          <w:lang w:val="ca-ES"/>
        </w:rPr>
        <w:drawing>
          <wp:inline distT="0" distB="0" distL="0" distR="0" wp14:anchorId="3F936F44" wp14:editId="6707E121">
            <wp:extent cx="5400040" cy="2571750"/>
            <wp:effectExtent l="0" t="0" r="10160" b="0"/>
            <wp:docPr id="80" name="Gráfico 80">
              <a:extLst xmlns:a="http://schemas.openxmlformats.org/drawingml/2006/main">
                <a:ext uri="{FF2B5EF4-FFF2-40B4-BE49-F238E27FC236}">
                  <a16:creationId xmlns:a16="http://schemas.microsoft.com/office/drawing/2014/main" id="{2040559F-878F-48D7-95D8-8FE25A8FEF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7"/>
              </a:graphicData>
            </a:graphic>
          </wp:inline>
        </w:drawing>
      </w:r>
    </w:p>
    <w:p w14:paraId="647A342E" w14:textId="4D9D21C2" w:rsidR="008F6CB1" w:rsidRPr="00840805" w:rsidRDefault="00840805" w:rsidP="00840805">
      <w:pPr>
        <w:pStyle w:val="Descripcin"/>
        <w:jc w:val="center"/>
        <w:rPr>
          <w:rFonts w:ascii="Arial" w:eastAsia="Times New Roman" w:hAnsi="Arial" w:cs="Arial"/>
          <w:smallCaps w:val="0"/>
          <w:color w:val="000000"/>
          <w:sz w:val="18"/>
          <w:szCs w:val="18"/>
        </w:rPr>
      </w:pPr>
      <w:bookmarkStart w:id="175" w:name="_Toc99110977"/>
      <w:r w:rsidRPr="00840805">
        <w:rPr>
          <w:rFonts w:ascii="Arial" w:hAnsi="Arial" w:cs="Arial"/>
          <w:smallCaps w:val="0"/>
          <w:color w:val="9D2235" w:themeColor="accent1"/>
          <w:sz w:val="18"/>
          <w:szCs w:val="18"/>
        </w:rPr>
        <w:t xml:space="preserve">Gràfic </w:t>
      </w:r>
      <w:r w:rsidRPr="00840805">
        <w:rPr>
          <w:rFonts w:ascii="Arial" w:hAnsi="Arial" w:cs="Arial"/>
          <w:smallCaps w:val="0"/>
          <w:color w:val="9D2235" w:themeColor="accent1"/>
          <w:sz w:val="18"/>
          <w:szCs w:val="18"/>
        </w:rPr>
        <w:fldChar w:fldCharType="begin" w:fldLock="1"/>
      </w:r>
      <w:r w:rsidRPr="00840805">
        <w:rPr>
          <w:rFonts w:ascii="Arial" w:hAnsi="Arial" w:cs="Arial"/>
          <w:smallCaps w:val="0"/>
          <w:color w:val="9D2235" w:themeColor="accent1"/>
          <w:sz w:val="18"/>
          <w:szCs w:val="18"/>
        </w:rPr>
        <w:instrText xml:space="preserve"> SEQ Gràfic \* ARABIC </w:instrText>
      </w:r>
      <w:r w:rsidRPr="00840805">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18</w:t>
      </w:r>
      <w:r w:rsidRPr="00840805">
        <w:rPr>
          <w:rFonts w:ascii="Arial" w:hAnsi="Arial" w:cs="Arial"/>
          <w:smallCaps w:val="0"/>
          <w:color w:val="9D2235" w:themeColor="accent1"/>
          <w:sz w:val="18"/>
          <w:szCs w:val="18"/>
        </w:rPr>
        <w:fldChar w:fldCharType="end"/>
      </w:r>
      <w:r w:rsidRPr="00840805">
        <w:rPr>
          <w:rFonts w:ascii="Arial" w:hAnsi="Arial" w:cs="Arial"/>
          <w:smallCaps w:val="0"/>
          <w:color w:val="9D2235" w:themeColor="accent1"/>
          <w:sz w:val="18"/>
          <w:szCs w:val="18"/>
        </w:rPr>
        <w:t xml:space="preserve">. </w:t>
      </w:r>
      <w:r w:rsidRPr="00840805">
        <w:rPr>
          <w:rFonts w:ascii="Arial" w:hAnsi="Arial" w:cs="Arial"/>
          <w:smallCaps w:val="0"/>
          <w:sz w:val="18"/>
          <w:szCs w:val="18"/>
        </w:rPr>
        <w:t>Denúncies presentades segons la tipologia, condició o naturalesa del comunicant</w:t>
      </w:r>
      <w:bookmarkEnd w:id="175"/>
    </w:p>
    <w:p w14:paraId="447CFA68" w14:textId="77777777" w:rsidR="00840805" w:rsidRPr="00840805" w:rsidRDefault="00840805" w:rsidP="00840805">
      <w:pPr>
        <w:spacing w:after="240" w:line="276" w:lineRule="auto"/>
        <w:jc w:val="both"/>
        <w:rPr>
          <w:rFonts w:ascii="Arial" w:eastAsia="Times New Roman" w:hAnsi="Arial" w:cs="Arial"/>
          <w:color w:val="000000"/>
          <w:sz w:val="21"/>
          <w:szCs w:val="21"/>
        </w:rPr>
      </w:pPr>
      <w:r w:rsidRPr="00840805">
        <w:rPr>
          <w:rFonts w:ascii="Arial" w:eastAsia="Times New Roman" w:hAnsi="Arial" w:cs="Arial"/>
          <w:color w:val="000000"/>
          <w:sz w:val="21"/>
          <w:szCs w:val="21"/>
        </w:rPr>
        <w:t>De les dades incloses en les taules anteriors, es pot observar que, en 2021, el 55,43% del total de denúncies s'han presentat anònimes, percentatge que ha augmentat respecte els dos anys precedents, sent l'exercici amb major volum de denúncies anònimes.</w:t>
      </w:r>
    </w:p>
    <w:p w14:paraId="099F3E67" w14:textId="77777777" w:rsidR="00840805" w:rsidRPr="00840805" w:rsidRDefault="00840805" w:rsidP="00840805">
      <w:pPr>
        <w:spacing w:after="240" w:line="276" w:lineRule="auto"/>
        <w:jc w:val="both"/>
        <w:rPr>
          <w:rFonts w:ascii="Arial" w:eastAsia="Times New Roman" w:hAnsi="Arial" w:cs="Arial"/>
          <w:color w:val="000000"/>
          <w:sz w:val="21"/>
          <w:szCs w:val="21"/>
        </w:rPr>
      </w:pPr>
      <w:r w:rsidRPr="00840805">
        <w:rPr>
          <w:rFonts w:ascii="Arial" w:eastAsia="Times New Roman" w:hAnsi="Arial" w:cs="Arial"/>
          <w:color w:val="000000"/>
          <w:sz w:val="21"/>
          <w:szCs w:val="21"/>
        </w:rPr>
        <w:t>De les denúncies identificades, el 39,55% han sigut presentades per persones físiques, representant una minoració de més de 12% percentuals respecte a 2020, i dins d'estes, el 15,60% de les denúncies presentades corresponen amb empleats públics. Les denúncies presentades per persones jurídiques identificades representen el 5,01% del total, enfront del 6,64% que representaven en 2020.</w:t>
      </w:r>
    </w:p>
    <w:p w14:paraId="3D29A7FF" w14:textId="77777777" w:rsidR="00840805" w:rsidRPr="00840805" w:rsidRDefault="00840805" w:rsidP="00840805">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76" w:name="_Toc99110722"/>
      <w:r w:rsidRPr="00840805">
        <w:rPr>
          <w:rFonts w:ascii="Arial" w:eastAsia="Times New Roman" w:hAnsi="Arial" w:cs="Arial"/>
          <w:b/>
          <w:color w:val="9D2235"/>
          <w:sz w:val="28"/>
          <w:szCs w:val="28"/>
        </w:rPr>
        <w:t>Denúncies de persones físiques classificades per gènere</w:t>
      </w:r>
      <w:bookmarkEnd w:id="176"/>
    </w:p>
    <w:p w14:paraId="021EAC6B" w14:textId="77777777" w:rsidR="00840805" w:rsidRPr="00840805" w:rsidRDefault="00840805" w:rsidP="00840805">
      <w:pPr>
        <w:spacing w:after="240" w:line="276" w:lineRule="auto"/>
        <w:jc w:val="both"/>
        <w:rPr>
          <w:rFonts w:ascii="Arial" w:eastAsia="Times New Roman" w:hAnsi="Arial" w:cs="Arial"/>
          <w:color w:val="000000"/>
          <w:sz w:val="21"/>
          <w:szCs w:val="21"/>
        </w:rPr>
      </w:pPr>
      <w:r w:rsidRPr="00840805">
        <w:rPr>
          <w:rFonts w:ascii="Arial" w:eastAsia="Times New Roman" w:hAnsi="Arial" w:cs="Arial"/>
          <w:color w:val="000000"/>
          <w:sz w:val="21"/>
          <w:szCs w:val="21"/>
        </w:rPr>
        <w:t>Seguint amb la informació facilitada en les anteriors memòries de l'Agència, es finalitza l'exposició de dades de rellevància estadística, realitzant-se una breu anàlisi de la distribució de les denúncies segons el gènere del denunciant, en aquells supòsits en què s'ha pogut identificar el mateix.</w:t>
      </w:r>
    </w:p>
    <w:p w14:paraId="1B24D930" w14:textId="53E2694B" w:rsidR="00E83731" w:rsidRPr="00E83731" w:rsidRDefault="00E83731" w:rsidP="00E83731">
      <w:pPr>
        <w:pStyle w:val="Descripcin"/>
        <w:keepNext/>
        <w:rPr>
          <w:rFonts w:ascii="Arial" w:hAnsi="Arial" w:cs="Arial"/>
          <w:smallCaps w:val="0"/>
          <w:sz w:val="18"/>
          <w:szCs w:val="18"/>
        </w:rPr>
      </w:pPr>
      <w:bookmarkStart w:id="177" w:name="_Toc99110859"/>
      <w:r w:rsidRPr="00E83731">
        <w:rPr>
          <w:rFonts w:ascii="Arial" w:hAnsi="Arial" w:cs="Arial"/>
          <w:smallCaps w:val="0"/>
          <w:color w:val="9D2235" w:themeColor="accent1"/>
          <w:sz w:val="18"/>
          <w:szCs w:val="18"/>
        </w:rPr>
        <w:t xml:space="preserve">Taula </w:t>
      </w:r>
      <w:r w:rsidRPr="00E83731">
        <w:rPr>
          <w:rFonts w:ascii="Arial" w:hAnsi="Arial" w:cs="Arial"/>
          <w:smallCaps w:val="0"/>
          <w:color w:val="9D2235" w:themeColor="accent1"/>
          <w:sz w:val="18"/>
          <w:szCs w:val="18"/>
        </w:rPr>
        <w:fldChar w:fldCharType="begin" w:fldLock="1"/>
      </w:r>
      <w:r w:rsidRPr="00E83731">
        <w:rPr>
          <w:rFonts w:ascii="Arial" w:hAnsi="Arial" w:cs="Arial"/>
          <w:smallCaps w:val="0"/>
          <w:color w:val="9D2235" w:themeColor="accent1"/>
          <w:sz w:val="18"/>
          <w:szCs w:val="18"/>
        </w:rPr>
        <w:instrText xml:space="preserve"> SEQ Taula \* ARABIC </w:instrText>
      </w:r>
      <w:r w:rsidRPr="00E83731">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14</w:t>
      </w:r>
      <w:r w:rsidRPr="00E83731">
        <w:rPr>
          <w:rFonts w:ascii="Arial" w:hAnsi="Arial" w:cs="Arial"/>
          <w:smallCaps w:val="0"/>
          <w:color w:val="9D2235" w:themeColor="accent1"/>
          <w:sz w:val="18"/>
          <w:szCs w:val="18"/>
        </w:rPr>
        <w:fldChar w:fldCharType="end"/>
      </w:r>
      <w:r w:rsidRPr="00E83731">
        <w:rPr>
          <w:rFonts w:ascii="Arial" w:hAnsi="Arial" w:cs="Arial"/>
          <w:smallCaps w:val="0"/>
          <w:color w:val="9D2235" w:themeColor="accent1"/>
          <w:sz w:val="18"/>
          <w:szCs w:val="18"/>
        </w:rPr>
        <w:t xml:space="preserve">. </w:t>
      </w:r>
      <w:r w:rsidRPr="00E83731">
        <w:rPr>
          <w:rFonts w:ascii="Arial" w:hAnsi="Arial" w:cs="Arial"/>
          <w:smallCaps w:val="0"/>
          <w:sz w:val="18"/>
          <w:szCs w:val="18"/>
        </w:rPr>
        <w:t>Denúncies de persones físiques classificades per gènere</w:t>
      </w:r>
      <w:bookmarkEnd w:id="177"/>
    </w:p>
    <w:tbl>
      <w:tblPr>
        <w:tblW w:w="5000" w:type="pct"/>
        <w:tblCellMar>
          <w:left w:w="70" w:type="dxa"/>
          <w:right w:w="70" w:type="dxa"/>
        </w:tblCellMar>
        <w:tblLook w:val="04A0" w:firstRow="1" w:lastRow="0" w:firstColumn="1" w:lastColumn="0" w:noHBand="0" w:noVBand="1"/>
      </w:tblPr>
      <w:tblGrid>
        <w:gridCol w:w="1813"/>
        <w:gridCol w:w="400"/>
        <w:gridCol w:w="852"/>
        <w:gridCol w:w="400"/>
        <w:gridCol w:w="852"/>
        <w:gridCol w:w="404"/>
        <w:gridCol w:w="852"/>
        <w:gridCol w:w="512"/>
        <w:gridCol w:w="745"/>
        <w:gridCol w:w="677"/>
        <w:gridCol w:w="977"/>
      </w:tblGrid>
      <w:tr w:rsidR="00E83731" w:rsidRPr="00E83731" w14:paraId="567235DB" w14:textId="77777777" w:rsidTr="00E83731">
        <w:trPr>
          <w:trHeight w:val="300"/>
          <w:tblHeader/>
        </w:trPr>
        <w:tc>
          <w:tcPr>
            <w:tcW w:w="1068" w:type="pct"/>
            <w:vMerge w:val="restart"/>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67B8630E" w14:textId="77777777" w:rsidR="00E83731" w:rsidRPr="00E83731" w:rsidRDefault="00E83731" w:rsidP="00E83731">
            <w:pPr>
              <w:spacing w:after="0" w:line="240" w:lineRule="auto"/>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Gènere persona física</w:t>
            </w:r>
          </w:p>
        </w:tc>
        <w:tc>
          <w:tcPr>
            <w:tcW w:w="738"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27BD10D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2017</w:t>
            </w:r>
          </w:p>
        </w:tc>
        <w:tc>
          <w:tcPr>
            <w:tcW w:w="738"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1B3AD7A7"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2018</w:t>
            </w:r>
          </w:p>
        </w:tc>
        <w:tc>
          <w:tcPr>
            <w:tcW w:w="740"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3B6FDE36"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2019</w:t>
            </w:r>
          </w:p>
        </w:tc>
        <w:tc>
          <w:tcPr>
            <w:tcW w:w="741" w:type="pct"/>
            <w:gridSpan w:val="2"/>
            <w:tcBorders>
              <w:top w:val="single" w:sz="8" w:space="0" w:color="auto"/>
              <w:left w:val="nil"/>
              <w:bottom w:val="single" w:sz="4" w:space="0" w:color="auto"/>
              <w:right w:val="single" w:sz="8" w:space="0" w:color="000000"/>
            </w:tcBorders>
            <w:shd w:val="clear" w:color="000000" w:fill="B6A39A"/>
            <w:noWrap/>
            <w:vAlign w:val="bottom"/>
            <w:hideMark/>
          </w:tcPr>
          <w:p w14:paraId="4DAC8E77"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2020</w:t>
            </w:r>
          </w:p>
        </w:tc>
        <w:tc>
          <w:tcPr>
            <w:tcW w:w="975" w:type="pct"/>
            <w:gridSpan w:val="2"/>
            <w:tcBorders>
              <w:top w:val="single" w:sz="8" w:space="0" w:color="auto"/>
              <w:left w:val="single" w:sz="4" w:space="0" w:color="auto"/>
              <w:bottom w:val="single" w:sz="4" w:space="0" w:color="auto"/>
              <w:right w:val="single" w:sz="8" w:space="0" w:color="000000"/>
            </w:tcBorders>
            <w:shd w:val="clear" w:color="000000" w:fill="B6A39A"/>
            <w:noWrap/>
            <w:vAlign w:val="bottom"/>
            <w:hideMark/>
          </w:tcPr>
          <w:p w14:paraId="6FE244B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2021</w:t>
            </w:r>
          </w:p>
        </w:tc>
      </w:tr>
      <w:tr w:rsidR="00E83731" w:rsidRPr="00E83731" w14:paraId="1E5F4D4B" w14:textId="77777777" w:rsidTr="00E83731">
        <w:trPr>
          <w:trHeight w:val="300"/>
          <w:tblHeader/>
        </w:trPr>
        <w:tc>
          <w:tcPr>
            <w:tcW w:w="1068" w:type="pct"/>
            <w:vMerge/>
            <w:tcBorders>
              <w:top w:val="single" w:sz="8" w:space="0" w:color="auto"/>
              <w:left w:val="single" w:sz="8" w:space="0" w:color="auto"/>
              <w:bottom w:val="single" w:sz="4" w:space="0" w:color="auto"/>
              <w:right w:val="single" w:sz="4" w:space="0" w:color="auto"/>
            </w:tcBorders>
            <w:vAlign w:val="center"/>
            <w:hideMark/>
          </w:tcPr>
          <w:p w14:paraId="768900A0" w14:textId="77777777" w:rsidR="00E83731" w:rsidRPr="00E83731" w:rsidRDefault="00E83731" w:rsidP="00E83731">
            <w:pPr>
              <w:spacing w:after="0" w:line="240" w:lineRule="auto"/>
              <w:rPr>
                <w:rFonts w:ascii="Arial" w:eastAsia="Times New Roman" w:hAnsi="Arial" w:cs="Arial"/>
                <w:b/>
                <w:bCs/>
                <w:color w:val="000000"/>
                <w:sz w:val="16"/>
                <w:szCs w:val="16"/>
                <w:lang w:val="ca-ES" w:eastAsia="es-ES"/>
              </w:rPr>
            </w:pPr>
          </w:p>
        </w:tc>
        <w:tc>
          <w:tcPr>
            <w:tcW w:w="236" w:type="pct"/>
            <w:tcBorders>
              <w:top w:val="nil"/>
              <w:left w:val="nil"/>
              <w:bottom w:val="single" w:sz="4" w:space="0" w:color="auto"/>
              <w:right w:val="single" w:sz="4" w:space="0" w:color="auto"/>
            </w:tcBorders>
            <w:shd w:val="clear" w:color="000000" w:fill="B6A39A"/>
            <w:noWrap/>
            <w:vAlign w:val="bottom"/>
            <w:hideMark/>
          </w:tcPr>
          <w:p w14:paraId="00E9F3D0"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502" w:type="pct"/>
            <w:tcBorders>
              <w:top w:val="nil"/>
              <w:left w:val="nil"/>
              <w:bottom w:val="single" w:sz="4" w:space="0" w:color="auto"/>
              <w:right w:val="single" w:sz="4" w:space="0" w:color="auto"/>
            </w:tcBorders>
            <w:shd w:val="clear" w:color="000000" w:fill="B6A39A"/>
            <w:noWrap/>
            <w:vAlign w:val="bottom"/>
            <w:hideMark/>
          </w:tcPr>
          <w:p w14:paraId="2A3B257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236" w:type="pct"/>
            <w:tcBorders>
              <w:top w:val="nil"/>
              <w:left w:val="nil"/>
              <w:bottom w:val="single" w:sz="4" w:space="0" w:color="auto"/>
              <w:right w:val="single" w:sz="4" w:space="0" w:color="auto"/>
            </w:tcBorders>
            <w:shd w:val="clear" w:color="000000" w:fill="B6A39A"/>
            <w:noWrap/>
            <w:vAlign w:val="bottom"/>
            <w:hideMark/>
          </w:tcPr>
          <w:p w14:paraId="3A182057"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502" w:type="pct"/>
            <w:tcBorders>
              <w:top w:val="nil"/>
              <w:left w:val="nil"/>
              <w:bottom w:val="single" w:sz="4" w:space="0" w:color="auto"/>
              <w:right w:val="single" w:sz="4" w:space="0" w:color="auto"/>
            </w:tcBorders>
            <w:shd w:val="clear" w:color="000000" w:fill="B6A39A"/>
            <w:noWrap/>
            <w:vAlign w:val="bottom"/>
            <w:hideMark/>
          </w:tcPr>
          <w:p w14:paraId="4A9D891A"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238" w:type="pct"/>
            <w:tcBorders>
              <w:top w:val="nil"/>
              <w:left w:val="nil"/>
              <w:bottom w:val="single" w:sz="4" w:space="0" w:color="auto"/>
              <w:right w:val="single" w:sz="4" w:space="0" w:color="auto"/>
            </w:tcBorders>
            <w:shd w:val="clear" w:color="000000" w:fill="B6A39A"/>
            <w:noWrap/>
            <w:vAlign w:val="bottom"/>
            <w:hideMark/>
          </w:tcPr>
          <w:p w14:paraId="18A1845D"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502" w:type="pct"/>
            <w:tcBorders>
              <w:top w:val="nil"/>
              <w:left w:val="nil"/>
              <w:bottom w:val="single" w:sz="4" w:space="0" w:color="auto"/>
              <w:right w:val="single" w:sz="4" w:space="0" w:color="auto"/>
            </w:tcBorders>
            <w:shd w:val="clear" w:color="000000" w:fill="B6A39A"/>
            <w:noWrap/>
            <w:vAlign w:val="bottom"/>
            <w:hideMark/>
          </w:tcPr>
          <w:p w14:paraId="075F961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302" w:type="pct"/>
            <w:tcBorders>
              <w:top w:val="nil"/>
              <w:left w:val="nil"/>
              <w:bottom w:val="single" w:sz="4" w:space="0" w:color="auto"/>
              <w:right w:val="single" w:sz="4" w:space="0" w:color="auto"/>
            </w:tcBorders>
            <w:shd w:val="clear" w:color="000000" w:fill="B6A39A"/>
            <w:noWrap/>
            <w:vAlign w:val="bottom"/>
            <w:hideMark/>
          </w:tcPr>
          <w:p w14:paraId="790CB914"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439" w:type="pct"/>
            <w:tcBorders>
              <w:top w:val="nil"/>
              <w:left w:val="nil"/>
              <w:bottom w:val="single" w:sz="4" w:space="0" w:color="auto"/>
              <w:right w:val="single" w:sz="8" w:space="0" w:color="auto"/>
            </w:tcBorders>
            <w:shd w:val="clear" w:color="000000" w:fill="B6A39A"/>
            <w:noWrap/>
            <w:vAlign w:val="bottom"/>
            <w:hideMark/>
          </w:tcPr>
          <w:p w14:paraId="7825293A"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399" w:type="pct"/>
            <w:tcBorders>
              <w:top w:val="nil"/>
              <w:left w:val="single" w:sz="4" w:space="0" w:color="auto"/>
              <w:bottom w:val="single" w:sz="4" w:space="0" w:color="auto"/>
              <w:right w:val="single" w:sz="4" w:space="0" w:color="auto"/>
            </w:tcBorders>
            <w:shd w:val="clear" w:color="000000" w:fill="B6A39A"/>
            <w:noWrap/>
            <w:vAlign w:val="bottom"/>
            <w:hideMark/>
          </w:tcPr>
          <w:p w14:paraId="44AB84BD"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576" w:type="pct"/>
            <w:tcBorders>
              <w:top w:val="nil"/>
              <w:left w:val="nil"/>
              <w:bottom w:val="single" w:sz="4" w:space="0" w:color="auto"/>
              <w:right w:val="single" w:sz="8" w:space="0" w:color="auto"/>
            </w:tcBorders>
            <w:shd w:val="clear" w:color="000000" w:fill="B6A39A"/>
            <w:noWrap/>
            <w:vAlign w:val="bottom"/>
            <w:hideMark/>
          </w:tcPr>
          <w:p w14:paraId="03102B7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r>
      <w:tr w:rsidR="00E83731" w:rsidRPr="00E83731" w14:paraId="561460AC" w14:textId="77777777" w:rsidTr="00E83731">
        <w:trPr>
          <w:trHeight w:val="300"/>
        </w:trPr>
        <w:tc>
          <w:tcPr>
            <w:tcW w:w="1068" w:type="pct"/>
            <w:tcBorders>
              <w:top w:val="nil"/>
              <w:left w:val="single" w:sz="8" w:space="0" w:color="auto"/>
              <w:bottom w:val="single" w:sz="4" w:space="0" w:color="auto"/>
              <w:right w:val="single" w:sz="4" w:space="0" w:color="auto"/>
            </w:tcBorders>
            <w:shd w:val="clear" w:color="auto" w:fill="auto"/>
            <w:noWrap/>
            <w:vAlign w:val="bottom"/>
            <w:hideMark/>
          </w:tcPr>
          <w:p w14:paraId="4924F56A" w14:textId="77777777" w:rsidR="00E83731" w:rsidRPr="00E83731" w:rsidRDefault="00E83731" w:rsidP="00E83731">
            <w:pPr>
              <w:spacing w:after="0" w:line="240" w:lineRule="auto"/>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Home</w:t>
            </w:r>
          </w:p>
        </w:tc>
        <w:tc>
          <w:tcPr>
            <w:tcW w:w="236" w:type="pct"/>
            <w:tcBorders>
              <w:top w:val="nil"/>
              <w:left w:val="nil"/>
              <w:bottom w:val="single" w:sz="4" w:space="0" w:color="auto"/>
              <w:right w:val="single" w:sz="4" w:space="0" w:color="auto"/>
            </w:tcBorders>
            <w:shd w:val="clear" w:color="auto" w:fill="auto"/>
            <w:noWrap/>
            <w:vAlign w:val="bottom"/>
            <w:hideMark/>
          </w:tcPr>
          <w:p w14:paraId="29E7B2B5"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29</w:t>
            </w:r>
          </w:p>
        </w:tc>
        <w:tc>
          <w:tcPr>
            <w:tcW w:w="502" w:type="pct"/>
            <w:tcBorders>
              <w:top w:val="nil"/>
              <w:left w:val="nil"/>
              <w:bottom w:val="single" w:sz="4" w:space="0" w:color="auto"/>
              <w:right w:val="single" w:sz="4" w:space="0" w:color="auto"/>
            </w:tcBorders>
            <w:shd w:val="clear" w:color="auto" w:fill="auto"/>
            <w:noWrap/>
            <w:vAlign w:val="bottom"/>
            <w:hideMark/>
          </w:tcPr>
          <w:p w14:paraId="38BFA35E"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100%</w:t>
            </w:r>
          </w:p>
        </w:tc>
        <w:tc>
          <w:tcPr>
            <w:tcW w:w="236" w:type="pct"/>
            <w:tcBorders>
              <w:top w:val="nil"/>
              <w:left w:val="nil"/>
              <w:bottom w:val="single" w:sz="4" w:space="0" w:color="auto"/>
              <w:right w:val="single" w:sz="4" w:space="0" w:color="auto"/>
            </w:tcBorders>
            <w:shd w:val="clear" w:color="auto" w:fill="auto"/>
            <w:noWrap/>
            <w:vAlign w:val="bottom"/>
            <w:hideMark/>
          </w:tcPr>
          <w:p w14:paraId="2AEB3048"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57</w:t>
            </w:r>
          </w:p>
        </w:tc>
        <w:tc>
          <w:tcPr>
            <w:tcW w:w="502" w:type="pct"/>
            <w:tcBorders>
              <w:top w:val="nil"/>
              <w:left w:val="nil"/>
              <w:bottom w:val="single" w:sz="4" w:space="0" w:color="auto"/>
              <w:right w:val="single" w:sz="4" w:space="0" w:color="auto"/>
            </w:tcBorders>
            <w:shd w:val="clear" w:color="auto" w:fill="auto"/>
            <w:noWrap/>
            <w:vAlign w:val="bottom"/>
            <w:hideMark/>
          </w:tcPr>
          <w:p w14:paraId="1BA7F98C"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75%</w:t>
            </w:r>
          </w:p>
        </w:tc>
        <w:tc>
          <w:tcPr>
            <w:tcW w:w="238" w:type="pct"/>
            <w:tcBorders>
              <w:top w:val="nil"/>
              <w:left w:val="nil"/>
              <w:bottom w:val="single" w:sz="4" w:space="0" w:color="auto"/>
              <w:right w:val="single" w:sz="4" w:space="0" w:color="auto"/>
            </w:tcBorders>
            <w:shd w:val="clear" w:color="auto" w:fill="auto"/>
            <w:noWrap/>
            <w:vAlign w:val="bottom"/>
            <w:hideMark/>
          </w:tcPr>
          <w:p w14:paraId="161D3CF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59</w:t>
            </w:r>
          </w:p>
        </w:tc>
        <w:tc>
          <w:tcPr>
            <w:tcW w:w="502" w:type="pct"/>
            <w:tcBorders>
              <w:top w:val="nil"/>
              <w:left w:val="nil"/>
              <w:bottom w:val="single" w:sz="4" w:space="0" w:color="auto"/>
              <w:right w:val="single" w:sz="4" w:space="0" w:color="auto"/>
            </w:tcBorders>
            <w:shd w:val="clear" w:color="auto" w:fill="auto"/>
            <w:noWrap/>
            <w:vAlign w:val="bottom"/>
            <w:hideMark/>
          </w:tcPr>
          <w:p w14:paraId="7AB87FAE"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73%</w:t>
            </w:r>
          </w:p>
        </w:tc>
        <w:tc>
          <w:tcPr>
            <w:tcW w:w="302" w:type="pct"/>
            <w:tcBorders>
              <w:top w:val="nil"/>
              <w:left w:val="nil"/>
              <w:bottom w:val="single" w:sz="4" w:space="0" w:color="auto"/>
              <w:right w:val="single" w:sz="4" w:space="0" w:color="auto"/>
            </w:tcBorders>
            <w:shd w:val="clear" w:color="auto" w:fill="auto"/>
            <w:noWrap/>
            <w:vAlign w:val="bottom"/>
            <w:hideMark/>
          </w:tcPr>
          <w:p w14:paraId="13074002"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99</w:t>
            </w:r>
          </w:p>
        </w:tc>
        <w:tc>
          <w:tcPr>
            <w:tcW w:w="439" w:type="pct"/>
            <w:tcBorders>
              <w:top w:val="nil"/>
              <w:left w:val="nil"/>
              <w:bottom w:val="single" w:sz="4" w:space="0" w:color="auto"/>
              <w:right w:val="single" w:sz="8" w:space="0" w:color="auto"/>
            </w:tcBorders>
            <w:shd w:val="clear" w:color="auto" w:fill="auto"/>
            <w:noWrap/>
            <w:vAlign w:val="bottom"/>
            <w:hideMark/>
          </w:tcPr>
          <w:p w14:paraId="182F41B4"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83%</w:t>
            </w:r>
          </w:p>
        </w:tc>
        <w:tc>
          <w:tcPr>
            <w:tcW w:w="399" w:type="pct"/>
            <w:tcBorders>
              <w:top w:val="nil"/>
              <w:left w:val="single" w:sz="4" w:space="0" w:color="auto"/>
              <w:bottom w:val="single" w:sz="4" w:space="0" w:color="auto"/>
              <w:right w:val="single" w:sz="4" w:space="0" w:color="auto"/>
            </w:tcBorders>
            <w:shd w:val="clear" w:color="auto" w:fill="auto"/>
            <w:noWrap/>
            <w:vAlign w:val="bottom"/>
            <w:hideMark/>
          </w:tcPr>
          <w:p w14:paraId="67F859F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110</w:t>
            </w:r>
          </w:p>
        </w:tc>
        <w:tc>
          <w:tcPr>
            <w:tcW w:w="576" w:type="pct"/>
            <w:tcBorders>
              <w:top w:val="nil"/>
              <w:left w:val="nil"/>
              <w:bottom w:val="single" w:sz="4" w:space="0" w:color="auto"/>
              <w:right w:val="single" w:sz="8" w:space="0" w:color="auto"/>
            </w:tcBorders>
            <w:shd w:val="clear" w:color="auto" w:fill="auto"/>
            <w:noWrap/>
            <w:vAlign w:val="bottom"/>
            <w:hideMark/>
          </w:tcPr>
          <w:p w14:paraId="3DA09F84"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77%</w:t>
            </w:r>
          </w:p>
        </w:tc>
      </w:tr>
      <w:tr w:rsidR="00E83731" w:rsidRPr="00E83731" w14:paraId="228EA028" w14:textId="77777777" w:rsidTr="00E83731">
        <w:trPr>
          <w:trHeight w:val="300"/>
        </w:trPr>
        <w:tc>
          <w:tcPr>
            <w:tcW w:w="1068" w:type="pct"/>
            <w:tcBorders>
              <w:top w:val="nil"/>
              <w:left w:val="single" w:sz="8" w:space="0" w:color="auto"/>
              <w:bottom w:val="single" w:sz="4" w:space="0" w:color="auto"/>
              <w:right w:val="single" w:sz="4" w:space="0" w:color="auto"/>
            </w:tcBorders>
            <w:shd w:val="clear" w:color="auto" w:fill="auto"/>
            <w:noWrap/>
            <w:vAlign w:val="bottom"/>
            <w:hideMark/>
          </w:tcPr>
          <w:p w14:paraId="66CD7887" w14:textId="77777777" w:rsidR="00E83731" w:rsidRPr="00E83731" w:rsidRDefault="00E83731" w:rsidP="00E83731">
            <w:pPr>
              <w:spacing w:after="0" w:line="240" w:lineRule="auto"/>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Dona</w:t>
            </w:r>
          </w:p>
        </w:tc>
        <w:tc>
          <w:tcPr>
            <w:tcW w:w="236" w:type="pct"/>
            <w:tcBorders>
              <w:top w:val="nil"/>
              <w:left w:val="nil"/>
              <w:bottom w:val="single" w:sz="4" w:space="0" w:color="auto"/>
              <w:right w:val="single" w:sz="4" w:space="0" w:color="auto"/>
            </w:tcBorders>
            <w:shd w:val="clear" w:color="auto" w:fill="auto"/>
            <w:noWrap/>
            <w:vAlign w:val="bottom"/>
            <w:hideMark/>
          </w:tcPr>
          <w:p w14:paraId="7395CF45"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w:t>
            </w:r>
          </w:p>
        </w:tc>
        <w:tc>
          <w:tcPr>
            <w:tcW w:w="502" w:type="pct"/>
            <w:tcBorders>
              <w:top w:val="nil"/>
              <w:left w:val="nil"/>
              <w:bottom w:val="single" w:sz="4" w:space="0" w:color="auto"/>
              <w:right w:val="single" w:sz="4" w:space="0" w:color="auto"/>
            </w:tcBorders>
            <w:shd w:val="clear" w:color="auto" w:fill="auto"/>
            <w:noWrap/>
            <w:vAlign w:val="bottom"/>
            <w:hideMark/>
          </w:tcPr>
          <w:p w14:paraId="553D906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w:t>
            </w:r>
          </w:p>
        </w:tc>
        <w:tc>
          <w:tcPr>
            <w:tcW w:w="236" w:type="pct"/>
            <w:tcBorders>
              <w:top w:val="nil"/>
              <w:left w:val="nil"/>
              <w:bottom w:val="single" w:sz="4" w:space="0" w:color="auto"/>
              <w:right w:val="single" w:sz="4" w:space="0" w:color="auto"/>
            </w:tcBorders>
            <w:shd w:val="clear" w:color="auto" w:fill="auto"/>
            <w:noWrap/>
            <w:vAlign w:val="bottom"/>
            <w:hideMark/>
          </w:tcPr>
          <w:p w14:paraId="35DA0036"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19</w:t>
            </w:r>
          </w:p>
        </w:tc>
        <w:tc>
          <w:tcPr>
            <w:tcW w:w="502" w:type="pct"/>
            <w:tcBorders>
              <w:top w:val="nil"/>
              <w:left w:val="nil"/>
              <w:bottom w:val="single" w:sz="4" w:space="0" w:color="auto"/>
              <w:right w:val="single" w:sz="4" w:space="0" w:color="auto"/>
            </w:tcBorders>
            <w:shd w:val="clear" w:color="auto" w:fill="auto"/>
            <w:noWrap/>
            <w:vAlign w:val="bottom"/>
            <w:hideMark/>
          </w:tcPr>
          <w:p w14:paraId="0746D8F5"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25%</w:t>
            </w:r>
          </w:p>
        </w:tc>
        <w:tc>
          <w:tcPr>
            <w:tcW w:w="238" w:type="pct"/>
            <w:tcBorders>
              <w:top w:val="nil"/>
              <w:left w:val="nil"/>
              <w:bottom w:val="single" w:sz="4" w:space="0" w:color="auto"/>
              <w:right w:val="single" w:sz="4" w:space="0" w:color="auto"/>
            </w:tcBorders>
            <w:shd w:val="clear" w:color="auto" w:fill="auto"/>
            <w:noWrap/>
            <w:vAlign w:val="bottom"/>
            <w:hideMark/>
          </w:tcPr>
          <w:p w14:paraId="43FDF17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22</w:t>
            </w:r>
          </w:p>
        </w:tc>
        <w:tc>
          <w:tcPr>
            <w:tcW w:w="502" w:type="pct"/>
            <w:tcBorders>
              <w:top w:val="nil"/>
              <w:left w:val="nil"/>
              <w:bottom w:val="single" w:sz="4" w:space="0" w:color="auto"/>
              <w:right w:val="single" w:sz="4" w:space="0" w:color="auto"/>
            </w:tcBorders>
            <w:shd w:val="clear" w:color="auto" w:fill="auto"/>
            <w:noWrap/>
            <w:vAlign w:val="bottom"/>
            <w:hideMark/>
          </w:tcPr>
          <w:p w14:paraId="0025407F"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27%</w:t>
            </w:r>
          </w:p>
        </w:tc>
        <w:tc>
          <w:tcPr>
            <w:tcW w:w="302" w:type="pct"/>
            <w:tcBorders>
              <w:top w:val="nil"/>
              <w:left w:val="nil"/>
              <w:bottom w:val="single" w:sz="4" w:space="0" w:color="auto"/>
              <w:right w:val="single" w:sz="4" w:space="0" w:color="auto"/>
            </w:tcBorders>
            <w:shd w:val="clear" w:color="auto" w:fill="auto"/>
            <w:noWrap/>
            <w:vAlign w:val="bottom"/>
            <w:hideMark/>
          </w:tcPr>
          <w:p w14:paraId="3027E895"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21</w:t>
            </w:r>
          </w:p>
        </w:tc>
        <w:tc>
          <w:tcPr>
            <w:tcW w:w="439" w:type="pct"/>
            <w:tcBorders>
              <w:top w:val="nil"/>
              <w:left w:val="nil"/>
              <w:bottom w:val="single" w:sz="4" w:space="0" w:color="auto"/>
              <w:right w:val="single" w:sz="8" w:space="0" w:color="auto"/>
            </w:tcBorders>
            <w:shd w:val="clear" w:color="auto" w:fill="auto"/>
            <w:noWrap/>
            <w:vAlign w:val="bottom"/>
            <w:hideMark/>
          </w:tcPr>
          <w:p w14:paraId="06126890"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18%</w:t>
            </w:r>
          </w:p>
        </w:tc>
        <w:tc>
          <w:tcPr>
            <w:tcW w:w="399" w:type="pct"/>
            <w:tcBorders>
              <w:top w:val="nil"/>
              <w:left w:val="single" w:sz="4" w:space="0" w:color="auto"/>
              <w:bottom w:val="single" w:sz="4" w:space="0" w:color="auto"/>
              <w:right w:val="single" w:sz="4" w:space="0" w:color="auto"/>
            </w:tcBorders>
            <w:shd w:val="clear" w:color="auto" w:fill="auto"/>
            <w:noWrap/>
            <w:vAlign w:val="bottom"/>
            <w:hideMark/>
          </w:tcPr>
          <w:p w14:paraId="0B42024E"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32</w:t>
            </w:r>
          </w:p>
        </w:tc>
        <w:tc>
          <w:tcPr>
            <w:tcW w:w="576" w:type="pct"/>
            <w:tcBorders>
              <w:top w:val="nil"/>
              <w:left w:val="nil"/>
              <w:bottom w:val="single" w:sz="4" w:space="0" w:color="auto"/>
              <w:right w:val="single" w:sz="8" w:space="0" w:color="auto"/>
            </w:tcBorders>
            <w:shd w:val="clear" w:color="auto" w:fill="auto"/>
            <w:noWrap/>
            <w:vAlign w:val="bottom"/>
            <w:hideMark/>
          </w:tcPr>
          <w:p w14:paraId="7E5F2154"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23%</w:t>
            </w:r>
          </w:p>
        </w:tc>
      </w:tr>
      <w:tr w:rsidR="00E83731" w:rsidRPr="00E83731" w14:paraId="4E08CE90" w14:textId="77777777" w:rsidTr="00E83731">
        <w:trPr>
          <w:trHeight w:val="300"/>
        </w:trPr>
        <w:tc>
          <w:tcPr>
            <w:tcW w:w="1068" w:type="pct"/>
            <w:tcBorders>
              <w:top w:val="nil"/>
              <w:left w:val="single" w:sz="8" w:space="0" w:color="auto"/>
              <w:bottom w:val="single" w:sz="8" w:space="0" w:color="auto"/>
              <w:right w:val="single" w:sz="4" w:space="0" w:color="auto"/>
            </w:tcBorders>
            <w:shd w:val="clear" w:color="auto" w:fill="auto"/>
            <w:noWrap/>
            <w:vAlign w:val="bottom"/>
            <w:hideMark/>
          </w:tcPr>
          <w:p w14:paraId="54A2F61F" w14:textId="77777777" w:rsidR="00E83731" w:rsidRPr="00E83731" w:rsidRDefault="00E83731" w:rsidP="00E83731">
            <w:pPr>
              <w:spacing w:after="0" w:line="240" w:lineRule="auto"/>
              <w:jc w:val="right"/>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TOTAL</w:t>
            </w:r>
          </w:p>
        </w:tc>
        <w:tc>
          <w:tcPr>
            <w:tcW w:w="236" w:type="pct"/>
            <w:tcBorders>
              <w:top w:val="nil"/>
              <w:left w:val="nil"/>
              <w:bottom w:val="single" w:sz="8" w:space="0" w:color="auto"/>
              <w:right w:val="single" w:sz="4" w:space="0" w:color="auto"/>
            </w:tcBorders>
            <w:shd w:val="clear" w:color="auto" w:fill="auto"/>
            <w:noWrap/>
            <w:vAlign w:val="bottom"/>
            <w:hideMark/>
          </w:tcPr>
          <w:p w14:paraId="0AC8EA1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29</w:t>
            </w:r>
          </w:p>
        </w:tc>
        <w:tc>
          <w:tcPr>
            <w:tcW w:w="502" w:type="pct"/>
            <w:tcBorders>
              <w:top w:val="nil"/>
              <w:left w:val="nil"/>
              <w:bottom w:val="single" w:sz="8" w:space="0" w:color="auto"/>
              <w:right w:val="single" w:sz="4" w:space="0" w:color="auto"/>
            </w:tcBorders>
            <w:shd w:val="clear" w:color="auto" w:fill="auto"/>
            <w:noWrap/>
            <w:vAlign w:val="bottom"/>
            <w:hideMark/>
          </w:tcPr>
          <w:p w14:paraId="58C849BE"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236" w:type="pct"/>
            <w:tcBorders>
              <w:top w:val="nil"/>
              <w:left w:val="nil"/>
              <w:bottom w:val="single" w:sz="8" w:space="0" w:color="auto"/>
              <w:right w:val="single" w:sz="4" w:space="0" w:color="auto"/>
            </w:tcBorders>
            <w:shd w:val="clear" w:color="auto" w:fill="auto"/>
            <w:noWrap/>
            <w:vAlign w:val="bottom"/>
            <w:hideMark/>
          </w:tcPr>
          <w:p w14:paraId="16C1E760"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76</w:t>
            </w:r>
          </w:p>
        </w:tc>
        <w:tc>
          <w:tcPr>
            <w:tcW w:w="502" w:type="pct"/>
            <w:tcBorders>
              <w:top w:val="nil"/>
              <w:left w:val="nil"/>
              <w:bottom w:val="single" w:sz="8" w:space="0" w:color="auto"/>
              <w:right w:val="single" w:sz="4" w:space="0" w:color="auto"/>
            </w:tcBorders>
            <w:shd w:val="clear" w:color="auto" w:fill="auto"/>
            <w:noWrap/>
            <w:vAlign w:val="bottom"/>
            <w:hideMark/>
          </w:tcPr>
          <w:p w14:paraId="27D61030"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238" w:type="pct"/>
            <w:tcBorders>
              <w:top w:val="nil"/>
              <w:left w:val="nil"/>
              <w:bottom w:val="single" w:sz="8" w:space="0" w:color="auto"/>
              <w:right w:val="single" w:sz="4" w:space="0" w:color="auto"/>
            </w:tcBorders>
            <w:shd w:val="clear" w:color="auto" w:fill="auto"/>
            <w:noWrap/>
            <w:vAlign w:val="bottom"/>
            <w:hideMark/>
          </w:tcPr>
          <w:p w14:paraId="5A37D1C2"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81</w:t>
            </w:r>
          </w:p>
        </w:tc>
        <w:tc>
          <w:tcPr>
            <w:tcW w:w="502" w:type="pct"/>
            <w:tcBorders>
              <w:top w:val="nil"/>
              <w:left w:val="nil"/>
              <w:bottom w:val="single" w:sz="8" w:space="0" w:color="auto"/>
              <w:right w:val="single" w:sz="4" w:space="0" w:color="auto"/>
            </w:tcBorders>
            <w:shd w:val="clear" w:color="auto" w:fill="auto"/>
            <w:noWrap/>
            <w:vAlign w:val="bottom"/>
            <w:hideMark/>
          </w:tcPr>
          <w:p w14:paraId="2A76F4E4"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302" w:type="pct"/>
            <w:tcBorders>
              <w:top w:val="nil"/>
              <w:left w:val="nil"/>
              <w:bottom w:val="single" w:sz="8" w:space="0" w:color="auto"/>
              <w:right w:val="single" w:sz="4" w:space="0" w:color="auto"/>
            </w:tcBorders>
            <w:shd w:val="clear" w:color="auto" w:fill="auto"/>
            <w:noWrap/>
            <w:vAlign w:val="bottom"/>
            <w:hideMark/>
          </w:tcPr>
          <w:p w14:paraId="309D9A82"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120</w:t>
            </w:r>
          </w:p>
        </w:tc>
        <w:tc>
          <w:tcPr>
            <w:tcW w:w="439" w:type="pct"/>
            <w:tcBorders>
              <w:top w:val="nil"/>
              <w:left w:val="nil"/>
              <w:bottom w:val="single" w:sz="8" w:space="0" w:color="auto"/>
              <w:right w:val="single" w:sz="8" w:space="0" w:color="auto"/>
            </w:tcBorders>
            <w:shd w:val="clear" w:color="auto" w:fill="auto"/>
            <w:noWrap/>
            <w:vAlign w:val="bottom"/>
            <w:hideMark/>
          </w:tcPr>
          <w:p w14:paraId="293D323D"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399" w:type="pct"/>
            <w:tcBorders>
              <w:top w:val="nil"/>
              <w:left w:val="single" w:sz="4" w:space="0" w:color="auto"/>
              <w:bottom w:val="single" w:sz="8" w:space="0" w:color="auto"/>
              <w:right w:val="single" w:sz="4" w:space="0" w:color="auto"/>
            </w:tcBorders>
            <w:shd w:val="clear" w:color="auto" w:fill="auto"/>
            <w:noWrap/>
            <w:vAlign w:val="bottom"/>
            <w:hideMark/>
          </w:tcPr>
          <w:p w14:paraId="2BBD0CCD"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142</w:t>
            </w:r>
          </w:p>
        </w:tc>
        <w:tc>
          <w:tcPr>
            <w:tcW w:w="576" w:type="pct"/>
            <w:tcBorders>
              <w:top w:val="nil"/>
              <w:left w:val="nil"/>
              <w:bottom w:val="single" w:sz="8" w:space="0" w:color="auto"/>
              <w:right w:val="single" w:sz="8" w:space="0" w:color="auto"/>
            </w:tcBorders>
            <w:shd w:val="clear" w:color="auto" w:fill="auto"/>
            <w:noWrap/>
            <w:vAlign w:val="bottom"/>
            <w:hideMark/>
          </w:tcPr>
          <w:p w14:paraId="0EA0E89F"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r>
    </w:tbl>
    <w:p w14:paraId="39BB9A9F" w14:textId="6D279735" w:rsidR="00840805" w:rsidRPr="00840805" w:rsidRDefault="00840805" w:rsidP="00E83731">
      <w:pPr>
        <w:spacing w:after="120" w:line="276" w:lineRule="auto"/>
        <w:jc w:val="both"/>
        <w:rPr>
          <w:rFonts w:ascii="Arial" w:eastAsia="Times New Roman" w:hAnsi="Arial" w:cs="Arial"/>
          <w:color w:val="000000"/>
          <w:sz w:val="21"/>
          <w:szCs w:val="21"/>
          <w:lang w:val="ca-ES"/>
        </w:rPr>
      </w:pPr>
    </w:p>
    <w:p w14:paraId="25BA4DF4" w14:textId="77777777" w:rsidR="00E83731" w:rsidRDefault="00E83731" w:rsidP="00E83731">
      <w:pPr>
        <w:keepNext/>
        <w:spacing w:after="120" w:line="276" w:lineRule="auto"/>
        <w:jc w:val="center"/>
      </w:pPr>
      <w:r w:rsidRPr="001E45F9">
        <w:rPr>
          <w:noProof/>
          <w:lang w:val="ca-ES"/>
        </w:rPr>
        <w:drawing>
          <wp:inline distT="0" distB="0" distL="0" distR="0" wp14:anchorId="3519ED65" wp14:editId="3EB4FF5A">
            <wp:extent cx="4537075" cy="2743200"/>
            <wp:effectExtent l="0" t="0" r="15875" b="0"/>
            <wp:docPr id="82" name="Gráfico 82">
              <a:extLst xmlns:a="http://schemas.openxmlformats.org/drawingml/2006/main">
                <a:ext uri="{FF2B5EF4-FFF2-40B4-BE49-F238E27FC236}">
                  <a16:creationId xmlns:a16="http://schemas.microsoft.com/office/drawing/2014/main" id="{EB61AF52-C59C-4C73-B66B-AE3B312467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8"/>
              </a:graphicData>
            </a:graphic>
          </wp:inline>
        </w:drawing>
      </w:r>
    </w:p>
    <w:p w14:paraId="22E0B71B" w14:textId="0A6C13D8" w:rsidR="00840805" w:rsidRPr="00E83731" w:rsidRDefault="00E83731" w:rsidP="00E83731">
      <w:pPr>
        <w:pStyle w:val="Descripcin"/>
        <w:jc w:val="center"/>
        <w:rPr>
          <w:rFonts w:ascii="Arial" w:eastAsia="Times New Roman" w:hAnsi="Arial" w:cs="Arial"/>
          <w:smallCaps w:val="0"/>
          <w:color w:val="000000"/>
          <w:sz w:val="18"/>
          <w:szCs w:val="18"/>
        </w:rPr>
      </w:pPr>
      <w:bookmarkStart w:id="178" w:name="_Toc99110978"/>
      <w:r w:rsidRPr="00E83731">
        <w:rPr>
          <w:rFonts w:ascii="Arial" w:hAnsi="Arial" w:cs="Arial"/>
          <w:smallCaps w:val="0"/>
          <w:color w:val="9D2235" w:themeColor="accent1"/>
          <w:sz w:val="18"/>
          <w:szCs w:val="18"/>
        </w:rPr>
        <w:t xml:space="preserve">Gràfic </w:t>
      </w:r>
      <w:r w:rsidRPr="00E83731">
        <w:rPr>
          <w:rFonts w:ascii="Arial" w:hAnsi="Arial" w:cs="Arial"/>
          <w:smallCaps w:val="0"/>
          <w:color w:val="9D2235" w:themeColor="accent1"/>
          <w:sz w:val="18"/>
          <w:szCs w:val="18"/>
        </w:rPr>
        <w:fldChar w:fldCharType="begin" w:fldLock="1"/>
      </w:r>
      <w:r w:rsidRPr="00E83731">
        <w:rPr>
          <w:rFonts w:ascii="Arial" w:hAnsi="Arial" w:cs="Arial"/>
          <w:smallCaps w:val="0"/>
          <w:color w:val="9D2235" w:themeColor="accent1"/>
          <w:sz w:val="18"/>
          <w:szCs w:val="18"/>
        </w:rPr>
        <w:instrText xml:space="preserve"> SEQ Gràfic \* ARABIC </w:instrText>
      </w:r>
      <w:r w:rsidRPr="00E83731">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19</w:t>
      </w:r>
      <w:r w:rsidRPr="00E83731">
        <w:rPr>
          <w:rFonts w:ascii="Arial" w:hAnsi="Arial" w:cs="Arial"/>
          <w:smallCaps w:val="0"/>
          <w:color w:val="9D2235" w:themeColor="accent1"/>
          <w:sz w:val="18"/>
          <w:szCs w:val="18"/>
        </w:rPr>
        <w:fldChar w:fldCharType="end"/>
      </w:r>
      <w:r w:rsidRPr="00E83731">
        <w:rPr>
          <w:rFonts w:ascii="Arial" w:hAnsi="Arial" w:cs="Arial"/>
          <w:smallCaps w:val="0"/>
          <w:color w:val="9D2235" w:themeColor="accent1"/>
          <w:sz w:val="18"/>
          <w:szCs w:val="18"/>
        </w:rPr>
        <w:t xml:space="preserve">. </w:t>
      </w:r>
      <w:r w:rsidRPr="00E83731">
        <w:rPr>
          <w:rFonts w:ascii="Arial" w:hAnsi="Arial" w:cs="Arial"/>
          <w:smallCaps w:val="0"/>
          <w:sz w:val="18"/>
          <w:szCs w:val="18"/>
        </w:rPr>
        <w:t>Denúncies de persones físiques classificades per gènere</w:t>
      </w:r>
      <w:bookmarkEnd w:id="178"/>
    </w:p>
    <w:p w14:paraId="46B2709C" w14:textId="77777777" w:rsidR="00E83731" w:rsidRPr="00E83731" w:rsidRDefault="00E83731" w:rsidP="00E83731">
      <w:pPr>
        <w:spacing w:after="240" w:line="276" w:lineRule="auto"/>
        <w:jc w:val="both"/>
        <w:rPr>
          <w:rFonts w:ascii="Arial" w:eastAsia="Times New Roman" w:hAnsi="Arial" w:cs="Arial"/>
          <w:color w:val="000000"/>
          <w:sz w:val="21"/>
          <w:szCs w:val="21"/>
        </w:rPr>
      </w:pPr>
      <w:r w:rsidRPr="00E83731">
        <w:rPr>
          <w:rFonts w:ascii="Arial" w:eastAsia="Times New Roman" w:hAnsi="Arial" w:cs="Arial"/>
          <w:color w:val="000000"/>
          <w:sz w:val="21"/>
          <w:szCs w:val="21"/>
        </w:rPr>
        <w:t>De les dites dades, es deduïx un increment del percentatge de persones denunciants que identifiquen el seu gènere dones, que ha passat del 18% en 2020 al 23% en 2021, i en contra, s'ha minorat el percentatge de representativitat del gènere home, de les denúncies que identifiquen gènere, passant del 82% en 2020 al 77% en 2021.</w:t>
      </w:r>
    </w:p>
    <w:p w14:paraId="4696F274" w14:textId="77777777" w:rsidR="00E83731" w:rsidRPr="00E83731" w:rsidRDefault="00E83731" w:rsidP="00E83731">
      <w:pPr>
        <w:pStyle w:val="Prrafodelista"/>
        <w:keepNext/>
        <w:numPr>
          <w:ilvl w:val="1"/>
          <w:numId w:val="19"/>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179" w:name="_Toc99110723"/>
      <w:r w:rsidRPr="00E83731">
        <w:rPr>
          <w:rFonts w:ascii="Arial" w:eastAsia="Times New Roman" w:hAnsi="Arial" w:cs="Arial"/>
          <w:b/>
          <w:color w:val="9D2235"/>
          <w:sz w:val="32"/>
          <w:szCs w:val="32"/>
        </w:rPr>
        <w:t>Seguiment de la gestió dels expedients d'investigació durant l'any 2021 i evolució</w:t>
      </w:r>
      <w:bookmarkEnd w:id="179"/>
    </w:p>
    <w:p w14:paraId="27E0278E" w14:textId="77777777" w:rsidR="00E83731" w:rsidRPr="00E83731" w:rsidRDefault="00E83731" w:rsidP="00E83731">
      <w:pPr>
        <w:spacing w:after="240" w:line="276" w:lineRule="auto"/>
        <w:jc w:val="both"/>
        <w:rPr>
          <w:rFonts w:ascii="Arial" w:eastAsia="Times New Roman" w:hAnsi="Arial" w:cs="Arial"/>
          <w:color w:val="000000"/>
          <w:sz w:val="21"/>
          <w:szCs w:val="21"/>
        </w:rPr>
      </w:pPr>
      <w:r w:rsidRPr="00E83731">
        <w:rPr>
          <w:rFonts w:ascii="Arial" w:eastAsia="Times New Roman" w:hAnsi="Arial" w:cs="Arial"/>
          <w:color w:val="000000"/>
          <w:sz w:val="21"/>
          <w:szCs w:val="21"/>
        </w:rPr>
        <w:t>Durant l'exercici 2021 s'han obert un total de 359 expedients en la Direcció d'Anàlisi i Investigació; des de l'inici de la seua activitat l'Agència ha iniciat un total de 969 expedients.</w:t>
      </w:r>
    </w:p>
    <w:p w14:paraId="5D5A3D23" w14:textId="77777777" w:rsidR="00E83731" w:rsidRPr="00E83731" w:rsidRDefault="00E83731" w:rsidP="00E83731">
      <w:pPr>
        <w:spacing w:after="240" w:line="276" w:lineRule="auto"/>
        <w:jc w:val="both"/>
        <w:rPr>
          <w:rFonts w:ascii="Arial" w:eastAsia="Times New Roman" w:hAnsi="Arial" w:cs="Arial"/>
          <w:color w:val="000000"/>
          <w:sz w:val="21"/>
          <w:szCs w:val="21"/>
        </w:rPr>
      </w:pPr>
      <w:r w:rsidRPr="00E83731">
        <w:rPr>
          <w:rFonts w:ascii="Arial" w:eastAsia="Times New Roman" w:hAnsi="Arial" w:cs="Arial"/>
          <w:color w:val="000000"/>
          <w:sz w:val="21"/>
          <w:szCs w:val="21"/>
        </w:rPr>
        <w:t>L'estat de tramitació dels 969 expedients oberts des de l'inici de funcionament de l'Agència a data 31/12/2021, és el que es mostra en la següent taula:</w:t>
      </w:r>
    </w:p>
    <w:p w14:paraId="3D437BAB" w14:textId="18E47953" w:rsidR="00E83731" w:rsidRPr="00E83731" w:rsidRDefault="00E83731" w:rsidP="00E83731">
      <w:pPr>
        <w:pStyle w:val="Descripcin"/>
        <w:keepNext/>
        <w:rPr>
          <w:rFonts w:ascii="Arial" w:hAnsi="Arial" w:cs="Arial"/>
          <w:smallCaps w:val="0"/>
          <w:sz w:val="18"/>
          <w:szCs w:val="18"/>
        </w:rPr>
      </w:pPr>
      <w:bookmarkStart w:id="180" w:name="_Toc99110860"/>
      <w:r w:rsidRPr="00E83731">
        <w:rPr>
          <w:rFonts w:ascii="Arial" w:hAnsi="Arial" w:cs="Arial"/>
          <w:smallCaps w:val="0"/>
          <w:color w:val="9D2235" w:themeColor="accent1"/>
          <w:sz w:val="18"/>
          <w:szCs w:val="18"/>
        </w:rPr>
        <w:t xml:space="preserve">Taula </w:t>
      </w:r>
      <w:r w:rsidRPr="00E83731">
        <w:rPr>
          <w:rFonts w:ascii="Arial" w:hAnsi="Arial" w:cs="Arial"/>
          <w:smallCaps w:val="0"/>
          <w:color w:val="9D2235" w:themeColor="accent1"/>
          <w:sz w:val="18"/>
          <w:szCs w:val="18"/>
        </w:rPr>
        <w:fldChar w:fldCharType="begin" w:fldLock="1"/>
      </w:r>
      <w:r w:rsidRPr="00E83731">
        <w:rPr>
          <w:rFonts w:ascii="Arial" w:hAnsi="Arial" w:cs="Arial"/>
          <w:smallCaps w:val="0"/>
          <w:color w:val="9D2235" w:themeColor="accent1"/>
          <w:sz w:val="18"/>
          <w:szCs w:val="18"/>
        </w:rPr>
        <w:instrText xml:space="preserve"> SEQ Taula \* ARABIC </w:instrText>
      </w:r>
      <w:r w:rsidRPr="00E83731">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15</w:t>
      </w:r>
      <w:r w:rsidRPr="00E83731">
        <w:rPr>
          <w:rFonts w:ascii="Arial" w:hAnsi="Arial" w:cs="Arial"/>
          <w:smallCaps w:val="0"/>
          <w:color w:val="9D2235" w:themeColor="accent1"/>
          <w:sz w:val="18"/>
          <w:szCs w:val="18"/>
        </w:rPr>
        <w:fldChar w:fldCharType="end"/>
      </w:r>
      <w:r w:rsidRPr="00E83731">
        <w:rPr>
          <w:rFonts w:ascii="Arial" w:hAnsi="Arial" w:cs="Arial"/>
          <w:smallCaps w:val="0"/>
          <w:color w:val="9D2235" w:themeColor="accent1"/>
          <w:sz w:val="18"/>
          <w:szCs w:val="18"/>
        </w:rPr>
        <w:t xml:space="preserve">. </w:t>
      </w:r>
      <w:r w:rsidRPr="00E83731">
        <w:rPr>
          <w:rFonts w:ascii="Arial" w:hAnsi="Arial" w:cs="Arial"/>
          <w:smallCaps w:val="0"/>
          <w:sz w:val="18"/>
          <w:szCs w:val="18"/>
        </w:rPr>
        <w:t>Estat de Situació dels expedients d'anàlisis i investigació</w:t>
      </w:r>
      <w:bookmarkEnd w:id="180"/>
    </w:p>
    <w:tbl>
      <w:tblPr>
        <w:tblW w:w="5000" w:type="pct"/>
        <w:tblCellMar>
          <w:left w:w="70" w:type="dxa"/>
          <w:right w:w="70" w:type="dxa"/>
        </w:tblCellMar>
        <w:tblLook w:val="04A0" w:firstRow="1" w:lastRow="0" w:firstColumn="1" w:lastColumn="0" w:noHBand="0" w:noVBand="1"/>
      </w:tblPr>
      <w:tblGrid>
        <w:gridCol w:w="1642"/>
        <w:gridCol w:w="318"/>
        <w:gridCol w:w="694"/>
        <w:gridCol w:w="504"/>
        <w:gridCol w:w="684"/>
        <w:gridCol w:w="504"/>
        <w:gridCol w:w="684"/>
        <w:gridCol w:w="407"/>
        <w:gridCol w:w="684"/>
        <w:gridCol w:w="407"/>
        <w:gridCol w:w="740"/>
        <w:gridCol w:w="407"/>
        <w:gridCol w:w="809"/>
      </w:tblGrid>
      <w:tr w:rsidR="00E83731" w:rsidRPr="00E83731" w14:paraId="2159374C" w14:textId="77777777" w:rsidTr="00443473">
        <w:trPr>
          <w:trHeight w:val="300"/>
          <w:tblHeader/>
        </w:trPr>
        <w:tc>
          <w:tcPr>
            <w:tcW w:w="968" w:type="pct"/>
            <w:vMerge w:val="restart"/>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3BD4B8B3" w14:textId="77777777" w:rsidR="00E83731" w:rsidRPr="00E83731" w:rsidRDefault="00E83731" w:rsidP="00E83731">
            <w:pPr>
              <w:spacing w:after="0" w:line="240" w:lineRule="auto"/>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Estat expedients</w:t>
            </w:r>
          </w:p>
        </w:tc>
        <w:tc>
          <w:tcPr>
            <w:tcW w:w="596"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6ABE702F"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2017</w:t>
            </w:r>
          </w:p>
        </w:tc>
        <w:tc>
          <w:tcPr>
            <w:tcW w:w="700"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26E2AE04"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2018</w:t>
            </w:r>
          </w:p>
        </w:tc>
        <w:tc>
          <w:tcPr>
            <w:tcW w:w="700"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613A9B5B"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2019</w:t>
            </w:r>
          </w:p>
        </w:tc>
        <w:tc>
          <w:tcPr>
            <w:tcW w:w="643" w:type="pct"/>
            <w:gridSpan w:val="2"/>
            <w:tcBorders>
              <w:top w:val="single" w:sz="8" w:space="0" w:color="auto"/>
              <w:left w:val="nil"/>
              <w:bottom w:val="single" w:sz="4" w:space="0" w:color="auto"/>
              <w:right w:val="single" w:sz="8" w:space="0" w:color="000000"/>
            </w:tcBorders>
            <w:shd w:val="clear" w:color="000000" w:fill="B6A39A"/>
            <w:noWrap/>
            <w:vAlign w:val="bottom"/>
            <w:hideMark/>
          </w:tcPr>
          <w:p w14:paraId="2066CBFA"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2020</w:t>
            </w:r>
          </w:p>
        </w:tc>
        <w:tc>
          <w:tcPr>
            <w:tcW w:w="676" w:type="pct"/>
            <w:gridSpan w:val="2"/>
            <w:tcBorders>
              <w:top w:val="single" w:sz="8" w:space="0" w:color="auto"/>
              <w:left w:val="nil"/>
              <w:bottom w:val="single" w:sz="4" w:space="0" w:color="auto"/>
              <w:right w:val="single" w:sz="8" w:space="0" w:color="000000"/>
            </w:tcBorders>
            <w:shd w:val="clear" w:color="000000" w:fill="B6A39A"/>
            <w:noWrap/>
            <w:vAlign w:val="bottom"/>
            <w:hideMark/>
          </w:tcPr>
          <w:p w14:paraId="22ABE819"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2021</w:t>
            </w:r>
          </w:p>
        </w:tc>
        <w:tc>
          <w:tcPr>
            <w:tcW w:w="717" w:type="pct"/>
            <w:gridSpan w:val="2"/>
            <w:tcBorders>
              <w:top w:val="single" w:sz="8" w:space="0" w:color="auto"/>
              <w:left w:val="single" w:sz="4" w:space="0" w:color="auto"/>
              <w:bottom w:val="single" w:sz="4" w:space="0" w:color="auto"/>
              <w:right w:val="single" w:sz="8" w:space="0" w:color="000000"/>
            </w:tcBorders>
            <w:shd w:val="clear" w:color="000000" w:fill="B6A39A"/>
            <w:noWrap/>
            <w:vAlign w:val="bottom"/>
            <w:hideMark/>
          </w:tcPr>
          <w:p w14:paraId="37F3DC5A"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Total</w:t>
            </w:r>
          </w:p>
        </w:tc>
      </w:tr>
      <w:tr w:rsidR="00E83731" w:rsidRPr="00E83731" w14:paraId="66AC69C4" w14:textId="77777777" w:rsidTr="00E83731">
        <w:trPr>
          <w:trHeight w:val="300"/>
          <w:tblHeader/>
        </w:trPr>
        <w:tc>
          <w:tcPr>
            <w:tcW w:w="968" w:type="pct"/>
            <w:vMerge/>
            <w:tcBorders>
              <w:top w:val="single" w:sz="8" w:space="0" w:color="auto"/>
              <w:left w:val="single" w:sz="8" w:space="0" w:color="auto"/>
              <w:bottom w:val="single" w:sz="4" w:space="0" w:color="auto"/>
              <w:right w:val="single" w:sz="4" w:space="0" w:color="auto"/>
            </w:tcBorders>
            <w:vAlign w:val="center"/>
            <w:hideMark/>
          </w:tcPr>
          <w:p w14:paraId="76AB26D6" w14:textId="77777777" w:rsidR="00E83731" w:rsidRPr="00E83731" w:rsidRDefault="00E83731" w:rsidP="00E83731">
            <w:pPr>
              <w:spacing w:after="0" w:line="240" w:lineRule="auto"/>
              <w:rPr>
                <w:rFonts w:ascii="Arial" w:eastAsia="Times New Roman" w:hAnsi="Arial" w:cs="Arial"/>
                <w:b/>
                <w:bCs/>
                <w:color w:val="000000"/>
                <w:sz w:val="16"/>
                <w:szCs w:val="16"/>
                <w:lang w:val="ca-ES" w:eastAsia="es-ES"/>
              </w:rPr>
            </w:pPr>
          </w:p>
        </w:tc>
        <w:tc>
          <w:tcPr>
            <w:tcW w:w="187" w:type="pct"/>
            <w:tcBorders>
              <w:top w:val="nil"/>
              <w:left w:val="nil"/>
              <w:bottom w:val="single" w:sz="4" w:space="0" w:color="auto"/>
              <w:right w:val="single" w:sz="4" w:space="0" w:color="auto"/>
            </w:tcBorders>
            <w:shd w:val="clear" w:color="000000" w:fill="B6A39A"/>
            <w:noWrap/>
            <w:vAlign w:val="bottom"/>
            <w:hideMark/>
          </w:tcPr>
          <w:p w14:paraId="1EFDE3D8"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409" w:type="pct"/>
            <w:tcBorders>
              <w:top w:val="nil"/>
              <w:left w:val="nil"/>
              <w:bottom w:val="single" w:sz="4" w:space="0" w:color="auto"/>
              <w:right w:val="single" w:sz="4" w:space="0" w:color="auto"/>
            </w:tcBorders>
            <w:shd w:val="clear" w:color="000000" w:fill="B6A39A"/>
            <w:noWrap/>
            <w:vAlign w:val="bottom"/>
            <w:hideMark/>
          </w:tcPr>
          <w:p w14:paraId="0D1A91F0"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297" w:type="pct"/>
            <w:tcBorders>
              <w:top w:val="nil"/>
              <w:left w:val="nil"/>
              <w:bottom w:val="single" w:sz="4" w:space="0" w:color="auto"/>
              <w:right w:val="single" w:sz="4" w:space="0" w:color="auto"/>
            </w:tcBorders>
            <w:shd w:val="clear" w:color="000000" w:fill="B6A39A"/>
            <w:noWrap/>
            <w:vAlign w:val="bottom"/>
            <w:hideMark/>
          </w:tcPr>
          <w:p w14:paraId="4F5D6E1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403" w:type="pct"/>
            <w:tcBorders>
              <w:top w:val="nil"/>
              <w:left w:val="nil"/>
              <w:bottom w:val="single" w:sz="4" w:space="0" w:color="auto"/>
              <w:right w:val="single" w:sz="4" w:space="0" w:color="auto"/>
            </w:tcBorders>
            <w:shd w:val="clear" w:color="000000" w:fill="B6A39A"/>
            <w:noWrap/>
            <w:vAlign w:val="bottom"/>
            <w:hideMark/>
          </w:tcPr>
          <w:p w14:paraId="4E545FC3"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297" w:type="pct"/>
            <w:tcBorders>
              <w:top w:val="nil"/>
              <w:left w:val="nil"/>
              <w:bottom w:val="single" w:sz="4" w:space="0" w:color="auto"/>
              <w:right w:val="single" w:sz="4" w:space="0" w:color="auto"/>
            </w:tcBorders>
            <w:shd w:val="clear" w:color="000000" w:fill="B6A39A"/>
            <w:noWrap/>
            <w:vAlign w:val="bottom"/>
            <w:hideMark/>
          </w:tcPr>
          <w:p w14:paraId="15EA90A9"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403" w:type="pct"/>
            <w:tcBorders>
              <w:top w:val="nil"/>
              <w:left w:val="nil"/>
              <w:bottom w:val="single" w:sz="4" w:space="0" w:color="auto"/>
              <w:right w:val="single" w:sz="4" w:space="0" w:color="auto"/>
            </w:tcBorders>
            <w:shd w:val="clear" w:color="000000" w:fill="B6A39A"/>
            <w:noWrap/>
            <w:vAlign w:val="bottom"/>
            <w:hideMark/>
          </w:tcPr>
          <w:p w14:paraId="62BC6E8C"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240" w:type="pct"/>
            <w:tcBorders>
              <w:top w:val="nil"/>
              <w:left w:val="nil"/>
              <w:bottom w:val="single" w:sz="4" w:space="0" w:color="auto"/>
              <w:right w:val="single" w:sz="4" w:space="0" w:color="auto"/>
            </w:tcBorders>
            <w:shd w:val="clear" w:color="000000" w:fill="B6A39A"/>
            <w:noWrap/>
            <w:vAlign w:val="bottom"/>
            <w:hideMark/>
          </w:tcPr>
          <w:p w14:paraId="71E9D1D0"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403" w:type="pct"/>
            <w:tcBorders>
              <w:top w:val="nil"/>
              <w:left w:val="nil"/>
              <w:bottom w:val="single" w:sz="4" w:space="0" w:color="auto"/>
              <w:right w:val="single" w:sz="8" w:space="0" w:color="auto"/>
            </w:tcBorders>
            <w:shd w:val="clear" w:color="000000" w:fill="B6A39A"/>
            <w:noWrap/>
            <w:vAlign w:val="bottom"/>
            <w:hideMark/>
          </w:tcPr>
          <w:p w14:paraId="32231A6A"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240" w:type="pct"/>
            <w:tcBorders>
              <w:top w:val="nil"/>
              <w:left w:val="nil"/>
              <w:bottom w:val="single" w:sz="4" w:space="0" w:color="auto"/>
              <w:right w:val="single" w:sz="4" w:space="0" w:color="auto"/>
            </w:tcBorders>
            <w:shd w:val="clear" w:color="000000" w:fill="B6A39A"/>
            <w:noWrap/>
            <w:vAlign w:val="bottom"/>
            <w:hideMark/>
          </w:tcPr>
          <w:p w14:paraId="07B9261C"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436" w:type="pct"/>
            <w:tcBorders>
              <w:top w:val="nil"/>
              <w:left w:val="nil"/>
              <w:bottom w:val="single" w:sz="4" w:space="0" w:color="auto"/>
              <w:right w:val="single" w:sz="8" w:space="0" w:color="auto"/>
            </w:tcBorders>
            <w:shd w:val="clear" w:color="000000" w:fill="B6A39A"/>
            <w:noWrap/>
            <w:vAlign w:val="bottom"/>
            <w:hideMark/>
          </w:tcPr>
          <w:p w14:paraId="64F7AC3A"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c>
          <w:tcPr>
            <w:tcW w:w="240" w:type="pct"/>
            <w:tcBorders>
              <w:top w:val="nil"/>
              <w:left w:val="single" w:sz="4" w:space="0" w:color="auto"/>
              <w:bottom w:val="single" w:sz="4" w:space="0" w:color="auto"/>
              <w:right w:val="single" w:sz="4" w:space="0" w:color="auto"/>
            </w:tcBorders>
            <w:shd w:val="clear" w:color="000000" w:fill="B6A39A"/>
            <w:noWrap/>
            <w:vAlign w:val="bottom"/>
            <w:hideMark/>
          </w:tcPr>
          <w:p w14:paraId="0C9725C9"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 </w:t>
            </w:r>
          </w:p>
        </w:tc>
        <w:tc>
          <w:tcPr>
            <w:tcW w:w="477" w:type="pct"/>
            <w:tcBorders>
              <w:top w:val="nil"/>
              <w:left w:val="nil"/>
              <w:bottom w:val="single" w:sz="4" w:space="0" w:color="auto"/>
              <w:right w:val="single" w:sz="8" w:space="0" w:color="auto"/>
            </w:tcBorders>
            <w:shd w:val="clear" w:color="000000" w:fill="B6A39A"/>
            <w:noWrap/>
            <w:vAlign w:val="bottom"/>
            <w:hideMark/>
          </w:tcPr>
          <w:p w14:paraId="1D913509"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w:t>
            </w:r>
          </w:p>
        </w:tc>
      </w:tr>
      <w:tr w:rsidR="00E83731" w:rsidRPr="00E83731" w14:paraId="09F55EE2" w14:textId="77777777" w:rsidTr="00E83731">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7F6279B0" w14:textId="77777777" w:rsidR="00E83731" w:rsidRPr="00E83731" w:rsidRDefault="00E83731" w:rsidP="00E83731">
            <w:pPr>
              <w:spacing w:after="0" w:line="240" w:lineRule="auto"/>
              <w:rPr>
                <w:rFonts w:ascii="Arial" w:eastAsia="Times New Roman" w:hAnsi="Arial" w:cs="Arial"/>
                <w:color w:val="000000"/>
                <w:sz w:val="16"/>
                <w:szCs w:val="16"/>
                <w:lang w:val="ca-ES" w:eastAsia="es-ES"/>
              </w:rPr>
            </w:pPr>
            <w:r w:rsidRPr="00E83731">
              <w:rPr>
                <w:rFonts w:ascii="Arial" w:hAnsi="Arial" w:cs="Arial"/>
                <w:color w:val="000000"/>
                <w:sz w:val="16"/>
                <w:szCs w:val="16"/>
                <w:lang w:val="ca-ES"/>
              </w:rPr>
              <w:t>Pendents</w:t>
            </w:r>
          </w:p>
        </w:tc>
        <w:tc>
          <w:tcPr>
            <w:tcW w:w="187" w:type="pct"/>
            <w:tcBorders>
              <w:top w:val="nil"/>
              <w:left w:val="nil"/>
              <w:bottom w:val="single" w:sz="4" w:space="0" w:color="auto"/>
              <w:right w:val="single" w:sz="4" w:space="0" w:color="auto"/>
            </w:tcBorders>
            <w:shd w:val="clear" w:color="auto" w:fill="auto"/>
            <w:noWrap/>
            <w:vAlign w:val="bottom"/>
            <w:hideMark/>
          </w:tcPr>
          <w:p w14:paraId="7FE34DF1"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w:t>
            </w:r>
          </w:p>
        </w:tc>
        <w:tc>
          <w:tcPr>
            <w:tcW w:w="409" w:type="pct"/>
            <w:tcBorders>
              <w:top w:val="nil"/>
              <w:left w:val="nil"/>
              <w:bottom w:val="single" w:sz="4" w:space="0" w:color="auto"/>
              <w:right w:val="single" w:sz="4" w:space="0" w:color="auto"/>
            </w:tcBorders>
            <w:shd w:val="clear" w:color="auto" w:fill="auto"/>
            <w:noWrap/>
            <w:vAlign w:val="bottom"/>
            <w:hideMark/>
          </w:tcPr>
          <w:p w14:paraId="4E32243D"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0,00%</w:t>
            </w:r>
          </w:p>
        </w:tc>
        <w:tc>
          <w:tcPr>
            <w:tcW w:w="297" w:type="pct"/>
            <w:tcBorders>
              <w:top w:val="nil"/>
              <w:left w:val="nil"/>
              <w:bottom w:val="single" w:sz="4" w:space="0" w:color="000000"/>
              <w:right w:val="single" w:sz="4" w:space="0" w:color="000000"/>
            </w:tcBorders>
            <w:shd w:val="clear" w:color="000000" w:fill="FFFFFF"/>
            <w:noWrap/>
            <w:vAlign w:val="center"/>
            <w:hideMark/>
          </w:tcPr>
          <w:p w14:paraId="74A52494"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w:t>
            </w:r>
          </w:p>
        </w:tc>
        <w:tc>
          <w:tcPr>
            <w:tcW w:w="403" w:type="pct"/>
            <w:tcBorders>
              <w:top w:val="nil"/>
              <w:left w:val="nil"/>
              <w:bottom w:val="single" w:sz="4" w:space="0" w:color="auto"/>
              <w:right w:val="single" w:sz="4" w:space="0" w:color="auto"/>
            </w:tcBorders>
            <w:shd w:val="clear" w:color="auto" w:fill="auto"/>
            <w:noWrap/>
            <w:vAlign w:val="bottom"/>
            <w:hideMark/>
          </w:tcPr>
          <w:p w14:paraId="7E793B98"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0,00%</w:t>
            </w:r>
          </w:p>
        </w:tc>
        <w:tc>
          <w:tcPr>
            <w:tcW w:w="297" w:type="pct"/>
            <w:tcBorders>
              <w:top w:val="nil"/>
              <w:left w:val="nil"/>
              <w:bottom w:val="single" w:sz="4" w:space="0" w:color="000000"/>
              <w:right w:val="single" w:sz="4" w:space="0" w:color="000000"/>
            </w:tcBorders>
            <w:shd w:val="clear" w:color="000000" w:fill="FFFFFF"/>
            <w:vAlign w:val="center"/>
            <w:hideMark/>
          </w:tcPr>
          <w:p w14:paraId="0BF043E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w:t>
            </w:r>
          </w:p>
        </w:tc>
        <w:tc>
          <w:tcPr>
            <w:tcW w:w="403" w:type="pct"/>
            <w:tcBorders>
              <w:top w:val="nil"/>
              <w:left w:val="nil"/>
              <w:bottom w:val="single" w:sz="4" w:space="0" w:color="auto"/>
              <w:right w:val="single" w:sz="4" w:space="0" w:color="auto"/>
            </w:tcBorders>
            <w:shd w:val="clear" w:color="auto" w:fill="auto"/>
            <w:noWrap/>
            <w:vAlign w:val="bottom"/>
            <w:hideMark/>
          </w:tcPr>
          <w:p w14:paraId="1B6A07B4"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0,00%</w:t>
            </w:r>
          </w:p>
        </w:tc>
        <w:tc>
          <w:tcPr>
            <w:tcW w:w="240" w:type="pct"/>
            <w:tcBorders>
              <w:top w:val="nil"/>
              <w:left w:val="nil"/>
              <w:bottom w:val="single" w:sz="4" w:space="0" w:color="000000"/>
              <w:right w:val="single" w:sz="4" w:space="0" w:color="000000"/>
            </w:tcBorders>
            <w:shd w:val="clear" w:color="000000" w:fill="FFFFFF"/>
            <w:noWrap/>
            <w:vAlign w:val="center"/>
            <w:hideMark/>
          </w:tcPr>
          <w:p w14:paraId="4DB657DC"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w:t>
            </w:r>
          </w:p>
        </w:tc>
        <w:tc>
          <w:tcPr>
            <w:tcW w:w="403" w:type="pct"/>
            <w:tcBorders>
              <w:top w:val="nil"/>
              <w:left w:val="nil"/>
              <w:bottom w:val="single" w:sz="4" w:space="0" w:color="auto"/>
              <w:right w:val="single" w:sz="8" w:space="0" w:color="auto"/>
            </w:tcBorders>
            <w:shd w:val="clear" w:color="auto" w:fill="auto"/>
            <w:noWrap/>
            <w:vAlign w:val="bottom"/>
            <w:hideMark/>
          </w:tcPr>
          <w:p w14:paraId="67557A1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0,00%</w:t>
            </w:r>
          </w:p>
        </w:tc>
        <w:tc>
          <w:tcPr>
            <w:tcW w:w="240" w:type="pct"/>
            <w:tcBorders>
              <w:top w:val="nil"/>
              <w:left w:val="nil"/>
              <w:bottom w:val="single" w:sz="4" w:space="0" w:color="000000"/>
              <w:right w:val="single" w:sz="4" w:space="0" w:color="000000"/>
            </w:tcBorders>
            <w:shd w:val="clear" w:color="000000" w:fill="FFFFFF"/>
            <w:noWrap/>
            <w:vAlign w:val="center"/>
            <w:hideMark/>
          </w:tcPr>
          <w:p w14:paraId="5539EF7E"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162</w:t>
            </w:r>
          </w:p>
        </w:tc>
        <w:tc>
          <w:tcPr>
            <w:tcW w:w="436" w:type="pct"/>
            <w:tcBorders>
              <w:top w:val="nil"/>
              <w:left w:val="nil"/>
              <w:bottom w:val="single" w:sz="4" w:space="0" w:color="auto"/>
              <w:right w:val="single" w:sz="8" w:space="0" w:color="auto"/>
            </w:tcBorders>
            <w:shd w:val="clear" w:color="auto" w:fill="auto"/>
            <w:noWrap/>
            <w:vAlign w:val="bottom"/>
            <w:hideMark/>
          </w:tcPr>
          <w:p w14:paraId="2AA58985"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45,13%</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2B997781"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162</w:t>
            </w:r>
          </w:p>
        </w:tc>
        <w:tc>
          <w:tcPr>
            <w:tcW w:w="477" w:type="pct"/>
            <w:tcBorders>
              <w:top w:val="nil"/>
              <w:left w:val="nil"/>
              <w:bottom w:val="single" w:sz="4" w:space="0" w:color="auto"/>
              <w:right w:val="single" w:sz="8" w:space="0" w:color="auto"/>
            </w:tcBorders>
            <w:shd w:val="clear" w:color="auto" w:fill="auto"/>
            <w:noWrap/>
            <w:vAlign w:val="bottom"/>
            <w:hideMark/>
          </w:tcPr>
          <w:p w14:paraId="398A4E94"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16,72%</w:t>
            </w:r>
          </w:p>
        </w:tc>
      </w:tr>
      <w:tr w:rsidR="00E83731" w:rsidRPr="00E83731" w14:paraId="2589385C" w14:textId="77777777" w:rsidTr="00E83731">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2545B2C9" w14:textId="77777777" w:rsidR="00E83731" w:rsidRPr="00E83731" w:rsidRDefault="00E83731" w:rsidP="00E83731">
            <w:pPr>
              <w:spacing w:after="0" w:line="240" w:lineRule="auto"/>
              <w:rPr>
                <w:rFonts w:ascii="Arial" w:eastAsia="Times New Roman" w:hAnsi="Arial" w:cs="Arial"/>
                <w:color w:val="000000"/>
                <w:sz w:val="16"/>
                <w:szCs w:val="16"/>
                <w:lang w:val="ca-ES" w:eastAsia="es-ES"/>
              </w:rPr>
            </w:pPr>
            <w:r w:rsidRPr="00E83731">
              <w:rPr>
                <w:rFonts w:ascii="Arial" w:hAnsi="Arial" w:cs="Arial"/>
                <w:color w:val="000000"/>
                <w:sz w:val="16"/>
                <w:szCs w:val="16"/>
                <w:lang w:val="ca-ES"/>
              </w:rPr>
              <w:t>Anàlisi</w:t>
            </w:r>
          </w:p>
        </w:tc>
        <w:tc>
          <w:tcPr>
            <w:tcW w:w="187" w:type="pct"/>
            <w:tcBorders>
              <w:top w:val="nil"/>
              <w:left w:val="nil"/>
              <w:bottom w:val="single" w:sz="4" w:space="0" w:color="auto"/>
              <w:right w:val="single" w:sz="4" w:space="0" w:color="auto"/>
            </w:tcBorders>
            <w:shd w:val="clear" w:color="auto" w:fill="auto"/>
            <w:noWrap/>
            <w:vAlign w:val="bottom"/>
            <w:hideMark/>
          </w:tcPr>
          <w:p w14:paraId="7DE882B6"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w:t>
            </w:r>
          </w:p>
        </w:tc>
        <w:tc>
          <w:tcPr>
            <w:tcW w:w="409" w:type="pct"/>
            <w:tcBorders>
              <w:top w:val="nil"/>
              <w:left w:val="nil"/>
              <w:bottom w:val="single" w:sz="4" w:space="0" w:color="auto"/>
              <w:right w:val="single" w:sz="4" w:space="0" w:color="auto"/>
            </w:tcBorders>
            <w:shd w:val="clear" w:color="auto" w:fill="auto"/>
            <w:noWrap/>
            <w:vAlign w:val="bottom"/>
            <w:hideMark/>
          </w:tcPr>
          <w:p w14:paraId="5BEB7B13"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2,86%</w:t>
            </w:r>
          </w:p>
        </w:tc>
        <w:tc>
          <w:tcPr>
            <w:tcW w:w="297" w:type="pct"/>
            <w:tcBorders>
              <w:top w:val="nil"/>
              <w:left w:val="nil"/>
              <w:bottom w:val="single" w:sz="4" w:space="0" w:color="000000"/>
              <w:right w:val="single" w:sz="4" w:space="0" w:color="000000"/>
            </w:tcBorders>
            <w:shd w:val="clear" w:color="000000" w:fill="FFFFFF"/>
            <w:noWrap/>
            <w:vAlign w:val="center"/>
            <w:hideMark/>
          </w:tcPr>
          <w:p w14:paraId="73DD6496"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w:t>
            </w:r>
          </w:p>
        </w:tc>
        <w:tc>
          <w:tcPr>
            <w:tcW w:w="403" w:type="pct"/>
            <w:tcBorders>
              <w:top w:val="nil"/>
              <w:left w:val="nil"/>
              <w:bottom w:val="single" w:sz="4" w:space="0" w:color="auto"/>
              <w:right w:val="single" w:sz="4" w:space="0" w:color="auto"/>
            </w:tcBorders>
            <w:shd w:val="clear" w:color="auto" w:fill="auto"/>
            <w:noWrap/>
            <w:vAlign w:val="bottom"/>
            <w:hideMark/>
          </w:tcPr>
          <w:p w14:paraId="0F68C2C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1,10%</w:t>
            </w:r>
          </w:p>
        </w:tc>
        <w:tc>
          <w:tcPr>
            <w:tcW w:w="297" w:type="pct"/>
            <w:tcBorders>
              <w:top w:val="nil"/>
              <w:left w:val="nil"/>
              <w:bottom w:val="single" w:sz="4" w:space="0" w:color="000000"/>
              <w:right w:val="single" w:sz="4" w:space="0" w:color="000000"/>
            </w:tcBorders>
            <w:shd w:val="clear" w:color="000000" w:fill="FFFFFF"/>
            <w:noWrap/>
            <w:vAlign w:val="center"/>
            <w:hideMark/>
          </w:tcPr>
          <w:p w14:paraId="410548E6"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4</w:t>
            </w:r>
          </w:p>
        </w:tc>
        <w:tc>
          <w:tcPr>
            <w:tcW w:w="403" w:type="pct"/>
            <w:tcBorders>
              <w:top w:val="nil"/>
              <w:left w:val="nil"/>
              <w:bottom w:val="single" w:sz="4" w:space="0" w:color="auto"/>
              <w:right w:val="single" w:sz="4" w:space="0" w:color="auto"/>
            </w:tcBorders>
            <w:shd w:val="clear" w:color="auto" w:fill="auto"/>
            <w:noWrap/>
            <w:vAlign w:val="bottom"/>
            <w:hideMark/>
          </w:tcPr>
          <w:p w14:paraId="02CA7C05"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2,38%</w:t>
            </w:r>
          </w:p>
        </w:tc>
        <w:tc>
          <w:tcPr>
            <w:tcW w:w="240" w:type="pct"/>
            <w:tcBorders>
              <w:top w:val="nil"/>
              <w:left w:val="nil"/>
              <w:bottom w:val="single" w:sz="4" w:space="0" w:color="000000"/>
              <w:right w:val="single" w:sz="4" w:space="0" w:color="000000"/>
            </w:tcBorders>
            <w:shd w:val="clear" w:color="000000" w:fill="FFFFFF"/>
            <w:noWrap/>
            <w:vAlign w:val="center"/>
            <w:hideMark/>
          </w:tcPr>
          <w:p w14:paraId="2D0484D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33</w:t>
            </w:r>
          </w:p>
        </w:tc>
        <w:tc>
          <w:tcPr>
            <w:tcW w:w="403" w:type="pct"/>
            <w:tcBorders>
              <w:top w:val="nil"/>
              <w:left w:val="nil"/>
              <w:bottom w:val="single" w:sz="4" w:space="0" w:color="auto"/>
              <w:right w:val="single" w:sz="8" w:space="0" w:color="auto"/>
            </w:tcBorders>
            <w:shd w:val="clear" w:color="auto" w:fill="auto"/>
            <w:noWrap/>
            <w:vAlign w:val="bottom"/>
            <w:hideMark/>
          </w:tcPr>
          <w:p w14:paraId="2168E85A"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14,60%</w:t>
            </w:r>
          </w:p>
        </w:tc>
        <w:tc>
          <w:tcPr>
            <w:tcW w:w="240" w:type="pct"/>
            <w:tcBorders>
              <w:top w:val="nil"/>
              <w:left w:val="nil"/>
              <w:bottom w:val="single" w:sz="4" w:space="0" w:color="000000"/>
              <w:right w:val="single" w:sz="4" w:space="0" w:color="000000"/>
            </w:tcBorders>
            <w:shd w:val="clear" w:color="000000" w:fill="FFFFFF"/>
            <w:noWrap/>
            <w:vAlign w:val="center"/>
            <w:hideMark/>
          </w:tcPr>
          <w:p w14:paraId="50A690AC"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74</w:t>
            </w:r>
          </w:p>
        </w:tc>
        <w:tc>
          <w:tcPr>
            <w:tcW w:w="436" w:type="pct"/>
            <w:tcBorders>
              <w:top w:val="nil"/>
              <w:left w:val="nil"/>
              <w:bottom w:val="single" w:sz="4" w:space="0" w:color="auto"/>
              <w:right w:val="single" w:sz="8" w:space="0" w:color="auto"/>
            </w:tcBorders>
            <w:shd w:val="clear" w:color="auto" w:fill="auto"/>
            <w:noWrap/>
            <w:vAlign w:val="bottom"/>
            <w:hideMark/>
          </w:tcPr>
          <w:p w14:paraId="2108F75E"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20,61%</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7006A5AA"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114</w:t>
            </w:r>
          </w:p>
        </w:tc>
        <w:tc>
          <w:tcPr>
            <w:tcW w:w="477" w:type="pct"/>
            <w:tcBorders>
              <w:top w:val="nil"/>
              <w:left w:val="nil"/>
              <w:bottom w:val="single" w:sz="4" w:space="0" w:color="auto"/>
              <w:right w:val="single" w:sz="8" w:space="0" w:color="auto"/>
            </w:tcBorders>
            <w:shd w:val="clear" w:color="auto" w:fill="auto"/>
            <w:noWrap/>
            <w:vAlign w:val="bottom"/>
            <w:hideMark/>
          </w:tcPr>
          <w:p w14:paraId="4A0E66C4"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11,76%</w:t>
            </w:r>
          </w:p>
        </w:tc>
      </w:tr>
      <w:tr w:rsidR="00E83731" w:rsidRPr="00E83731" w14:paraId="47711E97" w14:textId="77777777" w:rsidTr="00E83731">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1C43DC05" w14:textId="77777777" w:rsidR="00E83731" w:rsidRPr="00E83731" w:rsidRDefault="00E83731" w:rsidP="00E83731">
            <w:pPr>
              <w:spacing w:after="0" w:line="240" w:lineRule="auto"/>
              <w:rPr>
                <w:rFonts w:ascii="Arial" w:eastAsia="Times New Roman" w:hAnsi="Arial" w:cs="Arial"/>
                <w:color w:val="000000"/>
                <w:sz w:val="16"/>
                <w:szCs w:val="16"/>
                <w:lang w:val="ca-ES" w:eastAsia="es-ES"/>
              </w:rPr>
            </w:pPr>
            <w:r w:rsidRPr="00E83731">
              <w:rPr>
                <w:rFonts w:ascii="Arial" w:hAnsi="Arial" w:cs="Arial"/>
                <w:color w:val="000000"/>
                <w:sz w:val="16"/>
                <w:szCs w:val="16"/>
                <w:lang w:val="ca-ES"/>
              </w:rPr>
              <w:t>Investigació</w:t>
            </w:r>
          </w:p>
        </w:tc>
        <w:tc>
          <w:tcPr>
            <w:tcW w:w="187" w:type="pct"/>
            <w:tcBorders>
              <w:top w:val="nil"/>
              <w:left w:val="nil"/>
              <w:bottom w:val="single" w:sz="4" w:space="0" w:color="auto"/>
              <w:right w:val="single" w:sz="4" w:space="0" w:color="auto"/>
            </w:tcBorders>
            <w:shd w:val="clear" w:color="auto" w:fill="auto"/>
            <w:noWrap/>
            <w:vAlign w:val="bottom"/>
            <w:hideMark/>
          </w:tcPr>
          <w:p w14:paraId="725C60F0"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w:t>
            </w:r>
          </w:p>
        </w:tc>
        <w:tc>
          <w:tcPr>
            <w:tcW w:w="409" w:type="pct"/>
            <w:tcBorders>
              <w:top w:val="nil"/>
              <w:left w:val="nil"/>
              <w:bottom w:val="single" w:sz="4" w:space="0" w:color="auto"/>
              <w:right w:val="single" w:sz="4" w:space="0" w:color="auto"/>
            </w:tcBorders>
            <w:shd w:val="clear" w:color="auto" w:fill="auto"/>
            <w:noWrap/>
            <w:vAlign w:val="bottom"/>
            <w:hideMark/>
          </w:tcPr>
          <w:p w14:paraId="5CFFCF12"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0,00%</w:t>
            </w:r>
          </w:p>
        </w:tc>
        <w:tc>
          <w:tcPr>
            <w:tcW w:w="297" w:type="pct"/>
            <w:tcBorders>
              <w:top w:val="nil"/>
              <w:left w:val="nil"/>
              <w:bottom w:val="single" w:sz="4" w:space="0" w:color="000000"/>
              <w:right w:val="single" w:sz="4" w:space="0" w:color="000000"/>
            </w:tcBorders>
            <w:shd w:val="clear" w:color="000000" w:fill="FFFFFF"/>
            <w:noWrap/>
            <w:vAlign w:val="center"/>
            <w:hideMark/>
          </w:tcPr>
          <w:p w14:paraId="5CB7D75B"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4</w:t>
            </w:r>
          </w:p>
        </w:tc>
        <w:tc>
          <w:tcPr>
            <w:tcW w:w="403" w:type="pct"/>
            <w:tcBorders>
              <w:top w:val="nil"/>
              <w:left w:val="nil"/>
              <w:bottom w:val="single" w:sz="4" w:space="0" w:color="auto"/>
              <w:right w:val="single" w:sz="4" w:space="0" w:color="auto"/>
            </w:tcBorders>
            <w:shd w:val="clear" w:color="auto" w:fill="auto"/>
            <w:noWrap/>
            <w:vAlign w:val="bottom"/>
            <w:hideMark/>
          </w:tcPr>
          <w:p w14:paraId="13CD948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2,21%</w:t>
            </w:r>
          </w:p>
        </w:tc>
        <w:tc>
          <w:tcPr>
            <w:tcW w:w="297" w:type="pct"/>
            <w:tcBorders>
              <w:top w:val="nil"/>
              <w:left w:val="nil"/>
              <w:bottom w:val="single" w:sz="4" w:space="0" w:color="000000"/>
              <w:right w:val="single" w:sz="4" w:space="0" w:color="000000"/>
            </w:tcBorders>
            <w:shd w:val="clear" w:color="000000" w:fill="FFFFFF"/>
            <w:noWrap/>
            <w:vAlign w:val="center"/>
            <w:hideMark/>
          </w:tcPr>
          <w:p w14:paraId="50C7CA0C"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8</w:t>
            </w:r>
          </w:p>
        </w:tc>
        <w:tc>
          <w:tcPr>
            <w:tcW w:w="403" w:type="pct"/>
            <w:tcBorders>
              <w:top w:val="nil"/>
              <w:left w:val="nil"/>
              <w:bottom w:val="single" w:sz="4" w:space="0" w:color="auto"/>
              <w:right w:val="single" w:sz="4" w:space="0" w:color="auto"/>
            </w:tcBorders>
            <w:shd w:val="clear" w:color="auto" w:fill="auto"/>
            <w:noWrap/>
            <w:vAlign w:val="bottom"/>
            <w:hideMark/>
          </w:tcPr>
          <w:p w14:paraId="1B9F0162"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4,76%</w:t>
            </w:r>
          </w:p>
        </w:tc>
        <w:tc>
          <w:tcPr>
            <w:tcW w:w="240" w:type="pct"/>
            <w:tcBorders>
              <w:top w:val="nil"/>
              <w:left w:val="nil"/>
              <w:bottom w:val="single" w:sz="4" w:space="0" w:color="000000"/>
              <w:right w:val="single" w:sz="4" w:space="0" w:color="000000"/>
            </w:tcBorders>
            <w:shd w:val="clear" w:color="000000" w:fill="FFFFFF"/>
            <w:noWrap/>
            <w:vAlign w:val="center"/>
            <w:hideMark/>
          </w:tcPr>
          <w:p w14:paraId="3E04C9F8"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23</w:t>
            </w:r>
          </w:p>
        </w:tc>
        <w:tc>
          <w:tcPr>
            <w:tcW w:w="403" w:type="pct"/>
            <w:tcBorders>
              <w:top w:val="nil"/>
              <w:left w:val="nil"/>
              <w:bottom w:val="single" w:sz="4" w:space="0" w:color="auto"/>
              <w:right w:val="single" w:sz="8" w:space="0" w:color="auto"/>
            </w:tcBorders>
            <w:shd w:val="clear" w:color="auto" w:fill="auto"/>
            <w:noWrap/>
            <w:vAlign w:val="bottom"/>
            <w:hideMark/>
          </w:tcPr>
          <w:p w14:paraId="58C4FFDE"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10,18%</w:t>
            </w:r>
          </w:p>
        </w:tc>
        <w:tc>
          <w:tcPr>
            <w:tcW w:w="240" w:type="pct"/>
            <w:tcBorders>
              <w:top w:val="nil"/>
              <w:left w:val="nil"/>
              <w:bottom w:val="single" w:sz="4" w:space="0" w:color="000000"/>
              <w:right w:val="single" w:sz="4" w:space="0" w:color="000000"/>
            </w:tcBorders>
            <w:shd w:val="clear" w:color="000000" w:fill="FFFFFF"/>
            <w:noWrap/>
            <w:vAlign w:val="center"/>
            <w:hideMark/>
          </w:tcPr>
          <w:p w14:paraId="1898BA26"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35</w:t>
            </w:r>
          </w:p>
        </w:tc>
        <w:tc>
          <w:tcPr>
            <w:tcW w:w="436" w:type="pct"/>
            <w:tcBorders>
              <w:top w:val="nil"/>
              <w:left w:val="nil"/>
              <w:bottom w:val="single" w:sz="4" w:space="0" w:color="auto"/>
              <w:right w:val="single" w:sz="8" w:space="0" w:color="auto"/>
            </w:tcBorders>
            <w:shd w:val="clear" w:color="auto" w:fill="auto"/>
            <w:noWrap/>
            <w:vAlign w:val="bottom"/>
            <w:hideMark/>
          </w:tcPr>
          <w:p w14:paraId="3629F6C2"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9,75%</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02EC37BD"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70</w:t>
            </w:r>
          </w:p>
        </w:tc>
        <w:tc>
          <w:tcPr>
            <w:tcW w:w="477" w:type="pct"/>
            <w:tcBorders>
              <w:top w:val="nil"/>
              <w:left w:val="nil"/>
              <w:bottom w:val="single" w:sz="4" w:space="0" w:color="auto"/>
              <w:right w:val="single" w:sz="8" w:space="0" w:color="auto"/>
            </w:tcBorders>
            <w:shd w:val="clear" w:color="auto" w:fill="auto"/>
            <w:noWrap/>
            <w:vAlign w:val="bottom"/>
            <w:hideMark/>
          </w:tcPr>
          <w:p w14:paraId="3B22F72C"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7,22%</w:t>
            </w:r>
          </w:p>
        </w:tc>
      </w:tr>
      <w:tr w:rsidR="00E83731" w:rsidRPr="00E83731" w14:paraId="5C028E22" w14:textId="77777777" w:rsidTr="00E83731">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59AF5BE6" w14:textId="77777777" w:rsidR="00E83731" w:rsidRPr="00E83731" w:rsidRDefault="00E83731" w:rsidP="00E83731">
            <w:pPr>
              <w:spacing w:after="0" w:line="240" w:lineRule="auto"/>
              <w:rPr>
                <w:rFonts w:ascii="Arial" w:eastAsia="Times New Roman" w:hAnsi="Arial" w:cs="Arial"/>
                <w:color w:val="000000"/>
                <w:sz w:val="16"/>
                <w:szCs w:val="16"/>
                <w:lang w:val="ca-ES" w:eastAsia="es-ES"/>
              </w:rPr>
            </w:pPr>
            <w:r w:rsidRPr="00E83731">
              <w:rPr>
                <w:rFonts w:ascii="Arial" w:hAnsi="Arial" w:cs="Arial"/>
                <w:color w:val="000000"/>
                <w:sz w:val="16"/>
                <w:szCs w:val="16"/>
                <w:lang w:val="ca-ES"/>
              </w:rPr>
              <w:t>Interrupció</w:t>
            </w:r>
          </w:p>
        </w:tc>
        <w:tc>
          <w:tcPr>
            <w:tcW w:w="187" w:type="pct"/>
            <w:tcBorders>
              <w:top w:val="nil"/>
              <w:left w:val="nil"/>
              <w:bottom w:val="single" w:sz="4" w:space="0" w:color="auto"/>
              <w:right w:val="single" w:sz="4" w:space="0" w:color="auto"/>
            </w:tcBorders>
            <w:shd w:val="clear" w:color="auto" w:fill="auto"/>
            <w:noWrap/>
            <w:vAlign w:val="bottom"/>
            <w:hideMark/>
          </w:tcPr>
          <w:p w14:paraId="3765669D"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w:t>
            </w:r>
          </w:p>
        </w:tc>
        <w:tc>
          <w:tcPr>
            <w:tcW w:w="409" w:type="pct"/>
            <w:tcBorders>
              <w:top w:val="nil"/>
              <w:left w:val="nil"/>
              <w:bottom w:val="single" w:sz="4" w:space="0" w:color="auto"/>
              <w:right w:val="single" w:sz="4" w:space="0" w:color="auto"/>
            </w:tcBorders>
            <w:shd w:val="clear" w:color="auto" w:fill="auto"/>
            <w:noWrap/>
            <w:vAlign w:val="bottom"/>
            <w:hideMark/>
          </w:tcPr>
          <w:p w14:paraId="481E69A1"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5,71%</w:t>
            </w:r>
          </w:p>
        </w:tc>
        <w:tc>
          <w:tcPr>
            <w:tcW w:w="297" w:type="pct"/>
            <w:tcBorders>
              <w:top w:val="nil"/>
              <w:left w:val="nil"/>
              <w:bottom w:val="single" w:sz="4" w:space="0" w:color="000000"/>
              <w:right w:val="single" w:sz="4" w:space="0" w:color="000000"/>
            </w:tcBorders>
            <w:shd w:val="clear" w:color="000000" w:fill="FFFFFF"/>
            <w:noWrap/>
            <w:vAlign w:val="center"/>
            <w:hideMark/>
          </w:tcPr>
          <w:p w14:paraId="51C7221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10</w:t>
            </w:r>
          </w:p>
        </w:tc>
        <w:tc>
          <w:tcPr>
            <w:tcW w:w="403" w:type="pct"/>
            <w:tcBorders>
              <w:top w:val="nil"/>
              <w:left w:val="nil"/>
              <w:bottom w:val="single" w:sz="4" w:space="0" w:color="auto"/>
              <w:right w:val="single" w:sz="4" w:space="0" w:color="auto"/>
            </w:tcBorders>
            <w:shd w:val="clear" w:color="auto" w:fill="auto"/>
            <w:noWrap/>
            <w:vAlign w:val="bottom"/>
            <w:hideMark/>
          </w:tcPr>
          <w:p w14:paraId="5F74066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5,52%</w:t>
            </w:r>
          </w:p>
        </w:tc>
        <w:tc>
          <w:tcPr>
            <w:tcW w:w="297" w:type="pct"/>
            <w:tcBorders>
              <w:top w:val="nil"/>
              <w:left w:val="nil"/>
              <w:bottom w:val="single" w:sz="4" w:space="0" w:color="000000"/>
              <w:right w:val="single" w:sz="4" w:space="0" w:color="000000"/>
            </w:tcBorders>
            <w:shd w:val="clear" w:color="000000" w:fill="FFFFFF"/>
            <w:vAlign w:val="center"/>
            <w:hideMark/>
          </w:tcPr>
          <w:p w14:paraId="012677C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13</w:t>
            </w:r>
          </w:p>
        </w:tc>
        <w:tc>
          <w:tcPr>
            <w:tcW w:w="403" w:type="pct"/>
            <w:tcBorders>
              <w:top w:val="nil"/>
              <w:left w:val="nil"/>
              <w:bottom w:val="single" w:sz="4" w:space="0" w:color="auto"/>
              <w:right w:val="single" w:sz="4" w:space="0" w:color="auto"/>
            </w:tcBorders>
            <w:shd w:val="clear" w:color="auto" w:fill="auto"/>
            <w:noWrap/>
            <w:vAlign w:val="bottom"/>
            <w:hideMark/>
          </w:tcPr>
          <w:p w14:paraId="3BCE0FBE"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7,74%</w:t>
            </w:r>
          </w:p>
        </w:tc>
        <w:tc>
          <w:tcPr>
            <w:tcW w:w="240" w:type="pct"/>
            <w:tcBorders>
              <w:top w:val="nil"/>
              <w:left w:val="nil"/>
              <w:bottom w:val="single" w:sz="4" w:space="0" w:color="000000"/>
              <w:right w:val="single" w:sz="4" w:space="0" w:color="000000"/>
            </w:tcBorders>
            <w:shd w:val="clear" w:color="000000" w:fill="FFFFFF"/>
            <w:noWrap/>
            <w:vAlign w:val="center"/>
            <w:hideMark/>
          </w:tcPr>
          <w:p w14:paraId="6B3ECEED"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5</w:t>
            </w:r>
          </w:p>
        </w:tc>
        <w:tc>
          <w:tcPr>
            <w:tcW w:w="403" w:type="pct"/>
            <w:tcBorders>
              <w:top w:val="nil"/>
              <w:left w:val="nil"/>
              <w:bottom w:val="single" w:sz="4" w:space="0" w:color="auto"/>
              <w:right w:val="single" w:sz="8" w:space="0" w:color="auto"/>
            </w:tcBorders>
            <w:shd w:val="clear" w:color="auto" w:fill="auto"/>
            <w:noWrap/>
            <w:vAlign w:val="bottom"/>
            <w:hideMark/>
          </w:tcPr>
          <w:p w14:paraId="63955CC5"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2,21%</w:t>
            </w:r>
          </w:p>
        </w:tc>
        <w:tc>
          <w:tcPr>
            <w:tcW w:w="240" w:type="pct"/>
            <w:tcBorders>
              <w:top w:val="nil"/>
              <w:left w:val="nil"/>
              <w:bottom w:val="single" w:sz="4" w:space="0" w:color="000000"/>
              <w:right w:val="single" w:sz="4" w:space="0" w:color="000000"/>
            </w:tcBorders>
            <w:shd w:val="clear" w:color="000000" w:fill="FFFFFF"/>
            <w:noWrap/>
            <w:vAlign w:val="center"/>
            <w:hideMark/>
          </w:tcPr>
          <w:p w14:paraId="7414E960"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w:t>
            </w:r>
          </w:p>
        </w:tc>
        <w:tc>
          <w:tcPr>
            <w:tcW w:w="436" w:type="pct"/>
            <w:tcBorders>
              <w:top w:val="nil"/>
              <w:left w:val="nil"/>
              <w:bottom w:val="single" w:sz="4" w:space="0" w:color="auto"/>
              <w:right w:val="single" w:sz="8" w:space="0" w:color="auto"/>
            </w:tcBorders>
            <w:shd w:val="clear" w:color="auto" w:fill="auto"/>
            <w:noWrap/>
            <w:vAlign w:val="bottom"/>
            <w:hideMark/>
          </w:tcPr>
          <w:p w14:paraId="6149F2B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0,28%</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6CF17DF1"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31</w:t>
            </w:r>
          </w:p>
        </w:tc>
        <w:tc>
          <w:tcPr>
            <w:tcW w:w="477" w:type="pct"/>
            <w:tcBorders>
              <w:top w:val="nil"/>
              <w:left w:val="nil"/>
              <w:bottom w:val="single" w:sz="4" w:space="0" w:color="auto"/>
              <w:right w:val="single" w:sz="8" w:space="0" w:color="auto"/>
            </w:tcBorders>
            <w:shd w:val="clear" w:color="auto" w:fill="auto"/>
            <w:noWrap/>
            <w:vAlign w:val="bottom"/>
            <w:hideMark/>
          </w:tcPr>
          <w:p w14:paraId="0779857C"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3,20%</w:t>
            </w:r>
          </w:p>
        </w:tc>
      </w:tr>
      <w:tr w:rsidR="00E83731" w:rsidRPr="00E83731" w14:paraId="511B90AA" w14:textId="77777777" w:rsidTr="00E83731">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69138F02" w14:textId="77777777" w:rsidR="00E83731" w:rsidRPr="00E83731" w:rsidRDefault="00E83731" w:rsidP="00E83731">
            <w:pPr>
              <w:spacing w:after="0" w:line="240" w:lineRule="auto"/>
              <w:rPr>
                <w:rFonts w:ascii="Arial" w:eastAsia="Times New Roman" w:hAnsi="Arial" w:cs="Arial"/>
                <w:color w:val="000000"/>
                <w:sz w:val="16"/>
                <w:szCs w:val="16"/>
                <w:lang w:val="ca-ES" w:eastAsia="es-ES"/>
              </w:rPr>
            </w:pPr>
            <w:r w:rsidRPr="00E83731">
              <w:rPr>
                <w:rFonts w:ascii="Arial" w:hAnsi="Arial" w:cs="Arial"/>
                <w:color w:val="000000"/>
                <w:sz w:val="16"/>
                <w:szCs w:val="16"/>
                <w:lang w:val="ca-ES"/>
              </w:rPr>
              <w:t>Resolts</w:t>
            </w:r>
          </w:p>
        </w:tc>
        <w:tc>
          <w:tcPr>
            <w:tcW w:w="187" w:type="pct"/>
            <w:tcBorders>
              <w:top w:val="nil"/>
              <w:left w:val="nil"/>
              <w:bottom w:val="single" w:sz="4" w:space="0" w:color="auto"/>
              <w:right w:val="single" w:sz="4" w:space="0" w:color="auto"/>
            </w:tcBorders>
            <w:shd w:val="clear" w:color="auto" w:fill="auto"/>
            <w:noWrap/>
            <w:vAlign w:val="bottom"/>
            <w:hideMark/>
          </w:tcPr>
          <w:p w14:paraId="2E6225B5"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32</w:t>
            </w:r>
          </w:p>
        </w:tc>
        <w:tc>
          <w:tcPr>
            <w:tcW w:w="409" w:type="pct"/>
            <w:tcBorders>
              <w:top w:val="nil"/>
              <w:left w:val="nil"/>
              <w:bottom w:val="single" w:sz="4" w:space="0" w:color="auto"/>
              <w:right w:val="single" w:sz="4" w:space="0" w:color="auto"/>
            </w:tcBorders>
            <w:shd w:val="clear" w:color="auto" w:fill="auto"/>
            <w:noWrap/>
            <w:vAlign w:val="bottom"/>
            <w:hideMark/>
          </w:tcPr>
          <w:p w14:paraId="064D4C6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91,43%</w:t>
            </w:r>
          </w:p>
        </w:tc>
        <w:tc>
          <w:tcPr>
            <w:tcW w:w="297" w:type="pct"/>
            <w:tcBorders>
              <w:top w:val="nil"/>
              <w:left w:val="nil"/>
              <w:bottom w:val="single" w:sz="4" w:space="0" w:color="000000"/>
              <w:right w:val="single" w:sz="4" w:space="0" w:color="000000"/>
            </w:tcBorders>
            <w:shd w:val="clear" w:color="000000" w:fill="FFFFFF"/>
            <w:noWrap/>
            <w:vAlign w:val="center"/>
            <w:hideMark/>
          </w:tcPr>
          <w:p w14:paraId="5E78AF02"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156</w:t>
            </w:r>
          </w:p>
        </w:tc>
        <w:tc>
          <w:tcPr>
            <w:tcW w:w="403" w:type="pct"/>
            <w:tcBorders>
              <w:top w:val="nil"/>
              <w:left w:val="nil"/>
              <w:bottom w:val="single" w:sz="4" w:space="0" w:color="auto"/>
              <w:right w:val="single" w:sz="4" w:space="0" w:color="auto"/>
            </w:tcBorders>
            <w:shd w:val="clear" w:color="auto" w:fill="auto"/>
            <w:noWrap/>
            <w:vAlign w:val="bottom"/>
            <w:hideMark/>
          </w:tcPr>
          <w:p w14:paraId="56DEC44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86,19%</w:t>
            </w:r>
          </w:p>
        </w:tc>
        <w:tc>
          <w:tcPr>
            <w:tcW w:w="297" w:type="pct"/>
            <w:tcBorders>
              <w:top w:val="nil"/>
              <w:left w:val="nil"/>
              <w:bottom w:val="single" w:sz="4" w:space="0" w:color="000000"/>
              <w:right w:val="single" w:sz="4" w:space="0" w:color="000000"/>
            </w:tcBorders>
            <w:shd w:val="clear" w:color="000000" w:fill="FFFFFF"/>
            <w:vAlign w:val="center"/>
            <w:hideMark/>
          </w:tcPr>
          <w:p w14:paraId="3B1CCEDB"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130</w:t>
            </w:r>
          </w:p>
        </w:tc>
        <w:tc>
          <w:tcPr>
            <w:tcW w:w="403" w:type="pct"/>
            <w:tcBorders>
              <w:top w:val="nil"/>
              <w:left w:val="nil"/>
              <w:bottom w:val="single" w:sz="4" w:space="0" w:color="auto"/>
              <w:right w:val="single" w:sz="4" w:space="0" w:color="auto"/>
            </w:tcBorders>
            <w:shd w:val="clear" w:color="auto" w:fill="auto"/>
            <w:noWrap/>
            <w:vAlign w:val="bottom"/>
            <w:hideMark/>
          </w:tcPr>
          <w:p w14:paraId="5B387316"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77,38%</w:t>
            </w:r>
          </w:p>
        </w:tc>
        <w:tc>
          <w:tcPr>
            <w:tcW w:w="240" w:type="pct"/>
            <w:tcBorders>
              <w:top w:val="nil"/>
              <w:left w:val="nil"/>
              <w:bottom w:val="single" w:sz="4" w:space="0" w:color="000000"/>
              <w:right w:val="single" w:sz="4" w:space="0" w:color="000000"/>
            </w:tcBorders>
            <w:shd w:val="clear" w:color="000000" w:fill="FFFFFF"/>
            <w:noWrap/>
            <w:vAlign w:val="center"/>
            <w:hideMark/>
          </w:tcPr>
          <w:p w14:paraId="1FA3F06E"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149</w:t>
            </w:r>
          </w:p>
        </w:tc>
        <w:tc>
          <w:tcPr>
            <w:tcW w:w="403" w:type="pct"/>
            <w:tcBorders>
              <w:top w:val="nil"/>
              <w:left w:val="nil"/>
              <w:bottom w:val="single" w:sz="4" w:space="0" w:color="auto"/>
              <w:right w:val="single" w:sz="8" w:space="0" w:color="auto"/>
            </w:tcBorders>
            <w:shd w:val="clear" w:color="auto" w:fill="auto"/>
            <w:noWrap/>
            <w:vAlign w:val="bottom"/>
            <w:hideMark/>
          </w:tcPr>
          <w:p w14:paraId="6F4B72D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65,93%</w:t>
            </w:r>
          </w:p>
        </w:tc>
        <w:tc>
          <w:tcPr>
            <w:tcW w:w="240" w:type="pct"/>
            <w:tcBorders>
              <w:top w:val="nil"/>
              <w:left w:val="nil"/>
              <w:bottom w:val="single" w:sz="4" w:space="0" w:color="000000"/>
              <w:right w:val="single" w:sz="4" w:space="0" w:color="000000"/>
            </w:tcBorders>
            <w:shd w:val="clear" w:color="000000" w:fill="FFFFFF"/>
            <w:noWrap/>
            <w:vAlign w:val="center"/>
            <w:hideMark/>
          </w:tcPr>
          <w:p w14:paraId="3C819BDD"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84</w:t>
            </w:r>
          </w:p>
        </w:tc>
        <w:tc>
          <w:tcPr>
            <w:tcW w:w="436" w:type="pct"/>
            <w:tcBorders>
              <w:top w:val="nil"/>
              <w:left w:val="nil"/>
              <w:bottom w:val="single" w:sz="4" w:space="0" w:color="auto"/>
              <w:right w:val="single" w:sz="8" w:space="0" w:color="auto"/>
            </w:tcBorders>
            <w:shd w:val="clear" w:color="auto" w:fill="auto"/>
            <w:noWrap/>
            <w:vAlign w:val="bottom"/>
            <w:hideMark/>
          </w:tcPr>
          <w:p w14:paraId="53454D91"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23,40%</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24BD9D2D"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551</w:t>
            </w:r>
          </w:p>
        </w:tc>
        <w:tc>
          <w:tcPr>
            <w:tcW w:w="477" w:type="pct"/>
            <w:tcBorders>
              <w:top w:val="nil"/>
              <w:left w:val="nil"/>
              <w:bottom w:val="single" w:sz="4" w:space="0" w:color="auto"/>
              <w:right w:val="single" w:sz="8" w:space="0" w:color="auto"/>
            </w:tcBorders>
            <w:shd w:val="clear" w:color="auto" w:fill="auto"/>
            <w:noWrap/>
            <w:vAlign w:val="bottom"/>
            <w:hideMark/>
          </w:tcPr>
          <w:p w14:paraId="19439799"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56,86%</w:t>
            </w:r>
          </w:p>
        </w:tc>
      </w:tr>
      <w:tr w:rsidR="00E83731" w:rsidRPr="00E83731" w14:paraId="7D645F2C" w14:textId="77777777" w:rsidTr="00E83731">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2989998F" w14:textId="77777777" w:rsidR="00E83731" w:rsidRPr="00E83731" w:rsidRDefault="00E83731" w:rsidP="00E83731">
            <w:pPr>
              <w:spacing w:after="0" w:line="240" w:lineRule="auto"/>
              <w:rPr>
                <w:rFonts w:ascii="Arial" w:eastAsia="Times New Roman" w:hAnsi="Arial" w:cs="Arial"/>
                <w:color w:val="000000"/>
                <w:sz w:val="16"/>
                <w:szCs w:val="16"/>
                <w:lang w:val="ca-ES" w:eastAsia="es-ES"/>
              </w:rPr>
            </w:pPr>
            <w:r w:rsidRPr="00E83731">
              <w:rPr>
                <w:rFonts w:ascii="Arial" w:hAnsi="Arial" w:cs="Arial"/>
                <w:color w:val="000000"/>
                <w:sz w:val="16"/>
                <w:szCs w:val="16"/>
                <w:lang w:val="ca-ES"/>
              </w:rPr>
              <w:t>Seguiment</w:t>
            </w:r>
          </w:p>
        </w:tc>
        <w:tc>
          <w:tcPr>
            <w:tcW w:w="187" w:type="pct"/>
            <w:tcBorders>
              <w:top w:val="nil"/>
              <w:left w:val="nil"/>
              <w:bottom w:val="single" w:sz="4" w:space="0" w:color="auto"/>
              <w:right w:val="single" w:sz="4" w:space="0" w:color="auto"/>
            </w:tcBorders>
            <w:shd w:val="clear" w:color="auto" w:fill="auto"/>
            <w:noWrap/>
            <w:vAlign w:val="bottom"/>
            <w:hideMark/>
          </w:tcPr>
          <w:p w14:paraId="1ED4C796"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w:t>
            </w:r>
          </w:p>
        </w:tc>
        <w:tc>
          <w:tcPr>
            <w:tcW w:w="409" w:type="pct"/>
            <w:tcBorders>
              <w:top w:val="nil"/>
              <w:left w:val="nil"/>
              <w:bottom w:val="single" w:sz="4" w:space="0" w:color="auto"/>
              <w:right w:val="single" w:sz="4" w:space="0" w:color="auto"/>
            </w:tcBorders>
            <w:shd w:val="clear" w:color="auto" w:fill="auto"/>
            <w:noWrap/>
            <w:vAlign w:val="bottom"/>
            <w:hideMark/>
          </w:tcPr>
          <w:p w14:paraId="63F987A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0,00%</w:t>
            </w:r>
          </w:p>
        </w:tc>
        <w:tc>
          <w:tcPr>
            <w:tcW w:w="297" w:type="pct"/>
            <w:tcBorders>
              <w:top w:val="nil"/>
              <w:left w:val="nil"/>
              <w:bottom w:val="single" w:sz="4" w:space="0" w:color="000000"/>
              <w:right w:val="single" w:sz="4" w:space="0" w:color="000000"/>
            </w:tcBorders>
            <w:shd w:val="clear" w:color="000000" w:fill="FFFFFF"/>
            <w:vAlign w:val="center"/>
            <w:hideMark/>
          </w:tcPr>
          <w:p w14:paraId="76D5FA6A"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9</w:t>
            </w:r>
          </w:p>
        </w:tc>
        <w:tc>
          <w:tcPr>
            <w:tcW w:w="403" w:type="pct"/>
            <w:tcBorders>
              <w:top w:val="nil"/>
              <w:left w:val="nil"/>
              <w:bottom w:val="single" w:sz="4" w:space="0" w:color="auto"/>
              <w:right w:val="single" w:sz="4" w:space="0" w:color="auto"/>
            </w:tcBorders>
            <w:shd w:val="clear" w:color="auto" w:fill="auto"/>
            <w:noWrap/>
            <w:vAlign w:val="bottom"/>
            <w:hideMark/>
          </w:tcPr>
          <w:p w14:paraId="09F4B22B"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4,97%</w:t>
            </w:r>
          </w:p>
        </w:tc>
        <w:tc>
          <w:tcPr>
            <w:tcW w:w="297" w:type="pct"/>
            <w:tcBorders>
              <w:top w:val="nil"/>
              <w:left w:val="nil"/>
              <w:bottom w:val="single" w:sz="4" w:space="0" w:color="000000"/>
              <w:right w:val="single" w:sz="4" w:space="0" w:color="000000"/>
            </w:tcBorders>
            <w:shd w:val="clear" w:color="000000" w:fill="FFFFFF"/>
            <w:vAlign w:val="center"/>
            <w:hideMark/>
          </w:tcPr>
          <w:p w14:paraId="0B63C044"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13</w:t>
            </w:r>
          </w:p>
        </w:tc>
        <w:tc>
          <w:tcPr>
            <w:tcW w:w="403" w:type="pct"/>
            <w:tcBorders>
              <w:top w:val="nil"/>
              <w:left w:val="nil"/>
              <w:bottom w:val="single" w:sz="4" w:space="0" w:color="auto"/>
              <w:right w:val="single" w:sz="4" w:space="0" w:color="auto"/>
            </w:tcBorders>
            <w:shd w:val="clear" w:color="auto" w:fill="auto"/>
            <w:noWrap/>
            <w:vAlign w:val="bottom"/>
            <w:hideMark/>
          </w:tcPr>
          <w:p w14:paraId="0CD39D5D"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7,74%</w:t>
            </w:r>
          </w:p>
        </w:tc>
        <w:tc>
          <w:tcPr>
            <w:tcW w:w="240" w:type="pct"/>
            <w:tcBorders>
              <w:top w:val="nil"/>
              <w:left w:val="nil"/>
              <w:bottom w:val="single" w:sz="4" w:space="0" w:color="000000"/>
              <w:right w:val="single" w:sz="4" w:space="0" w:color="000000"/>
            </w:tcBorders>
            <w:shd w:val="clear" w:color="000000" w:fill="FFFFFF"/>
            <w:noWrap/>
            <w:vAlign w:val="center"/>
            <w:hideMark/>
          </w:tcPr>
          <w:p w14:paraId="2D48B627"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16</w:t>
            </w:r>
          </w:p>
        </w:tc>
        <w:tc>
          <w:tcPr>
            <w:tcW w:w="403" w:type="pct"/>
            <w:tcBorders>
              <w:top w:val="nil"/>
              <w:left w:val="nil"/>
              <w:bottom w:val="single" w:sz="4" w:space="0" w:color="auto"/>
              <w:right w:val="single" w:sz="8" w:space="0" w:color="auto"/>
            </w:tcBorders>
            <w:shd w:val="clear" w:color="auto" w:fill="auto"/>
            <w:noWrap/>
            <w:vAlign w:val="bottom"/>
            <w:hideMark/>
          </w:tcPr>
          <w:p w14:paraId="5980C6F0"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7,08%</w:t>
            </w:r>
          </w:p>
        </w:tc>
        <w:tc>
          <w:tcPr>
            <w:tcW w:w="240" w:type="pct"/>
            <w:tcBorders>
              <w:top w:val="nil"/>
              <w:left w:val="nil"/>
              <w:bottom w:val="single" w:sz="4" w:space="0" w:color="000000"/>
              <w:right w:val="single" w:sz="4" w:space="0" w:color="000000"/>
            </w:tcBorders>
            <w:shd w:val="clear" w:color="000000" w:fill="FFFFFF"/>
            <w:noWrap/>
            <w:vAlign w:val="center"/>
            <w:hideMark/>
          </w:tcPr>
          <w:p w14:paraId="3C5CDE0C"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3</w:t>
            </w:r>
          </w:p>
        </w:tc>
        <w:tc>
          <w:tcPr>
            <w:tcW w:w="436" w:type="pct"/>
            <w:tcBorders>
              <w:top w:val="nil"/>
              <w:left w:val="nil"/>
              <w:bottom w:val="single" w:sz="4" w:space="0" w:color="auto"/>
              <w:right w:val="single" w:sz="8" w:space="0" w:color="auto"/>
            </w:tcBorders>
            <w:shd w:val="clear" w:color="auto" w:fill="auto"/>
            <w:noWrap/>
            <w:vAlign w:val="bottom"/>
            <w:hideMark/>
          </w:tcPr>
          <w:p w14:paraId="51BF4BAC"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0,84%</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32C6F31B"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41</w:t>
            </w:r>
          </w:p>
        </w:tc>
        <w:tc>
          <w:tcPr>
            <w:tcW w:w="477" w:type="pct"/>
            <w:tcBorders>
              <w:top w:val="nil"/>
              <w:left w:val="nil"/>
              <w:bottom w:val="single" w:sz="4" w:space="0" w:color="auto"/>
              <w:right w:val="single" w:sz="8" w:space="0" w:color="auto"/>
            </w:tcBorders>
            <w:shd w:val="clear" w:color="auto" w:fill="auto"/>
            <w:noWrap/>
            <w:vAlign w:val="bottom"/>
            <w:hideMark/>
          </w:tcPr>
          <w:p w14:paraId="156922AF" w14:textId="77777777" w:rsidR="00E83731" w:rsidRPr="00E83731" w:rsidRDefault="00E83731" w:rsidP="00E83731">
            <w:pPr>
              <w:spacing w:after="0" w:line="240" w:lineRule="auto"/>
              <w:jc w:val="center"/>
              <w:rPr>
                <w:rFonts w:ascii="Arial" w:eastAsia="Times New Roman" w:hAnsi="Arial" w:cs="Arial"/>
                <w:color w:val="000000"/>
                <w:sz w:val="16"/>
                <w:szCs w:val="16"/>
                <w:lang w:val="ca-ES" w:eastAsia="es-ES"/>
              </w:rPr>
            </w:pPr>
            <w:r w:rsidRPr="00E83731">
              <w:rPr>
                <w:rFonts w:ascii="Arial" w:eastAsia="Times New Roman" w:hAnsi="Arial" w:cs="Arial"/>
                <w:color w:val="000000"/>
                <w:sz w:val="16"/>
                <w:szCs w:val="16"/>
                <w:lang w:val="ca-ES" w:eastAsia="es-ES"/>
              </w:rPr>
              <w:t>4,23%</w:t>
            </w:r>
          </w:p>
        </w:tc>
      </w:tr>
      <w:tr w:rsidR="00E83731" w:rsidRPr="00E83731" w14:paraId="596A383B" w14:textId="77777777" w:rsidTr="00E83731">
        <w:trPr>
          <w:trHeight w:val="300"/>
        </w:trPr>
        <w:tc>
          <w:tcPr>
            <w:tcW w:w="968" w:type="pct"/>
            <w:tcBorders>
              <w:top w:val="nil"/>
              <w:left w:val="single" w:sz="8" w:space="0" w:color="auto"/>
              <w:bottom w:val="single" w:sz="8" w:space="0" w:color="auto"/>
              <w:right w:val="single" w:sz="4" w:space="0" w:color="auto"/>
            </w:tcBorders>
            <w:shd w:val="clear" w:color="auto" w:fill="auto"/>
            <w:noWrap/>
            <w:vAlign w:val="bottom"/>
            <w:hideMark/>
          </w:tcPr>
          <w:p w14:paraId="0EA425C1" w14:textId="77777777" w:rsidR="00E83731" w:rsidRPr="00E83731" w:rsidRDefault="00E83731" w:rsidP="00E83731">
            <w:pPr>
              <w:spacing w:after="0" w:line="240" w:lineRule="auto"/>
              <w:jc w:val="right"/>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TOTAL</w:t>
            </w:r>
          </w:p>
        </w:tc>
        <w:tc>
          <w:tcPr>
            <w:tcW w:w="187" w:type="pct"/>
            <w:tcBorders>
              <w:top w:val="nil"/>
              <w:left w:val="nil"/>
              <w:bottom w:val="single" w:sz="8" w:space="0" w:color="auto"/>
              <w:right w:val="single" w:sz="4" w:space="0" w:color="auto"/>
            </w:tcBorders>
            <w:shd w:val="clear" w:color="auto" w:fill="auto"/>
            <w:noWrap/>
            <w:vAlign w:val="bottom"/>
            <w:hideMark/>
          </w:tcPr>
          <w:p w14:paraId="4A491FE0"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35</w:t>
            </w:r>
          </w:p>
        </w:tc>
        <w:tc>
          <w:tcPr>
            <w:tcW w:w="409" w:type="pct"/>
            <w:tcBorders>
              <w:top w:val="nil"/>
              <w:left w:val="nil"/>
              <w:bottom w:val="single" w:sz="8" w:space="0" w:color="auto"/>
              <w:right w:val="single" w:sz="4" w:space="0" w:color="auto"/>
            </w:tcBorders>
            <w:shd w:val="clear" w:color="auto" w:fill="auto"/>
            <w:noWrap/>
            <w:vAlign w:val="bottom"/>
            <w:hideMark/>
          </w:tcPr>
          <w:p w14:paraId="7258A824"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297" w:type="pct"/>
            <w:tcBorders>
              <w:top w:val="nil"/>
              <w:left w:val="nil"/>
              <w:bottom w:val="single" w:sz="8" w:space="0" w:color="auto"/>
              <w:right w:val="single" w:sz="4" w:space="0" w:color="auto"/>
            </w:tcBorders>
            <w:shd w:val="clear" w:color="auto" w:fill="auto"/>
            <w:noWrap/>
            <w:vAlign w:val="bottom"/>
            <w:hideMark/>
          </w:tcPr>
          <w:p w14:paraId="4E37702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181</w:t>
            </w:r>
          </w:p>
        </w:tc>
        <w:tc>
          <w:tcPr>
            <w:tcW w:w="403" w:type="pct"/>
            <w:tcBorders>
              <w:top w:val="nil"/>
              <w:left w:val="nil"/>
              <w:bottom w:val="single" w:sz="8" w:space="0" w:color="auto"/>
              <w:right w:val="single" w:sz="4" w:space="0" w:color="auto"/>
            </w:tcBorders>
            <w:shd w:val="clear" w:color="auto" w:fill="auto"/>
            <w:noWrap/>
            <w:vAlign w:val="bottom"/>
            <w:hideMark/>
          </w:tcPr>
          <w:p w14:paraId="3FD56FFD"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297" w:type="pct"/>
            <w:tcBorders>
              <w:top w:val="nil"/>
              <w:left w:val="nil"/>
              <w:bottom w:val="single" w:sz="8" w:space="0" w:color="auto"/>
              <w:right w:val="single" w:sz="4" w:space="0" w:color="auto"/>
            </w:tcBorders>
            <w:shd w:val="clear" w:color="auto" w:fill="auto"/>
            <w:noWrap/>
            <w:vAlign w:val="bottom"/>
            <w:hideMark/>
          </w:tcPr>
          <w:p w14:paraId="7A361A1E"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168</w:t>
            </w:r>
          </w:p>
        </w:tc>
        <w:tc>
          <w:tcPr>
            <w:tcW w:w="403" w:type="pct"/>
            <w:tcBorders>
              <w:top w:val="nil"/>
              <w:left w:val="nil"/>
              <w:bottom w:val="single" w:sz="8" w:space="0" w:color="auto"/>
              <w:right w:val="single" w:sz="4" w:space="0" w:color="auto"/>
            </w:tcBorders>
            <w:shd w:val="clear" w:color="auto" w:fill="auto"/>
            <w:noWrap/>
            <w:vAlign w:val="bottom"/>
            <w:hideMark/>
          </w:tcPr>
          <w:p w14:paraId="0894EF9B"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240" w:type="pct"/>
            <w:tcBorders>
              <w:top w:val="nil"/>
              <w:left w:val="nil"/>
              <w:bottom w:val="single" w:sz="8" w:space="0" w:color="auto"/>
              <w:right w:val="single" w:sz="4" w:space="0" w:color="auto"/>
            </w:tcBorders>
            <w:shd w:val="clear" w:color="auto" w:fill="auto"/>
            <w:noWrap/>
            <w:vAlign w:val="bottom"/>
            <w:hideMark/>
          </w:tcPr>
          <w:p w14:paraId="54B8C6C7"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226</w:t>
            </w:r>
          </w:p>
        </w:tc>
        <w:tc>
          <w:tcPr>
            <w:tcW w:w="403" w:type="pct"/>
            <w:tcBorders>
              <w:top w:val="nil"/>
              <w:left w:val="nil"/>
              <w:bottom w:val="single" w:sz="8" w:space="0" w:color="auto"/>
              <w:right w:val="single" w:sz="8" w:space="0" w:color="auto"/>
            </w:tcBorders>
            <w:shd w:val="clear" w:color="auto" w:fill="auto"/>
            <w:noWrap/>
            <w:vAlign w:val="bottom"/>
            <w:hideMark/>
          </w:tcPr>
          <w:p w14:paraId="4FAEA658"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240" w:type="pct"/>
            <w:tcBorders>
              <w:top w:val="nil"/>
              <w:left w:val="nil"/>
              <w:bottom w:val="single" w:sz="8" w:space="0" w:color="auto"/>
              <w:right w:val="single" w:sz="4" w:space="0" w:color="auto"/>
            </w:tcBorders>
            <w:shd w:val="clear" w:color="auto" w:fill="auto"/>
            <w:noWrap/>
            <w:vAlign w:val="bottom"/>
            <w:hideMark/>
          </w:tcPr>
          <w:p w14:paraId="7A3066F1"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359</w:t>
            </w:r>
          </w:p>
        </w:tc>
        <w:tc>
          <w:tcPr>
            <w:tcW w:w="436" w:type="pct"/>
            <w:tcBorders>
              <w:top w:val="nil"/>
              <w:left w:val="nil"/>
              <w:bottom w:val="single" w:sz="8" w:space="0" w:color="auto"/>
              <w:right w:val="single" w:sz="8" w:space="0" w:color="auto"/>
            </w:tcBorders>
            <w:shd w:val="clear" w:color="auto" w:fill="auto"/>
            <w:noWrap/>
            <w:vAlign w:val="bottom"/>
            <w:hideMark/>
          </w:tcPr>
          <w:p w14:paraId="2DEA17C0"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c>
          <w:tcPr>
            <w:tcW w:w="240" w:type="pct"/>
            <w:tcBorders>
              <w:top w:val="nil"/>
              <w:left w:val="single" w:sz="4" w:space="0" w:color="auto"/>
              <w:bottom w:val="single" w:sz="8" w:space="0" w:color="auto"/>
              <w:right w:val="single" w:sz="4" w:space="0" w:color="auto"/>
            </w:tcBorders>
            <w:shd w:val="clear" w:color="auto" w:fill="auto"/>
            <w:noWrap/>
            <w:vAlign w:val="bottom"/>
            <w:hideMark/>
          </w:tcPr>
          <w:p w14:paraId="089DDF52"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969</w:t>
            </w:r>
          </w:p>
        </w:tc>
        <w:tc>
          <w:tcPr>
            <w:tcW w:w="477" w:type="pct"/>
            <w:tcBorders>
              <w:top w:val="nil"/>
              <w:left w:val="nil"/>
              <w:bottom w:val="single" w:sz="8" w:space="0" w:color="auto"/>
              <w:right w:val="single" w:sz="8" w:space="0" w:color="auto"/>
            </w:tcBorders>
            <w:shd w:val="clear" w:color="auto" w:fill="auto"/>
            <w:noWrap/>
            <w:vAlign w:val="bottom"/>
            <w:hideMark/>
          </w:tcPr>
          <w:p w14:paraId="2B8CF39A" w14:textId="77777777" w:rsidR="00E83731" w:rsidRPr="00E83731" w:rsidRDefault="00E83731" w:rsidP="00E83731">
            <w:pPr>
              <w:spacing w:after="0" w:line="240" w:lineRule="auto"/>
              <w:jc w:val="center"/>
              <w:rPr>
                <w:rFonts w:ascii="Arial" w:eastAsia="Times New Roman" w:hAnsi="Arial" w:cs="Arial"/>
                <w:b/>
                <w:bCs/>
                <w:color w:val="000000"/>
                <w:sz w:val="16"/>
                <w:szCs w:val="16"/>
                <w:lang w:val="ca-ES" w:eastAsia="es-ES"/>
              </w:rPr>
            </w:pPr>
            <w:r w:rsidRPr="00E83731">
              <w:rPr>
                <w:rFonts w:ascii="Arial" w:eastAsia="Times New Roman" w:hAnsi="Arial" w:cs="Arial"/>
                <w:b/>
                <w:bCs/>
                <w:color w:val="000000"/>
                <w:sz w:val="16"/>
                <w:szCs w:val="16"/>
                <w:lang w:val="ca-ES" w:eastAsia="es-ES"/>
              </w:rPr>
              <w:t>100%</w:t>
            </w:r>
          </w:p>
        </w:tc>
      </w:tr>
    </w:tbl>
    <w:p w14:paraId="3F3452A4" w14:textId="55532BE1" w:rsidR="00840805" w:rsidRPr="00E83731" w:rsidRDefault="00840805" w:rsidP="00800B7A">
      <w:pPr>
        <w:spacing w:after="240" w:line="276" w:lineRule="auto"/>
        <w:jc w:val="both"/>
        <w:rPr>
          <w:rFonts w:ascii="Arial" w:eastAsia="Times New Roman" w:hAnsi="Arial" w:cs="Arial"/>
          <w:color w:val="000000"/>
          <w:sz w:val="21"/>
          <w:szCs w:val="21"/>
          <w:lang w:val="ca-ES"/>
        </w:rPr>
      </w:pPr>
    </w:p>
    <w:p w14:paraId="36AB17E7" w14:textId="77777777" w:rsidR="00E83731" w:rsidRPr="00E83731" w:rsidRDefault="00E83731" w:rsidP="00E83731">
      <w:pPr>
        <w:spacing w:after="240" w:line="276" w:lineRule="auto"/>
        <w:jc w:val="both"/>
        <w:rPr>
          <w:rFonts w:ascii="Arial" w:eastAsia="Times New Roman" w:hAnsi="Arial" w:cs="Arial"/>
          <w:color w:val="000000"/>
          <w:sz w:val="21"/>
          <w:szCs w:val="21"/>
        </w:rPr>
      </w:pPr>
      <w:r w:rsidRPr="00E83731">
        <w:rPr>
          <w:rFonts w:ascii="Arial" w:eastAsia="Times New Roman" w:hAnsi="Arial" w:cs="Arial"/>
          <w:color w:val="000000"/>
          <w:sz w:val="21"/>
          <w:szCs w:val="21"/>
        </w:rPr>
        <w:t>Cal destacar que, dels 969 expedients totals oberts des de l'inici de l'activitat de l'Agència, al tancament de l'any 2021, 551 expedients han sigut resolts, la qual cosa representa el 57% del total, 41 estan en fase de seguiment representant el 4%, 31 expedients estan interromputs perquè estan sent investigats per altres instàncies, la qual cosa representa el 3% del total. Estant en fase d'investigació el 7% del total, 70 expedients, 114 expedients es troben en la fase d'anàlisi, la qual cosa representa el 12%, i 162 pendents, que representen el 17% del total.</w:t>
      </w:r>
    </w:p>
    <w:p w14:paraId="5CC0D23B" w14:textId="77777777" w:rsidR="00E83731" w:rsidRPr="00E83731" w:rsidRDefault="00E83731" w:rsidP="00E83731">
      <w:pPr>
        <w:spacing w:after="240" w:line="276" w:lineRule="auto"/>
        <w:jc w:val="both"/>
        <w:rPr>
          <w:rFonts w:ascii="Arial" w:eastAsia="Times New Roman" w:hAnsi="Arial" w:cs="Arial"/>
          <w:color w:val="000000"/>
          <w:sz w:val="21"/>
          <w:szCs w:val="21"/>
        </w:rPr>
      </w:pPr>
      <w:r w:rsidRPr="00E83731">
        <w:rPr>
          <w:rFonts w:ascii="Arial" w:eastAsia="Times New Roman" w:hAnsi="Arial" w:cs="Arial"/>
          <w:color w:val="000000"/>
          <w:sz w:val="21"/>
          <w:szCs w:val="21"/>
        </w:rPr>
        <w:t>No hi ha cap expedient dels exercicis 2020 o anteriors que estiga pendent de l'inici de la fase d'anàlisi.</w:t>
      </w:r>
    </w:p>
    <w:p w14:paraId="6C4E0F0D" w14:textId="77777777" w:rsidR="00E83731" w:rsidRPr="00E83731" w:rsidRDefault="00E83731" w:rsidP="00E83731">
      <w:pPr>
        <w:spacing w:after="240" w:line="276" w:lineRule="auto"/>
        <w:jc w:val="both"/>
        <w:rPr>
          <w:rFonts w:ascii="Arial" w:eastAsia="Times New Roman" w:hAnsi="Arial" w:cs="Arial"/>
          <w:color w:val="000000"/>
          <w:sz w:val="21"/>
          <w:szCs w:val="21"/>
        </w:rPr>
      </w:pPr>
      <w:r w:rsidRPr="00E83731">
        <w:rPr>
          <w:rFonts w:ascii="Arial" w:eastAsia="Times New Roman" w:hAnsi="Arial" w:cs="Arial"/>
          <w:color w:val="000000"/>
          <w:sz w:val="21"/>
          <w:szCs w:val="21"/>
        </w:rPr>
        <w:t>L'evolució dels expedients resolts, en seguiment i interromputs respecte al total de denúncies, ha passat de representar el 7% en 2018, al 37 % en 2019, el 53% en 2020 i al 64% en 2021. L'evolució de les denúncies pendents, en anàlisi i investigació, ha tingut el sentit invers, reduint-se significativament el seu pes percentual, així s'ha passat del 92,59% de denúncies pendents en 2018, al 63,10% en 2019, el 47% en 2020 i al 36% en 2021.</w:t>
      </w:r>
    </w:p>
    <w:p w14:paraId="09A45BF7" w14:textId="77777777" w:rsidR="00E83731" w:rsidRPr="00E83731" w:rsidRDefault="00E83731" w:rsidP="00E83731">
      <w:pPr>
        <w:spacing w:after="240" w:line="276" w:lineRule="auto"/>
        <w:jc w:val="both"/>
        <w:rPr>
          <w:rFonts w:ascii="Arial" w:eastAsia="Times New Roman" w:hAnsi="Arial" w:cs="Arial"/>
          <w:color w:val="000000"/>
          <w:sz w:val="21"/>
          <w:szCs w:val="21"/>
        </w:rPr>
      </w:pPr>
      <w:r w:rsidRPr="00E83731">
        <w:rPr>
          <w:rFonts w:ascii="Arial" w:eastAsia="Times New Roman" w:hAnsi="Arial" w:cs="Arial"/>
          <w:color w:val="000000"/>
          <w:sz w:val="21"/>
          <w:szCs w:val="21"/>
        </w:rPr>
        <w:t>Per últim, cal destacar, que durant l'any 2021 en la tramitació d'expedients, s'han realitzat 410 requeriments d'informació a distintes administracions, persones físiques y/o jurídiques; 11 entrevistes personals en la seu l'Agència i 6 intervencions in situ en diferents seus d'altres administracions públiques, derivats d'expedients d'investigació i 3 intervencions in situ en seus d'altres administracions públiques, derivades d'encàrrecs judicials d'emissió d'informes pericials.</w:t>
      </w:r>
    </w:p>
    <w:p w14:paraId="72C72975" w14:textId="547B4585" w:rsidR="00840805" w:rsidRPr="00E83731" w:rsidRDefault="00840805" w:rsidP="00800B7A">
      <w:pPr>
        <w:spacing w:after="240" w:line="276" w:lineRule="auto"/>
        <w:jc w:val="both"/>
        <w:rPr>
          <w:rFonts w:ascii="Arial" w:eastAsia="Times New Roman" w:hAnsi="Arial" w:cs="Arial"/>
          <w:color w:val="000000"/>
          <w:sz w:val="21"/>
          <w:szCs w:val="21"/>
          <w:lang w:val="ca-ES"/>
        </w:rPr>
      </w:pPr>
    </w:p>
    <w:p w14:paraId="7D45815C" w14:textId="77777777" w:rsidR="00B84E88" w:rsidRDefault="00B84E88" w:rsidP="00B84E88">
      <w:pPr>
        <w:keepNext/>
        <w:spacing w:after="120" w:line="276" w:lineRule="auto"/>
        <w:jc w:val="center"/>
      </w:pPr>
      <w:r w:rsidRPr="001E45F9">
        <w:rPr>
          <w:noProof/>
          <w:lang w:val="ca-ES"/>
        </w:rPr>
        <w:drawing>
          <wp:inline distT="0" distB="0" distL="0" distR="0" wp14:anchorId="0EB4B3CE" wp14:editId="0D606294">
            <wp:extent cx="5400040" cy="2599690"/>
            <wp:effectExtent l="0" t="0" r="10160" b="10160"/>
            <wp:docPr id="83" name="Gráfico 83">
              <a:extLst xmlns:a="http://schemas.openxmlformats.org/drawingml/2006/main">
                <a:ext uri="{FF2B5EF4-FFF2-40B4-BE49-F238E27FC236}">
                  <a16:creationId xmlns:a16="http://schemas.microsoft.com/office/drawing/2014/main" id="{322106F9-8717-4B5D-B501-FCED307BE7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9"/>
              </a:graphicData>
            </a:graphic>
          </wp:inline>
        </w:drawing>
      </w:r>
    </w:p>
    <w:p w14:paraId="1826E077" w14:textId="353FD16F" w:rsidR="00E83731" w:rsidRPr="00B84E88" w:rsidRDefault="00B84E88" w:rsidP="00B84E88">
      <w:pPr>
        <w:pStyle w:val="Descripcin"/>
        <w:jc w:val="center"/>
        <w:rPr>
          <w:rFonts w:ascii="Arial" w:eastAsia="Times New Roman" w:hAnsi="Arial" w:cs="Arial"/>
          <w:smallCaps w:val="0"/>
          <w:color w:val="000000"/>
          <w:sz w:val="18"/>
          <w:szCs w:val="18"/>
        </w:rPr>
      </w:pPr>
      <w:bookmarkStart w:id="181" w:name="_Toc99110979"/>
      <w:r w:rsidRPr="00B84E88">
        <w:rPr>
          <w:rFonts w:ascii="Arial" w:hAnsi="Arial" w:cs="Arial"/>
          <w:smallCaps w:val="0"/>
          <w:color w:val="9D2235" w:themeColor="accent1"/>
          <w:sz w:val="18"/>
          <w:szCs w:val="18"/>
        </w:rPr>
        <w:t xml:space="preserve">Gràfic </w:t>
      </w:r>
      <w:r w:rsidRPr="00B84E88">
        <w:rPr>
          <w:rFonts w:ascii="Arial" w:hAnsi="Arial" w:cs="Arial"/>
          <w:smallCaps w:val="0"/>
          <w:color w:val="9D2235" w:themeColor="accent1"/>
          <w:sz w:val="18"/>
          <w:szCs w:val="18"/>
        </w:rPr>
        <w:fldChar w:fldCharType="begin" w:fldLock="1"/>
      </w:r>
      <w:r w:rsidRPr="00B84E88">
        <w:rPr>
          <w:rFonts w:ascii="Arial" w:hAnsi="Arial" w:cs="Arial"/>
          <w:smallCaps w:val="0"/>
          <w:color w:val="9D2235" w:themeColor="accent1"/>
          <w:sz w:val="18"/>
          <w:szCs w:val="18"/>
        </w:rPr>
        <w:instrText xml:space="preserve"> SEQ Gràfic \* ARABIC </w:instrText>
      </w:r>
      <w:r w:rsidRPr="00B84E88">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20</w:t>
      </w:r>
      <w:r w:rsidRPr="00B84E88">
        <w:rPr>
          <w:rFonts w:ascii="Arial" w:hAnsi="Arial" w:cs="Arial"/>
          <w:smallCaps w:val="0"/>
          <w:color w:val="9D2235" w:themeColor="accent1"/>
          <w:sz w:val="18"/>
          <w:szCs w:val="18"/>
        </w:rPr>
        <w:fldChar w:fldCharType="end"/>
      </w:r>
      <w:r w:rsidRPr="00B84E88">
        <w:rPr>
          <w:rFonts w:ascii="Arial" w:hAnsi="Arial" w:cs="Arial"/>
          <w:smallCaps w:val="0"/>
          <w:color w:val="9D2235" w:themeColor="accent1"/>
          <w:sz w:val="18"/>
          <w:szCs w:val="18"/>
        </w:rPr>
        <w:t xml:space="preserve">. </w:t>
      </w:r>
      <w:r w:rsidRPr="00B84E88">
        <w:rPr>
          <w:rFonts w:ascii="Arial" w:hAnsi="Arial" w:cs="Arial"/>
          <w:smallCaps w:val="0"/>
          <w:sz w:val="18"/>
          <w:szCs w:val="18"/>
        </w:rPr>
        <w:t>Estat de Situació dels expedients d'anàlisis i investigació</w:t>
      </w:r>
      <w:bookmarkEnd w:id="181"/>
    </w:p>
    <w:p w14:paraId="6840C565" w14:textId="59482111" w:rsidR="0097499D" w:rsidRPr="0097499D" w:rsidRDefault="0097499D" w:rsidP="0097499D">
      <w:pPr>
        <w:spacing w:after="240" w:line="276" w:lineRule="auto"/>
        <w:jc w:val="both"/>
        <w:rPr>
          <w:rFonts w:ascii="Arial" w:eastAsia="Times New Roman" w:hAnsi="Arial" w:cs="Arial"/>
          <w:color w:val="000000"/>
          <w:sz w:val="21"/>
          <w:szCs w:val="21"/>
        </w:rPr>
      </w:pPr>
      <w:r w:rsidRPr="0097499D">
        <w:rPr>
          <w:rFonts w:ascii="Arial" w:eastAsia="Times New Roman" w:hAnsi="Arial" w:cs="Arial"/>
          <w:color w:val="000000"/>
          <w:sz w:val="21"/>
          <w:szCs w:val="21"/>
        </w:rPr>
        <w:t xml:space="preserve">La informació continguda en l'anterior gràfic detalla que el 83% del global d'expedients oberts es troben en tràmit o finalitzats, mentre que un 17% es troba pendent de determinar la versemblança dels fets posats en coneixement, a fi d'acordar l'inici, si escau, d'actuacions. </w:t>
      </w:r>
    </w:p>
    <w:p w14:paraId="17E19CD2" w14:textId="77777777" w:rsidR="0097499D" w:rsidRPr="0097499D" w:rsidRDefault="0097499D" w:rsidP="0097499D">
      <w:pPr>
        <w:spacing w:after="240" w:line="276" w:lineRule="auto"/>
        <w:jc w:val="both"/>
        <w:rPr>
          <w:rFonts w:ascii="Arial" w:eastAsia="Times New Roman" w:hAnsi="Arial" w:cs="Arial"/>
          <w:color w:val="000000"/>
          <w:sz w:val="21"/>
          <w:szCs w:val="21"/>
        </w:rPr>
      </w:pPr>
      <w:r w:rsidRPr="0097499D">
        <w:rPr>
          <w:rFonts w:ascii="Arial" w:eastAsia="Times New Roman" w:hAnsi="Arial" w:cs="Arial"/>
          <w:color w:val="000000"/>
          <w:sz w:val="21"/>
          <w:szCs w:val="21"/>
        </w:rPr>
        <w:t>D'entre els expedients en tràmit, cal ressaltar que, a la data de tancament de dades i elaboració de la present Memòria, un total de 70 expedients continuen amb actuacions d'investigació iniciades, enfront dels 52 que estaven en fase d'investigació al tancament del 2020. Hi ha 31 expedients interromputs, per la seua remissió als òrgans competents per a la depuració de possibles responsabilitats, ja siguen de caràcter penal, ja siguen de caràcter administratiu.</w:t>
      </w:r>
    </w:p>
    <w:p w14:paraId="5F2133F5" w14:textId="47BD6673" w:rsidR="0097499D" w:rsidRPr="0097499D" w:rsidRDefault="0097499D" w:rsidP="0097499D">
      <w:pPr>
        <w:pStyle w:val="Descripcin"/>
        <w:keepNext/>
        <w:rPr>
          <w:rFonts w:ascii="Arial" w:hAnsi="Arial" w:cs="Arial"/>
          <w:smallCaps w:val="0"/>
          <w:sz w:val="18"/>
          <w:szCs w:val="18"/>
        </w:rPr>
      </w:pPr>
      <w:bookmarkStart w:id="182" w:name="_Toc99110861"/>
      <w:r w:rsidRPr="0097499D">
        <w:rPr>
          <w:rFonts w:ascii="Arial" w:hAnsi="Arial" w:cs="Arial"/>
          <w:smallCaps w:val="0"/>
          <w:color w:val="9D2235" w:themeColor="accent1"/>
          <w:sz w:val="18"/>
          <w:szCs w:val="18"/>
        </w:rPr>
        <w:t xml:space="preserve">Taula </w:t>
      </w:r>
      <w:r w:rsidRPr="0097499D">
        <w:rPr>
          <w:rFonts w:ascii="Arial" w:hAnsi="Arial" w:cs="Arial"/>
          <w:smallCaps w:val="0"/>
          <w:color w:val="9D2235" w:themeColor="accent1"/>
          <w:sz w:val="18"/>
          <w:szCs w:val="18"/>
        </w:rPr>
        <w:fldChar w:fldCharType="begin" w:fldLock="1"/>
      </w:r>
      <w:r w:rsidRPr="0097499D">
        <w:rPr>
          <w:rFonts w:ascii="Arial" w:hAnsi="Arial" w:cs="Arial"/>
          <w:smallCaps w:val="0"/>
          <w:color w:val="9D2235" w:themeColor="accent1"/>
          <w:sz w:val="18"/>
          <w:szCs w:val="18"/>
        </w:rPr>
        <w:instrText xml:space="preserve"> SEQ Taula \* ARABIC </w:instrText>
      </w:r>
      <w:r w:rsidRPr="0097499D">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16</w:t>
      </w:r>
      <w:r w:rsidRPr="0097499D">
        <w:rPr>
          <w:rFonts w:ascii="Arial" w:hAnsi="Arial" w:cs="Arial"/>
          <w:smallCaps w:val="0"/>
          <w:color w:val="9D2235" w:themeColor="accent1"/>
          <w:sz w:val="18"/>
          <w:szCs w:val="18"/>
        </w:rPr>
        <w:fldChar w:fldCharType="end"/>
      </w:r>
      <w:r w:rsidRPr="0097499D">
        <w:rPr>
          <w:rFonts w:ascii="Arial" w:hAnsi="Arial" w:cs="Arial"/>
          <w:smallCaps w:val="0"/>
          <w:color w:val="9D2235" w:themeColor="accent1"/>
          <w:sz w:val="18"/>
          <w:szCs w:val="18"/>
        </w:rPr>
        <w:t xml:space="preserve">. </w:t>
      </w:r>
      <w:r w:rsidRPr="0097499D">
        <w:rPr>
          <w:rFonts w:ascii="Arial" w:hAnsi="Arial" w:cs="Arial"/>
          <w:smallCaps w:val="0"/>
          <w:sz w:val="18"/>
          <w:szCs w:val="18"/>
        </w:rPr>
        <w:t>Taula resum d'expedients tramitats en 2021 i comparativa amb l'any precedent</w:t>
      </w:r>
      <w:bookmarkEnd w:id="182"/>
    </w:p>
    <w:tbl>
      <w:tblPr>
        <w:tblW w:w="5000" w:type="pct"/>
        <w:tblCellMar>
          <w:left w:w="70" w:type="dxa"/>
          <w:right w:w="70" w:type="dxa"/>
        </w:tblCellMar>
        <w:tblLook w:val="04A0" w:firstRow="1" w:lastRow="0" w:firstColumn="1" w:lastColumn="0" w:noHBand="0" w:noVBand="1"/>
      </w:tblPr>
      <w:tblGrid>
        <w:gridCol w:w="3167"/>
        <w:gridCol w:w="728"/>
        <w:gridCol w:w="1046"/>
        <w:gridCol w:w="728"/>
        <w:gridCol w:w="1046"/>
        <w:gridCol w:w="677"/>
        <w:gridCol w:w="1097"/>
      </w:tblGrid>
      <w:tr w:rsidR="0097499D" w:rsidRPr="0097499D" w14:paraId="76020A29" w14:textId="77777777" w:rsidTr="00443473">
        <w:trPr>
          <w:trHeight w:val="227"/>
          <w:tblHeader/>
        </w:trPr>
        <w:tc>
          <w:tcPr>
            <w:tcW w:w="1865" w:type="pct"/>
            <w:vMerge w:val="restart"/>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2816F2ED" w14:textId="77777777" w:rsidR="0097499D" w:rsidRPr="0097499D" w:rsidRDefault="0097499D" w:rsidP="0097499D">
            <w:pPr>
              <w:spacing w:after="0" w:line="240" w:lineRule="auto"/>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RESOLUCIONS</w:t>
            </w:r>
          </w:p>
        </w:tc>
        <w:tc>
          <w:tcPr>
            <w:tcW w:w="1045"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13724491"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2020</w:t>
            </w:r>
          </w:p>
        </w:tc>
        <w:tc>
          <w:tcPr>
            <w:tcW w:w="1045"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21BD39AE"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2021</w:t>
            </w:r>
          </w:p>
        </w:tc>
        <w:tc>
          <w:tcPr>
            <w:tcW w:w="1045"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735A9B3B"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Variació</w:t>
            </w:r>
          </w:p>
        </w:tc>
      </w:tr>
      <w:tr w:rsidR="0097499D" w:rsidRPr="0097499D" w14:paraId="76BFFA0E" w14:textId="77777777" w:rsidTr="00443473">
        <w:trPr>
          <w:trHeight w:val="227"/>
          <w:tblHeader/>
        </w:trPr>
        <w:tc>
          <w:tcPr>
            <w:tcW w:w="1865" w:type="pct"/>
            <w:vMerge/>
            <w:tcBorders>
              <w:top w:val="single" w:sz="8" w:space="0" w:color="auto"/>
              <w:left w:val="single" w:sz="8" w:space="0" w:color="auto"/>
              <w:bottom w:val="single" w:sz="4" w:space="0" w:color="auto"/>
              <w:right w:val="single" w:sz="4" w:space="0" w:color="auto"/>
            </w:tcBorders>
            <w:vAlign w:val="center"/>
            <w:hideMark/>
          </w:tcPr>
          <w:p w14:paraId="474CBE1B" w14:textId="77777777" w:rsidR="0097499D" w:rsidRPr="0097499D" w:rsidRDefault="0097499D" w:rsidP="0097499D">
            <w:pPr>
              <w:spacing w:after="0" w:line="240" w:lineRule="auto"/>
              <w:rPr>
                <w:rFonts w:ascii="Arial" w:eastAsia="Times New Roman" w:hAnsi="Arial" w:cs="Arial"/>
                <w:b/>
                <w:bCs/>
                <w:color w:val="000000"/>
                <w:sz w:val="16"/>
                <w:szCs w:val="16"/>
                <w:lang w:val="ca-ES" w:eastAsia="es-ES"/>
              </w:rPr>
            </w:pPr>
          </w:p>
        </w:tc>
        <w:tc>
          <w:tcPr>
            <w:tcW w:w="429" w:type="pct"/>
            <w:tcBorders>
              <w:top w:val="nil"/>
              <w:left w:val="nil"/>
              <w:bottom w:val="single" w:sz="4" w:space="0" w:color="auto"/>
              <w:right w:val="single" w:sz="4" w:space="0" w:color="auto"/>
            </w:tcBorders>
            <w:shd w:val="clear" w:color="000000" w:fill="B6A39A"/>
            <w:noWrap/>
            <w:vAlign w:val="bottom"/>
            <w:hideMark/>
          </w:tcPr>
          <w:p w14:paraId="6625EB59"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 </w:t>
            </w:r>
          </w:p>
        </w:tc>
        <w:tc>
          <w:tcPr>
            <w:tcW w:w="616" w:type="pct"/>
            <w:tcBorders>
              <w:top w:val="nil"/>
              <w:left w:val="nil"/>
              <w:bottom w:val="single" w:sz="4" w:space="0" w:color="auto"/>
              <w:right w:val="single" w:sz="4" w:space="0" w:color="auto"/>
            </w:tcBorders>
            <w:shd w:val="clear" w:color="000000" w:fill="B6A39A"/>
            <w:noWrap/>
            <w:vAlign w:val="bottom"/>
            <w:hideMark/>
          </w:tcPr>
          <w:p w14:paraId="57C2917E"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w:t>
            </w:r>
          </w:p>
        </w:tc>
        <w:tc>
          <w:tcPr>
            <w:tcW w:w="429" w:type="pct"/>
            <w:tcBorders>
              <w:top w:val="nil"/>
              <w:left w:val="nil"/>
              <w:bottom w:val="single" w:sz="4" w:space="0" w:color="auto"/>
              <w:right w:val="single" w:sz="4" w:space="0" w:color="auto"/>
            </w:tcBorders>
            <w:shd w:val="clear" w:color="000000" w:fill="B6A39A"/>
            <w:noWrap/>
            <w:vAlign w:val="bottom"/>
            <w:hideMark/>
          </w:tcPr>
          <w:p w14:paraId="5E5478A5"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 </w:t>
            </w:r>
          </w:p>
        </w:tc>
        <w:tc>
          <w:tcPr>
            <w:tcW w:w="616" w:type="pct"/>
            <w:tcBorders>
              <w:top w:val="nil"/>
              <w:left w:val="nil"/>
              <w:bottom w:val="single" w:sz="4" w:space="0" w:color="auto"/>
              <w:right w:val="single" w:sz="4" w:space="0" w:color="auto"/>
            </w:tcBorders>
            <w:shd w:val="clear" w:color="000000" w:fill="B6A39A"/>
            <w:noWrap/>
            <w:vAlign w:val="bottom"/>
            <w:hideMark/>
          </w:tcPr>
          <w:p w14:paraId="69A54507"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w:t>
            </w:r>
          </w:p>
        </w:tc>
        <w:tc>
          <w:tcPr>
            <w:tcW w:w="1045"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04561DC0"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Absolut</w:t>
            </w:r>
          </w:p>
        </w:tc>
      </w:tr>
      <w:tr w:rsidR="0097499D" w:rsidRPr="0097499D" w14:paraId="065E0319"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3DE8EAD7" w14:textId="77777777" w:rsidR="0097499D" w:rsidRPr="0097499D" w:rsidRDefault="0097499D" w:rsidP="0097499D">
            <w:pPr>
              <w:spacing w:after="0" w:line="240" w:lineRule="auto"/>
              <w:rPr>
                <w:rFonts w:ascii="Arial" w:eastAsia="Times New Roman" w:hAnsi="Arial" w:cs="Arial"/>
                <w:b/>
                <w:bCs/>
                <w:color w:val="000000"/>
                <w:sz w:val="16"/>
                <w:szCs w:val="16"/>
                <w:lang w:val="ca-ES" w:eastAsia="es-ES"/>
              </w:rPr>
            </w:pPr>
            <w:r w:rsidRPr="0097499D">
              <w:rPr>
                <w:rFonts w:ascii="Arial" w:hAnsi="Arial" w:cs="Arial"/>
                <w:b/>
                <w:bCs/>
                <w:color w:val="000000"/>
                <w:sz w:val="16"/>
                <w:szCs w:val="16"/>
                <w:lang w:val="ca-ES"/>
              </w:rPr>
              <w:t>ANÀLISI</w:t>
            </w:r>
          </w:p>
        </w:tc>
        <w:tc>
          <w:tcPr>
            <w:tcW w:w="429" w:type="pct"/>
            <w:tcBorders>
              <w:top w:val="nil"/>
              <w:left w:val="nil"/>
              <w:bottom w:val="single" w:sz="4" w:space="0" w:color="auto"/>
              <w:right w:val="single" w:sz="4" w:space="0" w:color="auto"/>
            </w:tcBorders>
            <w:shd w:val="clear" w:color="auto" w:fill="auto"/>
            <w:noWrap/>
            <w:vAlign w:val="bottom"/>
            <w:hideMark/>
          </w:tcPr>
          <w:p w14:paraId="2B86086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616" w:type="pct"/>
            <w:tcBorders>
              <w:top w:val="nil"/>
              <w:left w:val="nil"/>
              <w:bottom w:val="single" w:sz="4" w:space="0" w:color="auto"/>
              <w:right w:val="single" w:sz="4" w:space="0" w:color="auto"/>
            </w:tcBorders>
            <w:shd w:val="clear" w:color="auto" w:fill="auto"/>
            <w:noWrap/>
            <w:vAlign w:val="bottom"/>
            <w:hideMark/>
          </w:tcPr>
          <w:p w14:paraId="4FFD5080"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429" w:type="pct"/>
            <w:tcBorders>
              <w:top w:val="nil"/>
              <w:left w:val="nil"/>
              <w:bottom w:val="single" w:sz="4" w:space="0" w:color="auto"/>
              <w:right w:val="single" w:sz="4" w:space="0" w:color="auto"/>
            </w:tcBorders>
            <w:shd w:val="clear" w:color="auto" w:fill="auto"/>
            <w:noWrap/>
            <w:vAlign w:val="bottom"/>
            <w:hideMark/>
          </w:tcPr>
          <w:p w14:paraId="44062CB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616" w:type="pct"/>
            <w:tcBorders>
              <w:top w:val="nil"/>
              <w:left w:val="nil"/>
              <w:bottom w:val="single" w:sz="4" w:space="0" w:color="auto"/>
              <w:right w:val="single" w:sz="4" w:space="0" w:color="auto"/>
            </w:tcBorders>
            <w:shd w:val="clear" w:color="auto" w:fill="auto"/>
            <w:noWrap/>
            <w:vAlign w:val="bottom"/>
            <w:hideMark/>
          </w:tcPr>
          <w:p w14:paraId="3BEE701A"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399" w:type="pct"/>
            <w:tcBorders>
              <w:top w:val="nil"/>
              <w:left w:val="nil"/>
              <w:bottom w:val="single" w:sz="4" w:space="0" w:color="auto"/>
              <w:right w:val="single" w:sz="4" w:space="0" w:color="auto"/>
            </w:tcBorders>
            <w:shd w:val="clear" w:color="auto" w:fill="auto"/>
            <w:noWrap/>
            <w:vAlign w:val="bottom"/>
            <w:hideMark/>
          </w:tcPr>
          <w:p w14:paraId="454F6671"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646" w:type="pct"/>
            <w:tcBorders>
              <w:top w:val="nil"/>
              <w:left w:val="nil"/>
              <w:bottom w:val="single" w:sz="4" w:space="0" w:color="auto"/>
              <w:right w:val="single" w:sz="8" w:space="0" w:color="auto"/>
            </w:tcBorders>
            <w:shd w:val="clear" w:color="auto" w:fill="auto"/>
            <w:noWrap/>
            <w:vAlign w:val="bottom"/>
            <w:hideMark/>
          </w:tcPr>
          <w:p w14:paraId="1219E474"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r>
      <w:tr w:rsidR="0097499D" w:rsidRPr="0097499D" w14:paraId="6187340D"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5FA97819"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Acord Consell de Direcció</w:t>
            </w:r>
          </w:p>
        </w:tc>
        <w:tc>
          <w:tcPr>
            <w:tcW w:w="429" w:type="pct"/>
            <w:tcBorders>
              <w:top w:val="nil"/>
              <w:left w:val="nil"/>
              <w:bottom w:val="single" w:sz="4" w:space="0" w:color="auto"/>
              <w:right w:val="single" w:sz="4" w:space="0" w:color="auto"/>
            </w:tcBorders>
            <w:shd w:val="clear" w:color="auto" w:fill="auto"/>
            <w:noWrap/>
            <w:vAlign w:val="bottom"/>
            <w:hideMark/>
          </w:tcPr>
          <w:p w14:paraId="037142C2"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2B1AC0A1"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429" w:type="pct"/>
            <w:tcBorders>
              <w:top w:val="nil"/>
              <w:left w:val="nil"/>
              <w:bottom w:val="single" w:sz="4" w:space="0" w:color="auto"/>
              <w:right w:val="single" w:sz="4" w:space="0" w:color="auto"/>
            </w:tcBorders>
            <w:shd w:val="clear" w:color="auto" w:fill="auto"/>
            <w:noWrap/>
            <w:vAlign w:val="bottom"/>
            <w:hideMark/>
          </w:tcPr>
          <w:p w14:paraId="3C5CA426"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4912207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399" w:type="pct"/>
            <w:tcBorders>
              <w:top w:val="nil"/>
              <w:left w:val="nil"/>
              <w:bottom w:val="single" w:sz="4" w:space="0" w:color="auto"/>
              <w:right w:val="single" w:sz="4" w:space="0" w:color="auto"/>
            </w:tcBorders>
            <w:shd w:val="clear" w:color="auto" w:fill="auto"/>
            <w:noWrap/>
            <w:vAlign w:val="bottom"/>
            <w:hideMark/>
          </w:tcPr>
          <w:p w14:paraId="57746D31"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46" w:type="pct"/>
            <w:tcBorders>
              <w:top w:val="nil"/>
              <w:left w:val="nil"/>
              <w:bottom w:val="single" w:sz="4" w:space="0" w:color="auto"/>
              <w:right w:val="single" w:sz="8" w:space="0" w:color="auto"/>
            </w:tcBorders>
            <w:shd w:val="clear" w:color="auto" w:fill="auto"/>
            <w:noWrap/>
            <w:vAlign w:val="bottom"/>
            <w:hideMark/>
          </w:tcPr>
          <w:p w14:paraId="288DC339"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r>
      <w:tr w:rsidR="0097499D" w:rsidRPr="0097499D" w14:paraId="01B793B1"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1AE4C877"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Arxivament</w:t>
            </w:r>
          </w:p>
        </w:tc>
        <w:tc>
          <w:tcPr>
            <w:tcW w:w="429" w:type="pct"/>
            <w:tcBorders>
              <w:top w:val="nil"/>
              <w:left w:val="nil"/>
              <w:bottom w:val="single" w:sz="4" w:space="0" w:color="auto"/>
              <w:right w:val="single" w:sz="4" w:space="0" w:color="auto"/>
            </w:tcBorders>
            <w:shd w:val="clear" w:color="auto" w:fill="auto"/>
            <w:noWrap/>
            <w:vAlign w:val="bottom"/>
            <w:hideMark/>
          </w:tcPr>
          <w:p w14:paraId="55EB4CBA"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72</w:t>
            </w:r>
          </w:p>
        </w:tc>
        <w:tc>
          <w:tcPr>
            <w:tcW w:w="616" w:type="pct"/>
            <w:tcBorders>
              <w:top w:val="nil"/>
              <w:left w:val="nil"/>
              <w:bottom w:val="single" w:sz="4" w:space="0" w:color="auto"/>
              <w:right w:val="single" w:sz="4" w:space="0" w:color="auto"/>
            </w:tcBorders>
            <w:shd w:val="clear" w:color="auto" w:fill="auto"/>
            <w:noWrap/>
            <w:vAlign w:val="bottom"/>
            <w:hideMark/>
          </w:tcPr>
          <w:p w14:paraId="3EEB710F"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32%</w:t>
            </w:r>
          </w:p>
        </w:tc>
        <w:tc>
          <w:tcPr>
            <w:tcW w:w="429" w:type="pct"/>
            <w:tcBorders>
              <w:top w:val="nil"/>
              <w:left w:val="nil"/>
              <w:bottom w:val="single" w:sz="4" w:space="0" w:color="auto"/>
              <w:right w:val="single" w:sz="4" w:space="0" w:color="auto"/>
            </w:tcBorders>
            <w:shd w:val="clear" w:color="auto" w:fill="auto"/>
            <w:noWrap/>
            <w:vAlign w:val="bottom"/>
            <w:hideMark/>
          </w:tcPr>
          <w:p w14:paraId="695D1F1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99</w:t>
            </w:r>
          </w:p>
        </w:tc>
        <w:tc>
          <w:tcPr>
            <w:tcW w:w="616" w:type="pct"/>
            <w:tcBorders>
              <w:top w:val="nil"/>
              <w:left w:val="nil"/>
              <w:bottom w:val="single" w:sz="4" w:space="0" w:color="auto"/>
              <w:right w:val="single" w:sz="4" w:space="0" w:color="auto"/>
            </w:tcBorders>
            <w:shd w:val="clear" w:color="auto" w:fill="auto"/>
            <w:noWrap/>
            <w:vAlign w:val="bottom"/>
            <w:hideMark/>
          </w:tcPr>
          <w:p w14:paraId="347EC2F9"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37%</w:t>
            </w:r>
          </w:p>
        </w:tc>
        <w:tc>
          <w:tcPr>
            <w:tcW w:w="399" w:type="pct"/>
            <w:tcBorders>
              <w:top w:val="nil"/>
              <w:left w:val="nil"/>
              <w:bottom w:val="single" w:sz="4" w:space="0" w:color="auto"/>
              <w:right w:val="single" w:sz="4" w:space="0" w:color="auto"/>
            </w:tcBorders>
            <w:shd w:val="clear" w:color="000000" w:fill="FFFFFF"/>
            <w:noWrap/>
            <w:vAlign w:val="bottom"/>
            <w:hideMark/>
          </w:tcPr>
          <w:p w14:paraId="7E0A897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27</w:t>
            </w:r>
          </w:p>
        </w:tc>
        <w:tc>
          <w:tcPr>
            <w:tcW w:w="646" w:type="pct"/>
            <w:tcBorders>
              <w:top w:val="nil"/>
              <w:left w:val="nil"/>
              <w:bottom w:val="single" w:sz="4" w:space="0" w:color="auto"/>
              <w:right w:val="single" w:sz="8" w:space="0" w:color="auto"/>
            </w:tcBorders>
            <w:shd w:val="clear" w:color="auto" w:fill="auto"/>
            <w:noWrap/>
            <w:vAlign w:val="bottom"/>
            <w:hideMark/>
          </w:tcPr>
          <w:p w14:paraId="7548B794"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38%</w:t>
            </w:r>
          </w:p>
        </w:tc>
      </w:tr>
      <w:tr w:rsidR="0097499D" w:rsidRPr="0097499D" w14:paraId="0CA4EFD0"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7AA9A891"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Inadmissió</w:t>
            </w:r>
          </w:p>
        </w:tc>
        <w:tc>
          <w:tcPr>
            <w:tcW w:w="429" w:type="pct"/>
            <w:tcBorders>
              <w:top w:val="nil"/>
              <w:left w:val="nil"/>
              <w:bottom w:val="single" w:sz="4" w:space="0" w:color="auto"/>
              <w:right w:val="single" w:sz="4" w:space="0" w:color="auto"/>
            </w:tcBorders>
            <w:shd w:val="clear" w:color="auto" w:fill="auto"/>
            <w:noWrap/>
            <w:vAlign w:val="bottom"/>
            <w:hideMark/>
          </w:tcPr>
          <w:p w14:paraId="59B4B684"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51</w:t>
            </w:r>
          </w:p>
        </w:tc>
        <w:tc>
          <w:tcPr>
            <w:tcW w:w="616" w:type="pct"/>
            <w:tcBorders>
              <w:top w:val="nil"/>
              <w:left w:val="nil"/>
              <w:bottom w:val="single" w:sz="4" w:space="0" w:color="auto"/>
              <w:right w:val="single" w:sz="4" w:space="0" w:color="auto"/>
            </w:tcBorders>
            <w:shd w:val="clear" w:color="auto" w:fill="auto"/>
            <w:noWrap/>
            <w:vAlign w:val="bottom"/>
            <w:hideMark/>
          </w:tcPr>
          <w:p w14:paraId="04CACFD5"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22%</w:t>
            </w:r>
          </w:p>
        </w:tc>
        <w:tc>
          <w:tcPr>
            <w:tcW w:w="429" w:type="pct"/>
            <w:tcBorders>
              <w:top w:val="nil"/>
              <w:left w:val="nil"/>
              <w:bottom w:val="single" w:sz="4" w:space="0" w:color="auto"/>
              <w:right w:val="single" w:sz="4" w:space="0" w:color="auto"/>
            </w:tcBorders>
            <w:shd w:val="clear" w:color="auto" w:fill="auto"/>
            <w:noWrap/>
            <w:vAlign w:val="bottom"/>
            <w:hideMark/>
          </w:tcPr>
          <w:p w14:paraId="7393C4BD"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95</w:t>
            </w:r>
          </w:p>
        </w:tc>
        <w:tc>
          <w:tcPr>
            <w:tcW w:w="616" w:type="pct"/>
            <w:tcBorders>
              <w:top w:val="nil"/>
              <w:left w:val="nil"/>
              <w:bottom w:val="single" w:sz="4" w:space="0" w:color="auto"/>
              <w:right w:val="single" w:sz="4" w:space="0" w:color="auto"/>
            </w:tcBorders>
            <w:shd w:val="clear" w:color="auto" w:fill="auto"/>
            <w:noWrap/>
            <w:vAlign w:val="bottom"/>
            <w:hideMark/>
          </w:tcPr>
          <w:p w14:paraId="06EF86DE"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36%</w:t>
            </w:r>
          </w:p>
        </w:tc>
        <w:tc>
          <w:tcPr>
            <w:tcW w:w="399" w:type="pct"/>
            <w:tcBorders>
              <w:top w:val="nil"/>
              <w:left w:val="nil"/>
              <w:bottom w:val="single" w:sz="4" w:space="0" w:color="auto"/>
              <w:right w:val="single" w:sz="4" w:space="0" w:color="auto"/>
            </w:tcBorders>
            <w:shd w:val="clear" w:color="000000" w:fill="FFFFFF"/>
            <w:noWrap/>
            <w:vAlign w:val="bottom"/>
            <w:hideMark/>
          </w:tcPr>
          <w:p w14:paraId="2E159E09"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44</w:t>
            </w:r>
          </w:p>
        </w:tc>
        <w:tc>
          <w:tcPr>
            <w:tcW w:w="646" w:type="pct"/>
            <w:tcBorders>
              <w:top w:val="nil"/>
              <w:left w:val="nil"/>
              <w:bottom w:val="single" w:sz="4" w:space="0" w:color="auto"/>
              <w:right w:val="single" w:sz="8" w:space="0" w:color="auto"/>
            </w:tcBorders>
            <w:shd w:val="clear" w:color="auto" w:fill="auto"/>
            <w:noWrap/>
            <w:vAlign w:val="bottom"/>
            <w:hideMark/>
          </w:tcPr>
          <w:p w14:paraId="0E5C7944"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86%</w:t>
            </w:r>
          </w:p>
        </w:tc>
      </w:tr>
      <w:tr w:rsidR="0097499D" w:rsidRPr="0097499D" w14:paraId="5A19403D"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2E90A454"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Inici d’actuacions</w:t>
            </w:r>
          </w:p>
        </w:tc>
        <w:tc>
          <w:tcPr>
            <w:tcW w:w="429" w:type="pct"/>
            <w:tcBorders>
              <w:top w:val="nil"/>
              <w:left w:val="nil"/>
              <w:bottom w:val="single" w:sz="4" w:space="0" w:color="auto"/>
              <w:right w:val="single" w:sz="4" w:space="0" w:color="auto"/>
            </w:tcBorders>
            <w:shd w:val="clear" w:color="auto" w:fill="auto"/>
            <w:noWrap/>
            <w:vAlign w:val="bottom"/>
            <w:hideMark/>
          </w:tcPr>
          <w:p w14:paraId="7DFCF2F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60</w:t>
            </w:r>
          </w:p>
        </w:tc>
        <w:tc>
          <w:tcPr>
            <w:tcW w:w="616" w:type="pct"/>
            <w:tcBorders>
              <w:top w:val="nil"/>
              <w:left w:val="nil"/>
              <w:bottom w:val="single" w:sz="4" w:space="0" w:color="auto"/>
              <w:right w:val="single" w:sz="4" w:space="0" w:color="auto"/>
            </w:tcBorders>
            <w:shd w:val="clear" w:color="auto" w:fill="auto"/>
            <w:noWrap/>
            <w:vAlign w:val="bottom"/>
            <w:hideMark/>
          </w:tcPr>
          <w:p w14:paraId="6C0206BB"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26%</w:t>
            </w:r>
          </w:p>
        </w:tc>
        <w:tc>
          <w:tcPr>
            <w:tcW w:w="429" w:type="pct"/>
            <w:tcBorders>
              <w:top w:val="nil"/>
              <w:left w:val="nil"/>
              <w:bottom w:val="single" w:sz="4" w:space="0" w:color="auto"/>
              <w:right w:val="single" w:sz="4" w:space="0" w:color="auto"/>
            </w:tcBorders>
            <w:shd w:val="clear" w:color="auto" w:fill="auto"/>
            <w:noWrap/>
            <w:vAlign w:val="bottom"/>
            <w:hideMark/>
          </w:tcPr>
          <w:p w14:paraId="24C930D7"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73</w:t>
            </w:r>
          </w:p>
        </w:tc>
        <w:tc>
          <w:tcPr>
            <w:tcW w:w="616" w:type="pct"/>
            <w:tcBorders>
              <w:top w:val="nil"/>
              <w:left w:val="nil"/>
              <w:bottom w:val="single" w:sz="4" w:space="0" w:color="auto"/>
              <w:right w:val="single" w:sz="4" w:space="0" w:color="auto"/>
            </w:tcBorders>
            <w:shd w:val="clear" w:color="auto" w:fill="auto"/>
            <w:noWrap/>
            <w:vAlign w:val="bottom"/>
            <w:hideMark/>
          </w:tcPr>
          <w:p w14:paraId="55637A27"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27%</w:t>
            </w:r>
          </w:p>
        </w:tc>
        <w:tc>
          <w:tcPr>
            <w:tcW w:w="399" w:type="pct"/>
            <w:tcBorders>
              <w:top w:val="nil"/>
              <w:left w:val="nil"/>
              <w:bottom w:val="single" w:sz="4" w:space="0" w:color="auto"/>
              <w:right w:val="single" w:sz="4" w:space="0" w:color="auto"/>
            </w:tcBorders>
            <w:shd w:val="clear" w:color="000000" w:fill="FFFFFF"/>
            <w:noWrap/>
            <w:vAlign w:val="bottom"/>
            <w:hideMark/>
          </w:tcPr>
          <w:p w14:paraId="64520009"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13</w:t>
            </w:r>
          </w:p>
        </w:tc>
        <w:tc>
          <w:tcPr>
            <w:tcW w:w="646" w:type="pct"/>
            <w:tcBorders>
              <w:top w:val="nil"/>
              <w:left w:val="nil"/>
              <w:bottom w:val="single" w:sz="4" w:space="0" w:color="auto"/>
              <w:right w:val="single" w:sz="8" w:space="0" w:color="auto"/>
            </w:tcBorders>
            <w:shd w:val="clear" w:color="auto" w:fill="auto"/>
            <w:noWrap/>
            <w:vAlign w:val="bottom"/>
            <w:hideMark/>
          </w:tcPr>
          <w:p w14:paraId="38D83941"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22%</w:t>
            </w:r>
          </w:p>
        </w:tc>
      </w:tr>
      <w:tr w:rsidR="0097499D" w:rsidRPr="0097499D" w14:paraId="0DA36856" w14:textId="77777777" w:rsidTr="00443473">
        <w:trPr>
          <w:trHeight w:val="227"/>
        </w:trPr>
        <w:tc>
          <w:tcPr>
            <w:tcW w:w="1865" w:type="pct"/>
            <w:tcBorders>
              <w:top w:val="nil"/>
              <w:left w:val="single" w:sz="8" w:space="0" w:color="auto"/>
              <w:bottom w:val="single" w:sz="4" w:space="0" w:color="auto"/>
              <w:right w:val="single" w:sz="4" w:space="0" w:color="auto"/>
            </w:tcBorders>
            <w:shd w:val="clear" w:color="000000" w:fill="DDE0E3"/>
            <w:noWrap/>
            <w:vAlign w:val="bottom"/>
            <w:hideMark/>
          </w:tcPr>
          <w:p w14:paraId="15C244E5" w14:textId="77777777" w:rsidR="0097499D" w:rsidRPr="0097499D" w:rsidRDefault="0097499D" w:rsidP="0097499D">
            <w:pPr>
              <w:spacing w:after="0" w:line="240" w:lineRule="auto"/>
              <w:jc w:val="right"/>
              <w:rPr>
                <w:rFonts w:ascii="Arial" w:eastAsia="Times New Roman" w:hAnsi="Arial" w:cs="Arial"/>
                <w:b/>
                <w:bCs/>
                <w:color w:val="000000"/>
                <w:sz w:val="16"/>
                <w:szCs w:val="16"/>
                <w:lang w:val="ca-ES" w:eastAsia="es-ES"/>
              </w:rPr>
            </w:pPr>
            <w:r w:rsidRPr="0097499D">
              <w:rPr>
                <w:rFonts w:ascii="Arial" w:hAnsi="Arial" w:cs="Arial"/>
                <w:b/>
                <w:bCs/>
                <w:color w:val="000000"/>
                <w:sz w:val="16"/>
                <w:szCs w:val="16"/>
                <w:lang w:val="ca-ES"/>
              </w:rPr>
              <w:t>Subtotal</w:t>
            </w:r>
          </w:p>
        </w:tc>
        <w:tc>
          <w:tcPr>
            <w:tcW w:w="429" w:type="pct"/>
            <w:tcBorders>
              <w:top w:val="nil"/>
              <w:left w:val="nil"/>
              <w:bottom w:val="single" w:sz="4" w:space="0" w:color="auto"/>
              <w:right w:val="single" w:sz="4" w:space="0" w:color="auto"/>
            </w:tcBorders>
            <w:shd w:val="clear" w:color="000000" w:fill="DDE0E3"/>
            <w:noWrap/>
            <w:vAlign w:val="bottom"/>
            <w:hideMark/>
          </w:tcPr>
          <w:p w14:paraId="58D9CBC6"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183</w:t>
            </w:r>
          </w:p>
        </w:tc>
        <w:tc>
          <w:tcPr>
            <w:tcW w:w="616" w:type="pct"/>
            <w:tcBorders>
              <w:top w:val="nil"/>
              <w:left w:val="nil"/>
              <w:bottom w:val="single" w:sz="4" w:space="0" w:color="auto"/>
              <w:right w:val="single" w:sz="4" w:space="0" w:color="auto"/>
            </w:tcBorders>
            <w:shd w:val="clear" w:color="000000" w:fill="DDE0E3"/>
            <w:noWrap/>
            <w:vAlign w:val="bottom"/>
            <w:hideMark/>
          </w:tcPr>
          <w:p w14:paraId="366B48D1"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80%</w:t>
            </w:r>
          </w:p>
        </w:tc>
        <w:tc>
          <w:tcPr>
            <w:tcW w:w="429" w:type="pct"/>
            <w:tcBorders>
              <w:top w:val="nil"/>
              <w:left w:val="nil"/>
              <w:bottom w:val="single" w:sz="4" w:space="0" w:color="auto"/>
              <w:right w:val="single" w:sz="4" w:space="0" w:color="auto"/>
            </w:tcBorders>
            <w:shd w:val="clear" w:color="000000" w:fill="DDE0E3"/>
            <w:noWrap/>
            <w:vAlign w:val="bottom"/>
            <w:hideMark/>
          </w:tcPr>
          <w:p w14:paraId="4CD54441"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267</w:t>
            </w:r>
          </w:p>
        </w:tc>
        <w:tc>
          <w:tcPr>
            <w:tcW w:w="616" w:type="pct"/>
            <w:tcBorders>
              <w:top w:val="nil"/>
              <w:left w:val="nil"/>
              <w:bottom w:val="single" w:sz="4" w:space="0" w:color="auto"/>
              <w:right w:val="single" w:sz="4" w:space="0" w:color="auto"/>
            </w:tcBorders>
            <w:shd w:val="clear" w:color="000000" w:fill="DDE0E3"/>
            <w:noWrap/>
            <w:vAlign w:val="bottom"/>
            <w:hideMark/>
          </w:tcPr>
          <w:p w14:paraId="2CA852A6"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78%</w:t>
            </w:r>
          </w:p>
        </w:tc>
        <w:tc>
          <w:tcPr>
            <w:tcW w:w="399" w:type="pct"/>
            <w:tcBorders>
              <w:top w:val="nil"/>
              <w:left w:val="nil"/>
              <w:bottom w:val="single" w:sz="4" w:space="0" w:color="auto"/>
              <w:right w:val="single" w:sz="4" w:space="0" w:color="auto"/>
            </w:tcBorders>
            <w:shd w:val="clear" w:color="000000" w:fill="DDE0E3"/>
            <w:noWrap/>
            <w:vAlign w:val="bottom"/>
            <w:hideMark/>
          </w:tcPr>
          <w:p w14:paraId="50776666"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84</w:t>
            </w:r>
          </w:p>
        </w:tc>
        <w:tc>
          <w:tcPr>
            <w:tcW w:w="646" w:type="pct"/>
            <w:tcBorders>
              <w:top w:val="nil"/>
              <w:left w:val="nil"/>
              <w:bottom w:val="single" w:sz="4" w:space="0" w:color="auto"/>
              <w:right w:val="single" w:sz="4" w:space="0" w:color="auto"/>
            </w:tcBorders>
            <w:shd w:val="clear" w:color="000000" w:fill="DDE0E3"/>
            <w:noWrap/>
            <w:vAlign w:val="bottom"/>
            <w:hideMark/>
          </w:tcPr>
          <w:p w14:paraId="0FA02475"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46%</w:t>
            </w:r>
          </w:p>
        </w:tc>
      </w:tr>
      <w:tr w:rsidR="0097499D" w:rsidRPr="0097499D" w14:paraId="6E745550"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50E657D3" w14:textId="77777777" w:rsidR="0097499D" w:rsidRPr="0097499D" w:rsidRDefault="0097499D" w:rsidP="0097499D">
            <w:pPr>
              <w:spacing w:after="0" w:line="240" w:lineRule="auto"/>
              <w:rPr>
                <w:rFonts w:ascii="Arial" w:eastAsia="Times New Roman" w:hAnsi="Arial" w:cs="Arial"/>
                <w:b/>
                <w:bCs/>
                <w:color w:val="000000"/>
                <w:sz w:val="16"/>
                <w:szCs w:val="16"/>
                <w:lang w:val="ca-ES" w:eastAsia="es-ES"/>
              </w:rPr>
            </w:pPr>
            <w:r w:rsidRPr="0097499D">
              <w:rPr>
                <w:rFonts w:ascii="Arial" w:hAnsi="Arial" w:cs="Arial"/>
                <w:b/>
                <w:bCs/>
                <w:color w:val="000000"/>
                <w:sz w:val="16"/>
                <w:szCs w:val="16"/>
                <w:lang w:val="ca-ES"/>
              </w:rPr>
              <w:t>INVESTIGACIÓ</w:t>
            </w:r>
          </w:p>
        </w:tc>
        <w:tc>
          <w:tcPr>
            <w:tcW w:w="429" w:type="pct"/>
            <w:tcBorders>
              <w:top w:val="nil"/>
              <w:left w:val="nil"/>
              <w:bottom w:val="single" w:sz="4" w:space="0" w:color="auto"/>
              <w:right w:val="single" w:sz="4" w:space="0" w:color="auto"/>
            </w:tcBorders>
            <w:shd w:val="clear" w:color="auto" w:fill="auto"/>
            <w:noWrap/>
            <w:vAlign w:val="bottom"/>
            <w:hideMark/>
          </w:tcPr>
          <w:p w14:paraId="2FC4166A"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616" w:type="pct"/>
            <w:tcBorders>
              <w:top w:val="nil"/>
              <w:left w:val="nil"/>
              <w:bottom w:val="single" w:sz="4" w:space="0" w:color="auto"/>
              <w:right w:val="single" w:sz="4" w:space="0" w:color="auto"/>
            </w:tcBorders>
            <w:shd w:val="clear" w:color="auto" w:fill="auto"/>
            <w:noWrap/>
            <w:vAlign w:val="bottom"/>
            <w:hideMark/>
          </w:tcPr>
          <w:p w14:paraId="109CB56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429" w:type="pct"/>
            <w:tcBorders>
              <w:top w:val="nil"/>
              <w:left w:val="nil"/>
              <w:bottom w:val="single" w:sz="4" w:space="0" w:color="auto"/>
              <w:right w:val="single" w:sz="4" w:space="0" w:color="auto"/>
            </w:tcBorders>
            <w:shd w:val="clear" w:color="auto" w:fill="auto"/>
            <w:noWrap/>
            <w:vAlign w:val="bottom"/>
            <w:hideMark/>
          </w:tcPr>
          <w:p w14:paraId="66E8028A"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616" w:type="pct"/>
            <w:tcBorders>
              <w:top w:val="nil"/>
              <w:left w:val="nil"/>
              <w:bottom w:val="single" w:sz="4" w:space="0" w:color="auto"/>
              <w:right w:val="single" w:sz="4" w:space="0" w:color="auto"/>
            </w:tcBorders>
            <w:shd w:val="clear" w:color="auto" w:fill="auto"/>
            <w:noWrap/>
            <w:vAlign w:val="bottom"/>
            <w:hideMark/>
          </w:tcPr>
          <w:p w14:paraId="6DB644F7"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399" w:type="pct"/>
            <w:tcBorders>
              <w:top w:val="nil"/>
              <w:left w:val="nil"/>
              <w:bottom w:val="single" w:sz="4" w:space="0" w:color="auto"/>
              <w:right w:val="single" w:sz="4" w:space="0" w:color="auto"/>
            </w:tcBorders>
            <w:shd w:val="clear" w:color="000000" w:fill="FFFFFF"/>
            <w:noWrap/>
            <w:vAlign w:val="bottom"/>
            <w:hideMark/>
          </w:tcPr>
          <w:p w14:paraId="0480B9F6"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c>
          <w:tcPr>
            <w:tcW w:w="646" w:type="pct"/>
            <w:tcBorders>
              <w:top w:val="nil"/>
              <w:left w:val="nil"/>
              <w:bottom w:val="single" w:sz="4" w:space="0" w:color="auto"/>
              <w:right w:val="single" w:sz="8" w:space="0" w:color="auto"/>
            </w:tcBorders>
            <w:shd w:val="clear" w:color="auto" w:fill="auto"/>
            <w:noWrap/>
            <w:vAlign w:val="bottom"/>
            <w:hideMark/>
          </w:tcPr>
          <w:p w14:paraId="596ABA27"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 </w:t>
            </w:r>
          </w:p>
        </w:tc>
      </w:tr>
      <w:tr w:rsidR="0097499D" w:rsidRPr="0097499D" w14:paraId="208BAF0C"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7FF9D485"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Reobertura expedients</w:t>
            </w:r>
          </w:p>
        </w:tc>
        <w:tc>
          <w:tcPr>
            <w:tcW w:w="429" w:type="pct"/>
            <w:tcBorders>
              <w:top w:val="nil"/>
              <w:left w:val="nil"/>
              <w:bottom w:val="single" w:sz="4" w:space="0" w:color="auto"/>
              <w:right w:val="single" w:sz="4" w:space="0" w:color="auto"/>
            </w:tcBorders>
            <w:shd w:val="clear" w:color="auto" w:fill="auto"/>
            <w:noWrap/>
            <w:vAlign w:val="bottom"/>
            <w:hideMark/>
          </w:tcPr>
          <w:p w14:paraId="2E5AF943"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w:t>
            </w:r>
          </w:p>
        </w:tc>
        <w:tc>
          <w:tcPr>
            <w:tcW w:w="616" w:type="pct"/>
            <w:tcBorders>
              <w:top w:val="nil"/>
              <w:left w:val="nil"/>
              <w:bottom w:val="single" w:sz="4" w:space="0" w:color="auto"/>
              <w:right w:val="single" w:sz="4" w:space="0" w:color="auto"/>
            </w:tcBorders>
            <w:shd w:val="clear" w:color="auto" w:fill="auto"/>
            <w:noWrap/>
            <w:vAlign w:val="bottom"/>
            <w:hideMark/>
          </w:tcPr>
          <w:p w14:paraId="73195E6C"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w:t>
            </w:r>
          </w:p>
        </w:tc>
        <w:tc>
          <w:tcPr>
            <w:tcW w:w="429" w:type="pct"/>
            <w:tcBorders>
              <w:top w:val="nil"/>
              <w:left w:val="nil"/>
              <w:bottom w:val="single" w:sz="4" w:space="0" w:color="auto"/>
              <w:right w:val="single" w:sz="4" w:space="0" w:color="auto"/>
            </w:tcBorders>
            <w:shd w:val="clear" w:color="auto" w:fill="auto"/>
            <w:noWrap/>
            <w:vAlign w:val="bottom"/>
            <w:hideMark/>
          </w:tcPr>
          <w:p w14:paraId="2F484255"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w:t>
            </w:r>
          </w:p>
        </w:tc>
        <w:tc>
          <w:tcPr>
            <w:tcW w:w="616" w:type="pct"/>
            <w:tcBorders>
              <w:top w:val="nil"/>
              <w:left w:val="nil"/>
              <w:bottom w:val="single" w:sz="4" w:space="0" w:color="auto"/>
              <w:right w:val="single" w:sz="4" w:space="0" w:color="auto"/>
            </w:tcBorders>
            <w:shd w:val="clear" w:color="auto" w:fill="auto"/>
            <w:noWrap/>
            <w:vAlign w:val="bottom"/>
            <w:hideMark/>
          </w:tcPr>
          <w:p w14:paraId="02257C57"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w:t>
            </w:r>
          </w:p>
        </w:tc>
        <w:tc>
          <w:tcPr>
            <w:tcW w:w="399" w:type="pct"/>
            <w:tcBorders>
              <w:top w:val="nil"/>
              <w:left w:val="nil"/>
              <w:bottom w:val="single" w:sz="4" w:space="0" w:color="auto"/>
              <w:right w:val="single" w:sz="4" w:space="0" w:color="auto"/>
            </w:tcBorders>
            <w:shd w:val="clear" w:color="000000" w:fill="FFFFFF"/>
            <w:noWrap/>
            <w:vAlign w:val="bottom"/>
            <w:hideMark/>
          </w:tcPr>
          <w:p w14:paraId="731FD7B0"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w:t>
            </w:r>
          </w:p>
        </w:tc>
        <w:tc>
          <w:tcPr>
            <w:tcW w:w="646" w:type="pct"/>
            <w:tcBorders>
              <w:top w:val="nil"/>
              <w:left w:val="nil"/>
              <w:bottom w:val="single" w:sz="4" w:space="0" w:color="auto"/>
              <w:right w:val="single" w:sz="8" w:space="0" w:color="auto"/>
            </w:tcBorders>
            <w:shd w:val="clear" w:color="auto" w:fill="auto"/>
            <w:noWrap/>
            <w:vAlign w:val="bottom"/>
            <w:hideMark/>
          </w:tcPr>
          <w:p w14:paraId="27A28316"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-50%</w:t>
            </w:r>
          </w:p>
        </w:tc>
      </w:tr>
      <w:tr w:rsidR="0097499D" w:rsidRPr="0097499D" w14:paraId="3B882A96"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29C720D9"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Arxivament</w:t>
            </w:r>
          </w:p>
        </w:tc>
        <w:tc>
          <w:tcPr>
            <w:tcW w:w="429" w:type="pct"/>
            <w:tcBorders>
              <w:top w:val="nil"/>
              <w:left w:val="nil"/>
              <w:bottom w:val="single" w:sz="4" w:space="0" w:color="auto"/>
              <w:right w:val="single" w:sz="4" w:space="0" w:color="auto"/>
            </w:tcBorders>
            <w:shd w:val="clear" w:color="auto" w:fill="auto"/>
            <w:noWrap/>
            <w:vAlign w:val="bottom"/>
            <w:hideMark/>
          </w:tcPr>
          <w:p w14:paraId="5743F53B"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14</w:t>
            </w:r>
          </w:p>
        </w:tc>
        <w:tc>
          <w:tcPr>
            <w:tcW w:w="616" w:type="pct"/>
            <w:tcBorders>
              <w:top w:val="nil"/>
              <w:left w:val="nil"/>
              <w:bottom w:val="single" w:sz="4" w:space="0" w:color="auto"/>
              <w:right w:val="single" w:sz="4" w:space="0" w:color="auto"/>
            </w:tcBorders>
            <w:shd w:val="clear" w:color="auto" w:fill="auto"/>
            <w:noWrap/>
            <w:vAlign w:val="bottom"/>
            <w:hideMark/>
          </w:tcPr>
          <w:p w14:paraId="6523AE73"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6%</w:t>
            </w:r>
          </w:p>
        </w:tc>
        <w:tc>
          <w:tcPr>
            <w:tcW w:w="429" w:type="pct"/>
            <w:tcBorders>
              <w:top w:val="nil"/>
              <w:left w:val="nil"/>
              <w:bottom w:val="single" w:sz="4" w:space="0" w:color="auto"/>
              <w:right w:val="single" w:sz="4" w:space="0" w:color="auto"/>
            </w:tcBorders>
            <w:shd w:val="clear" w:color="auto" w:fill="auto"/>
            <w:noWrap/>
            <w:vAlign w:val="bottom"/>
            <w:hideMark/>
          </w:tcPr>
          <w:p w14:paraId="24E85FB3"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12</w:t>
            </w:r>
          </w:p>
        </w:tc>
        <w:tc>
          <w:tcPr>
            <w:tcW w:w="616" w:type="pct"/>
            <w:tcBorders>
              <w:top w:val="nil"/>
              <w:left w:val="nil"/>
              <w:bottom w:val="single" w:sz="4" w:space="0" w:color="auto"/>
              <w:right w:val="single" w:sz="4" w:space="0" w:color="auto"/>
            </w:tcBorders>
            <w:shd w:val="clear" w:color="auto" w:fill="auto"/>
            <w:noWrap/>
            <w:vAlign w:val="bottom"/>
            <w:hideMark/>
          </w:tcPr>
          <w:p w14:paraId="01AC1B6A"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16%</w:t>
            </w:r>
          </w:p>
        </w:tc>
        <w:tc>
          <w:tcPr>
            <w:tcW w:w="399" w:type="pct"/>
            <w:tcBorders>
              <w:top w:val="nil"/>
              <w:left w:val="nil"/>
              <w:bottom w:val="single" w:sz="4" w:space="0" w:color="auto"/>
              <w:right w:val="single" w:sz="4" w:space="0" w:color="auto"/>
            </w:tcBorders>
            <w:shd w:val="clear" w:color="000000" w:fill="FFFFFF"/>
            <w:noWrap/>
            <w:vAlign w:val="bottom"/>
            <w:hideMark/>
          </w:tcPr>
          <w:p w14:paraId="42A46CA0"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w:t>
            </w:r>
          </w:p>
        </w:tc>
        <w:tc>
          <w:tcPr>
            <w:tcW w:w="646" w:type="pct"/>
            <w:tcBorders>
              <w:top w:val="nil"/>
              <w:left w:val="nil"/>
              <w:bottom w:val="single" w:sz="4" w:space="0" w:color="auto"/>
              <w:right w:val="single" w:sz="8" w:space="0" w:color="auto"/>
            </w:tcBorders>
            <w:shd w:val="clear" w:color="auto" w:fill="auto"/>
            <w:noWrap/>
            <w:vAlign w:val="bottom"/>
            <w:hideMark/>
          </w:tcPr>
          <w:p w14:paraId="38E81C0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-14%</w:t>
            </w:r>
          </w:p>
        </w:tc>
      </w:tr>
      <w:tr w:rsidR="0097499D" w:rsidRPr="0097499D" w14:paraId="2D68F4D5"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71D68180"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Recomanacions</w:t>
            </w:r>
          </w:p>
        </w:tc>
        <w:tc>
          <w:tcPr>
            <w:tcW w:w="429" w:type="pct"/>
            <w:tcBorders>
              <w:top w:val="nil"/>
              <w:left w:val="nil"/>
              <w:bottom w:val="single" w:sz="4" w:space="0" w:color="auto"/>
              <w:right w:val="single" w:sz="4" w:space="0" w:color="auto"/>
            </w:tcBorders>
            <w:shd w:val="clear" w:color="auto" w:fill="auto"/>
            <w:noWrap/>
            <w:vAlign w:val="bottom"/>
            <w:hideMark/>
          </w:tcPr>
          <w:p w14:paraId="4D32F081"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23</w:t>
            </w:r>
          </w:p>
        </w:tc>
        <w:tc>
          <w:tcPr>
            <w:tcW w:w="616" w:type="pct"/>
            <w:tcBorders>
              <w:top w:val="nil"/>
              <w:left w:val="nil"/>
              <w:bottom w:val="single" w:sz="4" w:space="0" w:color="auto"/>
              <w:right w:val="single" w:sz="4" w:space="0" w:color="auto"/>
            </w:tcBorders>
            <w:shd w:val="clear" w:color="auto" w:fill="auto"/>
            <w:noWrap/>
            <w:vAlign w:val="bottom"/>
            <w:hideMark/>
          </w:tcPr>
          <w:p w14:paraId="36415902"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10%</w:t>
            </w:r>
          </w:p>
        </w:tc>
        <w:tc>
          <w:tcPr>
            <w:tcW w:w="429" w:type="pct"/>
            <w:tcBorders>
              <w:top w:val="nil"/>
              <w:left w:val="nil"/>
              <w:bottom w:val="single" w:sz="4" w:space="0" w:color="auto"/>
              <w:right w:val="single" w:sz="4" w:space="0" w:color="auto"/>
            </w:tcBorders>
            <w:shd w:val="clear" w:color="auto" w:fill="auto"/>
            <w:noWrap/>
            <w:vAlign w:val="bottom"/>
            <w:hideMark/>
          </w:tcPr>
          <w:p w14:paraId="04007AE5"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60</w:t>
            </w:r>
          </w:p>
        </w:tc>
        <w:tc>
          <w:tcPr>
            <w:tcW w:w="616" w:type="pct"/>
            <w:tcBorders>
              <w:top w:val="nil"/>
              <w:left w:val="nil"/>
              <w:bottom w:val="single" w:sz="4" w:space="0" w:color="auto"/>
              <w:right w:val="single" w:sz="4" w:space="0" w:color="auto"/>
            </w:tcBorders>
            <w:shd w:val="clear" w:color="auto" w:fill="auto"/>
            <w:noWrap/>
            <w:vAlign w:val="bottom"/>
            <w:hideMark/>
          </w:tcPr>
          <w:p w14:paraId="21775C84"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79%</w:t>
            </w:r>
          </w:p>
        </w:tc>
        <w:tc>
          <w:tcPr>
            <w:tcW w:w="399" w:type="pct"/>
            <w:tcBorders>
              <w:top w:val="nil"/>
              <w:left w:val="nil"/>
              <w:bottom w:val="single" w:sz="4" w:space="0" w:color="auto"/>
              <w:right w:val="single" w:sz="4" w:space="0" w:color="auto"/>
            </w:tcBorders>
            <w:shd w:val="clear" w:color="000000" w:fill="FFFFFF"/>
            <w:noWrap/>
            <w:vAlign w:val="bottom"/>
            <w:hideMark/>
          </w:tcPr>
          <w:p w14:paraId="7B24E5B4"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37</w:t>
            </w:r>
          </w:p>
        </w:tc>
        <w:tc>
          <w:tcPr>
            <w:tcW w:w="646" w:type="pct"/>
            <w:tcBorders>
              <w:top w:val="nil"/>
              <w:left w:val="nil"/>
              <w:bottom w:val="single" w:sz="4" w:space="0" w:color="auto"/>
              <w:right w:val="single" w:sz="8" w:space="0" w:color="auto"/>
            </w:tcBorders>
            <w:shd w:val="clear" w:color="auto" w:fill="auto"/>
            <w:noWrap/>
            <w:vAlign w:val="bottom"/>
            <w:hideMark/>
          </w:tcPr>
          <w:p w14:paraId="518D1B9B"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161%</w:t>
            </w:r>
          </w:p>
        </w:tc>
      </w:tr>
      <w:tr w:rsidR="0097499D" w:rsidRPr="0097499D" w14:paraId="0483879D"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2E855BF5"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Trasllat DAJ, sancionador</w:t>
            </w:r>
          </w:p>
        </w:tc>
        <w:tc>
          <w:tcPr>
            <w:tcW w:w="429" w:type="pct"/>
            <w:tcBorders>
              <w:top w:val="nil"/>
              <w:left w:val="nil"/>
              <w:bottom w:val="single" w:sz="4" w:space="0" w:color="auto"/>
              <w:right w:val="single" w:sz="4" w:space="0" w:color="auto"/>
            </w:tcBorders>
            <w:shd w:val="clear" w:color="auto" w:fill="auto"/>
            <w:noWrap/>
            <w:vAlign w:val="bottom"/>
            <w:hideMark/>
          </w:tcPr>
          <w:p w14:paraId="4D2591E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355B4B32"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429" w:type="pct"/>
            <w:tcBorders>
              <w:top w:val="nil"/>
              <w:left w:val="nil"/>
              <w:bottom w:val="single" w:sz="4" w:space="0" w:color="auto"/>
              <w:right w:val="single" w:sz="4" w:space="0" w:color="auto"/>
            </w:tcBorders>
            <w:shd w:val="clear" w:color="auto" w:fill="auto"/>
            <w:noWrap/>
            <w:vAlign w:val="bottom"/>
            <w:hideMark/>
          </w:tcPr>
          <w:p w14:paraId="0A6095CF"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365FD51B"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399" w:type="pct"/>
            <w:tcBorders>
              <w:top w:val="nil"/>
              <w:left w:val="nil"/>
              <w:bottom w:val="single" w:sz="4" w:space="0" w:color="auto"/>
              <w:right w:val="single" w:sz="4" w:space="0" w:color="auto"/>
            </w:tcBorders>
            <w:shd w:val="clear" w:color="000000" w:fill="FFFFFF"/>
            <w:noWrap/>
            <w:vAlign w:val="bottom"/>
            <w:hideMark/>
          </w:tcPr>
          <w:p w14:paraId="157F3B69"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46" w:type="pct"/>
            <w:tcBorders>
              <w:top w:val="nil"/>
              <w:left w:val="nil"/>
              <w:bottom w:val="single" w:sz="4" w:space="0" w:color="auto"/>
              <w:right w:val="single" w:sz="8" w:space="0" w:color="auto"/>
            </w:tcBorders>
            <w:shd w:val="clear" w:color="auto" w:fill="auto"/>
            <w:noWrap/>
            <w:vAlign w:val="bottom"/>
            <w:hideMark/>
          </w:tcPr>
          <w:p w14:paraId="4D16F360"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r>
      <w:tr w:rsidR="0097499D" w:rsidRPr="0097499D" w14:paraId="25AD0035"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44F64E6D"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Trasllat òrgan administratiu</w:t>
            </w:r>
          </w:p>
        </w:tc>
        <w:tc>
          <w:tcPr>
            <w:tcW w:w="429" w:type="pct"/>
            <w:tcBorders>
              <w:top w:val="nil"/>
              <w:left w:val="nil"/>
              <w:bottom w:val="single" w:sz="4" w:space="0" w:color="auto"/>
              <w:right w:val="single" w:sz="4" w:space="0" w:color="auto"/>
            </w:tcBorders>
            <w:shd w:val="clear" w:color="auto" w:fill="auto"/>
            <w:noWrap/>
            <w:vAlign w:val="bottom"/>
            <w:hideMark/>
          </w:tcPr>
          <w:p w14:paraId="382B94DF"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7AFB10B7"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429" w:type="pct"/>
            <w:tcBorders>
              <w:top w:val="nil"/>
              <w:left w:val="nil"/>
              <w:bottom w:val="single" w:sz="4" w:space="0" w:color="auto"/>
              <w:right w:val="single" w:sz="4" w:space="0" w:color="auto"/>
            </w:tcBorders>
            <w:shd w:val="clear" w:color="auto" w:fill="auto"/>
            <w:noWrap/>
            <w:vAlign w:val="bottom"/>
            <w:hideMark/>
          </w:tcPr>
          <w:p w14:paraId="0CBD374B"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51FEE0A2"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399" w:type="pct"/>
            <w:tcBorders>
              <w:top w:val="nil"/>
              <w:left w:val="nil"/>
              <w:bottom w:val="single" w:sz="4" w:space="0" w:color="auto"/>
              <w:right w:val="single" w:sz="4" w:space="0" w:color="auto"/>
            </w:tcBorders>
            <w:shd w:val="clear" w:color="000000" w:fill="FFFFFF"/>
            <w:noWrap/>
            <w:vAlign w:val="bottom"/>
            <w:hideMark/>
          </w:tcPr>
          <w:p w14:paraId="39FC7D05"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46" w:type="pct"/>
            <w:tcBorders>
              <w:top w:val="nil"/>
              <w:left w:val="nil"/>
              <w:bottom w:val="single" w:sz="4" w:space="0" w:color="auto"/>
              <w:right w:val="single" w:sz="8" w:space="0" w:color="auto"/>
            </w:tcBorders>
            <w:shd w:val="clear" w:color="auto" w:fill="auto"/>
            <w:noWrap/>
            <w:vAlign w:val="bottom"/>
            <w:hideMark/>
          </w:tcPr>
          <w:p w14:paraId="2654FE50"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r>
      <w:tr w:rsidR="0097499D" w:rsidRPr="0097499D" w14:paraId="536C9305"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78EDAD1E"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Trasllat òrgan judicial</w:t>
            </w:r>
          </w:p>
        </w:tc>
        <w:tc>
          <w:tcPr>
            <w:tcW w:w="429" w:type="pct"/>
            <w:tcBorders>
              <w:top w:val="nil"/>
              <w:left w:val="nil"/>
              <w:bottom w:val="single" w:sz="4" w:space="0" w:color="auto"/>
              <w:right w:val="single" w:sz="4" w:space="0" w:color="auto"/>
            </w:tcBorders>
            <w:shd w:val="clear" w:color="auto" w:fill="auto"/>
            <w:noWrap/>
            <w:vAlign w:val="bottom"/>
            <w:hideMark/>
          </w:tcPr>
          <w:p w14:paraId="51175D1F"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w:t>
            </w:r>
          </w:p>
        </w:tc>
        <w:tc>
          <w:tcPr>
            <w:tcW w:w="616" w:type="pct"/>
            <w:tcBorders>
              <w:top w:val="nil"/>
              <w:left w:val="nil"/>
              <w:bottom w:val="single" w:sz="4" w:space="0" w:color="auto"/>
              <w:right w:val="single" w:sz="4" w:space="0" w:color="auto"/>
            </w:tcBorders>
            <w:shd w:val="clear" w:color="auto" w:fill="auto"/>
            <w:noWrap/>
            <w:vAlign w:val="bottom"/>
            <w:hideMark/>
          </w:tcPr>
          <w:p w14:paraId="085C469B"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w:t>
            </w:r>
          </w:p>
        </w:tc>
        <w:tc>
          <w:tcPr>
            <w:tcW w:w="429" w:type="pct"/>
            <w:tcBorders>
              <w:top w:val="nil"/>
              <w:left w:val="nil"/>
              <w:bottom w:val="single" w:sz="4" w:space="0" w:color="auto"/>
              <w:right w:val="single" w:sz="4" w:space="0" w:color="auto"/>
            </w:tcBorders>
            <w:shd w:val="clear" w:color="auto" w:fill="auto"/>
            <w:noWrap/>
            <w:vAlign w:val="bottom"/>
            <w:hideMark/>
          </w:tcPr>
          <w:p w14:paraId="570D61B4"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3</w:t>
            </w:r>
          </w:p>
        </w:tc>
        <w:tc>
          <w:tcPr>
            <w:tcW w:w="616" w:type="pct"/>
            <w:tcBorders>
              <w:top w:val="nil"/>
              <w:left w:val="nil"/>
              <w:bottom w:val="single" w:sz="4" w:space="0" w:color="auto"/>
              <w:right w:val="single" w:sz="4" w:space="0" w:color="auto"/>
            </w:tcBorders>
            <w:shd w:val="clear" w:color="auto" w:fill="auto"/>
            <w:noWrap/>
            <w:vAlign w:val="bottom"/>
            <w:hideMark/>
          </w:tcPr>
          <w:p w14:paraId="376A157A"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4%</w:t>
            </w:r>
          </w:p>
        </w:tc>
        <w:tc>
          <w:tcPr>
            <w:tcW w:w="399" w:type="pct"/>
            <w:tcBorders>
              <w:top w:val="nil"/>
              <w:left w:val="nil"/>
              <w:bottom w:val="single" w:sz="4" w:space="0" w:color="auto"/>
              <w:right w:val="single" w:sz="4" w:space="0" w:color="auto"/>
            </w:tcBorders>
            <w:shd w:val="clear" w:color="000000" w:fill="FFFFFF"/>
            <w:noWrap/>
            <w:vAlign w:val="bottom"/>
            <w:hideMark/>
          </w:tcPr>
          <w:p w14:paraId="7BC6B00D"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w:t>
            </w:r>
          </w:p>
        </w:tc>
        <w:tc>
          <w:tcPr>
            <w:tcW w:w="646" w:type="pct"/>
            <w:tcBorders>
              <w:top w:val="nil"/>
              <w:left w:val="nil"/>
              <w:bottom w:val="single" w:sz="4" w:space="0" w:color="auto"/>
              <w:right w:val="single" w:sz="8" w:space="0" w:color="auto"/>
            </w:tcBorders>
            <w:shd w:val="clear" w:color="auto" w:fill="auto"/>
            <w:noWrap/>
            <w:vAlign w:val="bottom"/>
            <w:hideMark/>
          </w:tcPr>
          <w:p w14:paraId="105CCE8C"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50%</w:t>
            </w:r>
          </w:p>
        </w:tc>
      </w:tr>
      <w:tr w:rsidR="0097499D" w:rsidRPr="0097499D" w14:paraId="07F88A63" w14:textId="77777777" w:rsidTr="00443473">
        <w:trPr>
          <w:trHeight w:val="227"/>
        </w:trPr>
        <w:tc>
          <w:tcPr>
            <w:tcW w:w="1865" w:type="pct"/>
            <w:tcBorders>
              <w:top w:val="nil"/>
              <w:left w:val="single" w:sz="8" w:space="0" w:color="auto"/>
              <w:bottom w:val="single" w:sz="4" w:space="0" w:color="auto"/>
              <w:right w:val="single" w:sz="4" w:space="0" w:color="auto"/>
            </w:tcBorders>
            <w:shd w:val="clear" w:color="auto" w:fill="auto"/>
            <w:noWrap/>
            <w:vAlign w:val="bottom"/>
            <w:hideMark/>
          </w:tcPr>
          <w:p w14:paraId="07510F92" w14:textId="77777777" w:rsidR="0097499D" w:rsidRPr="0097499D" w:rsidRDefault="0097499D" w:rsidP="0097499D">
            <w:pPr>
              <w:spacing w:after="0" w:line="240" w:lineRule="auto"/>
              <w:ind w:firstLineChars="100" w:firstLine="160"/>
              <w:rPr>
                <w:rFonts w:ascii="Arial" w:eastAsia="Times New Roman" w:hAnsi="Arial" w:cs="Arial"/>
                <w:color w:val="000000"/>
                <w:sz w:val="16"/>
                <w:szCs w:val="16"/>
                <w:lang w:val="ca-ES" w:eastAsia="es-ES"/>
              </w:rPr>
            </w:pPr>
            <w:r w:rsidRPr="0097499D">
              <w:rPr>
                <w:rFonts w:ascii="Arial" w:hAnsi="Arial" w:cs="Arial"/>
                <w:color w:val="000000"/>
                <w:sz w:val="16"/>
                <w:szCs w:val="16"/>
                <w:lang w:val="ca-ES"/>
              </w:rPr>
              <w:t>Trasllat Tribunal de Comptes</w:t>
            </w:r>
          </w:p>
        </w:tc>
        <w:tc>
          <w:tcPr>
            <w:tcW w:w="429" w:type="pct"/>
            <w:tcBorders>
              <w:top w:val="nil"/>
              <w:left w:val="nil"/>
              <w:bottom w:val="single" w:sz="4" w:space="0" w:color="auto"/>
              <w:right w:val="single" w:sz="4" w:space="0" w:color="auto"/>
            </w:tcBorders>
            <w:shd w:val="clear" w:color="auto" w:fill="auto"/>
            <w:noWrap/>
            <w:vAlign w:val="bottom"/>
            <w:hideMark/>
          </w:tcPr>
          <w:p w14:paraId="4BCF04F8"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4</w:t>
            </w:r>
          </w:p>
        </w:tc>
        <w:tc>
          <w:tcPr>
            <w:tcW w:w="616" w:type="pct"/>
            <w:tcBorders>
              <w:top w:val="nil"/>
              <w:left w:val="nil"/>
              <w:bottom w:val="single" w:sz="4" w:space="0" w:color="auto"/>
              <w:right w:val="single" w:sz="4" w:space="0" w:color="auto"/>
            </w:tcBorders>
            <w:shd w:val="clear" w:color="auto" w:fill="auto"/>
            <w:noWrap/>
            <w:vAlign w:val="bottom"/>
            <w:hideMark/>
          </w:tcPr>
          <w:p w14:paraId="5FFE6905"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2%</w:t>
            </w:r>
          </w:p>
        </w:tc>
        <w:tc>
          <w:tcPr>
            <w:tcW w:w="429" w:type="pct"/>
            <w:tcBorders>
              <w:top w:val="nil"/>
              <w:left w:val="nil"/>
              <w:bottom w:val="single" w:sz="4" w:space="0" w:color="auto"/>
              <w:right w:val="single" w:sz="4" w:space="0" w:color="auto"/>
            </w:tcBorders>
            <w:shd w:val="clear" w:color="auto" w:fill="auto"/>
            <w:noWrap/>
            <w:vAlign w:val="bottom"/>
            <w:hideMark/>
          </w:tcPr>
          <w:p w14:paraId="3E0FD73B"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00C0DA4A"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0%</w:t>
            </w:r>
          </w:p>
        </w:tc>
        <w:tc>
          <w:tcPr>
            <w:tcW w:w="399" w:type="pct"/>
            <w:tcBorders>
              <w:top w:val="nil"/>
              <w:left w:val="nil"/>
              <w:bottom w:val="single" w:sz="4" w:space="0" w:color="auto"/>
              <w:right w:val="single" w:sz="4" w:space="0" w:color="auto"/>
            </w:tcBorders>
            <w:shd w:val="clear" w:color="000000" w:fill="FFFFFF"/>
            <w:noWrap/>
            <w:vAlign w:val="bottom"/>
            <w:hideMark/>
          </w:tcPr>
          <w:p w14:paraId="0182F2EC"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-4</w:t>
            </w:r>
          </w:p>
        </w:tc>
        <w:tc>
          <w:tcPr>
            <w:tcW w:w="646" w:type="pct"/>
            <w:tcBorders>
              <w:top w:val="nil"/>
              <w:left w:val="nil"/>
              <w:bottom w:val="single" w:sz="4" w:space="0" w:color="auto"/>
              <w:right w:val="single" w:sz="8" w:space="0" w:color="auto"/>
            </w:tcBorders>
            <w:shd w:val="clear" w:color="auto" w:fill="auto"/>
            <w:noWrap/>
            <w:vAlign w:val="bottom"/>
            <w:hideMark/>
          </w:tcPr>
          <w:p w14:paraId="17ADF765" w14:textId="77777777" w:rsidR="0097499D" w:rsidRPr="0097499D" w:rsidRDefault="0097499D" w:rsidP="0097499D">
            <w:pPr>
              <w:spacing w:after="0" w:line="240" w:lineRule="auto"/>
              <w:jc w:val="center"/>
              <w:rPr>
                <w:rFonts w:ascii="Arial" w:eastAsia="Times New Roman" w:hAnsi="Arial" w:cs="Arial"/>
                <w:color w:val="000000"/>
                <w:sz w:val="16"/>
                <w:szCs w:val="16"/>
                <w:lang w:val="ca-ES" w:eastAsia="es-ES"/>
              </w:rPr>
            </w:pPr>
            <w:r w:rsidRPr="0097499D">
              <w:rPr>
                <w:rFonts w:ascii="Arial" w:eastAsia="Times New Roman" w:hAnsi="Arial" w:cs="Arial"/>
                <w:color w:val="000000"/>
                <w:sz w:val="16"/>
                <w:szCs w:val="16"/>
                <w:lang w:val="ca-ES" w:eastAsia="es-ES"/>
              </w:rPr>
              <w:t>-100%</w:t>
            </w:r>
          </w:p>
        </w:tc>
      </w:tr>
      <w:tr w:rsidR="0097499D" w:rsidRPr="0097499D" w14:paraId="13F69AEC" w14:textId="77777777" w:rsidTr="00443473">
        <w:trPr>
          <w:trHeight w:val="227"/>
        </w:trPr>
        <w:tc>
          <w:tcPr>
            <w:tcW w:w="1865" w:type="pct"/>
            <w:tcBorders>
              <w:top w:val="nil"/>
              <w:left w:val="single" w:sz="8" w:space="0" w:color="auto"/>
              <w:bottom w:val="single" w:sz="4" w:space="0" w:color="auto"/>
              <w:right w:val="single" w:sz="4" w:space="0" w:color="auto"/>
            </w:tcBorders>
            <w:shd w:val="clear" w:color="000000" w:fill="DDE0E3"/>
            <w:noWrap/>
            <w:vAlign w:val="bottom"/>
            <w:hideMark/>
          </w:tcPr>
          <w:p w14:paraId="64E1B4FE" w14:textId="77777777" w:rsidR="0097499D" w:rsidRPr="0097499D" w:rsidRDefault="0097499D" w:rsidP="0097499D">
            <w:pPr>
              <w:spacing w:after="0" w:line="240" w:lineRule="auto"/>
              <w:jc w:val="right"/>
              <w:rPr>
                <w:rFonts w:ascii="Arial" w:eastAsia="Times New Roman" w:hAnsi="Arial" w:cs="Arial"/>
                <w:b/>
                <w:bCs/>
                <w:color w:val="000000"/>
                <w:sz w:val="16"/>
                <w:szCs w:val="16"/>
                <w:lang w:val="ca-ES" w:eastAsia="es-ES"/>
              </w:rPr>
            </w:pPr>
            <w:r w:rsidRPr="0097499D">
              <w:rPr>
                <w:rFonts w:ascii="Arial" w:hAnsi="Arial" w:cs="Arial"/>
                <w:b/>
                <w:bCs/>
                <w:color w:val="000000"/>
                <w:sz w:val="16"/>
                <w:szCs w:val="16"/>
                <w:lang w:val="ca-ES"/>
              </w:rPr>
              <w:t>Subtotal</w:t>
            </w:r>
          </w:p>
        </w:tc>
        <w:tc>
          <w:tcPr>
            <w:tcW w:w="429" w:type="pct"/>
            <w:tcBorders>
              <w:top w:val="nil"/>
              <w:left w:val="nil"/>
              <w:bottom w:val="single" w:sz="4" w:space="0" w:color="auto"/>
              <w:right w:val="single" w:sz="4" w:space="0" w:color="auto"/>
            </w:tcBorders>
            <w:shd w:val="clear" w:color="000000" w:fill="DDE0E3"/>
            <w:noWrap/>
            <w:vAlign w:val="bottom"/>
            <w:hideMark/>
          </w:tcPr>
          <w:p w14:paraId="41E95F3C"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45</w:t>
            </w:r>
          </w:p>
        </w:tc>
        <w:tc>
          <w:tcPr>
            <w:tcW w:w="616" w:type="pct"/>
            <w:tcBorders>
              <w:top w:val="nil"/>
              <w:left w:val="nil"/>
              <w:bottom w:val="single" w:sz="4" w:space="0" w:color="auto"/>
              <w:right w:val="single" w:sz="4" w:space="0" w:color="auto"/>
            </w:tcBorders>
            <w:shd w:val="clear" w:color="000000" w:fill="DDE0E3"/>
            <w:noWrap/>
            <w:vAlign w:val="bottom"/>
            <w:hideMark/>
          </w:tcPr>
          <w:p w14:paraId="30F7529F"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20%</w:t>
            </w:r>
          </w:p>
        </w:tc>
        <w:tc>
          <w:tcPr>
            <w:tcW w:w="429" w:type="pct"/>
            <w:tcBorders>
              <w:top w:val="nil"/>
              <w:left w:val="nil"/>
              <w:bottom w:val="single" w:sz="4" w:space="0" w:color="auto"/>
              <w:right w:val="single" w:sz="4" w:space="0" w:color="auto"/>
            </w:tcBorders>
            <w:shd w:val="clear" w:color="000000" w:fill="DDE0E3"/>
            <w:noWrap/>
            <w:vAlign w:val="bottom"/>
            <w:hideMark/>
          </w:tcPr>
          <w:p w14:paraId="1B295EBA"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76</w:t>
            </w:r>
          </w:p>
        </w:tc>
        <w:tc>
          <w:tcPr>
            <w:tcW w:w="616" w:type="pct"/>
            <w:tcBorders>
              <w:top w:val="nil"/>
              <w:left w:val="nil"/>
              <w:bottom w:val="single" w:sz="4" w:space="0" w:color="auto"/>
              <w:right w:val="single" w:sz="4" w:space="0" w:color="auto"/>
            </w:tcBorders>
            <w:shd w:val="clear" w:color="000000" w:fill="DDE0E3"/>
            <w:noWrap/>
            <w:vAlign w:val="bottom"/>
            <w:hideMark/>
          </w:tcPr>
          <w:p w14:paraId="1D23CB8E"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22%</w:t>
            </w:r>
          </w:p>
        </w:tc>
        <w:tc>
          <w:tcPr>
            <w:tcW w:w="399" w:type="pct"/>
            <w:tcBorders>
              <w:top w:val="nil"/>
              <w:left w:val="nil"/>
              <w:bottom w:val="single" w:sz="4" w:space="0" w:color="auto"/>
              <w:right w:val="single" w:sz="4" w:space="0" w:color="auto"/>
            </w:tcBorders>
            <w:shd w:val="clear" w:color="000000" w:fill="DDE0E3"/>
            <w:noWrap/>
            <w:vAlign w:val="bottom"/>
            <w:hideMark/>
          </w:tcPr>
          <w:p w14:paraId="0144D318"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31</w:t>
            </w:r>
          </w:p>
        </w:tc>
        <w:tc>
          <w:tcPr>
            <w:tcW w:w="646" w:type="pct"/>
            <w:tcBorders>
              <w:top w:val="nil"/>
              <w:left w:val="nil"/>
              <w:bottom w:val="single" w:sz="4" w:space="0" w:color="auto"/>
              <w:right w:val="single" w:sz="4" w:space="0" w:color="auto"/>
            </w:tcBorders>
            <w:shd w:val="clear" w:color="000000" w:fill="DDE0E3"/>
            <w:noWrap/>
            <w:vAlign w:val="bottom"/>
            <w:hideMark/>
          </w:tcPr>
          <w:p w14:paraId="4862DE4A"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69%</w:t>
            </w:r>
          </w:p>
        </w:tc>
      </w:tr>
      <w:tr w:rsidR="0097499D" w:rsidRPr="0097499D" w14:paraId="1A19E181" w14:textId="77777777" w:rsidTr="00443473">
        <w:trPr>
          <w:trHeight w:val="227"/>
        </w:trPr>
        <w:tc>
          <w:tcPr>
            <w:tcW w:w="1865" w:type="pct"/>
            <w:tcBorders>
              <w:top w:val="nil"/>
              <w:left w:val="single" w:sz="8" w:space="0" w:color="auto"/>
              <w:bottom w:val="single" w:sz="8" w:space="0" w:color="auto"/>
              <w:right w:val="single" w:sz="4" w:space="0" w:color="auto"/>
            </w:tcBorders>
            <w:shd w:val="clear" w:color="auto" w:fill="auto"/>
            <w:noWrap/>
            <w:vAlign w:val="bottom"/>
            <w:hideMark/>
          </w:tcPr>
          <w:p w14:paraId="76A20D19" w14:textId="77777777" w:rsidR="0097499D" w:rsidRPr="0097499D" w:rsidRDefault="0097499D" w:rsidP="0097499D">
            <w:pPr>
              <w:spacing w:after="0" w:line="240" w:lineRule="auto"/>
              <w:jc w:val="right"/>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TOTAL</w:t>
            </w:r>
          </w:p>
        </w:tc>
        <w:tc>
          <w:tcPr>
            <w:tcW w:w="429" w:type="pct"/>
            <w:tcBorders>
              <w:top w:val="nil"/>
              <w:left w:val="nil"/>
              <w:bottom w:val="single" w:sz="8" w:space="0" w:color="auto"/>
              <w:right w:val="single" w:sz="4" w:space="0" w:color="auto"/>
            </w:tcBorders>
            <w:shd w:val="clear" w:color="auto" w:fill="auto"/>
            <w:noWrap/>
            <w:vAlign w:val="bottom"/>
            <w:hideMark/>
          </w:tcPr>
          <w:p w14:paraId="41DD6F38"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228</w:t>
            </w:r>
          </w:p>
        </w:tc>
        <w:tc>
          <w:tcPr>
            <w:tcW w:w="616" w:type="pct"/>
            <w:tcBorders>
              <w:top w:val="nil"/>
              <w:left w:val="nil"/>
              <w:bottom w:val="single" w:sz="8" w:space="0" w:color="auto"/>
              <w:right w:val="single" w:sz="4" w:space="0" w:color="auto"/>
            </w:tcBorders>
            <w:shd w:val="clear" w:color="auto" w:fill="auto"/>
            <w:noWrap/>
            <w:vAlign w:val="bottom"/>
            <w:hideMark/>
          </w:tcPr>
          <w:p w14:paraId="670089FD"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100%</w:t>
            </w:r>
          </w:p>
        </w:tc>
        <w:tc>
          <w:tcPr>
            <w:tcW w:w="429" w:type="pct"/>
            <w:tcBorders>
              <w:top w:val="nil"/>
              <w:left w:val="nil"/>
              <w:bottom w:val="single" w:sz="8" w:space="0" w:color="auto"/>
              <w:right w:val="single" w:sz="4" w:space="0" w:color="auto"/>
            </w:tcBorders>
            <w:shd w:val="clear" w:color="auto" w:fill="auto"/>
            <w:noWrap/>
            <w:vAlign w:val="bottom"/>
            <w:hideMark/>
          </w:tcPr>
          <w:p w14:paraId="1ABA962A"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343</w:t>
            </w:r>
          </w:p>
        </w:tc>
        <w:tc>
          <w:tcPr>
            <w:tcW w:w="616" w:type="pct"/>
            <w:tcBorders>
              <w:top w:val="nil"/>
              <w:left w:val="nil"/>
              <w:bottom w:val="single" w:sz="8" w:space="0" w:color="auto"/>
              <w:right w:val="single" w:sz="4" w:space="0" w:color="auto"/>
            </w:tcBorders>
            <w:shd w:val="clear" w:color="auto" w:fill="auto"/>
            <w:noWrap/>
            <w:vAlign w:val="bottom"/>
            <w:hideMark/>
          </w:tcPr>
          <w:p w14:paraId="031F8847"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100%</w:t>
            </w:r>
          </w:p>
        </w:tc>
        <w:tc>
          <w:tcPr>
            <w:tcW w:w="399" w:type="pct"/>
            <w:tcBorders>
              <w:top w:val="nil"/>
              <w:left w:val="nil"/>
              <w:bottom w:val="single" w:sz="8" w:space="0" w:color="auto"/>
              <w:right w:val="single" w:sz="4" w:space="0" w:color="auto"/>
            </w:tcBorders>
            <w:shd w:val="clear" w:color="000000" w:fill="FFFFFF"/>
            <w:noWrap/>
            <w:vAlign w:val="bottom"/>
            <w:hideMark/>
          </w:tcPr>
          <w:p w14:paraId="6BBBB60D"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115</w:t>
            </w:r>
          </w:p>
        </w:tc>
        <w:tc>
          <w:tcPr>
            <w:tcW w:w="646" w:type="pct"/>
            <w:tcBorders>
              <w:top w:val="nil"/>
              <w:left w:val="nil"/>
              <w:bottom w:val="single" w:sz="8" w:space="0" w:color="auto"/>
              <w:right w:val="single" w:sz="8" w:space="0" w:color="auto"/>
            </w:tcBorders>
            <w:shd w:val="clear" w:color="auto" w:fill="auto"/>
            <w:noWrap/>
            <w:vAlign w:val="bottom"/>
            <w:hideMark/>
          </w:tcPr>
          <w:p w14:paraId="1B43FBA6" w14:textId="77777777" w:rsidR="0097499D" w:rsidRPr="0097499D" w:rsidRDefault="0097499D" w:rsidP="0097499D">
            <w:pPr>
              <w:spacing w:after="0" w:line="240" w:lineRule="auto"/>
              <w:jc w:val="center"/>
              <w:rPr>
                <w:rFonts w:ascii="Arial" w:eastAsia="Times New Roman" w:hAnsi="Arial" w:cs="Arial"/>
                <w:b/>
                <w:bCs/>
                <w:color w:val="000000"/>
                <w:sz w:val="16"/>
                <w:szCs w:val="16"/>
                <w:lang w:val="ca-ES" w:eastAsia="es-ES"/>
              </w:rPr>
            </w:pPr>
            <w:r w:rsidRPr="0097499D">
              <w:rPr>
                <w:rFonts w:ascii="Arial" w:eastAsia="Times New Roman" w:hAnsi="Arial" w:cs="Arial"/>
                <w:b/>
                <w:bCs/>
                <w:color w:val="000000"/>
                <w:sz w:val="16"/>
                <w:szCs w:val="16"/>
                <w:lang w:val="ca-ES" w:eastAsia="es-ES"/>
              </w:rPr>
              <w:t>50%</w:t>
            </w:r>
          </w:p>
        </w:tc>
      </w:tr>
    </w:tbl>
    <w:p w14:paraId="4752598E" w14:textId="3D427A19" w:rsidR="00E83731" w:rsidRPr="0097499D" w:rsidRDefault="00E83731" w:rsidP="00800B7A">
      <w:pPr>
        <w:spacing w:after="240" w:line="276" w:lineRule="auto"/>
        <w:jc w:val="both"/>
        <w:rPr>
          <w:rFonts w:ascii="Arial" w:eastAsia="Times New Roman" w:hAnsi="Arial" w:cs="Arial"/>
          <w:color w:val="000000"/>
          <w:sz w:val="21"/>
          <w:szCs w:val="21"/>
          <w:lang w:val="ca-ES"/>
        </w:rPr>
      </w:pPr>
    </w:p>
    <w:p w14:paraId="170CD810" w14:textId="77777777" w:rsidR="0097499D" w:rsidRPr="0097499D" w:rsidRDefault="0097499D" w:rsidP="0097499D">
      <w:pPr>
        <w:spacing w:after="240" w:line="276" w:lineRule="auto"/>
        <w:jc w:val="both"/>
        <w:rPr>
          <w:rFonts w:ascii="Arial" w:eastAsia="Times New Roman" w:hAnsi="Arial" w:cs="Arial"/>
          <w:bCs/>
          <w:color w:val="000000"/>
          <w:sz w:val="21"/>
          <w:szCs w:val="21"/>
        </w:rPr>
      </w:pPr>
      <w:r w:rsidRPr="0097499D">
        <w:rPr>
          <w:rFonts w:ascii="Arial" w:eastAsia="Times New Roman" w:hAnsi="Arial" w:cs="Arial"/>
          <w:bCs/>
          <w:color w:val="000000"/>
          <w:sz w:val="21"/>
          <w:szCs w:val="21"/>
        </w:rPr>
        <w:t>De la taula prèvia, es pot observar que la fase d'anàlisi s'ha finalitzat per a 267 expedients, enfront dels 183 de l'any 2020, la qual cosa suposa un increment quantitatiu de 84 expedients més, que representa un 46% de millora. Especialment destacable, són els expedients que finalitzat la fase d'anàlisi han iniciat la fase d'investigació, 73 expedients, enfront dels 60 de l'any 2020 o els 21 de l'any 2019, la qual cosa implica un increment quantitatiu de 13 expedients, que representa el 22% més d'investigacions iniciades.</w:t>
      </w:r>
    </w:p>
    <w:p w14:paraId="62C992DC" w14:textId="77777777" w:rsidR="0097499D" w:rsidRPr="0097499D" w:rsidRDefault="0097499D" w:rsidP="0097499D">
      <w:pPr>
        <w:spacing w:after="240" w:line="276" w:lineRule="auto"/>
        <w:jc w:val="both"/>
        <w:rPr>
          <w:rFonts w:ascii="Arial" w:eastAsia="Times New Roman" w:hAnsi="Arial" w:cs="Arial"/>
          <w:bCs/>
          <w:color w:val="000000"/>
          <w:sz w:val="21"/>
          <w:szCs w:val="21"/>
        </w:rPr>
      </w:pPr>
      <w:r w:rsidRPr="0097499D">
        <w:rPr>
          <w:rFonts w:ascii="Arial" w:eastAsia="Times New Roman" w:hAnsi="Arial" w:cs="Arial"/>
          <w:bCs/>
          <w:color w:val="000000"/>
          <w:sz w:val="21"/>
          <w:szCs w:val="21"/>
        </w:rPr>
        <w:t xml:space="preserve">Pel que fa als expedients en fase d'investigació, s'han resolt 77 expedients en 2021, enfront dels 45 de l'any 2020 i els 14 del 2019, havent-se dictat 77 resolucions finals d'investigació (existien investigacions amb expedients acumulats), enfront de les 29 resolucions finals d'investigació que es van dictar en 2020, la qual cosa suposa un increment del 165,51%. </w:t>
      </w:r>
    </w:p>
    <w:p w14:paraId="3A52DEEF" w14:textId="6A13F2D6" w:rsidR="00E83731" w:rsidRPr="0097499D" w:rsidRDefault="0097499D" w:rsidP="0097499D">
      <w:pPr>
        <w:spacing w:after="240" w:line="276" w:lineRule="auto"/>
        <w:jc w:val="both"/>
        <w:rPr>
          <w:rFonts w:ascii="Arial" w:eastAsia="Times New Roman" w:hAnsi="Arial" w:cs="Arial"/>
          <w:color w:val="000000"/>
          <w:sz w:val="21"/>
          <w:szCs w:val="21"/>
        </w:rPr>
      </w:pPr>
      <w:r w:rsidRPr="0097499D">
        <w:rPr>
          <w:rFonts w:ascii="Arial" w:eastAsia="Times New Roman" w:hAnsi="Arial" w:cs="Arial"/>
          <w:bCs/>
          <w:color w:val="000000"/>
          <w:sz w:val="21"/>
          <w:szCs w:val="21"/>
        </w:rPr>
        <w:t>Finalment, durant 2021 s'ha donat trasllat de 3 expedients a òrgans judicials.</w:t>
      </w:r>
    </w:p>
    <w:p w14:paraId="4E710DAA" w14:textId="3DD74EDD" w:rsidR="00E83731" w:rsidRDefault="0097499D" w:rsidP="0097499D">
      <w:pPr>
        <w:spacing w:after="240" w:line="276" w:lineRule="auto"/>
        <w:jc w:val="center"/>
        <w:rPr>
          <w:rFonts w:ascii="Arial" w:eastAsia="Times New Roman" w:hAnsi="Arial" w:cs="Arial"/>
          <w:color w:val="000000"/>
          <w:sz w:val="21"/>
          <w:szCs w:val="21"/>
        </w:rPr>
      </w:pPr>
      <w:r w:rsidRPr="001E45F9">
        <w:rPr>
          <w:noProof/>
          <w:lang w:val="ca-ES"/>
        </w:rPr>
        <w:drawing>
          <wp:inline distT="0" distB="0" distL="0" distR="0" wp14:anchorId="07F93C5F" wp14:editId="7F8DB1F2">
            <wp:extent cx="3935307" cy="2535767"/>
            <wp:effectExtent l="0" t="0" r="8255" b="17145"/>
            <wp:docPr id="84" name="Gráfico 84">
              <a:extLst xmlns:a="http://schemas.openxmlformats.org/drawingml/2006/main">
                <a:ext uri="{FF2B5EF4-FFF2-40B4-BE49-F238E27FC236}">
                  <a16:creationId xmlns:a16="http://schemas.microsoft.com/office/drawing/2014/main" id="{C08DDD72-E7B3-438A-8BCD-ED42F32664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0"/>
              </a:graphicData>
            </a:graphic>
          </wp:inline>
        </w:drawing>
      </w:r>
    </w:p>
    <w:p w14:paraId="6EA138B2" w14:textId="77777777" w:rsidR="0097499D" w:rsidRDefault="0097499D" w:rsidP="0097499D">
      <w:pPr>
        <w:keepNext/>
        <w:spacing w:after="120" w:line="276" w:lineRule="auto"/>
        <w:jc w:val="center"/>
      </w:pPr>
      <w:r w:rsidRPr="001E45F9">
        <w:rPr>
          <w:noProof/>
          <w:lang w:val="ca-ES"/>
        </w:rPr>
        <w:drawing>
          <wp:inline distT="0" distB="0" distL="0" distR="0" wp14:anchorId="46BB4E73" wp14:editId="1ABD7356">
            <wp:extent cx="4013200" cy="2349500"/>
            <wp:effectExtent l="0" t="0" r="6350" b="12700"/>
            <wp:docPr id="85" name="Gráfico 85">
              <a:extLst xmlns:a="http://schemas.openxmlformats.org/drawingml/2006/main">
                <a:ext uri="{FF2B5EF4-FFF2-40B4-BE49-F238E27FC236}">
                  <a16:creationId xmlns:a16="http://schemas.microsoft.com/office/drawing/2014/main" id="{CD9D5BE0-2578-4F43-ACE4-97248CEDFA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1"/>
              </a:graphicData>
            </a:graphic>
          </wp:inline>
        </w:drawing>
      </w:r>
    </w:p>
    <w:p w14:paraId="69847254" w14:textId="72769961" w:rsidR="00E83731" w:rsidRPr="0097499D" w:rsidRDefault="0097499D" w:rsidP="0097499D">
      <w:pPr>
        <w:pStyle w:val="Descripcin"/>
        <w:jc w:val="center"/>
        <w:rPr>
          <w:rFonts w:ascii="Arial" w:eastAsia="Times New Roman" w:hAnsi="Arial" w:cs="Arial"/>
          <w:smallCaps w:val="0"/>
          <w:color w:val="000000"/>
          <w:sz w:val="18"/>
          <w:szCs w:val="18"/>
        </w:rPr>
      </w:pPr>
      <w:bookmarkStart w:id="183" w:name="_Toc99110980"/>
      <w:r w:rsidRPr="0097499D">
        <w:rPr>
          <w:rFonts w:ascii="Arial" w:hAnsi="Arial" w:cs="Arial"/>
          <w:smallCaps w:val="0"/>
          <w:color w:val="9D2235" w:themeColor="accent1"/>
          <w:sz w:val="18"/>
          <w:szCs w:val="18"/>
        </w:rPr>
        <w:t xml:space="preserve">Gràfic </w:t>
      </w:r>
      <w:r w:rsidRPr="0097499D">
        <w:rPr>
          <w:rFonts w:ascii="Arial" w:hAnsi="Arial" w:cs="Arial"/>
          <w:smallCaps w:val="0"/>
          <w:color w:val="9D2235" w:themeColor="accent1"/>
          <w:sz w:val="18"/>
          <w:szCs w:val="18"/>
        </w:rPr>
        <w:fldChar w:fldCharType="begin" w:fldLock="1"/>
      </w:r>
      <w:r w:rsidRPr="0097499D">
        <w:rPr>
          <w:rFonts w:ascii="Arial" w:hAnsi="Arial" w:cs="Arial"/>
          <w:smallCaps w:val="0"/>
          <w:color w:val="9D2235" w:themeColor="accent1"/>
          <w:sz w:val="18"/>
          <w:szCs w:val="18"/>
        </w:rPr>
        <w:instrText xml:space="preserve"> SEQ Gràfic \* ARABIC </w:instrText>
      </w:r>
      <w:r w:rsidRPr="0097499D">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21</w:t>
      </w:r>
      <w:r w:rsidRPr="0097499D">
        <w:rPr>
          <w:rFonts w:ascii="Arial" w:hAnsi="Arial" w:cs="Arial"/>
          <w:smallCaps w:val="0"/>
          <w:color w:val="9D2235" w:themeColor="accent1"/>
          <w:sz w:val="18"/>
          <w:szCs w:val="18"/>
        </w:rPr>
        <w:fldChar w:fldCharType="end"/>
      </w:r>
      <w:r w:rsidRPr="0097499D">
        <w:rPr>
          <w:rFonts w:ascii="Arial" w:hAnsi="Arial" w:cs="Arial"/>
          <w:smallCaps w:val="0"/>
          <w:color w:val="9D2235" w:themeColor="accent1"/>
          <w:sz w:val="18"/>
          <w:szCs w:val="18"/>
        </w:rPr>
        <w:t xml:space="preserve">. </w:t>
      </w:r>
      <w:r w:rsidRPr="0097499D">
        <w:rPr>
          <w:rFonts w:ascii="Arial" w:hAnsi="Arial" w:cs="Arial"/>
          <w:smallCaps w:val="0"/>
          <w:sz w:val="18"/>
          <w:szCs w:val="18"/>
        </w:rPr>
        <w:t>Resum d'expedients tramitats en 2021 i 2020</w:t>
      </w:r>
      <w:bookmarkEnd w:id="183"/>
    </w:p>
    <w:p w14:paraId="07204059" w14:textId="77777777" w:rsidR="0061495F" w:rsidRPr="0061495F" w:rsidRDefault="0061495F" w:rsidP="0061495F">
      <w:pPr>
        <w:pStyle w:val="Prrafodelista"/>
        <w:keepNext/>
        <w:numPr>
          <w:ilvl w:val="1"/>
          <w:numId w:val="19"/>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184" w:name="_Toc95209049"/>
      <w:bookmarkStart w:id="185" w:name="_Toc95913841"/>
      <w:bookmarkStart w:id="186" w:name="_Toc99110724"/>
      <w:r w:rsidRPr="0061495F">
        <w:rPr>
          <w:rFonts w:ascii="Arial" w:eastAsia="Times New Roman" w:hAnsi="Arial" w:cs="Arial"/>
          <w:b/>
          <w:color w:val="9D2235"/>
          <w:sz w:val="32"/>
          <w:szCs w:val="32"/>
        </w:rPr>
        <w:t>Resum de les investigacions finalitzades en 2021</w:t>
      </w:r>
      <w:bookmarkEnd w:id="184"/>
      <w:bookmarkEnd w:id="185"/>
      <w:bookmarkEnd w:id="186"/>
    </w:p>
    <w:p w14:paraId="7B514FE9" w14:textId="77777777" w:rsidR="0061495F" w:rsidRPr="0061495F" w:rsidRDefault="0061495F" w:rsidP="0061495F">
      <w:pPr>
        <w:spacing w:after="240" w:line="276" w:lineRule="auto"/>
        <w:jc w:val="both"/>
        <w:rPr>
          <w:rFonts w:ascii="Arial" w:eastAsia="Times New Roman" w:hAnsi="Arial" w:cs="Arial"/>
          <w:color w:val="000000"/>
          <w:sz w:val="21"/>
          <w:szCs w:val="21"/>
        </w:rPr>
      </w:pPr>
      <w:r w:rsidRPr="0061495F">
        <w:rPr>
          <w:rFonts w:ascii="Arial" w:eastAsia="Times New Roman" w:hAnsi="Arial" w:cs="Arial"/>
          <w:color w:val="000000"/>
          <w:sz w:val="21"/>
          <w:szCs w:val="21"/>
        </w:rPr>
        <w:t>A continuació, es fa una breu ressenya de l'objecte i finalitat de les actuacions d'investigació realitzades durant l'anualitat 2021, en total s'han dictat 75 resolucions finals d'investigació, que han finalitzat un total de 85 expedients, al existir expedients acumulats en una mateixa investigació. Del total de les 75 investigacions finalitzades l'any 2021, es dona informació de 72, atès que 3 d'elles han sigut derivades al Ministeri Fiscal.</w:t>
      </w:r>
    </w:p>
    <w:p w14:paraId="7973A154" w14:textId="77777777" w:rsidR="0061495F" w:rsidRPr="0061495F" w:rsidRDefault="0061495F" w:rsidP="0061495F">
      <w:pPr>
        <w:spacing w:after="240" w:line="276" w:lineRule="auto"/>
        <w:jc w:val="both"/>
        <w:rPr>
          <w:rFonts w:ascii="Arial" w:eastAsia="Times New Roman" w:hAnsi="Arial" w:cs="Arial"/>
          <w:color w:val="000000"/>
          <w:sz w:val="21"/>
          <w:szCs w:val="21"/>
        </w:rPr>
      </w:pPr>
      <w:r w:rsidRPr="0061495F">
        <w:rPr>
          <w:rFonts w:ascii="Arial" w:eastAsia="Times New Roman" w:hAnsi="Arial" w:cs="Arial"/>
          <w:color w:val="000000"/>
          <w:sz w:val="21"/>
          <w:szCs w:val="21"/>
        </w:rPr>
        <w:t>No s'incorporen dades o informacions que faciliten la identificació de persones físiques concretes, ni tampoc s'indica de manera individualitzada el resultat de la investigació, que pogueren ocasionar possibles perjudicis a persones implicades, i per a salvaguardar els eventuals procediments administratius i judicials que es pogueren iniciar com a conseqüència d'estes actuacions.</w:t>
      </w:r>
    </w:p>
    <w:p w14:paraId="64010987" w14:textId="77777777" w:rsidR="0061495F" w:rsidRPr="0061495F" w:rsidRDefault="0061495F" w:rsidP="0061495F">
      <w:pPr>
        <w:spacing w:after="240" w:line="276" w:lineRule="auto"/>
        <w:jc w:val="both"/>
        <w:rPr>
          <w:rFonts w:ascii="Arial" w:eastAsia="Times New Roman" w:hAnsi="Arial" w:cs="Arial"/>
          <w:color w:val="000000"/>
          <w:sz w:val="21"/>
          <w:szCs w:val="21"/>
          <w:u w:val="single"/>
        </w:rPr>
      </w:pPr>
      <w:r w:rsidRPr="0061495F">
        <w:rPr>
          <w:rFonts w:ascii="Arial" w:eastAsia="Times New Roman" w:hAnsi="Arial" w:cs="Arial"/>
          <w:color w:val="000000"/>
          <w:sz w:val="21"/>
          <w:szCs w:val="21"/>
        </w:rPr>
        <w:t xml:space="preserve">Les actuacions que es relacionen, a continuació, han finalitzat per mitjà de l'emissió d'informe final d'investigació raonat i amb la seua corresponent resolució final. Com s'ha indicat en la presentació d'este apartat, des de l'any 2020 es publiquen en el portal de transparència de l'Agència totes les resolucions finals d'investigació dictades des de l'inici del funcionament, estant actualment publicades les corresponents als anys 2018, 2019, 2020 i 2021, </w:t>
      </w:r>
      <w:hyperlink r:id="rId422" w:anchor="resolucions-finals-dinvestigacio" w:history="1">
        <w:r w:rsidRPr="0061495F">
          <w:rPr>
            <w:rStyle w:val="Hipervnculo"/>
            <w:rFonts w:ascii="Arial" w:eastAsia="Times New Roman" w:hAnsi="Arial" w:cs="Arial"/>
            <w:sz w:val="21"/>
            <w:szCs w:val="21"/>
          </w:rPr>
          <w:t>https://www.antifraucv.es/portal-de-transparencia/informacio-de-rellevancia-juridica/#resolucions-finals-dinvestigacio</w:t>
        </w:r>
      </w:hyperlink>
    </w:p>
    <w:p w14:paraId="16D75D2F" w14:textId="77777777" w:rsidR="0061495F" w:rsidRPr="0061495F" w:rsidRDefault="0061495F" w:rsidP="0061495F">
      <w:pPr>
        <w:spacing w:after="240" w:line="276" w:lineRule="auto"/>
        <w:jc w:val="both"/>
        <w:rPr>
          <w:rFonts w:ascii="Arial" w:eastAsia="Times New Roman" w:hAnsi="Arial" w:cs="Arial"/>
          <w:color w:val="000000"/>
          <w:sz w:val="21"/>
          <w:szCs w:val="21"/>
        </w:rPr>
      </w:pPr>
      <w:r w:rsidRPr="0061495F">
        <w:rPr>
          <w:rFonts w:ascii="Arial" w:eastAsia="Times New Roman" w:hAnsi="Arial" w:cs="Arial"/>
          <w:color w:val="000000"/>
          <w:sz w:val="21"/>
          <w:szCs w:val="21"/>
        </w:rPr>
        <w:t>Com a novetat, al final del detall de les 72 investigacions, es presenta quadre-resum de les mateixes, amb l'import susceptible de recuperació quantificat per esta Agència en les investigacions que procedix, així com l'import que finalment ha sigut recuperat, si és el cas, per l'administració afectada; si bé, la quantificació dels imports recuperables estimats en les tres investigacions derivades al Ministeri Fiscal, s'inclouen en l'import total del quadre-resum d'investigacions finalitzades en 2021.</w:t>
      </w:r>
    </w:p>
    <w:p w14:paraId="4DBB7F75" w14:textId="77777777" w:rsidR="0061495F" w:rsidRPr="0061495F" w:rsidRDefault="0061495F" w:rsidP="0061495F">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87" w:name="_Toc95209050"/>
      <w:bookmarkStart w:id="188" w:name="_Toc95913842"/>
      <w:bookmarkStart w:id="189" w:name="_Toc99110725"/>
      <w:r w:rsidRPr="0061495F">
        <w:rPr>
          <w:rFonts w:ascii="Arial" w:eastAsia="Times New Roman" w:hAnsi="Arial" w:cs="Arial"/>
          <w:b/>
          <w:color w:val="9D2235"/>
          <w:sz w:val="28"/>
          <w:szCs w:val="28"/>
        </w:rPr>
        <w:t>Denominació: Ajuntament de València. Contractació d'obres de la coberta del teatre “El Musical”</w:t>
      </w:r>
      <w:bookmarkEnd w:id="187"/>
      <w:bookmarkEnd w:id="188"/>
      <w:bookmarkEnd w:id="189"/>
    </w:p>
    <w:p w14:paraId="2D15845F" w14:textId="77777777" w:rsidR="0061495F" w:rsidRPr="0061495F" w:rsidRDefault="0061495F" w:rsidP="005F040E">
      <w:pPr>
        <w:spacing w:after="240" w:line="276" w:lineRule="auto"/>
        <w:jc w:val="both"/>
        <w:rPr>
          <w:rFonts w:ascii="Arial" w:eastAsia="Times New Roman" w:hAnsi="Arial" w:cs="Arial"/>
          <w:bCs/>
          <w:color w:val="000000"/>
          <w:sz w:val="21"/>
          <w:szCs w:val="21"/>
        </w:rPr>
      </w:pPr>
      <w:r w:rsidRPr="0061495F">
        <w:rPr>
          <w:rFonts w:ascii="Arial" w:eastAsia="Times New Roman" w:hAnsi="Arial" w:cs="Arial"/>
          <w:b/>
          <w:bCs/>
          <w:color w:val="000000"/>
          <w:sz w:val="21"/>
          <w:szCs w:val="21"/>
        </w:rPr>
        <w:t>Expedient</w:t>
      </w:r>
      <w:r w:rsidRPr="0061495F">
        <w:rPr>
          <w:rFonts w:ascii="Arial" w:eastAsia="Times New Roman" w:hAnsi="Arial" w:cs="Arial"/>
          <w:bCs/>
          <w:color w:val="000000"/>
          <w:sz w:val="21"/>
          <w:szCs w:val="21"/>
        </w:rPr>
        <w:t>: 2020/G01_01/000276 [131/2018]</w:t>
      </w:r>
    </w:p>
    <w:p w14:paraId="2D3252E6" w14:textId="77777777" w:rsidR="0061495F" w:rsidRPr="0061495F" w:rsidRDefault="0061495F" w:rsidP="0061495F">
      <w:pPr>
        <w:spacing w:after="240" w:line="276" w:lineRule="auto"/>
        <w:rPr>
          <w:rFonts w:ascii="Arial" w:eastAsia="Times New Roman" w:hAnsi="Arial" w:cs="Arial"/>
          <w:bCs/>
          <w:sz w:val="18"/>
          <w:szCs w:val="18"/>
        </w:rPr>
      </w:pPr>
      <w:r w:rsidRPr="0061495F">
        <w:rPr>
          <w:rFonts w:ascii="Arial" w:eastAsia="Times New Roman" w:hAnsi="Arial" w:cs="Arial"/>
          <w:b/>
          <w:bCs/>
          <w:sz w:val="21"/>
          <w:szCs w:val="21"/>
        </w:rPr>
        <w:t>Enllaç a la publicació:</w:t>
      </w:r>
      <w:r w:rsidRPr="0061495F">
        <w:rPr>
          <w:rFonts w:ascii="Arial" w:eastAsia="Times New Roman" w:hAnsi="Arial" w:cs="Arial"/>
          <w:b/>
          <w:bCs/>
          <w:sz w:val="21"/>
          <w:szCs w:val="21"/>
        </w:rPr>
        <w:br/>
      </w:r>
      <w:hyperlink r:id="rId423" w:history="1">
        <w:r w:rsidRPr="0061495F">
          <w:rPr>
            <w:rFonts w:ascii="Arial" w:eastAsia="Times New Roman" w:hAnsi="Arial" w:cs="Arial"/>
            <w:bCs/>
            <w:color w:val="000080"/>
            <w:sz w:val="18"/>
            <w:szCs w:val="18"/>
            <w:u w:val="single"/>
          </w:rPr>
          <w:t>http://www.antifraucv.es/wp-content/uploads/2021/03/20210121_AJUNTAMENT_DE_VALENCIA.pdf</w:t>
        </w:r>
      </w:hyperlink>
    </w:p>
    <w:p w14:paraId="3A40D664" w14:textId="77777777" w:rsidR="0061495F" w:rsidRPr="0061495F" w:rsidRDefault="0061495F" w:rsidP="0061495F">
      <w:pPr>
        <w:spacing w:after="240" w:line="276" w:lineRule="auto"/>
        <w:jc w:val="both"/>
        <w:rPr>
          <w:rFonts w:ascii="Arial" w:eastAsia="Times New Roman" w:hAnsi="Arial" w:cs="Arial"/>
          <w:bCs/>
          <w:color w:val="000000"/>
          <w:sz w:val="21"/>
          <w:szCs w:val="21"/>
        </w:rPr>
      </w:pPr>
      <w:r w:rsidRPr="0061495F">
        <w:rPr>
          <w:rFonts w:ascii="Arial" w:eastAsia="Times New Roman" w:hAnsi="Arial" w:cs="Arial"/>
          <w:b/>
          <w:bCs/>
          <w:color w:val="000000"/>
          <w:sz w:val="21"/>
          <w:szCs w:val="21"/>
        </w:rPr>
        <w:t>Descripció</w:t>
      </w:r>
      <w:r w:rsidRPr="0061495F">
        <w:rPr>
          <w:rFonts w:ascii="Arial" w:eastAsia="Times New Roman" w:hAnsi="Arial" w:cs="Arial"/>
          <w:bCs/>
          <w:color w:val="000000"/>
          <w:sz w:val="21"/>
          <w:szCs w:val="21"/>
        </w:rPr>
        <w:t>: Es denuncia que l'Ajuntament de València, en concret el servici d'Acció Cultural, ha decidit paralitzar les obres de reparació de la coberta del Teatre El Musical (TEM) després del recurs de reposició presentat per un grup municipal, que ha denunciat l'adjudicació directa de dos contractes per a esta actuació a un mateix proveïdor i el possible fraccionament de l'objecte i import del contracte.</w:t>
      </w:r>
    </w:p>
    <w:p w14:paraId="646D83AE" w14:textId="77777777" w:rsidR="0061495F" w:rsidRPr="0061495F" w:rsidRDefault="0061495F" w:rsidP="0061495F">
      <w:pPr>
        <w:spacing w:after="240" w:line="276" w:lineRule="auto"/>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Després de l'estudi en detall de la totalitat de la documentació i, després de les al·legacions presentades, es conclou:</w:t>
      </w:r>
    </w:p>
    <w:p w14:paraId="5861A3BE" w14:textId="77777777" w:rsidR="0061495F" w:rsidRPr="0061495F" w:rsidRDefault="0061495F" w:rsidP="0061495F">
      <w:pPr>
        <w:numPr>
          <w:ilvl w:val="0"/>
          <w:numId w:val="81"/>
        </w:numPr>
        <w:spacing w:after="120" w:line="276" w:lineRule="auto"/>
        <w:ind w:left="714" w:hanging="357"/>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 xml:space="preserve">Existència de contactes previs a l'inici dels expedients de contractació amb les persones que resultarien posteriorment adjudicatàries dels contractes. </w:t>
      </w:r>
    </w:p>
    <w:p w14:paraId="34D3A1B1" w14:textId="77777777" w:rsidR="0061495F" w:rsidRPr="0061495F" w:rsidRDefault="0061495F" w:rsidP="0061495F">
      <w:pPr>
        <w:numPr>
          <w:ilvl w:val="0"/>
          <w:numId w:val="81"/>
        </w:numPr>
        <w:spacing w:after="120" w:line="276" w:lineRule="auto"/>
        <w:ind w:left="714" w:hanging="357"/>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 xml:space="preserve">Deficient elaboració i definició de la documentació preparatòria tècnica i jurídica dels contractes. </w:t>
      </w:r>
    </w:p>
    <w:p w14:paraId="35EECBD5" w14:textId="77777777" w:rsidR="0061495F" w:rsidRPr="0061495F" w:rsidRDefault="0061495F" w:rsidP="0061495F">
      <w:pPr>
        <w:numPr>
          <w:ilvl w:val="0"/>
          <w:numId w:val="81"/>
        </w:numPr>
        <w:spacing w:after="120" w:line="276" w:lineRule="auto"/>
        <w:ind w:left="714" w:hanging="357"/>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 xml:space="preserve">Insuficient acreditació del principi de concurrència dels procediments de licitació. </w:t>
      </w:r>
    </w:p>
    <w:p w14:paraId="250E7DA0" w14:textId="77777777" w:rsidR="0061495F" w:rsidRPr="0061495F" w:rsidRDefault="0061495F" w:rsidP="0061495F">
      <w:pPr>
        <w:numPr>
          <w:ilvl w:val="0"/>
          <w:numId w:val="81"/>
        </w:numPr>
        <w:spacing w:after="240" w:line="276" w:lineRule="auto"/>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Irregularitats en relació amb l'execució dels contractes.</w:t>
      </w:r>
    </w:p>
    <w:p w14:paraId="37F63566" w14:textId="77777777" w:rsidR="0061495F" w:rsidRPr="0061495F" w:rsidRDefault="0061495F" w:rsidP="0061495F">
      <w:pPr>
        <w:spacing w:after="240" w:line="276" w:lineRule="auto"/>
        <w:jc w:val="both"/>
        <w:rPr>
          <w:rFonts w:ascii="Arial" w:eastAsia="Times New Roman" w:hAnsi="Arial" w:cs="Arial"/>
          <w:bCs/>
          <w:color w:val="000000"/>
          <w:sz w:val="21"/>
          <w:szCs w:val="21"/>
        </w:rPr>
      </w:pPr>
      <w:r w:rsidRPr="0061495F">
        <w:rPr>
          <w:rFonts w:ascii="Arial" w:eastAsia="Times New Roman" w:hAnsi="Arial" w:cs="Arial"/>
          <w:b/>
          <w:bCs/>
          <w:color w:val="000000"/>
          <w:sz w:val="21"/>
          <w:szCs w:val="21"/>
        </w:rPr>
        <w:t>Resultat</w:t>
      </w:r>
      <w:r w:rsidRPr="0061495F">
        <w:rPr>
          <w:rFonts w:ascii="Arial" w:eastAsia="Times New Roman" w:hAnsi="Arial" w:cs="Arial"/>
          <w:bCs/>
          <w:color w:val="000000"/>
          <w:sz w:val="21"/>
          <w:szCs w:val="21"/>
        </w:rPr>
        <w:t>: Finalitza l'expedient, elevant la recomanació consistent a procedir a implementar les mesures que corresponguen, amb vista a assegurar el compliment del procediment administratiu en matèria de contractació pública en la seua integritat, per a la contractació menor i l'establiment de protocols o tràmits interns de gestió, que permeten aconseguir el compliment dels fins generals de la contractació pública; i en particular:</w:t>
      </w:r>
    </w:p>
    <w:p w14:paraId="7B6B4E76" w14:textId="77777777" w:rsidR="0061495F" w:rsidRPr="0061495F" w:rsidRDefault="0061495F" w:rsidP="0061495F">
      <w:pPr>
        <w:numPr>
          <w:ilvl w:val="0"/>
          <w:numId w:val="82"/>
        </w:numPr>
        <w:spacing w:after="120" w:line="276" w:lineRule="auto"/>
        <w:ind w:left="714" w:hanging="357"/>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 xml:space="preserve">Permeten la tramitació completa de l'expedient administratiu en format electrònic, per a assegurar la integritat dels documents electrònics que formen part del mateix i la seua inalterabilitat quant a la seua data de firma i la seua autoria. </w:t>
      </w:r>
    </w:p>
    <w:p w14:paraId="5EADFED9" w14:textId="77777777" w:rsidR="0061495F" w:rsidRPr="0061495F" w:rsidRDefault="0061495F" w:rsidP="0061495F">
      <w:pPr>
        <w:numPr>
          <w:ilvl w:val="0"/>
          <w:numId w:val="82"/>
        </w:numPr>
        <w:spacing w:after="120" w:line="276" w:lineRule="auto"/>
        <w:ind w:left="714" w:hanging="357"/>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 xml:space="preserve">Incorporen als expedients de contractació, inclòs en el contracte menor, documents justificatius de la capacitat i solvència dels adjudicataris finals. </w:t>
      </w:r>
    </w:p>
    <w:p w14:paraId="5416BFF2" w14:textId="77777777" w:rsidR="0061495F" w:rsidRPr="0061495F" w:rsidRDefault="0061495F" w:rsidP="0061495F">
      <w:pPr>
        <w:numPr>
          <w:ilvl w:val="0"/>
          <w:numId w:val="82"/>
        </w:numPr>
        <w:spacing w:after="120" w:line="276" w:lineRule="auto"/>
        <w:ind w:left="714" w:hanging="357"/>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 xml:space="preserve">Incorporen als expedients de contractació, inclòs en el contracte menor, documents que permeten verificar i fiscalitzar que els valors estimats dels contractes són ajustats a preus de mercat. </w:t>
      </w:r>
    </w:p>
    <w:p w14:paraId="07CE7D16" w14:textId="77777777" w:rsidR="0061495F" w:rsidRPr="0061495F" w:rsidRDefault="0061495F" w:rsidP="0061495F">
      <w:pPr>
        <w:numPr>
          <w:ilvl w:val="0"/>
          <w:numId w:val="82"/>
        </w:numPr>
        <w:spacing w:after="120" w:line="276" w:lineRule="auto"/>
        <w:ind w:left="714" w:hanging="357"/>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 xml:space="preserve">Incorporen als expedients de contractació, inclòs en el contracte menor, informes tècnics y/o jurídics que justifiquen, suficient i motivadament, que no s'incorre en un fraccionament de l'objecte del contracte. </w:t>
      </w:r>
    </w:p>
    <w:p w14:paraId="17A16420" w14:textId="77777777" w:rsidR="0061495F" w:rsidRPr="0061495F" w:rsidRDefault="0061495F" w:rsidP="0061495F">
      <w:pPr>
        <w:numPr>
          <w:ilvl w:val="0"/>
          <w:numId w:val="82"/>
        </w:numPr>
        <w:spacing w:after="240" w:line="276" w:lineRule="auto"/>
        <w:jc w:val="both"/>
        <w:rPr>
          <w:rFonts w:ascii="Arial" w:eastAsia="Times New Roman" w:hAnsi="Arial" w:cs="Arial"/>
          <w:bCs/>
          <w:color w:val="000000"/>
          <w:sz w:val="21"/>
          <w:szCs w:val="21"/>
        </w:rPr>
      </w:pPr>
      <w:r w:rsidRPr="0061495F">
        <w:rPr>
          <w:rFonts w:ascii="Arial" w:eastAsia="Times New Roman" w:hAnsi="Arial" w:cs="Arial"/>
          <w:bCs/>
          <w:color w:val="000000"/>
          <w:sz w:val="21"/>
          <w:szCs w:val="21"/>
        </w:rPr>
        <w:t>Acreditar la titularitat municipal dels projectes tècnics en general, i en particular dels projectes tècnics d'obres, inclosos els projectes simplificats d'acord amb la normativa, havent de constar l'elaboració, aprovació i supervisió dels mateixos, per a garantir el contingut dels projectes i responsabilitat derivada de la seua elaboració.</w:t>
      </w:r>
    </w:p>
    <w:p w14:paraId="5B442D6F" w14:textId="77777777" w:rsidR="0061495F" w:rsidRPr="0061495F" w:rsidRDefault="0061495F" w:rsidP="0061495F">
      <w:pPr>
        <w:spacing w:after="240" w:line="276" w:lineRule="auto"/>
        <w:jc w:val="both"/>
        <w:rPr>
          <w:rFonts w:ascii="Arial" w:eastAsia="Times New Roman" w:hAnsi="Arial" w:cs="Arial"/>
          <w:bCs/>
          <w:color w:val="000000"/>
          <w:sz w:val="21"/>
          <w:szCs w:val="21"/>
        </w:rPr>
      </w:pPr>
      <w:r w:rsidRPr="0061495F">
        <w:rPr>
          <w:rFonts w:ascii="Arial" w:eastAsia="Times New Roman" w:hAnsi="Arial" w:cs="Arial"/>
          <w:b/>
          <w:bCs/>
          <w:color w:val="000000"/>
          <w:sz w:val="21"/>
          <w:szCs w:val="21"/>
        </w:rPr>
        <w:t xml:space="preserve">Fase de Seguiment: </w:t>
      </w:r>
      <w:r w:rsidRPr="0061495F">
        <w:rPr>
          <w:rFonts w:ascii="Arial" w:eastAsia="Times New Roman" w:hAnsi="Arial" w:cs="Arial"/>
          <w:bCs/>
          <w:color w:val="000000"/>
          <w:sz w:val="21"/>
          <w:szCs w:val="21"/>
        </w:rPr>
        <w:t>Finalitzada la fase de seguiment per acceptació de les recomanacions.</w:t>
      </w:r>
    </w:p>
    <w:p w14:paraId="4C5484AE" w14:textId="77777777" w:rsidR="0061495F" w:rsidRPr="0061495F" w:rsidRDefault="0061495F" w:rsidP="0061495F">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90" w:name="_Toc95209051"/>
      <w:bookmarkStart w:id="191" w:name="_Toc95913843"/>
      <w:bookmarkStart w:id="192" w:name="_Toc99110726"/>
      <w:r w:rsidRPr="0061495F">
        <w:rPr>
          <w:rFonts w:ascii="Arial" w:eastAsia="Times New Roman" w:hAnsi="Arial" w:cs="Arial"/>
          <w:b/>
          <w:color w:val="9D2235"/>
          <w:sz w:val="28"/>
          <w:szCs w:val="28"/>
        </w:rPr>
        <w:t>Denominació: Diputació Provincial de València, Ajuntament de Sueca, Ajuntament de Paterna, Direcció General d'Administració Local (DGAL). Provisió llocs de funcionaris d'administració local amb habilitació de caràcter nacional (FHCN) de la Diputació Provincial de València</w:t>
      </w:r>
      <w:bookmarkEnd w:id="190"/>
      <w:bookmarkEnd w:id="191"/>
      <w:bookmarkEnd w:id="192"/>
    </w:p>
    <w:p w14:paraId="6172E3F8" w14:textId="77777777" w:rsidR="0061495F" w:rsidRPr="0061495F" w:rsidRDefault="0061495F" w:rsidP="005F040E">
      <w:pPr>
        <w:spacing w:after="240" w:line="276" w:lineRule="auto"/>
        <w:jc w:val="both"/>
        <w:rPr>
          <w:rFonts w:ascii="Arial" w:eastAsia="Times New Roman" w:hAnsi="Arial" w:cs="Arial"/>
          <w:color w:val="000000"/>
          <w:sz w:val="21"/>
          <w:szCs w:val="21"/>
        </w:rPr>
      </w:pPr>
      <w:r w:rsidRPr="0061495F">
        <w:rPr>
          <w:rFonts w:ascii="Arial" w:eastAsia="Times New Roman" w:hAnsi="Arial" w:cs="Arial"/>
          <w:b/>
          <w:bCs/>
          <w:color w:val="000000"/>
          <w:sz w:val="21"/>
          <w:szCs w:val="21"/>
        </w:rPr>
        <w:t>Expedient</w:t>
      </w:r>
      <w:r w:rsidRPr="0061495F">
        <w:rPr>
          <w:rFonts w:ascii="Arial" w:eastAsia="Times New Roman" w:hAnsi="Arial" w:cs="Arial"/>
          <w:color w:val="000000"/>
          <w:sz w:val="21"/>
          <w:szCs w:val="21"/>
        </w:rPr>
        <w:t>: 2020/G01_01/000255 [12/2019]</w:t>
      </w:r>
    </w:p>
    <w:p w14:paraId="1EB26795" w14:textId="77777777" w:rsidR="0061495F" w:rsidRPr="0061495F" w:rsidRDefault="0061495F" w:rsidP="0061495F">
      <w:pPr>
        <w:spacing w:after="240" w:line="276" w:lineRule="auto"/>
        <w:rPr>
          <w:rFonts w:ascii="Arial" w:eastAsia="Times New Roman" w:hAnsi="Arial" w:cs="Arial"/>
          <w:bCs/>
          <w:sz w:val="18"/>
          <w:szCs w:val="18"/>
        </w:rPr>
      </w:pPr>
      <w:r w:rsidRPr="0061495F">
        <w:rPr>
          <w:rFonts w:ascii="Arial" w:eastAsia="Times New Roman" w:hAnsi="Arial" w:cs="Arial"/>
          <w:b/>
          <w:bCs/>
          <w:sz w:val="21"/>
          <w:szCs w:val="21"/>
        </w:rPr>
        <w:t>Enllaç a la publicació:</w:t>
      </w:r>
      <w:r w:rsidRPr="0061495F">
        <w:rPr>
          <w:rFonts w:ascii="Arial" w:eastAsia="Times New Roman" w:hAnsi="Arial" w:cs="Arial"/>
          <w:b/>
          <w:bCs/>
          <w:sz w:val="21"/>
          <w:szCs w:val="21"/>
        </w:rPr>
        <w:br/>
      </w:r>
      <w:hyperlink r:id="rId424" w:history="1">
        <w:r w:rsidRPr="0061495F">
          <w:rPr>
            <w:rFonts w:ascii="Arial" w:eastAsia="Times New Roman" w:hAnsi="Arial" w:cs="Arial"/>
            <w:bCs/>
            <w:color w:val="000080"/>
            <w:sz w:val="18"/>
            <w:szCs w:val="18"/>
            <w:u w:val="single"/>
          </w:rPr>
          <w:t>http://www.antifraucv.es/wp-content/uploads/2021/03/20210121_DIPUTACION_DE_VALENCIA.pdf</w:t>
        </w:r>
      </w:hyperlink>
    </w:p>
    <w:p w14:paraId="1F9AFAD2" w14:textId="77777777" w:rsidR="0061495F" w:rsidRPr="0061495F" w:rsidRDefault="0061495F" w:rsidP="0061495F">
      <w:pPr>
        <w:spacing w:after="240" w:line="276" w:lineRule="auto"/>
        <w:jc w:val="both"/>
        <w:rPr>
          <w:rFonts w:ascii="Arial" w:eastAsia="Times New Roman" w:hAnsi="Arial" w:cs="Arial"/>
          <w:color w:val="000000"/>
          <w:sz w:val="21"/>
          <w:szCs w:val="21"/>
        </w:rPr>
      </w:pPr>
      <w:r w:rsidRPr="0061495F">
        <w:rPr>
          <w:rFonts w:ascii="Arial" w:eastAsia="Times New Roman" w:hAnsi="Arial" w:cs="Arial"/>
          <w:b/>
          <w:bCs/>
          <w:color w:val="000000"/>
          <w:sz w:val="21"/>
          <w:szCs w:val="21"/>
        </w:rPr>
        <w:t>Descripció</w:t>
      </w:r>
      <w:r w:rsidRPr="0061495F">
        <w:rPr>
          <w:rFonts w:ascii="Arial" w:eastAsia="Times New Roman" w:hAnsi="Arial" w:cs="Arial"/>
          <w:color w:val="000000"/>
          <w:sz w:val="21"/>
          <w:szCs w:val="21"/>
        </w:rPr>
        <w:t>: Es denuncia la tramitació dels expedients de les comissions de servici concedides a FHCN i a la provisió dels llocs d'intervenció, viceintervenció i tresoreria de la Diputació Provincial de València.</w:t>
      </w:r>
    </w:p>
    <w:p w14:paraId="179500C4" w14:textId="77777777" w:rsidR="0061495F" w:rsidRPr="0061495F" w:rsidRDefault="0061495F" w:rsidP="0061495F">
      <w:pPr>
        <w:spacing w:after="240" w:line="276" w:lineRule="auto"/>
        <w:jc w:val="both"/>
        <w:rPr>
          <w:rFonts w:ascii="Arial" w:eastAsia="Times New Roman" w:hAnsi="Arial" w:cs="Arial"/>
          <w:color w:val="000000"/>
          <w:sz w:val="21"/>
          <w:szCs w:val="21"/>
        </w:rPr>
      </w:pPr>
      <w:r w:rsidRPr="0061495F">
        <w:rPr>
          <w:rFonts w:ascii="Arial" w:eastAsia="Times New Roman" w:hAnsi="Arial" w:cs="Arial"/>
          <w:color w:val="000000"/>
          <w:sz w:val="21"/>
          <w:szCs w:val="21"/>
        </w:rPr>
        <w:t>Després de l'estudi en detall de la totalitat de la documentació i, després de les al·legacions presentades per la Diputació Provincial de València i la DGAL, es conclou que:</w:t>
      </w:r>
    </w:p>
    <w:p w14:paraId="4A4B14B4" w14:textId="77777777" w:rsidR="0061495F" w:rsidRPr="0061495F" w:rsidRDefault="0061495F" w:rsidP="0061495F">
      <w:pPr>
        <w:numPr>
          <w:ilvl w:val="0"/>
          <w:numId w:val="84"/>
        </w:numPr>
        <w:spacing w:after="120" w:line="276" w:lineRule="auto"/>
        <w:jc w:val="both"/>
        <w:rPr>
          <w:rFonts w:ascii="Arial" w:eastAsia="Times New Roman" w:hAnsi="Arial" w:cs="Arial"/>
          <w:color w:val="000000"/>
          <w:sz w:val="21"/>
          <w:szCs w:val="21"/>
        </w:rPr>
      </w:pPr>
      <w:r w:rsidRPr="0061495F">
        <w:rPr>
          <w:rFonts w:ascii="Arial" w:eastAsia="Times New Roman" w:hAnsi="Arial" w:cs="Arial"/>
          <w:color w:val="000000"/>
          <w:sz w:val="21"/>
          <w:szCs w:val="21"/>
        </w:rPr>
        <w:t>Mentre la forma de provisió dels llocs d'intervenció, viceintervenció i tresoreria de la Diputació Provincial de València va ser la de lliure designació, les comissions de servicis concedides i prorrogades als funcionaris en els esmentats llocs van ser autoritzades per la DGAL pel termini de 6 mesos, procedint-se a prorrogar 3 vegades cada una d'elles.</w:t>
      </w:r>
    </w:p>
    <w:p w14:paraId="3D660B64" w14:textId="77777777" w:rsidR="0061495F" w:rsidRPr="0061495F" w:rsidRDefault="0061495F" w:rsidP="0061495F">
      <w:pPr>
        <w:spacing w:after="120" w:line="276" w:lineRule="auto"/>
        <w:ind w:left="709"/>
        <w:jc w:val="both"/>
        <w:rPr>
          <w:rFonts w:ascii="Arial" w:eastAsia="Times New Roman" w:hAnsi="Arial" w:cs="Arial"/>
          <w:color w:val="000000"/>
          <w:sz w:val="21"/>
          <w:szCs w:val="21"/>
        </w:rPr>
      </w:pPr>
      <w:r w:rsidRPr="0061495F">
        <w:rPr>
          <w:rFonts w:ascii="Arial" w:eastAsia="Times New Roman" w:hAnsi="Arial" w:cs="Arial"/>
          <w:color w:val="000000"/>
          <w:sz w:val="21"/>
          <w:szCs w:val="21"/>
        </w:rPr>
        <w:t>La possibilitat de les pròrrogues de les comissions de servicis concedides en els llocs la provisió dels quals procedix pel sistema de lliure designació, no està prevista en la Llei 10/2010, de 9 de juliol, aplicable al personal funcionari amb habilitació de caràcter estatal. La DGAL interpreta que la impossibilitat de prorrogar les comissions de servicis dels llocs la forma de provisió de les quals és la lliure designació prevista en l'article 104.2 de la Llei 10/2010, no és aplicable als funcionaris de l'administració local amb habilitació de caràcter nacional.</w:t>
      </w:r>
    </w:p>
    <w:p w14:paraId="0ECFD88B" w14:textId="77777777" w:rsidR="0061495F" w:rsidRPr="0061495F" w:rsidRDefault="0061495F" w:rsidP="0061495F">
      <w:pPr>
        <w:numPr>
          <w:ilvl w:val="0"/>
          <w:numId w:val="84"/>
        </w:numPr>
        <w:spacing w:after="240" w:line="276" w:lineRule="auto"/>
        <w:jc w:val="both"/>
        <w:rPr>
          <w:rFonts w:ascii="Arial" w:eastAsia="Times New Roman" w:hAnsi="Arial" w:cs="Arial"/>
          <w:color w:val="000000"/>
          <w:sz w:val="21"/>
          <w:szCs w:val="21"/>
        </w:rPr>
      </w:pPr>
      <w:r w:rsidRPr="0061495F">
        <w:rPr>
          <w:rFonts w:ascii="Arial" w:eastAsia="Times New Roman" w:hAnsi="Arial" w:cs="Arial"/>
          <w:color w:val="000000"/>
          <w:sz w:val="21"/>
          <w:szCs w:val="21"/>
        </w:rPr>
        <w:t>La DGAL ha indicat a esta Agència que va comprovar, prèviament a les resolucions de les comissions de servicis inicials, la no existència de cap funcionari o funcionària en expectativa de nomenament o que haguera sol·licitat el reingrés al servici actiu.</w:t>
      </w:r>
    </w:p>
    <w:p w14:paraId="56B2FE79" w14:textId="77777777" w:rsidR="0061495F" w:rsidRPr="0061495F" w:rsidRDefault="0061495F" w:rsidP="0061495F">
      <w:pPr>
        <w:spacing w:after="240" w:line="276" w:lineRule="auto"/>
        <w:jc w:val="both"/>
        <w:rPr>
          <w:rFonts w:ascii="Arial" w:eastAsia="Times New Roman" w:hAnsi="Arial" w:cs="Arial"/>
          <w:color w:val="000000"/>
          <w:sz w:val="21"/>
          <w:szCs w:val="21"/>
        </w:rPr>
      </w:pPr>
      <w:r w:rsidRPr="0061495F">
        <w:rPr>
          <w:rFonts w:ascii="Arial" w:eastAsia="Times New Roman" w:hAnsi="Arial" w:cs="Arial"/>
          <w:b/>
          <w:bCs/>
          <w:color w:val="000000"/>
          <w:sz w:val="21"/>
          <w:szCs w:val="21"/>
        </w:rPr>
        <w:t>Resultat</w:t>
      </w:r>
      <w:r w:rsidRPr="0061495F">
        <w:rPr>
          <w:rFonts w:ascii="Arial" w:eastAsia="Times New Roman" w:hAnsi="Arial" w:cs="Arial"/>
          <w:color w:val="000000"/>
          <w:sz w:val="21"/>
          <w:szCs w:val="21"/>
        </w:rPr>
        <w:t>: Es finalitza l'expedient elevant recomanacions:</w:t>
      </w:r>
    </w:p>
    <w:p w14:paraId="2BD947B8" w14:textId="77777777" w:rsidR="0061495F" w:rsidRPr="0061495F" w:rsidRDefault="0061495F" w:rsidP="0061495F">
      <w:pPr>
        <w:numPr>
          <w:ilvl w:val="0"/>
          <w:numId w:val="85"/>
        </w:numPr>
        <w:spacing w:after="120" w:line="276" w:lineRule="auto"/>
        <w:ind w:hanging="357"/>
        <w:jc w:val="both"/>
        <w:rPr>
          <w:rFonts w:ascii="Arial" w:eastAsia="Times New Roman" w:hAnsi="Arial" w:cs="Arial"/>
          <w:color w:val="000000"/>
          <w:sz w:val="21"/>
          <w:szCs w:val="21"/>
        </w:rPr>
      </w:pPr>
      <w:r w:rsidRPr="0061495F">
        <w:rPr>
          <w:rFonts w:ascii="Arial" w:eastAsia="Times New Roman" w:hAnsi="Arial" w:cs="Arial"/>
          <w:color w:val="000000"/>
          <w:sz w:val="21"/>
          <w:szCs w:val="21"/>
        </w:rPr>
        <w:t>Que, amb l'objectiu d'evitar situacions d'inseguretat jurídica i evitar discordances entre els expedients tramitats per les diferents entitats locals, es procedisca a elaborar una circular relativa al règim jurídic, aplicable a les comissions de servici sol·licitades pels funcionaris de l'administració local amb habilitació de caràcter nacional en què s'indique en tot cas, a més de tot allò que es considere oportú per eixe centre directiu, el següent:</w:t>
      </w:r>
    </w:p>
    <w:p w14:paraId="49A11690" w14:textId="77777777" w:rsidR="0061495F" w:rsidRPr="0061495F" w:rsidRDefault="0061495F" w:rsidP="006F03EF">
      <w:pPr>
        <w:numPr>
          <w:ilvl w:val="0"/>
          <w:numId w:val="83"/>
        </w:numPr>
        <w:spacing w:after="120" w:line="276" w:lineRule="auto"/>
        <w:ind w:left="1560" w:hanging="357"/>
        <w:jc w:val="both"/>
        <w:rPr>
          <w:rFonts w:ascii="Arial" w:eastAsia="Times New Roman" w:hAnsi="Arial" w:cs="Arial"/>
          <w:color w:val="000000"/>
          <w:sz w:val="21"/>
          <w:szCs w:val="21"/>
        </w:rPr>
      </w:pPr>
      <w:r w:rsidRPr="0061495F">
        <w:rPr>
          <w:rFonts w:ascii="Arial" w:eastAsia="Times New Roman" w:hAnsi="Arial" w:cs="Arial"/>
          <w:color w:val="000000"/>
          <w:sz w:val="21"/>
          <w:szCs w:val="21"/>
        </w:rPr>
        <w:t>El termini de duració de les comissions de servici inicials</w:t>
      </w:r>
    </w:p>
    <w:p w14:paraId="43EB7F68" w14:textId="77777777" w:rsidR="0061495F" w:rsidRPr="0061495F" w:rsidRDefault="0061495F" w:rsidP="006F03EF">
      <w:pPr>
        <w:numPr>
          <w:ilvl w:val="0"/>
          <w:numId w:val="83"/>
        </w:numPr>
        <w:spacing w:after="120" w:line="276" w:lineRule="auto"/>
        <w:ind w:left="1560" w:hanging="357"/>
        <w:jc w:val="both"/>
        <w:rPr>
          <w:rFonts w:ascii="Arial" w:eastAsia="Times New Roman" w:hAnsi="Arial" w:cs="Arial"/>
          <w:color w:val="000000"/>
          <w:sz w:val="21"/>
          <w:szCs w:val="21"/>
        </w:rPr>
      </w:pPr>
      <w:r w:rsidRPr="0061495F">
        <w:rPr>
          <w:rFonts w:ascii="Arial" w:eastAsia="Times New Roman" w:hAnsi="Arial" w:cs="Arial"/>
          <w:color w:val="000000"/>
          <w:sz w:val="21"/>
          <w:szCs w:val="21"/>
        </w:rPr>
        <w:t>La possibilitat o no de sol·licitar pròrrogues de les mateixes</w:t>
      </w:r>
    </w:p>
    <w:p w14:paraId="3C83A49B" w14:textId="77777777" w:rsidR="0061495F" w:rsidRPr="0061495F" w:rsidRDefault="0061495F" w:rsidP="006F03EF">
      <w:pPr>
        <w:numPr>
          <w:ilvl w:val="0"/>
          <w:numId w:val="83"/>
        </w:numPr>
        <w:spacing w:after="120" w:line="276" w:lineRule="auto"/>
        <w:ind w:left="1560" w:hanging="357"/>
        <w:jc w:val="both"/>
        <w:rPr>
          <w:rFonts w:ascii="Arial" w:eastAsia="Times New Roman" w:hAnsi="Arial" w:cs="Arial"/>
          <w:color w:val="000000"/>
          <w:sz w:val="21"/>
          <w:szCs w:val="21"/>
        </w:rPr>
      </w:pPr>
      <w:r w:rsidRPr="0061495F">
        <w:rPr>
          <w:rFonts w:ascii="Arial" w:eastAsia="Times New Roman" w:hAnsi="Arial" w:cs="Arial"/>
          <w:color w:val="000000"/>
          <w:sz w:val="21"/>
          <w:szCs w:val="21"/>
        </w:rPr>
        <w:t>El període màxim de duració de les dites comissions de servicis (incloses les pròrrogues)</w:t>
      </w:r>
    </w:p>
    <w:p w14:paraId="214E9066" w14:textId="77777777" w:rsidR="0061495F" w:rsidRPr="0061495F" w:rsidRDefault="0061495F" w:rsidP="006F03EF">
      <w:pPr>
        <w:numPr>
          <w:ilvl w:val="0"/>
          <w:numId w:val="83"/>
        </w:numPr>
        <w:spacing w:after="120" w:line="276" w:lineRule="auto"/>
        <w:ind w:left="1560" w:hanging="357"/>
        <w:jc w:val="both"/>
        <w:rPr>
          <w:rFonts w:ascii="Arial" w:eastAsia="Times New Roman" w:hAnsi="Arial" w:cs="Arial"/>
          <w:color w:val="000000"/>
          <w:sz w:val="21"/>
          <w:szCs w:val="21"/>
        </w:rPr>
      </w:pPr>
      <w:r w:rsidRPr="0061495F">
        <w:rPr>
          <w:rFonts w:ascii="Arial" w:eastAsia="Times New Roman" w:hAnsi="Arial" w:cs="Arial"/>
          <w:color w:val="000000"/>
          <w:sz w:val="21"/>
          <w:szCs w:val="21"/>
        </w:rPr>
        <w:t>Les especialitats que existisquen, si és el cas, en determinats llocs de treball reservats a estos funcionaris.</w:t>
      </w:r>
    </w:p>
    <w:p w14:paraId="5E065479" w14:textId="77777777" w:rsidR="0061495F" w:rsidRPr="0061495F" w:rsidRDefault="0061495F" w:rsidP="0061495F">
      <w:pPr>
        <w:numPr>
          <w:ilvl w:val="0"/>
          <w:numId w:val="85"/>
        </w:numPr>
        <w:spacing w:after="240" w:line="276" w:lineRule="auto"/>
        <w:jc w:val="both"/>
        <w:rPr>
          <w:rFonts w:ascii="Arial" w:eastAsia="Times New Roman" w:hAnsi="Arial" w:cs="Arial"/>
          <w:color w:val="000000"/>
          <w:sz w:val="21"/>
          <w:szCs w:val="21"/>
        </w:rPr>
      </w:pPr>
      <w:r w:rsidRPr="0061495F">
        <w:rPr>
          <w:rFonts w:ascii="Arial" w:eastAsia="Times New Roman" w:hAnsi="Arial" w:cs="Arial"/>
          <w:color w:val="000000"/>
          <w:sz w:val="21"/>
          <w:szCs w:val="21"/>
        </w:rPr>
        <w:t>Que es procedisca a traslladar de la circular que s'emeta, en el termini de 3 mesos, a esta Agència i a COSITAL València, perquè procedisca a la seua difusió entre els funcionaris de l'administració local amb habilitació de caràcter nacional.</w:t>
      </w:r>
    </w:p>
    <w:p w14:paraId="6C6FA094" w14:textId="33E3815F" w:rsidR="00E83731" w:rsidRPr="0061495F" w:rsidRDefault="0061495F" w:rsidP="0061495F">
      <w:pPr>
        <w:spacing w:after="240" w:line="276" w:lineRule="auto"/>
        <w:jc w:val="both"/>
        <w:rPr>
          <w:rFonts w:ascii="Arial" w:eastAsia="Times New Roman" w:hAnsi="Arial" w:cs="Arial"/>
          <w:color w:val="000000"/>
          <w:sz w:val="21"/>
          <w:szCs w:val="21"/>
        </w:rPr>
      </w:pPr>
      <w:r w:rsidRPr="0061495F">
        <w:rPr>
          <w:rFonts w:ascii="Arial" w:eastAsia="Times New Roman" w:hAnsi="Arial" w:cs="Arial"/>
          <w:b/>
          <w:bCs/>
          <w:color w:val="000000"/>
          <w:sz w:val="21"/>
          <w:szCs w:val="21"/>
        </w:rPr>
        <w:t xml:space="preserve">Fase de seguiment: </w:t>
      </w:r>
      <w:r w:rsidRPr="0061495F">
        <w:rPr>
          <w:rFonts w:ascii="Arial" w:eastAsia="Times New Roman" w:hAnsi="Arial" w:cs="Arial"/>
          <w:color w:val="000000"/>
          <w:sz w:val="21"/>
          <w:szCs w:val="21"/>
        </w:rPr>
        <w:t>Finalitzada la fase de seguiment, s'ha remés per part de la DGAL en data 9/12/21 un document titulat “nota informativa relativa a les comissions de servici a funcionaris amb habilitació de caràcter nacional”.</w:t>
      </w:r>
    </w:p>
    <w:p w14:paraId="6282370D" w14:textId="77777777" w:rsidR="00E919F2" w:rsidRPr="00E919F2" w:rsidRDefault="00E919F2" w:rsidP="00E919F2">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93" w:name="_Toc99110727"/>
      <w:r w:rsidRPr="00E919F2">
        <w:rPr>
          <w:rFonts w:ascii="Arial" w:eastAsia="Times New Roman" w:hAnsi="Arial" w:cs="Arial"/>
          <w:b/>
          <w:color w:val="9D2235"/>
          <w:sz w:val="28"/>
          <w:szCs w:val="28"/>
        </w:rPr>
        <w:t>Denominació: Institut Valencià de Cultura. Irregularitats en la gestió de personal</w:t>
      </w:r>
      <w:bookmarkEnd w:id="193"/>
    </w:p>
    <w:p w14:paraId="3886CE3B" w14:textId="77777777" w:rsidR="00E919F2" w:rsidRPr="00E919F2" w:rsidRDefault="00E919F2" w:rsidP="005F040E">
      <w:pPr>
        <w:spacing w:after="240" w:line="276" w:lineRule="auto"/>
        <w:jc w:val="both"/>
        <w:rPr>
          <w:rFonts w:ascii="Arial" w:eastAsia="Times New Roman" w:hAnsi="Arial" w:cs="Arial"/>
          <w:color w:val="000000"/>
          <w:sz w:val="21"/>
          <w:szCs w:val="21"/>
          <w:lang w:val="ca-ES"/>
        </w:rPr>
      </w:pPr>
      <w:r w:rsidRPr="00E919F2">
        <w:rPr>
          <w:rFonts w:ascii="Arial" w:eastAsia="Times New Roman" w:hAnsi="Arial" w:cs="Arial"/>
          <w:b/>
          <w:bCs/>
          <w:color w:val="000000"/>
          <w:sz w:val="21"/>
          <w:szCs w:val="21"/>
          <w:lang w:val="ca-ES"/>
        </w:rPr>
        <w:t>Expedient:</w:t>
      </w:r>
      <w:r w:rsidRPr="00E919F2">
        <w:rPr>
          <w:rFonts w:ascii="Arial" w:eastAsia="Times New Roman" w:hAnsi="Arial" w:cs="Arial"/>
          <w:color w:val="000000"/>
          <w:sz w:val="21"/>
          <w:szCs w:val="21"/>
          <w:lang w:val="ca-ES"/>
        </w:rPr>
        <w:t xml:space="preserve"> 2020/G01_01/000117 [21-22/2019]</w:t>
      </w:r>
    </w:p>
    <w:p w14:paraId="71DB5691" w14:textId="77777777" w:rsidR="00E919F2" w:rsidRPr="00E919F2" w:rsidRDefault="00E919F2" w:rsidP="00E919F2">
      <w:pPr>
        <w:spacing w:after="240" w:line="276" w:lineRule="auto"/>
        <w:rPr>
          <w:rFonts w:ascii="Arial" w:eastAsia="Times New Roman" w:hAnsi="Arial" w:cs="Arial"/>
          <w:bCs/>
          <w:sz w:val="18"/>
          <w:szCs w:val="18"/>
          <w:lang w:val="ca-ES"/>
        </w:rPr>
      </w:pPr>
      <w:r w:rsidRPr="00E919F2">
        <w:rPr>
          <w:rFonts w:ascii="Arial" w:eastAsia="Times New Roman" w:hAnsi="Arial" w:cs="Arial"/>
          <w:b/>
          <w:bCs/>
          <w:sz w:val="21"/>
          <w:szCs w:val="21"/>
          <w:lang w:val="ca-ES"/>
        </w:rPr>
        <w:t>Enllaç a la publicació:</w:t>
      </w:r>
      <w:r w:rsidRPr="00E919F2">
        <w:rPr>
          <w:rFonts w:ascii="Arial" w:eastAsia="Times New Roman" w:hAnsi="Arial" w:cs="Arial"/>
          <w:b/>
          <w:bCs/>
          <w:sz w:val="21"/>
          <w:szCs w:val="21"/>
          <w:lang w:val="ca-ES"/>
        </w:rPr>
        <w:br/>
      </w:r>
      <w:hyperlink r:id="rId425" w:history="1">
        <w:r w:rsidRPr="00E919F2">
          <w:rPr>
            <w:rFonts w:ascii="Arial" w:eastAsia="Times New Roman" w:hAnsi="Arial" w:cs="Arial"/>
            <w:bCs/>
            <w:color w:val="000080"/>
            <w:sz w:val="18"/>
            <w:szCs w:val="18"/>
            <w:u w:val="single"/>
            <w:lang w:val="ca-ES"/>
          </w:rPr>
          <w:t>http://www.antifraucv.es/wp-content/uploads/2021/03/20210126_GENERALITAT_VALENCIANA_IVC.pdf</w:t>
        </w:r>
      </w:hyperlink>
    </w:p>
    <w:p w14:paraId="43E75D35" w14:textId="77777777" w:rsidR="00E919F2" w:rsidRPr="00E919F2" w:rsidRDefault="00E919F2" w:rsidP="00E919F2">
      <w:pPr>
        <w:spacing w:after="240" w:line="276" w:lineRule="auto"/>
        <w:jc w:val="both"/>
        <w:rPr>
          <w:rFonts w:ascii="Arial" w:eastAsia="Times New Roman" w:hAnsi="Arial" w:cs="Arial"/>
          <w:color w:val="000000"/>
          <w:sz w:val="21"/>
          <w:szCs w:val="21"/>
          <w:lang w:val="ca-ES"/>
        </w:rPr>
      </w:pPr>
      <w:r w:rsidRPr="00E919F2">
        <w:rPr>
          <w:rFonts w:ascii="Arial" w:eastAsia="Times New Roman" w:hAnsi="Arial" w:cs="Arial"/>
          <w:b/>
          <w:bCs/>
          <w:color w:val="000000"/>
          <w:sz w:val="21"/>
          <w:szCs w:val="21"/>
          <w:lang w:val="ca-ES"/>
        </w:rPr>
        <w:t>Descripció:</w:t>
      </w:r>
      <w:r w:rsidRPr="00E919F2">
        <w:rPr>
          <w:rFonts w:ascii="Arial" w:eastAsia="Times New Roman" w:hAnsi="Arial" w:cs="Arial"/>
          <w:color w:val="000000"/>
          <w:sz w:val="21"/>
          <w:szCs w:val="21"/>
          <w:lang w:val="ca-ES"/>
        </w:rPr>
        <w:t xml:space="preserve"> Els fets denunciats es concretaren en: </w:t>
      </w:r>
    </w:p>
    <w:p w14:paraId="1DEF8376" w14:textId="77777777" w:rsidR="00E919F2" w:rsidRPr="00E919F2" w:rsidRDefault="00E919F2" w:rsidP="00153419">
      <w:pPr>
        <w:numPr>
          <w:ilvl w:val="0"/>
          <w:numId w:val="86"/>
        </w:numPr>
        <w:spacing w:after="120" w:line="276" w:lineRule="auto"/>
        <w:ind w:left="714" w:hanging="357"/>
        <w:jc w:val="both"/>
        <w:rPr>
          <w:rFonts w:ascii="Arial" w:eastAsia="Times New Roman" w:hAnsi="Arial" w:cs="Arial"/>
          <w:color w:val="000000"/>
          <w:sz w:val="21"/>
          <w:szCs w:val="21"/>
          <w:lang w:val="ca-ES"/>
        </w:rPr>
      </w:pPr>
      <w:r w:rsidRPr="00E919F2">
        <w:rPr>
          <w:rFonts w:ascii="Arial" w:eastAsia="Times New Roman" w:hAnsi="Arial" w:cs="Arial"/>
          <w:color w:val="000000"/>
          <w:sz w:val="21"/>
          <w:szCs w:val="21"/>
          <w:lang w:val="ca-ES"/>
        </w:rPr>
        <w:t>Nomenaments provisionals per a ocupar llocs de lliure designació sense haver-se convocat per a la seua cobertura definitiva en el termini legalment establert</w:t>
      </w:r>
    </w:p>
    <w:p w14:paraId="08930B1B" w14:textId="77777777" w:rsidR="00E919F2" w:rsidRPr="00E919F2" w:rsidRDefault="00E919F2" w:rsidP="00153419">
      <w:pPr>
        <w:numPr>
          <w:ilvl w:val="0"/>
          <w:numId w:val="86"/>
        </w:numPr>
        <w:spacing w:after="120" w:line="276" w:lineRule="auto"/>
        <w:ind w:left="714" w:hanging="357"/>
        <w:jc w:val="both"/>
        <w:rPr>
          <w:rFonts w:ascii="Arial" w:eastAsia="Times New Roman" w:hAnsi="Arial" w:cs="Arial"/>
          <w:color w:val="000000"/>
          <w:sz w:val="21"/>
          <w:szCs w:val="21"/>
          <w:lang w:val="ca-ES"/>
        </w:rPr>
      </w:pPr>
      <w:r w:rsidRPr="00E919F2">
        <w:rPr>
          <w:rFonts w:ascii="Arial" w:eastAsia="Times New Roman" w:hAnsi="Arial" w:cs="Arial"/>
          <w:color w:val="000000"/>
          <w:sz w:val="21"/>
          <w:szCs w:val="21"/>
          <w:lang w:val="ca-ES"/>
        </w:rPr>
        <w:t xml:space="preserve">Canvi d'adscripció orgànica de dos llocs de treball per a afavorir interessos personals </w:t>
      </w:r>
    </w:p>
    <w:p w14:paraId="0C1DB7FE" w14:textId="77777777" w:rsidR="00E919F2" w:rsidRPr="00E919F2" w:rsidRDefault="00E919F2" w:rsidP="00153419">
      <w:pPr>
        <w:numPr>
          <w:ilvl w:val="0"/>
          <w:numId w:val="86"/>
        </w:numPr>
        <w:spacing w:after="120" w:line="276" w:lineRule="auto"/>
        <w:ind w:left="714" w:hanging="357"/>
        <w:jc w:val="both"/>
        <w:rPr>
          <w:rFonts w:ascii="Arial" w:eastAsia="Times New Roman" w:hAnsi="Arial" w:cs="Arial"/>
          <w:color w:val="000000"/>
          <w:sz w:val="21"/>
          <w:szCs w:val="21"/>
          <w:lang w:val="ca-ES"/>
        </w:rPr>
      </w:pPr>
      <w:r w:rsidRPr="00E919F2">
        <w:rPr>
          <w:rFonts w:ascii="Arial" w:eastAsia="Times New Roman" w:hAnsi="Arial" w:cs="Arial"/>
          <w:color w:val="000000"/>
          <w:sz w:val="21"/>
          <w:szCs w:val="21"/>
          <w:lang w:val="ca-ES"/>
        </w:rPr>
        <w:t xml:space="preserve">Restricció de la lliure concurrència en una convocatòria de millora d'ocupació, i </w:t>
      </w:r>
    </w:p>
    <w:p w14:paraId="6B28530D" w14:textId="77777777" w:rsidR="00E919F2" w:rsidRPr="00E919F2" w:rsidRDefault="00E919F2" w:rsidP="00153419">
      <w:pPr>
        <w:numPr>
          <w:ilvl w:val="0"/>
          <w:numId w:val="86"/>
        </w:numPr>
        <w:spacing w:after="240" w:line="276" w:lineRule="auto"/>
        <w:jc w:val="both"/>
        <w:rPr>
          <w:rFonts w:ascii="Arial" w:eastAsia="Times New Roman" w:hAnsi="Arial" w:cs="Arial"/>
          <w:color w:val="000000"/>
          <w:sz w:val="21"/>
          <w:szCs w:val="21"/>
          <w:lang w:val="ca-ES"/>
        </w:rPr>
      </w:pPr>
      <w:r w:rsidRPr="00E919F2">
        <w:rPr>
          <w:rFonts w:ascii="Arial" w:eastAsia="Times New Roman" w:hAnsi="Arial" w:cs="Arial"/>
          <w:color w:val="000000"/>
          <w:sz w:val="21"/>
          <w:szCs w:val="21"/>
          <w:lang w:val="ca-ES"/>
        </w:rPr>
        <w:t>Proposta d'adscripció d'un lloc de treball al nou Institut Valencià de Conservació Restauració i Investigació (IVCR+I)</w:t>
      </w:r>
    </w:p>
    <w:p w14:paraId="05071A61" w14:textId="77777777" w:rsidR="00E919F2" w:rsidRPr="00E919F2" w:rsidRDefault="00E919F2" w:rsidP="00E919F2">
      <w:pPr>
        <w:spacing w:after="240" w:line="276" w:lineRule="auto"/>
        <w:jc w:val="both"/>
        <w:rPr>
          <w:rFonts w:ascii="Arial" w:eastAsia="Times New Roman" w:hAnsi="Arial" w:cs="Arial"/>
          <w:color w:val="000000"/>
          <w:sz w:val="21"/>
          <w:szCs w:val="21"/>
          <w:lang w:val="ca-ES"/>
        </w:rPr>
      </w:pPr>
      <w:r w:rsidRPr="00E919F2">
        <w:rPr>
          <w:rFonts w:ascii="Arial" w:eastAsia="Times New Roman" w:hAnsi="Arial" w:cs="Arial"/>
          <w:color w:val="000000"/>
          <w:sz w:val="21"/>
          <w:szCs w:val="21"/>
          <w:lang w:val="ca-ES"/>
        </w:rPr>
        <w:t>Després de la instrucció de l'oportú procediment d'investigació, es va evidenciar que:</w:t>
      </w:r>
    </w:p>
    <w:p w14:paraId="7C8BAA11" w14:textId="77777777" w:rsidR="00E919F2" w:rsidRPr="00E919F2" w:rsidRDefault="00E919F2" w:rsidP="00153419">
      <w:pPr>
        <w:numPr>
          <w:ilvl w:val="0"/>
          <w:numId w:val="87"/>
        </w:numPr>
        <w:spacing w:after="120" w:line="276" w:lineRule="auto"/>
        <w:ind w:left="714" w:hanging="357"/>
        <w:jc w:val="both"/>
        <w:rPr>
          <w:rFonts w:ascii="Arial" w:eastAsia="Times New Roman" w:hAnsi="Arial" w:cs="Arial"/>
          <w:i/>
          <w:iCs/>
          <w:color w:val="000000"/>
          <w:sz w:val="21"/>
          <w:szCs w:val="21"/>
          <w:lang w:val="ca-ES"/>
        </w:rPr>
      </w:pPr>
      <w:r w:rsidRPr="00E919F2">
        <w:rPr>
          <w:rFonts w:ascii="Arial" w:eastAsia="Times New Roman" w:hAnsi="Arial" w:cs="Arial"/>
          <w:color w:val="000000"/>
          <w:sz w:val="21"/>
          <w:szCs w:val="21"/>
          <w:lang w:val="ca-ES"/>
        </w:rPr>
        <w:t xml:space="preserve">L'Institut Valencià de Cultura es va retardar, més de dos anys, a aprovar i publicar la Relació de Llocs de Treball. </w:t>
      </w:r>
    </w:p>
    <w:p w14:paraId="15083C2C" w14:textId="77777777" w:rsidR="00E919F2" w:rsidRPr="00E919F2" w:rsidRDefault="00E919F2" w:rsidP="00153419">
      <w:pPr>
        <w:numPr>
          <w:ilvl w:val="0"/>
          <w:numId w:val="87"/>
        </w:numPr>
        <w:spacing w:after="120" w:line="276" w:lineRule="auto"/>
        <w:ind w:left="714" w:hanging="357"/>
        <w:jc w:val="both"/>
        <w:rPr>
          <w:rFonts w:ascii="Arial" w:eastAsia="Times New Roman" w:hAnsi="Arial" w:cs="Arial"/>
          <w:i/>
          <w:iCs/>
          <w:color w:val="000000"/>
          <w:sz w:val="21"/>
          <w:szCs w:val="21"/>
          <w:lang w:val="ca-ES"/>
        </w:rPr>
      </w:pPr>
      <w:r w:rsidRPr="00E919F2">
        <w:rPr>
          <w:rFonts w:ascii="Arial" w:eastAsia="Times New Roman" w:hAnsi="Arial" w:cs="Arial"/>
          <w:color w:val="000000"/>
          <w:sz w:val="21"/>
          <w:szCs w:val="21"/>
          <w:lang w:val="ca-ES"/>
        </w:rPr>
        <w:t xml:space="preserve">L'Institut Valencià de Cultura va superar el límit temporal, establert en sis mesos, per a la convocatòria pública dels llocs de lliure designació ocupats provisionalment. </w:t>
      </w:r>
    </w:p>
    <w:p w14:paraId="77F93055" w14:textId="77777777" w:rsidR="00E919F2" w:rsidRPr="00E919F2" w:rsidRDefault="00E919F2" w:rsidP="00153419">
      <w:pPr>
        <w:numPr>
          <w:ilvl w:val="0"/>
          <w:numId w:val="87"/>
        </w:numPr>
        <w:spacing w:after="120" w:line="276" w:lineRule="auto"/>
        <w:ind w:left="714" w:hanging="357"/>
        <w:jc w:val="both"/>
        <w:rPr>
          <w:rFonts w:ascii="Arial" w:eastAsia="Times New Roman" w:hAnsi="Arial" w:cs="Arial"/>
          <w:i/>
          <w:iCs/>
          <w:color w:val="000000"/>
          <w:sz w:val="21"/>
          <w:szCs w:val="21"/>
          <w:lang w:val="ca-ES"/>
        </w:rPr>
      </w:pPr>
      <w:r w:rsidRPr="00E919F2">
        <w:rPr>
          <w:rFonts w:ascii="Arial" w:eastAsia="Times New Roman" w:hAnsi="Arial" w:cs="Arial"/>
          <w:color w:val="000000"/>
          <w:sz w:val="21"/>
          <w:szCs w:val="21"/>
          <w:lang w:val="ca-ES"/>
        </w:rPr>
        <w:t xml:space="preserve">El canvi d'adscripció dels llocs no va ser acordat per l'òrgan competent, li corresponia al Consell de Direcció de l'IVC segons el que establix l'article 8.2 f) del Decret 5/2013 i no al director general, vici invalidant que va ser convalidat per l'acord del Consell de Direcció de 10 de maig de 2019. </w:t>
      </w:r>
    </w:p>
    <w:p w14:paraId="2DC0309B" w14:textId="77777777" w:rsidR="00E919F2" w:rsidRPr="00E919F2" w:rsidRDefault="00E919F2" w:rsidP="00153419">
      <w:pPr>
        <w:numPr>
          <w:ilvl w:val="0"/>
          <w:numId w:val="87"/>
        </w:numPr>
        <w:spacing w:after="120" w:line="276" w:lineRule="auto"/>
        <w:ind w:left="714" w:hanging="357"/>
        <w:jc w:val="both"/>
        <w:rPr>
          <w:rFonts w:ascii="Arial" w:eastAsia="Times New Roman" w:hAnsi="Arial" w:cs="Arial"/>
          <w:i/>
          <w:iCs/>
          <w:color w:val="000000"/>
          <w:sz w:val="21"/>
          <w:szCs w:val="21"/>
          <w:lang w:val="ca-ES"/>
        </w:rPr>
      </w:pPr>
      <w:r w:rsidRPr="00E919F2">
        <w:rPr>
          <w:rFonts w:ascii="Arial" w:eastAsia="Times New Roman" w:hAnsi="Arial" w:cs="Arial"/>
          <w:color w:val="000000"/>
          <w:sz w:val="21"/>
          <w:szCs w:val="21"/>
          <w:lang w:val="ca-ES"/>
        </w:rPr>
        <w:t xml:space="preserve">El canvi d'adscripció dels llocs no va comptar amb l'adequada i suficient motivació fonamentada en l'interés general. </w:t>
      </w:r>
    </w:p>
    <w:p w14:paraId="41156A5F" w14:textId="77777777" w:rsidR="00E919F2" w:rsidRPr="00E919F2" w:rsidRDefault="00E919F2" w:rsidP="00153419">
      <w:pPr>
        <w:numPr>
          <w:ilvl w:val="0"/>
          <w:numId w:val="87"/>
        </w:numPr>
        <w:spacing w:after="120" w:line="276" w:lineRule="auto"/>
        <w:ind w:left="714" w:hanging="357"/>
        <w:jc w:val="both"/>
        <w:rPr>
          <w:rFonts w:ascii="Arial" w:eastAsia="Times New Roman" w:hAnsi="Arial" w:cs="Arial"/>
          <w:i/>
          <w:iCs/>
          <w:color w:val="000000"/>
          <w:sz w:val="21"/>
          <w:szCs w:val="21"/>
          <w:lang w:val="ca-ES"/>
        </w:rPr>
      </w:pPr>
      <w:r w:rsidRPr="00E919F2">
        <w:rPr>
          <w:rFonts w:ascii="Arial" w:eastAsia="Times New Roman" w:hAnsi="Arial" w:cs="Arial"/>
          <w:color w:val="000000"/>
          <w:sz w:val="21"/>
          <w:szCs w:val="21"/>
          <w:lang w:val="ca-ES"/>
        </w:rPr>
        <w:t xml:space="preserve">La proposta d'adscripció del lloc n.º 11 de l'IVC al nou Institut Valencià de Conservació Restauració i Investigació (IVCR+I) , no va constar amb la suficient motivació i argumentació acreditativa respecte a les funcions relacionades amb la conservació i restauració. </w:t>
      </w:r>
    </w:p>
    <w:p w14:paraId="6D9EA3F6" w14:textId="77777777" w:rsidR="00E919F2" w:rsidRPr="00E919F2" w:rsidRDefault="00E919F2" w:rsidP="00153419">
      <w:pPr>
        <w:numPr>
          <w:ilvl w:val="0"/>
          <w:numId w:val="87"/>
        </w:numPr>
        <w:spacing w:after="240" w:line="276" w:lineRule="auto"/>
        <w:jc w:val="both"/>
        <w:rPr>
          <w:rFonts w:ascii="Arial" w:eastAsia="Times New Roman" w:hAnsi="Arial" w:cs="Arial"/>
          <w:i/>
          <w:iCs/>
          <w:color w:val="000000"/>
          <w:sz w:val="21"/>
          <w:szCs w:val="21"/>
          <w:lang w:val="ca-ES"/>
        </w:rPr>
      </w:pPr>
      <w:r w:rsidRPr="00E919F2">
        <w:rPr>
          <w:rFonts w:ascii="Arial" w:eastAsia="Times New Roman" w:hAnsi="Arial" w:cs="Arial"/>
          <w:color w:val="000000"/>
          <w:sz w:val="21"/>
          <w:szCs w:val="21"/>
          <w:lang w:val="ca-ES"/>
        </w:rPr>
        <w:t>Segons la informació facilitada per l'IVC els llocs transferits a l'IVCR+I van ser 32 llocs i, no obstant això, segons la documentació remesa per l'IVCR+I els llocs transferits van ser 33.</w:t>
      </w:r>
    </w:p>
    <w:p w14:paraId="2F9CBAAB" w14:textId="77777777" w:rsidR="00E919F2" w:rsidRPr="00E919F2" w:rsidRDefault="00E919F2" w:rsidP="00E919F2">
      <w:pPr>
        <w:spacing w:after="240" w:line="276" w:lineRule="auto"/>
        <w:jc w:val="both"/>
        <w:rPr>
          <w:rFonts w:ascii="Arial" w:eastAsia="Times New Roman" w:hAnsi="Arial" w:cs="Arial"/>
          <w:i/>
          <w:iCs/>
          <w:color w:val="000000"/>
          <w:sz w:val="21"/>
          <w:szCs w:val="21"/>
          <w:lang w:val="ca-ES"/>
        </w:rPr>
      </w:pPr>
      <w:r w:rsidRPr="00E919F2">
        <w:rPr>
          <w:rFonts w:ascii="Arial" w:eastAsia="Times New Roman" w:hAnsi="Arial" w:cs="Arial"/>
          <w:b/>
          <w:bCs/>
          <w:color w:val="000000"/>
          <w:sz w:val="21"/>
          <w:szCs w:val="21"/>
          <w:lang w:val="ca-ES"/>
        </w:rPr>
        <w:t>Resultat:</w:t>
      </w:r>
      <w:r w:rsidRPr="00E919F2">
        <w:rPr>
          <w:rFonts w:ascii="Arial" w:eastAsia="Times New Roman" w:hAnsi="Arial" w:cs="Arial"/>
          <w:color w:val="000000"/>
          <w:sz w:val="21"/>
          <w:szCs w:val="21"/>
          <w:lang w:val="ca-ES"/>
        </w:rPr>
        <w:t xml:space="preserve"> Finalització de la investigació amb recomanacions i obertura de fase de seguiment. </w:t>
      </w:r>
    </w:p>
    <w:p w14:paraId="2AB1F4BC" w14:textId="77777777" w:rsidR="00E919F2" w:rsidRPr="00E919F2" w:rsidRDefault="00E919F2" w:rsidP="00E919F2">
      <w:pPr>
        <w:spacing w:after="240" w:line="276" w:lineRule="auto"/>
        <w:jc w:val="both"/>
        <w:rPr>
          <w:rFonts w:ascii="Arial" w:eastAsia="Times New Roman" w:hAnsi="Arial" w:cs="Arial"/>
          <w:color w:val="000000"/>
          <w:sz w:val="21"/>
          <w:szCs w:val="21"/>
          <w:lang w:val="ca-ES"/>
        </w:rPr>
      </w:pPr>
      <w:r w:rsidRPr="00E919F2">
        <w:rPr>
          <w:rFonts w:ascii="Arial" w:eastAsia="Times New Roman" w:hAnsi="Arial" w:cs="Arial"/>
          <w:b/>
          <w:bCs/>
          <w:color w:val="000000"/>
          <w:sz w:val="21"/>
          <w:szCs w:val="21"/>
          <w:lang w:val="ca-ES"/>
        </w:rPr>
        <w:t xml:space="preserve">Fase de seguiment: </w:t>
      </w:r>
      <w:r w:rsidRPr="00E919F2">
        <w:rPr>
          <w:rFonts w:ascii="Arial" w:eastAsia="Times New Roman" w:hAnsi="Arial" w:cs="Arial"/>
          <w:color w:val="000000"/>
          <w:sz w:val="21"/>
          <w:szCs w:val="21"/>
          <w:lang w:val="ca-ES"/>
        </w:rPr>
        <w:t xml:space="preserve">L'Institut Valencià de Cultura </w:t>
      </w:r>
      <w:r w:rsidRPr="00E919F2">
        <w:rPr>
          <w:rFonts w:ascii="Arial" w:eastAsia="Times New Roman" w:hAnsi="Arial" w:cs="Arial"/>
          <w:b/>
          <w:bCs/>
          <w:color w:val="000000"/>
          <w:sz w:val="21"/>
          <w:szCs w:val="21"/>
          <w:lang w:val="ca-ES"/>
        </w:rPr>
        <w:t>ha incomplit les recomanacions proposades</w:t>
      </w:r>
      <w:r w:rsidRPr="00E919F2">
        <w:rPr>
          <w:rFonts w:ascii="Arial" w:eastAsia="Times New Roman" w:hAnsi="Arial" w:cs="Arial"/>
          <w:color w:val="000000"/>
          <w:sz w:val="21"/>
          <w:szCs w:val="21"/>
          <w:lang w:val="ca-ES"/>
        </w:rPr>
        <w:t>, la qual cosa es va constatar (sense perjudici de la justificació esgrimida pel director general de l'esmentada entitat), mitjançant una resolució del director de l'Agència núm. 926 de 21 de desembre de 2021. Acreditat este incompliment, es fa constar en esta Memòria d'activitat 2021.</w:t>
      </w:r>
    </w:p>
    <w:p w14:paraId="114BC8AE" w14:textId="77777777" w:rsidR="00337375" w:rsidRPr="00337375" w:rsidRDefault="00337375" w:rsidP="00337375">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94" w:name="_Toc99110728"/>
      <w:r w:rsidRPr="00337375">
        <w:rPr>
          <w:rFonts w:ascii="Arial" w:eastAsia="Times New Roman" w:hAnsi="Arial" w:cs="Arial"/>
          <w:b/>
          <w:color w:val="9D2235"/>
          <w:sz w:val="28"/>
          <w:szCs w:val="28"/>
        </w:rPr>
        <w:t>Denominació: Ajuntament de Cofrentes. Diverses irregularitats en procediments de contractació</w:t>
      </w:r>
      <w:bookmarkEnd w:id="194"/>
    </w:p>
    <w:p w14:paraId="235E7BF3"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Expedient:</w:t>
      </w:r>
      <w:r w:rsidRPr="00337375">
        <w:rPr>
          <w:rFonts w:ascii="Arial" w:eastAsia="Times New Roman" w:hAnsi="Arial" w:cs="Arial"/>
          <w:color w:val="000000"/>
          <w:sz w:val="21"/>
          <w:szCs w:val="21"/>
        </w:rPr>
        <w:t xml:space="preserve"> 2020/G01_01/000216 [59/2019]</w:t>
      </w:r>
    </w:p>
    <w:p w14:paraId="6470BC28" w14:textId="77777777" w:rsidR="00337375" w:rsidRPr="00337375" w:rsidRDefault="00337375" w:rsidP="00337375">
      <w:pPr>
        <w:spacing w:after="240" w:line="276" w:lineRule="auto"/>
        <w:rPr>
          <w:rFonts w:ascii="Arial" w:eastAsia="Times New Roman" w:hAnsi="Arial" w:cs="Arial"/>
          <w:bCs/>
          <w:sz w:val="18"/>
          <w:szCs w:val="18"/>
        </w:rPr>
      </w:pPr>
      <w:r w:rsidRPr="00337375">
        <w:rPr>
          <w:rFonts w:ascii="Arial" w:eastAsia="Times New Roman" w:hAnsi="Arial" w:cs="Arial"/>
          <w:b/>
          <w:bCs/>
          <w:sz w:val="21"/>
          <w:szCs w:val="21"/>
        </w:rPr>
        <w:t>Enllaç a la publicació:</w:t>
      </w:r>
      <w:r w:rsidRPr="00337375">
        <w:rPr>
          <w:rFonts w:ascii="Arial" w:eastAsia="Times New Roman" w:hAnsi="Arial" w:cs="Arial"/>
          <w:b/>
          <w:bCs/>
          <w:sz w:val="21"/>
          <w:szCs w:val="21"/>
        </w:rPr>
        <w:br/>
      </w:r>
      <w:hyperlink r:id="rId426" w:history="1">
        <w:r w:rsidRPr="00337375">
          <w:rPr>
            <w:rFonts w:ascii="Arial" w:eastAsia="Times New Roman" w:hAnsi="Arial" w:cs="Arial"/>
            <w:bCs/>
            <w:color w:val="000080"/>
            <w:sz w:val="18"/>
            <w:szCs w:val="18"/>
            <w:u w:val="single"/>
          </w:rPr>
          <w:t>http://www.antifraucv.es/wp-content/uploads/2021/03/20210127_AJUNTAMENT_DE_COFRENTES.pdf</w:t>
        </w:r>
      </w:hyperlink>
    </w:p>
    <w:p w14:paraId="16B09BB6"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Descripció:</w:t>
      </w:r>
      <w:r w:rsidRPr="00337375">
        <w:rPr>
          <w:rFonts w:ascii="Arial" w:eastAsia="Times New Roman" w:hAnsi="Arial" w:cs="Arial"/>
          <w:color w:val="000000"/>
          <w:sz w:val="21"/>
          <w:szCs w:val="21"/>
        </w:rPr>
        <w:t xml:space="preserve"> Els fets denunciats es van concretar, d'una banda, en el fraccionament de l'objecte del contracte de xarxes socials des de 2017 a 2020, tres d'ells a més amb la mateixa empresa, i, d'altra banda, amb relació als contractes de subministraments de cistelles de Nadal, no queda justificada la necessitat dels mateixos, ni el compliment de cap fi públic que tinga com a objecte el subministrament de cistelles de nadal en l'àmbit de les competències de l'Ajuntament de Cofrentes.</w:t>
      </w:r>
    </w:p>
    <w:p w14:paraId="10525915"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color w:val="000000"/>
          <w:sz w:val="21"/>
          <w:szCs w:val="21"/>
        </w:rPr>
        <w:t>Després de la instrucció de l'oportú procediment d'investigació es van aconseguir les següents conclusions, d'una banda, la decisió de contractar durant quatre anys successius la gestió de xarxes socials de l'Ajuntament de Cofrentes no està emparada pel dret, per una altra i respecte al contracte de subministrament de cistelles de Nadal, no queda justificada la necessitat del contracte, l'entrega de les cistelles o lots de Nadal no són per a utilització pròpia de l'Ajuntament, sinó que s'adquirixen per a ser entregades a terceres persones, per la qual cosa s'enquadra en una subvenció en espècie però no s'ha tramitat expedient algun de concessió d'acord amb la Llei General de Subvencions i Reglament de desenvolupament.</w:t>
      </w:r>
    </w:p>
    <w:p w14:paraId="42302470"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Resultat:</w:t>
      </w:r>
      <w:r w:rsidRPr="00337375">
        <w:rPr>
          <w:rFonts w:ascii="Arial" w:eastAsia="Times New Roman" w:hAnsi="Arial" w:cs="Arial"/>
          <w:color w:val="000000"/>
          <w:sz w:val="21"/>
          <w:szCs w:val="21"/>
        </w:rPr>
        <w:t xml:space="preserve"> Es finalitza l'expedient elevant recomanacions:</w:t>
      </w:r>
    </w:p>
    <w:p w14:paraId="4BF2C42A"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color w:val="000000"/>
          <w:sz w:val="21"/>
          <w:szCs w:val="21"/>
        </w:rPr>
        <w:t>Amb relació als expedients de contractació de gestió de xarxes socials, ha de procedir-se a la realització d'un pla d'implementació, amb l'objectiu de donar cobertura contractual als servicis de gestió de xarxes socials per mitjà del procediment de contractació que legalment correspon. Respecte als contractes de subministrament de cistelles de Nadal, ha de procedir-se a la realització d'un pla d'implementació, amb l'objectiu d'acreditar la necessitat de contractació d'este tipus de subministraments.</w:t>
      </w:r>
    </w:p>
    <w:p w14:paraId="3B5C532E" w14:textId="7A1F37B8" w:rsid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Fase de seguiment:</w:t>
      </w:r>
      <w:r w:rsidRPr="00337375">
        <w:rPr>
          <w:rFonts w:ascii="Arial" w:eastAsia="Times New Roman" w:hAnsi="Arial" w:cs="Arial"/>
          <w:color w:val="000000"/>
          <w:sz w:val="21"/>
          <w:szCs w:val="21"/>
        </w:rPr>
        <w:t xml:space="preserve"> L'Ajuntament de Cofrentes no ha presentat els plans d'implementació sol·licitats, </w:t>
      </w:r>
      <w:r w:rsidRPr="00337375">
        <w:rPr>
          <w:rFonts w:ascii="Arial" w:eastAsia="Times New Roman" w:hAnsi="Arial" w:cs="Arial"/>
          <w:b/>
          <w:bCs/>
          <w:color w:val="000000"/>
          <w:sz w:val="21"/>
          <w:szCs w:val="21"/>
        </w:rPr>
        <w:t>havent-se incomplit les recomanacions realitzades per l'AVAF, la qual cosa es va constatar</w:t>
      </w:r>
      <w:r w:rsidRPr="00337375">
        <w:rPr>
          <w:rFonts w:ascii="Arial" w:eastAsia="Times New Roman" w:hAnsi="Arial" w:cs="Arial"/>
          <w:color w:val="000000"/>
          <w:sz w:val="21"/>
          <w:szCs w:val="21"/>
        </w:rPr>
        <w:t xml:space="preserve"> mitjançant la Resolució del director de l'Agència, núm. 867 d'1 de desembre de 2021. Acreditat este incompliment, es fa constar en esta Memòria d'activitat 2021.</w:t>
      </w:r>
    </w:p>
    <w:p w14:paraId="1AA991DF" w14:textId="764DCD95" w:rsidR="00F01B78" w:rsidRDefault="00F01B78" w:rsidP="00337375">
      <w:pPr>
        <w:spacing w:after="240" w:line="276" w:lineRule="auto"/>
        <w:jc w:val="both"/>
        <w:rPr>
          <w:rFonts w:ascii="Arial" w:eastAsia="Times New Roman" w:hAnsi="Arial" w:cs="Arial"/>
          <w:color w:val="000000"/>
          <w:sz w:val="21"/>
          <w:szCs w:val="21"/>
        </w:rPr>
      </w:pPr>
    </w:p>
    <w:p w14:paraId="21D4C877" w14:textId="77777777" w:rsidR="00F01B78" w:rsidRPr="00337375" w:rsidRDefault="00F01B78" w:rsidP="00337375">
      <w:pPr>
        <w:spacing w:after="240" w:line="276" w:lineRule="auto"/>
        <w:jc w:val="both"/>
        <w:rPr>
          <w:rFonts w:ascii="Arial" w:eastAsia="Times New Roman" w:hAnsi="Arial" w:cs="Arial"/>
          <w:color w:val="000000"/>
          <w:sz w:val="21"/>
          <w:szCs w:val="21"/>
        </w:rPr>
      </w:pPr>
    </w:p>
    <w:p w14:paraId="059F6C43" w14:textId="77777777" w:rsidR="00337375" w:rsidRPr="00337375" w:rsidRDefault="00337375" w:rsidP="00337375">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95" w:name="_Toc99110729"/>
      <w:r w:rsidRPr="00337375">
        <w:rPr>
          <w:rFonts w:ascii="Arial" w:eastAsia="Times New Roman" w:hAnsi="Arial" w:cs="Arial"/>
          <w:b/>
          <w:color w:val="9D2235"/>
          <w:sz w:val="28"/>
          <w:szCs w:val="28"/>
        </w:rPr>
        <w:t>Denominació: Ajuntament de València. Responsabilitat administrativa y/o comptable</w:t>
      </w:r>
      <w:bookmarkEnd w:id="195"/>
    </w:p>
    <w:p w14:paraId="5008FA31" w14:textId="77777777" w:rsidR="00337375" w:rsidRPr="00337375" w:rsidRDefault="00337375" w:rsidP="005F040E">
      <w:pPr>
        <w:spacing w:after="240" w:line="276" w:lineRule="auto"/>
        <w:jc w:val="both"/>
        <w:rPr>
          <w:rFonts w:ascii="Arial" w:eastAsia="Times New Roman" w:hAnsi="Arial" w:cs="Arial"/>
          <w:color w:val="000000"/>
          <w:sz w:val="21"/>
          <w:szCs w:val="21"/>
          <w:lang w:val="ca-ES"/>
        </w:rPr>
      </w:pPr>
      <w:r w:rsidRPr="00337375">
        <w:rPr>
          <w:rFonts w:ascii="Arial" w:eastAsia="Times New Roman" w:hAnsi="Arial" w:cs="Arial"/>
          <w:b/>
          <w:bCs/>
          <w:color w:val="000000"/>
          <w:sz w:val="21"/>
          <w:szCs w:val="21"/>
          <w:lang w:val="ca-ES"/>
        </w:rPr>
        <w:t>Expedient:</w:t>
      </w:r>
      <w:r w:rsidRPr="00337375">
        <w:rPr>
          <w:rFonts w:ascii="Arial" w:eastAsia="Times New Roman" w:hAnsi="Arial" w:cs="Arial"/>
          <w:color w:val="000000"/>
          <w:sz w:val="21"/>
          <w:szCs w:val="21"/>
          <w:lang w:val="ca-ES"/>
        </w:rPr>
        <w:t xml:space="preserve"> 2020/G01_01/239 [128/2019]</w:t>
      </w:r>
    </w:p>
    <w:p w14:paraId="352C34D2" w14:textId="77777777" w:rsidR="00337375" w:rsidRPr="00337375" w:rsidRDefault="00337375" w:rsidP="00337375">
      <w:pPr>
        <w:spacing w:after="240" w:line="276" w:lineRule="auto"/>
        <w:rPr>
          <w:rFonts w:ascii="Arial" w:eastAsia="Times New Roman" w:hAnsi="Arial" w:cs="Arial"/>
          <w:sz w:val="21"/>
          <w:szCs w:val="21"/>
          <w:lang w:val="ca-ES" w:eastAsia="es-ES"/>
        </w:rPr>
      </w:pPr>
      <w:r w:rsidRPr="00337375">
        <w:rPr>
          <w:rFonts w:ascii="Arial" w:eastAsia="Times New Roman" w:hAnsi="Arial" w:cs="Arial"/>
          <w:b/>
          <w:bCs/>
          <w:sz w:val="21"/>
          <w:szCs w:val="21"/>
          <w:lang w:val="ca-ES"/>
        </w:rPr>
        <w:t>Enllaç a la publicació:</w:t>
      </w:r>
      <w:r w:rsidRPr="00337375">
        <w:rPr>
          <w:rFonts w:ascii="Arial" w:eastAsia="Times New Roman" w:hAnsi="Arial" w:cs="Arial"/>
          <w:b/>
          <w:bCs/>
          <w:sz w:val="21"/>
          <w:szCs w:val="21"/>
          <w:lang w:val="ca-ES"/>
        </w:rPr>
        <w:br/>
      </w:r>
      <w:hyperlink r:id="rId427" w:history="1">
        <w:r w:rsidRPr="00337375">
          <w:rPr>
            <w:rFonts w:ascii="Arial" w:eastAsia="Times New Roman" w:hAnsi="Arial" w:cs="Arial"/>
            <w:bCs/>
            <w:color w:val="000080"/>
            <w:sz w:val="18"/>
            <w:szCs w:val="18"/>
            <w:u w:val="single"/>
            <w:lang w:val="ca-ES"/>
          </w:rPr>
          <w:t>http://www.antifraucv.es/wp-content/uploads/2021/03/20210127_AJUNTAMENT_DE_VALENCIA.pdf</w:t>
        </w:r>
      </w:hyperlink>
    </w:p>
    <w:p w14:paraId="6C9F106C" w14:textId="77777777" w:rsidR="00337375" w:rsidRPr="00337375" w:rsidRDefault="00337375" w:rsidP="00337375">
      <w:pPr>
        <w:spacing w:after="240" w:line="276" w:lineRule="auto"/>
        <w:jc w:val="both"/>
        <w:rPr>
          <w:rFonts w:ascii="Arial" w:eastAsia="Times New Roman" w:hAnsi="Arial" w:cs="Arial"/>
          <w:color w:val="000000"/>
          <w:sz w:val="21"/>
          <w:szCs w:val="21"/>
          <w:lang w:val="ca-ES"/>
        </w:rPr>
      </w:pPr>
      <w:r w:rsidRPr="00337375">
        <w:rPr>
          <w:rFonts w:ascii="Arial" w:eastAsia="Times New Roman" w:hAnsi="Arial" w:cs="Arial"/>
          <w:b/>
          <w:bCs/>
          <w:color w:val="000000"/>
          <w:sz w:val="21"/>
          <w:szCs w:val="21"/>
          <w:lang w:val="ca-ES"/>
        </w:rPr>
        <w:t xml:space="preserve">Descripció: </w:t>
      </w:r>
      <w:r w:rsidRPr="00337375">
        <w:rPr>
          <w:rFonts w:ascii="Arial" w:eastAsia="Times New Roman" w:hAnsi="Arial" w:cs="Arial"/>
          <w:color w:val="000000"/>
          <w:sz w:val="21"/>
          <w:szCs w:val="21"/>
          <w:lang w:val="ca-ES"/>
        </w:rPr>
        <w:t>Els fets denunciats, es van concretar en la prestació de servicis en el punt de trobada familiar de la ciutat de València, sense contracte des de l'1 d'octubre de 2015 amb una associació, des de l'1 de gener de 2017, els servicis prestats per professionals a través dels seus col·legis van recórrer a la via de l'enriquiment injust i els acords de “encàrrecs”, sense seguir procediment de contractació exigible.</w:t>
      </w:r>
    </w:p>
    <w:p w14:paraId="2D45F5B3" w14:textId="77777777" w:rsidR="00337375" w:rsidRPr="00337375" w:rsidRDefault="00337375" w:rsidP="00337375">
      <w:pPr>
        <w:spacing w:after="240" w:line="276" w:lineRule="auto"/>
        <w:jc w:val="both"/>
        <w:rPr>
          <w:rFonts w:ascii="Arial" w:eastAsia="Times New Roman" w:hAnsi="Arial" w:cs="Arial"/>
          <w:color w:val="000000"/>
          <w:sz w:val="21"/>
          <w:szCs w:val="21"/>
          <w:lang w:val="ca-ES"/>
        </w:rPr>
      </w:pPr>
      <w:r w:rsidRPr="00337375">
        <w:rPr>
          <w:rFonts w:ascii="Arial" w:eastAsia="Times New Roman" w:hAnsi="Arial" w:cs="Arial"/>
          <w:color w:val="000000"/>
          <w:sz w:val="21"/>
          <w:szCs w:val="21"/>
          <w:lang w:val="ca-ES"/>
        </w:rPr>
        <w:t>Després de la instrucció de l'oportú procediment d'investigació, es va evidenciar un retard injustificat en el procediment de contractació dels servicis del Punt de Trobada Familiar que, a més, des de l'entrada en vigor de la Llei 26/2018, de 21 de desembre, de la Generalitat, de drets i garanties de la Infància i l'Adolescència de 2018, és una competència de la Generalitat i no de l'Ajuntament de València.</w:t>
      </w:r>
    </w:p>
    <w:p w14:paraId="6FEF8E3E" w14:textId="77777777" w:rsidR="00337375" w:rsidRPr="00337375" w:rsidRDefault="00337375" w:rsidP="00337375">
      <w:pPr>
        <w:spacing w:after="240" w:line="276" w:lineRule="auto"/>
        <w:jc w:val="both"/>
        <w:rPr>
          <w:rFonts w:ascii="Arial" w:eastAsia="Times New Roman" w:hAnsi="Arial" w:cs="Arial"/>
          <w:color w:val="000000"/>
          <w:sz w:val="21"/>
          <w:szCs w:val="21"/>
          <w:lang w:val="ca-ES"/>
        </w:rPr>
      </w:pPr>
      <w:r w:rsidRPr="00337375">
        <w:rPr>
          <w:rFonts w:ascii="Arial" w:eastAsia="Times New Roman" w:hAnsi="Arial" w:cs="Arial"/>
          <w:color w:val="000000"/>
          <w:sz w:val="21"/>
          <w:szCs w:val="21"/>
          <w:lang w:val="ca-ES"/>
        </w:rPr>
        <w:t>Les mesures adoptades per l'Ajuntament per a solucionar la situació han consistit en:</w:t>
      </w:r>
    </w:p>
    <w:p w14:paraId="5430E5E5" w14:textId="77777777" w:rsidR="00337375" w:rsidRPr="00337375" w:rsidRDefault="00337375" w:rsidP="00153419">
      <w:pPr>
        <w:numPr>
          <w:ilvl w:val="0"/>
          <w:numId w:val="88"/>
        </w:numPr>
        <w:spacing w:after="120" w:line="276" w:lineRule="auto"/>
        <w:ind w:left="714" w:hanging="357"/>
        <w:jc w:val="both"/>
        <w:rPr>
          <w:rFonts w:ascii="Arial" w:eastAsia="Times New Roman" w:hAnsi="Arial" w:cs="Arial"/>
          <w:color w:val="000000"/>
          <w:sz w:val="21"/>
          <w:szCs w:val="21"/>
          <w:lang w:val="ca-ES"/>
        </w:rPr>
      </w:pPr>
      <w:r w:rsidRPr="00337375">
        <w:rPr>
          <w:rFonts w:ascii="Arial" w:eastAsia="Times New Roman" w:hAnsi="Arial" w:cs="Arial"/>
          <w:color w:val="000000"/>
          <w:sz w:val="21"/>
          <w:szCs w:val="21"/>
          <w:lang w:val="ca-ES"/>
        </w:rPr>
        <w:t xml:space="preserve">Adopció de l'acord, de data 18 de desembre de 2020, per part de la Junta de Govern Local, de donar per finalitzada la prestació municipal corresponent al Punt de Trobada Familiar amb data 30 juny de 2021. </w:t>
      </w:r>
    </w:p>
    <w:p w14:paraId="72F06851" w14:textId="77777777" w:rsidR="00337375" w:rsidRPr="00337375" w:rsidRDefault="00337375" w:rsidP="00153419">
      <w:pPr>
        <w:numPr>
          <w:ilvl w:val="0"/>
          <w:numId w:val="88"/>
        </w:numPr>
        <w:spacing w:after="240" w:line="276" w:lineRule="auto"/>
        <w:jc w:val="both"/>
        <w:rPr>
          <w:rFonts w:ascii="Arial" w:eastAsia="Times New Roman" w:hAnsi="Arial" w:cs="Arial"/>
          <w:color w:val="000000"/>
          <w:sz w:val="21"/>
          <w:szCs w:val="21"/>
          <w:lang w:val="ca-ES"/>
        </w:rPr>
      </w:pPr>
      <w:r w:rsidRPr="00337375">
        <w:rPr>
          <w:rFonts w:ascii="Arial" w:eastAsia="Times New Roman" w:hAnsi="Arial" w:cs="Arial"/>
          <w:color w:val="000000"/>
          <w:sz w:val="21"/>
          <w:szCs w:val="21"/>
          <w:lang w:val="ca-ES"/>
        </w:rPr>
        <w:t>Sol·licitar la compensació pels costos en què ha incorregut durant els exercicis 2019 i 2020, a causa de la prestació del Punt de Trobada Familiar de València a la Conselleria d'Igualtat i Polítiques Inclusives.</w:t>
      </w:r>
    </w:p>
    <w:p w14:paraId="0BDEDB5F" w14:textId="77777777" w:rsidR="00337375" w:rsidRPr="00337375" w:rsidRDefault="00337375" w:rsidP="00337375">
      <w:pPr>
        <w:spacing w:after="240" w:line="276" w:lineRule="auto"/>
        <w:jc w:val="both"/>
        <w:rPr>
          <w:rFonts w:ascii="Arial" w:eastAsia="Times New Roman" w:hAnsi="Arial" w:cs="Arial"/>
          <w:color w:val="000000"/>
          <w:sz w:val="21"/>
          <w:szCs w:val="21"/>
          <w:lang w:val="ca-ES"/>
        </w:rPr>
      </w:pPr>
      <w:r w:rsidRPr="00337375">
        <w:rPr>
          <w:rFonts w:ascii="Arial" w:eastAsia="Times New Roman" w:hAnsi="Arial" w:cs="Arial"/>
          <w:b/>
          <w:bCs/>
          <w:color w:val="000000"/>
          <w:sz w:val="21"/>
          <w:szCs w:val="21"/>
          <w:lang w:val="ca-ES"/>
        </w:rPr>
        <w:t>Resultat:</w:t>
      </w:r>
      <w:r w:rsidRPr="00337375">
        <w:rPr>
          <w:rFonts w:ascii="Arial" w:eastAsia="Times New Roman" w:hAnsi="Arial" w:cs="Arial"/>
          <w:color w:val="000000"/>
          <w:sz w:val="21"/>
          <w:szCs w:val="21"/>
          <w:lang w:val="ca-ES"/>
        </w:rPr>
        <w:t xml:space="preserve"> Formulació de recomanacions en matèria organitzativa i en matèria de procediment de revisió a l'Ajuntament de València.</w:t>
      </w:r>
    </w:p>
    <w:p w14:paraId="7F928D5F" w14:textId="2951F00D" w:rsidR="00337375" w:rsidRDefault="00337375" w:rsidP="00337375">
      <w:pPr>
        <w:spacing w:after="240" w:line="276" w:lineRule="auto"/>
        <w:jc w:val="both"/>
        <w:rPr>
          <w:rFonts w:ascii="Arial" w:eastAsia="Times New Roman" w:hAnsi="Arial" w:cs="Arial"/>
          <w:b/>
          <w:bCs/>
          <w:color w:val="000000"/>
          <w:sz w:val="21"/>
          <w:szCs w:val="21"/>
          <w:lang w:val="ca-ES"/>
        </w:rPr>
      </w:pPr>
      <w:r w:rsidRPr="00337375">
        <w:rPr>
          <w:rFonts w:ascii="Arial" w:eastAsia="Times New Roman" w:hAnsi="Arial" w:cs="Arial"/>
          <w:b/>
          <w:bCs/>
          <w:color w:val="000000"/>
          <w:sz w:val="21"/>
          <w:szCs w:val="21"/>
          <w:lang w:val="ca-ES"/>
        </w:rPr>
        <w:t>Fase de seguiment:</w:t>
      </w:r>
      <w:r w:rsidRPr="00337375">
        <w:rPr>
          <w:rFonts w:ascii="Arial" w:eastAsia="Times New Roman" w:hAnsi="Arial" w:cs="Arial"/>
          <w:color w:val="000000"/>
          <w:sz w:val="21"/>
          <w:szCs w:val="21"/>
          <w:lang w:val="ca-ES"/>
        </w:rPr>
        <w:t xml:space="preserve"> Finalitzada la fase de seguiment, l'Ajuntament de València ha acceptat parcialment les recomanacions proposades, i han sigut objecte de justificació sobre les causes de la seua inobservança les no acceptades</w:t>
      </w:r>
      <w:r w:rsidRPr="00337375">
        <w:rPr>
          <w:rFonts w:ascii="Arial" w:eastAsia="Times New Roman" w:hAnsi="Arial" w:cs="Arial"/>
          <w:b/>
          <w:bCs/>
          <w:color w:val="000000"/>
          <w:sz w:val="21"/>
          <w:szCs w:val="21"/>
          <w:lang w:val="ca-ES"/>
        </w:rPr>
        <w:t>. S'ha acreditat l'acord del Consell, de 30 d'abril de 2021, de rescabalament de danys 12/2021 a l'Ajuntament per import de 524.905,59 €.</w:t>
      </w:r>
    </w:p>
    <w:p w14:paraId="4772E0EA" w14:textId="3A6D0F98" w:rsidR="00B61D27" w:rsidRDefault="00B61D27" w:rsidP="00337375">
      <w:pPr>
        <w:spacing w:after="240" w:line="276" w:lineRule="auto"/>
        <w:jc w:val="both"/>
        <w:rPr>
          <w:rFonts w:ascii="Arial" w:eastAsia="Times New Roman" w:hAnsi="Arial" w:cs="Arial"/>
          <w:b/>
          <w:bCs/>
          <w:color w:val="000000"/>
          <w:sz w:val="21"/>
          <w:szCs w:val="21"/>
          <w:lang w:val="ca-ES"/>
        </w:rPr>
      </w:pPr>
    </w:p>
    <w:p w14:paraId="04FC011B" w14:textId="58B71498" w:rsidR="00B61D27" w:rsidRDefault="00B61D27" w:rsidP="00337375">
      <w:pPr>
        <w:spacing w:after="240" w:line="276" w:lineRule="auto"/>
        <w:jc w:val="both"/>
        <w:rPr>
          <w:rFonts w:ascii="Arial" w:eastAsia="Times New Roman" w:hAnsi="Arial" w:cs="Arial"/>
          <w:b/>
          <w:bCs/>
          <w:color w:val="000000"/>
          <w:sz w:val="21"/>
          <w:szCs w:val="21"/>
          <w:lang w:val="ca-ES"/>
        </w:rPr>
      </w:pPr>
    </w:p>
    <w:p w14:paraId="029DDF98" w14:textId="77777777" w:rsidR="00B61D27" w:rsidRPr="00337375" w:rsidRDefault="00B61D27" w:rsidP="00337375">
      <w:pPr>
        <w:spacing w:after="240" w:line="276" w:lineRule="auto"/>
        <w:jc w:val="both"/>
        <w:rPr>
          <w:rFonts w:ascii="Arial" w:eastAsia="Times New Roman" w:hAnsi="Arial" w:cs="Arial"/>
          <w:b/>
          <w:bCs/>
          <w:color w:val="000000"/>
          <w:sz w:val="21"/>
          <w:szCs w:val="21"/>
          <w:lang w:val="ca-ES"/>
        </w:rPr>
      </w:pPr>
    </w:p>
    <w:p w14:paraId="0592CBEB" w14:textId="77777777" w:rsidR="00337375" w:rsidRPr="00337375" w:rsidRDefault="00337375" w:rsidP="00337375">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96" w:name="_Toc99110730"/>
      <w:r w:rsidRPr="00337375">
        <w:rPr>
          <w:rFonts w:ascii="Arial" w:eastAsia="Times New Roman" w:hAnsi="Arial" w:cs="Arial"/>
          <w:b/>
          <w:color w:val="9D2235"/>
          <w:sz w:val="28"/>
          <w:szCs w:val="28"/>
        </w:rPr>
        <w:t>Denominació: Ajuntament de Cullera. Oposicions Policia Local</w:t>
      </w:r>
      <w:bookmarkEnd w:id="196"/>
    </w:p>
    <w:p w14:paraId="6BA5A580" w14:textId="77777777" w:rsidR="00337375" w:rsidRPr="00337375" w:rsidRDefault="00337375" w:rsidP="005F040E">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Expedient</w:t>
      </w:r>
      <w:r w:rsidRPr="00337375">
        <w:rPr>
          <w:rFonts w:ascii="Arial" w:eastAsia="Times New Roman" w:hAnsi="Arial" w:cs="Arial"/>
          <w:color w:val="000000"/>
          <w:sz w:val="21"/>
          <w:szCs w:val="21"/>
        </w:rPr>
        <w:t>: 2020/G01_01/000006 [167/2019]</w:t>
      </w:r>
    </w:p>
    <w:p w14:paraId="13FADC74" w14:textId="77777777" w:rsidR="00337375" w:rsidRPr="00337375" w:rsidRDefault="00337375" w:rsidP="00337375">
      <w:pPr>
        <w:spacing w:after="240" w:line="276" w:lineRule="auto"/>
        <w:rPr>
          <w:rFonts w:ascii="Arial" w:eastAsia="Times New Roman" w:hAnsi="Arial" w:cs="Arial"/>
          <w:sz w:val="21"/>
          <w:szCs w:val="21"/>
          <w:lang w:eastAsia="es-ES"/>
        </w:rPr>
      </w:pPr>
      <w:r w:rsidRPr="00337375">
        <w:rPr>
          <w:rFonts w:ascii="Arial" w:eastAsia="Times New Roman" w:hAnsi="Arial" w:cs="Arial"/>
          <w:b/>
          <w:bCs/>
          <w:sz w:val="21"/>
          <w:szCs w:val="21"/>
        </w:rPr>
        <w:t>Enllaç a la publicació:</w:t>
      </w:r>
      <w:r w:rsidRPr="00337375">
        <w:rPr>
          <w:rFonts w:ascii="Arial" w:eastAsia="Times New Roman" w:hAnsi="Arial" w:cs="Arial"/>
          <w:b/>
          <w:bCs/>
          <w:sz w:val="21"/>
          <w:szCs w:val="21"/>
        </w:rPr>
        <w:br/>
      </w:r>
      <w:hyperlink r:id="rId428" w:history="1">
        <w:r w:rsidRPr="00337375">
          <w:rPr>
            <w:rFonts w:ascii="Arial" w:eastAsia="Times New Roman" w:hAnsi="Arial" w:cs="Arial"/>
            <w:bCs/>
            <w:color w:val="000080"/>
            <w:sz w:val="18"/>
            <w:szCs w:val="18"/>
            <w:u w:val="single"/>
          </w:rPr>
          <w:t>http://www.antifraucv.es/wp-content/uploads/2021/03/20210209_AJUNTAMENT_DE_CULLERA.pdf</w:t>
        </w:r>
      </w:hyperlink>
    </w:p>
    <w:p w14:paraId="24F82DC7"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Descripció</w:t>
      </w:r>
      <w:r w:rsidRPr="00337375">
        <w:rPr>
          <w:rFonts w:ascii="Arial" w:eastAsia="Times New Roman" w:hAnsi="Arial" w:cs="Arial"/>
          <w:color w:val="000000"/>
          <w:sz w:val="21"/>
          <w:szCs w:val="21"/>
        </w:rPr>
        <w:t>: Es denuncia que, durant la tramitació del procés selectiu per mitjà de concurs- oposició lliure, pel procediment extraordinari de consolidació d'ocupació, de 15 places corresponents a la categoria d'agent del cos de Policia Local de l'Ajuntament de Cullera, els 15 aspirants que obtenen les qualificacions més altes en el qüestionari tipus test són funcionaris interins de l'Ajuntament de Cullera.</w:t>
      </w:r>
    </w:p>
    <w:p w14:paraId="6000E6A2"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color w:val="000000"/>
          <w:sz w:val="21"/>
          <w:szCs w:val="21"/>
        </w:rPr>
        <w:t xml:space="preserve">Després de l'estudi en detall de la totalitat de la documentació i, després de les al·legacions presentades per l'Ajuntament de Cullera, es conclou en síntesi que el Tribunal de selecció no va garantir l'anonimat dels aspirants en la prova teòrica tipus test del procés selectiu. </w:t>
      </w:r>
    </w:p>
    <w:p w14:paraId="1D9CCFA9"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color w:val="000000"/>
          <w:sz w:val="21"/>
          <w:szCs w:val="21"/>
        </w:rPr>
        <w:t>Encara que l'Ajuntament de Cullera ha manifestat en el seu escrit d'al·legacions, que no s'ha interposat recurs d'alçada o contenciós-administratiu al llarg del procediment i que el tribunal de selecció no disposa d'espai d'apreciació en una prova tipus test, això no òbvia que haja de garantir-se l'anonimat dels opositors, ja que el Reial Decret 896/1991, en l'article 4.1 c) , no distingeix entre diferents tipus de proves.</w:t>
      </w:r>
    </w:p>
    <w:p w14:paraId="23D75512"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color w:val="000000"/>
          <w:sz w:val="21"/>
          <w:szCs w:val="21"/>
        </w:rPr>
        <w:t>S'ha verificat que tots els aspirants que obtenen les qualificacions més altes, tant en el supòsit teòric tipus test (en el que no es va garantir l'anonimat dels aspirants) , com en el supòsit pràctic (en el que sí es va garantir el dit anonimat), eren funcionaris interins de l'Ajuntament de Cullera en el moment de celebrar-se el procediment selectiu.</w:t>
      </w:r>
    </w:p>
    <w:p w14:paraId="16E762BE"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Resultat</w:t>
      </w:r>
      <w:r w:rsidRPr="00337375">
        <w:rPr>
          <w:rFonts w:ascii="Arial" w:eastAsia="Times New Roman" w:hAnsi="Arial" w:cs="Arial"/>
          <w:color w:val="000000"/>
          <w:sz w:val="21"/>
          <w:szCs w:val="21"/>
        </w:rPr>
        <w:t>: Es finalitza l'expedient amb les següents recomanacions:</w:t>
      </w:r>
    </w:p>
    <w:p w14:paraId="45C3C646" w14:textId="77777777" w:rsidR="00337375" w:rsidRPr="00337375" w:rsidRDefault="00337375" w:rsidP="00153419">
      <w:pPr>
        <w:numPr>
          <w:ilvl w:val="0"/>
          <w:numId w:val="89"/>
        </w:numPr>
        <w:spacing w:after="120" w:line="276" w:lineRule="auto"/>
        <w:ind w:left="714" w:hanging="357"/>
        <w:jc w:val="both"/>
        <w:rPr>
          <w:rFonts w:ascii="Arial" w:eastAsia="Times New Roman" w:hAnsi="Arial" w:cs="Arial"/>
          <w:color w:val="000000"/>
          <w:sz w:val="21"/>
          <w:szCs w:val="21"/>
        </w:rPr>
      </w:pPr>
      <w:r w:rsidRPr="00337375">
        <w:rPr>
          <w:rFonts w:ascii="Arial" w:eastAsia="Times New Roman" w:hAnsi="Arial" w:cs="Arial"/>
          <w:color w:val="000000"/>
          <w:sz w:val="21"/>
          <w:szCs w:val="21"/>
        </w:rPr>
        <w:t xml:space="preserve">Que es procedisca a iniciar la revisió d'ofici de l'Expedient tramitat, amb motiu de procés selectiu per mitjà de concurs-oposició lliure pel procediment extraordinari de consolidació d'ocupació, de 15 places corresponents a la categoria d'agent del cos de Policia Local de l'Ajuntament de Cullera. </w:t>
      </w:r>
    </w:p>
    <w:p w14:paraId="029A4E90" w14:textId="77777777" w:rsidR="00337375" w:rsidRPr="00337375" w:rsidRDefault="00337375" w:rsidP="00153419">
      <w:pPr>
        <w:numPr>
          <w:ilvl w:val="0"/>
          <w:numId w:val="89"/>
        </w:numPr>
        <w:spacing w:after="240" w:line="276" w:lineRule="auto"/>
        <w:jc w:val="both"/>
        <w:rPr>
          <w:rFonts w:ascii="Arial" w:eastAsia="Times New Roman" w:hAnsi="Arial" w:cs="Arial"/>
          <w:color w:val="000000"/>
          <w:sz w:val="21"/>
          <w:szCs w:val="21"/>
        </w:rPr>
      </w:pPr>
      <w:r w:rsidRPr="00337375">
        <w:rPr>
          <w:rFonts w:ascii="Arial" w:eastAsia="Times New Roman" w:hAnsi="Arial" w:cs="Arial"/>
          <w:color w:val="000000"/>
          <w:sz w:val="21"/>
          <w:szCs w:val="21"/>
        </w:rPr>
        <w:t>Que es procedisca, en el termini de 2 mesos, a comunicar a l'Agència Valenciana Antifrau les actuacions realitzades per l'Ajuntament de Cullera en relació amb l'apartat anterior, o si és el cas, sobre els motius que pogueren impedir actuar d'acord amb tals recomanacions.</w:t>
      </w:r>
    </w:p>
    <w:p w14:paraId="74C4A9B3"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Fase de seguiment:</w:t>
      </w:r>
      <w:r w:rsidRPr="00337375">
        <w:rPr>
          <w:rFonts w:ascii="Arial" w:eastAsia="Times New Roman" w:hAnsi="Arial" w:cs="Arial"/>
          <w:color w:val="000000"/>
          <w:sz w:val="21"/>
          <w:szCs w:val="21"/>
        </w:rPr>
        <w:t xml:space="preserve"> Després de l'estudi dels motius jurídics adduïts per l'Ajuntament de Cullera, per a no aplicar la recomanació efectuada per l'Agència Valenciana Antifrau en la fase d'investigació del present Expedient, es conclou que procedix tindre en consideració la justificació jurídica exposada i, en conseqüència, es finalitza l'Expedient. </w:t>
      </w:r>
    </w:p>
    <w:p w14:paraId="37AF2B7F" w14:textId="77777777" w:rsidR="00337375" w:rsidRPr="00337375" w:rsidRDefault="00337375" w:rsidP="00337375">
      <w:pPr>
        <w:spacing w:after="240" w:line="276" w:lineRule="auto"/>
        <w:jc w:val="both"/>
        <w:rPr>
          <w:rFonts w:ascii="Arial" w:eastAsia="Times New Roman" w:hAnsi="Arial" w:cs="Arial"/>
          <w:color w:val="000000"/>
          <w:sz w:val="21"/>
          <w:szCs w:val="21"/>
          <w:lang w:val="ca-ES"/>
        </w:rPr>
      </w:pPr>
      <w:r w:rsidRPr="00337375">
        <w:rPr>
          <w:rFonts w:ascii="Arial" w:eastAsia="Times New Roman" w:hAnsi="Arial" w:cs="Arial"/>
          <w:color w:val="000000"/>
          <w:sz w:val="21"/>
          <w:szCs w:val="21"/>
        </w:rPr>
        <w:t>Es trasllada la resolució de conclusió d'actuacions i la resolució de la Fase de seguiment a l'Agència Valenciana de Seguretat i Resposta a les Emergències</w:t>
      </w:r>
      <w:r w:rsidRPr="00337375">
        <w:rPr>
          <w:rFonts w:ascii="Arial" w:eastAsia="Times New Roman" w:hAnsi="Arial" w:cs="Arial"/>
          <w:color w:val="000000"/>
          <w:sz w:val="21"/>
          <w:szCs w:val="21"/>
          <w:lang w:val="ca-ES"/>
        </w:rPr>
        <w:t>.</w:t>
      </w:r>
    </w:p>
    <w:p w14:paraId="02B042EF" w14:textId="77777777" w:rsidR="00337375" w:rsidRPr="00337375" w:rsidRDefault="00337375" w:rsidP="00337375">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97" w:name="_Toc99110731"/>
      <w:r w:rsidRPr="00337375">
        <w:rPr>
          <w:rFonts w:ascii="Arial" w:eastAsia="Times New Roman" w:hAnsi="Arial" w:cs="Arial"/>
          <w:b/>
          <w:color w:val="9D2235"/>
          <w:sz w:val="28"/>
          <w:szCs w:val="28"/>
        </w:rPr>
        <w:t>Denominació: Ajuntament de Rojales. Irregularitats en el pagament de servicis extraordinaris a funcionaris amb dedicació exclusiva</w:t>
      </w:r>
      <w:bookmarkEnd w:id="197"/>
    </w:p>
    <w:p w14:paraId="3F0489D7" w14:textId="77777777" w:rsidR="00337375" w:rsidRPr="00337375" w:rsidRDefault="00337375" w:rsidP="005F040E">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 xml:space="preserve">Expedient: </w:t>
      </w:r>
      <w:r w:rsidRPr="00337375">
        <w:rPr>
          <w:rFonts w:ascii="Arial" w:eastAsia="Times New Roman" w:hAnsi="Arial" w:cs="Arial"/>
          <w:color w:val="000000"/>
          <w:sz w:val="21"/>
          <w:szCs w:val="21"/>
        </w:rPr>
        <w:t>2020/G01_01/000256 [151-2019]</w:t>
      </w:r>
    </w:p>
    <w:p w14:paraId="22C682C8" w14:textId="77777777" w:rsidR="00337375" w:rsidRPr="00337375" w:rsidRDefault="00337375" w:rsidP="00337375">
      <w:pPr>
        <w:spacing w:after="240" w:line="276" w:lineRule="auto"/>
        <w:rPr>
          <w:rFonts w:ascii="Arial" w:eastAsia="Times New Roman" w:hAnsi="Arial" w:cs="Arial"/>
          <w:sz w:val="21"/>
          <w:szCs w:val="21"/>
          <w:lang w:eastAsia="es-ES"/>
        </w:rPr>
      </w:pPr>
      <w:r w:rsidRPr="00337375">
        <w:rPr>
          <w:rFonts w:ascii="Arial" w:eastAsia="Times New Roman" w:hAnsi="Arial" w:cs="Arial"/>
          <w:b/>
          <w:bCs/>
          <w:sz w:val="21"/>
          <w:szCs w:val="21"/>
        </w:rPr>
        <w:t>Enllaç a la publicació:</w:t>
      </w:r>
      <w:r w:rsidRPr="00337375">
        <w:rPr>
          <w:rFonts w:ascii="Arial" w:eastAsia="Times New Roman" w:hAnsi="Arial" w:cs="Arial"/>
          <w:b/>
          <w:bCs/>
          <w:sz w:val="21"/>
          <w:szCs w:val="21"/>
        </w:rPr>
        <w:br/>
      </w:r>
      <w:hyperlink r:id="rId429" w:history="1">
        <w:r w:rsidRPr="00337375">
          <w:rPr>
            <w:rFonts w:ascii="Arial" w:eastAsia="Times New Roman" w:hAnsi="Arial" w:cs="Arial"/>
            <w:bCs/>
            <w:color w:val="000080"/>
            <w:sz w:val="18"/>
            <w:szCs w:val="18"/>
            <w:u w:val="single"/>
          </w:rPr>
          <w:t>http://www.antifraucv.es/wp-content/uploads/2021/03/20210217_AJUNTAMENT_DE_ROJALES.pdf</w:t>
        </w:r>
      </w:hyperlink>
    </w:p>
    <w:p w14:paraId="34695A7F"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Descripció:</w:t>
      </w:r>
      <w:r w:rsidRPr="00337375">
        <w:rPr>
          <w:rFonts w:ascii="Arial" w:eastAsia="Times New Roman" w:hAnsi="Arial" w:cs="Arial"/>
          <w:color w:val="000000"/>
          <w:sz w:val="21"/>
          <w:szCs w:val="21"/>
        </w:rPr>
        <w:t xml:space="preserve"> Els fets denunciats es concreten en el pagament del factor d'especial disponibilitat, aprovat per a la Policia Local durant els mesos de juliol de 2017 a juny de 2018, a dos funcionaris municipals als quals se'ls està retribuint suposadament dos vegades pel mateix concepte.</w:t>
      </w:r>
    </w:p>
    <w:p w14:paraId="48C192A0"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color w:val="000000"/>
          <w:sz w:val="21"/>
          <w:szCs w:val="21"/>
        </w:rPr>
        <w:t xml:space="preserve">Després de la instrucció de l'oportú procediment d'investigació, es va evidenciar: </w:t>
      </w:r>
    </w:p>
    <w:p w14:paraId="4522F1D2" w14:textId="77777777" w:rsidR="00337375" w:rsidRPr="00337375" w:rsidRDefault="00337375" w:rsidP="00153419">
      <w:pPr>
        <w:numPr>
          <w:ilvl w:val="0"/>
          <w:numId w:val="90"/>
        </w:numPr>
        <w:spacing w:after="120" w:line="276" w:lineRule="auto"/>
        <w:ind w:left="714" w:hanging="357"/>
        <w:jc w:val="both"/>
        <w:rPr>
          <w:rFonts w:ascii="Arial" w:eastAsia="Times New Roman" w:hAnsi="Arial" w:cs="Arial"/>
          <w:color w:val="000000"/>
          <w:sz w:val="21"/>
          <w:szCs w:val="21"/>
        </w:rPr>
      </w:pPr>
      <w:r w:rsidRPr="00337375">
        <w:rPr>
          <w:rFonts w:ascii="Arial" w:eastAsia="Times New Roman" w:hAnsi="Arial" w:cs="Arial"/>
          <w:color w:val="000000"/>
          <w:sz w:val="21"/>
          <w:szCs w:val="21"/>
        </w:rPr>
        <w:t xml:space="preserve">En la Relació de Llocs de treball, no es troben definits el detall dels factors i subfactors tinguts en compte a l'hora de valorar i fixar la quantitat del complement específic de cada lloc de treball. </w:t>
      </w:r>
    </w:p>
    <w:p w14:paraId="68A3DC21" w14:textId="77777777" w:rsidR="00337375" w:rsidRPr="00337375" w:rsidRDefault="00337375" w:rsidP="00153419">
      <w:pPr>
        <w:numPr>
          <w:ilvl w:val="0"/>
          <w:numId w:val="90"/>
        </w:numPr>
        <w:spacing w:after="120" w:line="276" w:lineRule="auto"/>
        <w:ind w:left="714" w:hanging="357"/>
        <w:jc w:val="both"/>
        <w:rPr>
          <w:rFonts w:ascii="Arial" w:eastAsia="Times New Roman" w:hAnsi="Arial" w:cs="Arial"/>
          <w:color w:val="000000"/>
          <w:sz w:val="21"/>
          <w:szCs w:val="21"/>
        </w:rPr>
      </w:pPr>
      <w:r w:rsidRPr="00337375">
        <w:rPr>
          <w:rFonts w:ascii="Arial" w:eastAsia="Times New Roman" w:hAnsi="Arial" w:cs="Arial"/>
          <w:color w:val="000000"/>
          <w:sz w:val="21"/>
          <w:szCs w:val="21"/>
        </w:rPr>
        <w:t xml:space="preserve"> L'Ajuntament de Rojales, a l'aprovar al setembre de 2017 un “Reglament de Disponibilitat”; aplicable a la policia local, de facto estava modificant el nombre d'hores anuals a realitzar per este col·lectiu, i regulant una retribució fixa mensual per la realització d'un nombre d'hores anuals per damunt de la jornada ordinària. Aspectes que han de ser inclosos i regulats en la RPT de l'Ajuntament, la qual va haver de modificar-se per a això. Tot això ha generat la confusió de si és compatible o no la retribució del factor de la RPT “plena disponibilitat”; amb el règim regulat en el Reglament de Disponibilitat aprovat en 2017. Les motivacions que pretenen ser cobertes pel Reglament de Disponibilitat responen a situacions que es van a produir ordinàriament cada exercici, per la qual cosa, al no tindre un caràcter extraordinari, haurien de cobrir-se eixes funcions i la retribució de les mateixa en la RPT de l'Ajuntament.</w:t>
      </w:r>
    </w:p>
    <w:p w14:paraId="7140CBD5" w14:textId="77777777" w:rsidR="00337375" w:rsidRPr="00337375" w:rsidRDefault="00337375" w:rsidP="00153419">
      <w:pPr>
        <w:numPr>
          <w:ilvl w:val="0"/>
          <w:numId w:val="90"/>
        </w:numPr>
        <w:spacing w:after="240" w:line="276" w:lineRule="auto"/>
        <w:jc w:val="both"/>
        <w:rPr>
          <w:rFonts w:ascii="Arial" w:eastAsia="Times New Roman" w:hAnsi="Arial" w:cs="Arial"/>
          <w:color w:val="000000"/>
          <w:sz w:val="21"/>
          <w:szCs w:val="21"/>
        </w:rPr>
      </w:pPr>
      <w:r w:rsidRPr="00337375">
        <w:rPr>
          <w:rFonts w:ascii="Arial" w:eastAsia="Times New Roman" w:hAnsi="Arial" w:cs="Arial"/>
          <w:color w:val="000000"/>
          <w:sz w:val="21"/>
          <w:szCs w:val="21"/>
        </w:rPr>
        <w:t>La disponibilitat i la major dedicació, entesa esta última com una major dedicació horària superior a la jornada habitual, han de valorar-se objectivament en el manual de valoració de la RPT i aplicar-se a aquells llocs que per les funcions ordinàries i habituals per al seu exercici així ho requerixen</w:t>
      </w:r>
    </w:p>
    <w:p w14:paraId="5DD88F28"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Resultat:</w:t>
      </w:r>
      <w:r w:rsidRPr="00337375">
        <w:rPr>
          <w:rFonts w:ascii="Arial" w:eastAsia="Times New Roman" w:hAnsi="Arial" w:cs="Arial"/>
          <w:color w:val="000000"/>
          <w:sz w:val="21"/>
          <w:szCs w:val="21"/>
        </w:rPr>
        <w:t xml:space="preserve"> Formulació de recomanacions a l'Ajuntament de Rojales, requerint </w:t>
      </w:r>
      <w:r w:rsidRPr="00337375">
        <w:rPr>
          <w:rFonts w:ascii="Arial" w:eastAsia="Times New Roman" w:hAnsi="Arial" w:cs="Arial"/>
          <w:b/>
          <w:bCs/>
          <w:color w:val="000000"/>
          <w:sz w:val="21"/>
          <w:szCs w:val="21"/>
        </w:rPr>
        <w:t>l'aprovació d'una nova relació de llocs de treball</w:t>
      </w:r>
      <w:r w:rsidRPr="00337375">
        <w:rPr>
          <w:rFonts w:ascii="Arial" w:eastAsia="Times New Roman" w:hAnsi="Arial" w:cs="Arial"/>
          <w:color w:val="000000"/>
          <w:sz w:val="21"/>
          <w:szCs w:val="21"/>
        </w:rPr>
        <w:t>, en la que es fixe un sistema objectiu que precise les retribucions complementàries a través d'una anàlisi prèvia i una valoració objectiva dels llocs, i establisca els nivells de complement de destí i complement específic ajustats a eixa avaluació.</w:t>
      </w:r>
    </w:p>
    <w:p w14:paraId="57F8D735" w14:textId="77777777" w:rsidR="00337375" w:rsidRPr="00337375" w:rsidRDefault="00337375" w:rsidP="00337375">
      <w:pPr>
        <w:spacing w:after="240" w:line="276" w:lineRule="auto"/>
        <w:jc w:val="both"/>
        <w:rPr>
          <w:rFonts w:ascii="Arial" w:eastAsia="Times New Roman" w:hAnsi="Arial" w:cs="Arial"/>
          <w:color w:val="000000"/>
          <w:sz w:val="21"/>
          <w:szCs w:val="21"/>
        </w:rPr>
      </w:pPr>
      <w:r w:rsidRPr="00337375">
        <w:rPr>
          <w:rFonts w:ascii="Arial" w:eastAsia="Times New Roman" w:hAnsi="Arial" w:cs="Arial"/>
          <w:b/>
          <w:bCs/>
          <w:color w:val="000000"/>
          <w:sz w:val="21"/>
          <w:szCs w:val="21"/>
        </w:rPr>
        <w:t>Fase de seguiment:</w:t>
      </w:r>
      <w:r w:rsidRPr="00337375">
        <w:rPr>
          <w:rFonts w:ascii="Arial" w:eastAsia="Times New Roman" w:hAnsi="Arial" w:cs="Arial"/>
          <w:color w:val="000000"/>
          <w:sz w:val="21"/>
          <w:szCs w:val="21"/>
        </w:rPr>
        <w:t xml:space="preserve"> Finalitzada la Fase de seguiment, </w:t>
      </w:r>
      <w:r w:rsidRPr="00337375">
        <w:rPr>
          <w:rFonts w:ascii="Arial" w:eastAsia="Times New Roman" w:hAnsi="Arial" w:cs="Arial"/>
          <w:b/>
          <w:bCs/>
          <w:color w:val="000000"/>
          <w:sz w:val="21"/>
          <w:szCs w:val="21"/>
        </w:rPr>
        <w:t>s'han incomplit per l'Ajuntament de Rojales les recomanacions proposades per l'AVAF</w:t>
      </w:r>
      <w:r w:rsidRPr="00337375">
        <w:rPr>
          <w:rFonts w:ascii="Arial" w:eastAsia="Times New Roman" w:hAnsi="Arial" w:cs="Arial"/>
          <w:color w:val="000000"/>
          <w:sz w:val="21"/>
          <w:szCs w:val="21"/>
        </w:rPr>
        <w:t>, la qual cosa es va constatar Mitjançant Una Resolució del director de l'Agència núm. 908, de 14 desembre de 2021.</w:t>
      </w:r>
    </w:p>
    <w:p w14:paraId="36290E2B" w14:textId="77777777" w:rsidR="002105F8" w:rsidRPr="002105F8" w:rsidRDefault="002105F8" w:rsidP="002105F8">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98" w:name="_Toc95209057"/>
      <w:bookmarkStart w:id="199" w:name="_Toc95913849"/>
      <w:bookmarkStart w:id="200" w:name="_Toc99110732"/>
      <w:r w:rsidRPr="002105F8">
        <w:rPr>
          <w:rFonts w:ascii="Arial" w:eastAsia="Times New Roman" w:hAnsi="Arial" w:cs="Arial"/>
          <w:b/>
          <w:color w:val="9D2235"/>
          <w:sz w:val="28"/>
          <w:szCs w:val="28"/>
        </w:rPr>
        <w:t>Denominació: Ajuntament de Camporrobles. Contractació menor</w:t>
      </w:r>
      <w:bookmarkEnd w:id="198"/>
      <w:bookmarkEnd w:id="199"/>
      <w:bookmarkEnd w:id="200"/>
    </w:p>
    <w:p w14:paraId="60116A13" w14:textId="77777777" w:rsidR="002105F8" w:rsidRPr="002105F8" w:rsidRDefault="002105F8" w:rsidP="005F040E">
      <w:pPr>
        <w:spacing w:after="240" w:line="276" w:lineRule="auto"/>
        <w:jc w:val="both"/>
        <w:rPr>
          <w:rFonts w:ascii="Arial" w:eastAsia="Times New Roman" w:hAnsi="Arial" w:cs="Arial"/>
          <w:color w:val="000000"/>
          <w:sz w:val="21"/>
          <w:szCs w:val="21"/>
        </w:rPr>
      </w:pPr>
      <w:r w:rsidRPr="002105F8">
        <w:rPr>
          <w:rFonts w:ascii="Arial" w:eastAsia="Times New Roman" w:hAnsi="Arial" w:cs="Arial"/>
          <w:b/>
          <w:bCs/>
          <w:color w:val="000000"/>
          <w:sz w:val="21"/>
          <w:szCs w:val="21"/>
        </w:rPr>
        <w:t>Expedient</w:t>
      </w:r>
      <w:r w:rsidRPr="002105F8">
        <w:rPr>
          <w:rFonts w:ascii="Arial" w:eastAsia="Times New Roman" w:hAnsi="Arial" w:cs="Arial"/>
          <w:color w:val="000000"/>
          <w:sz w:val="21"/>
          <w:szCs w:val="21"/>
        </w:rPr>
        <w:t>: 2020/G01_01/000161 [77/2019]</w:t>
      </w:r>
    </w:p>
    <w:p w14:paraId="72856C04" w14:textId="77777777" w:rsidR="005F040E" w:rsidRPr="001E45F9" w:rsidRDefault="005F040E" w:rsidP="005F040E">
      <w:pPr>
        <w:spacing w:after="240" w:line="276" w:lineRule="auto"/>
        <w:rPr>
          <w:rFonts w:ascii="Arial" w:eastAsia="Times New Roman" w:hAnsi="Arial" w:cs="Arial"/>
          <w:sz w:val="21"/>
          <w:szCs w:val="21"/>
          <w:lang w:val="ca-ES" w:eastAsia="es-ES"/>
        </w:rPr>
      </w:pPr>
      <w:r w:rsidRPr="001E45F9">
        <w:rPr>
          <w:rFonts w:ascii="Arial" w:eastAsia="Times New Roman" w:hAnsi="Arial" w:cs="Arial"/>
          <w:b/>
          <w:bCs/>
          <w:sz w:val="21"/>
          <w:szCs w:val="21"/>
          <w:lang w:val="ca-ES"/>
        </w:rPr>
        <w:t>Enllaç a la publicació:</w:t>
      </w:r>
      <w:r w:rsidRPr="001E45F9">
        <w:rPr>
          <w:rFonts w:ascii="Arial" w:eastAsia="Times New Roman" w:hAnsi="Arial" w:cs="Arial"/>
          <w:b/>
          <w:bCs/>
          <w:sz w:val="21"/>
          <w:szCs w:val="21"/>
          <w:lang w:val="ca-ES"/>
        </w:rPr>
        <w:br/>
      </w:r>
      <w:hyperlink r:id="rId430" w:history="1">
        <w:r w:rsidRPr="001E45F9">
          <w:rPr>
            <w:rStyle w:val="Hipervnculo"/>
            <w:rFonts w:ascii="Arial" w:eastAsia="Times New Roman" w:hAnsi="Arial" w:cs="Arial"/>
            <w:sz w:val="17"/>
            <w:szCs w:val="17"/>
            <w:lang w:val="ca-ES" w:eastAsia="es-ES"/>
          </w:rPr>
          <w:t>http://www.antifraucv.es/wp-content/uploads/2021/03/20210223_AJUNTAMENT_DE_CAMPORROBLES.pdf</w:t>
        </w:r>
      </w:hyperlink>
    </w:p>
    <w:p w14:paraId="2719C1F3" w14:textId="77777777" w:rsidR="002105F8" w:rsidRP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b/>
          <w:bCs/>
          <w:color w:val="000000"/>
          <w:sz w:val="21"/>
          <w:szCs w:val="21"/>
        </w:rPr>
        <w:t>Descripció</w:t>
      </w:r>
      <w:r w:rsidRPr="002105F8">
        <w:rPr>
          <w:rFonts w:ascii="Arial" w:eastAsia="Times New Roman" w:hAnsi="Arial" w:cs="Arial"/>
          <w:color w:val="000000"/>
          <w:sz w:val="21"/>
          <w:szCs w:val="21"/>
        </w:rPr>
        <w:t>: Es denuncien suposades actuacions contràries a la normativa vigent en matèria de contractació del Sector Públic.</w:t>
      </w:r>
    </w:p>
    <w:p w14:paraId="22325A3A" w14:textId="77777777" w:rsidR="002105F8" w:rsidRP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color w:val="000000"/>
          <w:sz w:val="21"/>
          <w:szCs w:val="21"/>
        </w:rPr>
        <w:t>Després de l'estudi en detall de la totalitat de la documentació, es conclou que:</w:t>
      </w:r>
    </w:p>
    <w:p w14:paraId="00BC1979" w14:textId="77777777" w:rsidR="002105F8" w:rsidRPr="002105F8" w:rsidRDefault="002105F8" w:rsidP="00153419">
      <w:pPr>
        <w:numPr>
          <w:ilvl w:val="0"/>
          <w:numId w:val="91"/>
        </w:numPr>
        <w:spacing w:after="120" w:line="276" w:lineRule="auto"/>
        <w:ind w:left="714" w:hanging="357"/>
        <w:jc w:val="both"/>
        <w:rPr>
          <w:rFonts w:ascii="Arial" w:eastAsia="Times New Roman" w:hAnsi="Arial" w:cs="Arial"/>
          <w:color w:val="000000"/>
          <w:sz w:val="21"/>
          <w:szCs w:val="21"/>
        </w:rPr>
      </w:pPr>
      <w:r w:rsidRPr="002105F8">
        <w:rPr>
          <w:rFonts w:ascii="Arial" w:eastAsia="Times New Roman" w:hAnsi="Arial" w:cs="Arial"/>
          <w:color w:val="000000"/>
          <w:sz w:val="21"/>
          <w:szCs w:val="21"/>
        </w:rPr>
        <w:t xml:space="preserve">L'Ajuntament de Camporrobles, va </w:t>
      </w:r>
      <w:r w:rsidRPr="002105F8">
        <w:rPr>
          <w:rFonts w:ascii="Arial" w:eastAsia="Times New Roman" w:hAnsi="Arial" w:cs="Arial"/>
          <w:b/>
          <w:bCs/>
          <w:color w:val="000000"/>
          <w:sz w:val="21"/>
          <w:szCs w:val="21"/>
        </w:rPr>
        <w:t>encarregar i va abonar la prestació del servici de redacció de diversos projectes d'obra</w:t>
      </w:r>
      <w:r w:rsidRPr="002105F8">
        <w:rPr>
          <w:rFonts w:ascii="Arial" w:eastAsia="Times New Roman" w:hAnsi="Arial" w:cs="Arial"/>
          <w:color w:val="000000"/>
          <w:sz w:val="21"/>
          <w:szCs w:val="21"/>
        </w:rPr>
        <w:t xml:space="preserve"> a diferents professionals. </w:t>
      </w:r>
    </w:p>
    <w:p w14:paraId="4B29E57D" w14:textId="77777777" w:rsidR="002105F8" w:rsidRPr="002105F8" w:rsidRDefault="002105F8" w:rsidP="00153419">
      <w:pPr>
        <w:numPr>
          <w:ilvl w:val="0"/>
          <w:numId w:val="91"/>
        </w:numPr>
        <w:spacing w:after="120" w:line="276" w:lineRule="auto"/>
        <w:ind w:left="714" w:hanging="357"/>
        <w:jc w:val="both"/>
        <w:rPr>
          <w:rFonts w:ascii="Arial" w:eastAsia="Times New Roman" w:hAnsi="Arial" w:cs="Arial"/>
          <w:color w:val="000000"/>
          <w:sz w:val="21"/>
          <w:szCs w:val="21"/>
        </w:rPr>
      </w:pPr>
      <w:r w:rsidRPr="002105F8">
        <w:rPr>
          <w:rFonts w:ascii="Arial" w:eastAsia="Times New Roman" w:hAnsi="Arial" w:cs="Arial"/>
          <w:color w:val="000000"/>
          <w:sz w:val="21"/>
          <w:szCs w:val="21"/>
        </w:rPr>
        <w:t xml:space="preserve">Els anteriors servicis es van tramitar com a contractes menors per raó de quantia a l'empara del que establix la Llei 9/2017, de 8 de novembre, de Contractes del Sector Públic, </w:t>
      </w:r>
      <w:r w:rsidRPr="002105F8">
        <w:rPr>
          <w:rFonts w:ascii="Arial" w:eastAsia="Times New Roman" w:hAnsi="Arial" w:cs="Arial"/>
          <w:b/>
          <w:bCs/>
          <w:color w:val="000000"/>
          <w:sz w:val="21"/>
          <w:szCs w:val="21"/>
        </w:rPr>
        <w:t>adjudicant-se directament</w:t>
      </w:r>
      <w:r w:rsidRPr="002105F8">
        <w:rPr>
          <w:rFonts w:ascii="Arial" w:eastAsia="Times New Roman" w:hAnsi="Arial" w:cs="Arial"/>
          <w:color w:val="000000"/>
          <w:sz w:val="21"/>
          <w:szCs w:val="21"/>
        </w:rPr>
        <w:t xml:space="preserve"> als professionals indicats, però </w:t>
      </w:r>
      <w:r w:rsidRPr="002105F8">
        <w:rPr>
          <w:rFonts w:ascii="Arial" w:eastAsia="Times New Roman" w:hAnsi="Arial" w:cs="Arial"/>
          <w:b/>
          <w:bCs/>
          <w:color w:val="000000"/>
          <w:sz w:val="21"/>
          <w:szCs w:val="21"/>
        </w:rPr>
        <w:t>sense complir les exigències que establix l'article 118 de la mencionada Llei</w:t>
      </w:r>
      <w:r w:rsidRPr="002105F8">
        <w:rPr>
          <w:rFonts w:ascii="Arial" w:eastAsia="Times New Roman" w:hAnsi="Arial" w:cs="Arial"/>
          <w:color w:val="000000"/>
          <w:sz w:val="21"/>
          <w:szCs w:val="21"/>
        </w:rPr>
        <w:t>, al no haver-se emés per part de l'òrgan de contractació els informes preceptius de necessitat i justificació que preveu el dit article, exigibles per a la tramitació dels contractes menors, la qual cosa suposa l'existència d'irregularitats administratives no invalidants del procediment.</w:t>
      </w:r>
    </w:p>
    <w:p w14:paraId="2155BE89" w14:textId="77777777" w:rsidR="002105F8" w:rsidRPr="002105F8" w:rsidRDefault="002105F8" w:rsidP="00153419">
      <w:pPr>
        <w:numPr>
          <w:ilvl w:val="0"/>
          <w:numId w:val="91"/>
        </w:numPr>
        <w:spacing w:after="120" w:line="276" w:lineRule="auto"/>
        <w:ind w:left="714" w:hanging="357"/>
        <w:jc w:val="both"/>
        <w:rPr>
          <w:rFonts w:ascii="Arial" w:eastAsia="Times New Roman" w:hAnsi="Arial" w:cs="Arial"/>
          <w:color w:val="000000"/>
          <w:sz w:val="21"/>
          <w:szCs w:val="21"/>
        </w:rPr>
      </w:pPr>
      <w:r w:rsidRPr="002105F8">
        <w:rPr>
          <w:rFonts w:ascii="Arial" w:eastAsia="Times New Roman" w:hAnsi="Arial" w:cs="Arial"/>
          <w:color w:val="000000"/>
          <w:sz w:val="21"/>
          <w:szCs w:val="21"/>
        </w:rPr>
        <w:t>L'omissió de l'informe previst en l'apartat anterior pot haver sigut produïda per la falta d'assessorament jurídic a l'òrgan de contractació municipal i no hi ha indicis que responga a un intent d'abús en l'ús de la contractació menor per a eludir l'aplicació de les regles generals de contractació.</w:t>
      </w:r>
    </w:p>
    <w:p w14:paraId="717B4FB4" w14:textId="77777777" w:rsidR="002105F8" w:rsidRPr="002105F8" w:rsidRDefault="002105F8" w:rsidP="00153419">
      <w:pPr>
        <w:numPr>
          <w:ilvl w:val="0"/>
          <w:numId w:val="91"/>
        </w:numPr>
        <w:spacing w:after="240" w:line="276" w:lineRule="auto"/>
        <w:jc w:val="both"/>
        <w:rPr>
          <w:rFonts w:ascii="Arial" w:eastAsia="Times New Roman" w:hAnsi="Arial" w:cs="Arial"/>
          <w:color w:val="000000"/>
          <w:sz w:val="21"/>
          <w:szCs w:val="21"/>
        </w:rPr>
      </w:pPr>
      <w:r w:rsidRPr="002105F8">
        <w:rPr>
          <w:rFonts w:ascii="Arial" w:eastAsia="Times New Roman" w:hAnsi="Arial" w:cs="Arial"/>
          <w:color w:val="000000"/>
          <w:sz w:val="21"/>
          <w:szCs w:val="21"/>
        </w:rPr>
        <w:t>Ha quedat acreditat que l'encàrrec i abonament dels servicis als distints professionals es va efectuar per la realització de servicis, distints i diferenciats de redacció de projectes, i no per un únic servici de redacció de projectes.</w:t>
      </w:r>
    </w:p>
    <w:p w14:paraId="22ADA69A" w14:textId="77777777" w:rsidR="002105F8" w:rsidRP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b/>
          <w:bCs/>
          <w:color w:val="000000"/>
          <w:sz w:val="21"/>
          <w:szCs w:val="21"/>
        </w:rPr>
        <w:t>Resultat</w:t>
      </w:r>
      <w:r w:rsidRPr="002105F8">
        <w:rPr>
          <w:rFonts w:ascii="Arial" w:eastAsia="Times New Roman" w:hAnsi="Arial" w:cs="Arial"/>
          <w:color w:val="000000"/>
          <w:sz w:val="21"/>
          <w:szCs w:val="21"/>
        </w:rPr>
        <w:t>: Es finalitza l'expedient amb arxivament de les actuacions, si bé es recomana a l'alcaldia de l'Ajuntament de Camporrobles que realitze les actuacions necessàries per a comptar amb un funcionari públic que exercisca les funcions d'assessorament legal en el consistori, amb l'objectiu de garantir que les actuacions municipals complisquen amb la normativa vigent en cada moment. Especialment es recomana comptar amb el dit assessorament en la tramitació dels expedients de contractació menor, objecte principal del present expedient, que hauran d'incloure tots els informes preceptius exigits en l'article 118 de la LCSP i complir la resta de normativa aplicable.</w:t>
      </w:r>
    </w:p>
    <w:p w14:paraId="7ADD1F4F" w14:textId="4CD0A52B" w:rsid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b/>
          <w:bCs/>
          <w:color w:val="000000"/>
          <w:sz w:val="21"/>
          <w:szCs w:val="21"/>
        </w:rPr>
        <w:t xml:space="preserve">Fase de seguiment: </w:t>
      </w:r>
      <w:r w:rsidRPr="002105F8">
        <w:rPr>
          <w:rFonts w:ascii="Arial" w:eastAsia="Times New Roman" w:hAnsi="Arial" w:cs="Arial"/>
          <w:color w:val="000000"/>
          <w:sz w:val="21"/>
          <w:szCs w:val="21"/>
        </w:rPr>
        <w:t>No procedeix.</w:t>
      </w:r>
    </w:p>
    <w:p w14:paraId="7B5D472C" w14:textId="77777777" w:rsidR="00B61D27" w:rsidRPr="002105F8" w:rsidRDefault="00B61D27" w:rsidP="002105F8">
      <w:pPr>
        <w:spacing w:after="240" w:line="276" w:lineRule="auto"/>
        <w:jc w:val="both"/>
        <w:rPr>
          <w:rFonts w:ascii="Arial" w:eastAsia="Times New Roman" w:hAnsi="Arial" w:cs="Arial"/>
          <w:color w:val="000000"/>
          <w:sz w:val="21"/>
          <w:szCs w:val="21"/>
        </w:rPr>
      </w:pPr>
    </w:p>
    <w:p w14:paraId="4F497548" w14:textId="77777777" w:rsidR="002105F8" w:rsidRPr="002105F8" w:rsidRDefault="002105F8" w:rsidP="002105F8">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01" w:name="_Toc99110733"/>
      <w:r w:rsidRPr="002105F8">
        <w:rPr>
          <w:rFonts w:ascii="Arial" w:eastAsia="Times New Roman" w:hAnsi="Arial" w:cs="Arial"/>
          <w:b/>
          <w:color w:val="9D2235"/>
          <w:sz w:val="28"/>
          <w:szCs w:val="28"/>
        </w:rPr>
        <w:t>Denominació: Ajuntament de València. Justificació de subvenció acció contra la fam fora de termini</w:t>
      </w:r>
      <w:bookmarkEnd w:id="201"/>
    </w:p>
    <w:p w14:paraId="50253C5F" w14:textId="77777777" w:rsidR="002105F8" w:rsidRPr="002105F8" w:rsidRDefault="002105F8" w:rsidP="005F040E">
      <w:pPr>
        <w:spacing w:after="240" w:line="276" w:lineRule="auto"/>
        <w:jc w:val="both"/>
        <w:rPr>
          <w:rFonts w:ascii="Arial" w:eastAsia="Times New Roman" w:hAnsi="Arial" w:cs="Arial"/>
          <w:b/>
          <w:bCs/>
          <w:color w:val="000000"/>
          <w:sz w:val="21"/>
          <w:szCs w:val="21"/>
          <w:lang w:val="ca-ES"/>
        </w:rPr>
      </w:pPr>
      <w:r w:rsidRPr="002105F8">
        <w:rPr>
          <w:rFonts w:ascii="Arial" w:eastAsia="Times New Roman" w:hAnsi="Arial" w:cs="Arial"/>
          <w:b/>
          <w:bCs/>
          <w:color w:val="000000"/>
          <w:sz w:val="21"/>
          <w:szCs w:val="21"/>
          <w:lang w:val="ca-ES"/>
        </w:rPr>
        <w:t xml:space="preserve">Expedient: </w:t>
      </w:r>
      <w:r w:rsidRPr="002105F8">
        <w:rPr>
          <w:rFonts w:ascii="Arial" w:eastAsia="Times New Roman" w:hAnsi="Arial" w:cs="Arial"/>
          <w:color w:val="000000"/>
          <w:sz w:val="21"/>
          <w:szCs w:val="21"/>
          <w:lang w:val="ca-ES"/>
        </w:rPr>
        <w:t>2020/G01_01/000013</w:t>
      </w:r>
    </w:p>
    <w:p w14:paraId="4F6C6AC3" w14:textId="77777777" w:rsidR="002105F8" w:rsidRPr="002105F8" w:rsidRDefault="002105F8" w:rsidP="002105F8">
      <w:pPr>
        <w:spacing w:after="240" w:line="276" w:lineRule="auto"/>
        <w:rPr>
          <w:rFonts w:ascii="Arial" w:eastAsia="Times New Roman" w:hAnsi="Arial" w:cs="Arial"/>
          <w:sz w:val="18"/>
          <w:szCs w:val="18"/>
          <w:lang w:val="ca-ES" w:eastAsia="es-ES"/>
        </w:rPr>
      </w:pPr>
      <w:r w:rsidRPr="002105F8">
        <w:rPr>
          <w:rFonts w:ascii="Arial" w:eastAsia="Times New Roman" w:hAnsi="Arial" w:cs="Arial"/>
          <w:b/>
          <w:bCs/>
          <w:sz w:val="21"/>
          <w:szCs w:val="21"/>
          <w:lang w:val="ca-ES"/>
        </w:rPr>
        <w:t>Enllaç a la publicació:</w:t>
      </w:r>
      <w:r w:rsidRPr="002105F8">
        <w:rPr>
          <w:rFonts w:ascii="Arial" w:eastAsia="Times New Roman" w:hAnsi="Arial" w:cs="Arial"/>
          <w:b/>
          <w:bCs/>
          <w:sz w:val="21"/>
          <w:szCs w:val="21"/>
          <w:lang w:val="ca-ES"/>
        </w:rPr>
        <w:br/>
      </w:r>
      <w:hyperlink r:id="rId431" w:history="1">
        <w:r w:rsidRPr="002105F8">
          <w:rPr>
            <w:rFonts w:ascii="Arial" w:eastAsia="Times New Roman" w:hAnsi="Arial" w:cs="Arial"/>
            <w:bCs/>
            <w:color w:val="000080"/>
            <w:sz w:val="18"/>
            <w:szCs w:val="18"/>
            <w:u w:val="single"/>
            <w:lang w:val="ca-ES"/>
          </w:rPr>
          <w:t>http://www.antifraucv.es/wp-content/uploads/2021/03/20210224_AJUNTAMENT_DE_VALENCIA.pdf</w:t>
        </w:r>
      </w:hyperlink>
    </w:p>
    <w:p w14:paraId="2A60E9FA" w14:textId="77777777" w:rsidR="002105F8" w:rsidRPr="002105F8" w:rsidRDefault="002105F8" w:rsidP="002105F8">
      <w:pPr>
        <w:spacing w:after="240" w:line="276" w:lineRule="auto"/>
        <w:jc w:val="both"/>
        <w:rPr>
          <w:rFonts w:ascii="Arial" w:eastAsia="Times New Roman" w:hAnsi="Arial" w:cs="Arial"/>
          <w:color w:val="000000"/>
          <w:sz w:val="21"/>
          <w:szCs w:val="21"/>
          <w:lang w:val="ca-ES"/>
        </w:rPr>
      </w:pPr>
      <w:r w:rsidRPr="002105F8">
        <w:rPr>
          <w:rFonts w:ascii="Arial" w:eastAsia="Times New Roman" w:hAnsi="Arial" w:cs="Arial"/>
          <w:b/>
          <w:bCs/>
          <w:color w:val="000000"/>
          <w:sz w:val="21"/>
          <w:szCs w:val="21"/>
          <w:lang w:val="ca-ES"/>
        </w:rPr>
        <w:t xml:space="preserve">Descripció: </w:t>
      </w:r>
      <w:r w:rsidRPr="002105F8">
        <w:rPr>
          <w:rFonts w:ascii="Arial" w:eastAsia="Times New Roman" w:hAnsi="Arial" w:cs="Arial"/>
          <w:color w:val="000000"/>
          <w:sz w:val="21"/>
          <w:szCs w:val="21"/>
          <w:lang w:val="ca-ES"/>
        </w:rPr>
        <w:t xml:space="preserve">Els fets denunciats es van concretar en l'incompliment del termini per a justificar la subvenció de 30.000 € atorgada a l'entitat </w:t>
      </w:r>
      <w:r w:rsidRPr="002105F8">
        <w:rPr>
          <w:rFonts w:ascii="Arial" w:eastAsia="Times New Roman" w:hAnsi="Arial" w:cs="Arial"/>
          <w:i/>
          <w:iCs/>
          <w:color w:val="000000"/>
          <w:sz w:val="21"/>
          <w:szCs w:val="21"/>
          <w:lang w:val="ca-ES"/>
        </w:rPr>
        <w:t>Acció contra La Fam.</w:t>
      </w:r>
      <w:r w:rsidRPr="002105F8">
        <w:rPr>
          <w:rFonts w:ascii="Arial" w:eastAsia="Times New Roman" w:hAnsi="Arial" w:cs="Arial"/>
          <w:color w:val="000000"/>
          <w:sz w:val="21"/>
          <w:szCs w:val="21"/>
          <w:lang w:val="ca-ES"/>
        </w:rPr>
        <w:t xml:space="preserve"> </w:t>
      </w:r>
    </w:p>
    <w:p w14:paraId="62FCEBD8" w14:textId="77777777" w:rsidR="002105F8" w:rsidRPr="005F040E" w:rsidRDefault="002105F8" w:rsidP="002105F8">
      <w:pPr>
        <w:spacing w:after="240" w:line="276" w:lineRule="auto"/>
        <w:jc w:val="both"/>
        <w:rPr>
          <w:rFonts w:ascii="Arial" w:eastAsia="Times New Roman" w:hAnsi="Arial" w:cs="Arial"/>
          <w:color w:val="000000"/>
          <w:sz w:val="21"/>
          <w:szCs w:val="21"/>
        </w:rPr>
      </w:pPr>
      <w:r w:rsidRPr="005F040E">
        <w:rPr>
          <w:rFonts w:ascii="Arial" w:eastAsia="Times New Roman" w:hAnsi="Arial" w:cs="Arial"/>
          <w:color w:val="000000"/>
          <w:sz w:val="21"/>
          <w:szCs w:val="21"/>
        </w:rPr>
        <w:t>Després de la instrucció de l'oportú procediment d'investigació, es va acreditar que finalitzat el termini de justificació de la subvenció en data 17 de desembre de 2018, esta es va presentar el 29 de gener de 2019. La justificació es va presentar abans de ser cursat requeriment de justificació a l'entitat beneficiària de la subvenció.</w:t>
      </w:r>
    </w:p>
    <w:p w14:paraId="1BF09703" w14:textId="77777777" w:rsidR="002105F8" w:rsidRPr="005F040E" w:rsidRDefault="002105F8" w:rsidP="002105F8">
      <w:pPr>
        <w:spacing w:after="240" w:line="276" w:lineRule="auto"/>
        <w:jc w:val="both"/>
        <w:rPr>
          <w:rFonts w:ascii="Arial" w:eastAsia="Times New Roman" w:hAnsi="Arial" w:cs="Arial"/>
          <w:i/>
          <w:iCs/>
          <w:color w:val="000000"/>
          <w:sz w:val="21"/>
          <w:szCs w:val="21"/>
        </w:rPr>
      </w:pPr>
      <w:r w:rsidRPr="005F040E">
        <w:rPr>
          <w:rFonts w:ascii="Arial" w:eastAsia="Times New Roman" w:hAnsi="Arial" w:cs="Arial"/>
          <w:b/>
          <w:bCs/>
          <w:color w:val="000000"/>
          <w:sz w:val="21"/>
          <w:szCs w:val="21"/>
        </w:rPr>
        <w:t xml:space="preserve">Resultat: </w:t>
      </w:r>
      <w:r w:rsidRPr="005F040E">
        <w:rPr>
          <w:rFonts w:ascii="Arial" w:eastAsia="Times New Roman" w:hAnsi="Arial" w:cs="Arial"/>
          <w:color w:val="000000"/>
          <w:sz w:val="21"/>
          <w:szCs w:val="21"/>
        </w:rPr>
        <w:t>Formulació de recomanacions a l'Ajuntament de València, que consistixen en que es dicten instruccions internes dirigides als servicis gestors de subvencions, que recullen expressament que, una vegada transcorregut el termini per a la justificació de la subvenció, s'inicie el procediment de reintegrament corresponent, i per a això i de forma prèvia, es</w:t>
      </w:r>
      <w:r w:rsidRPr="002105F8">
        <w:rPr>
          <w:rFonts w:ascii="Arial" w:eastAsia="Times New Roman" w:hAnsi="Arial" w:cs="Arial"/>
          <w:color w:val="000000"/>
          <w:sz w:val="21"/>
          <w:szCs w:val="21"/>
          <w:lang w:val="ca-ES"/>
        </w:rPr>
        <w:t xml:space="preserve"> </w:t>
      </w:r>
      <w:r w:rsidRPr="005F040E">
        <w:rPr>
          <w:rFonts w:ascii="Arial" w:eastAsia="Times New Roman" w:hAnsi="Arial" w:cs="Arial"/>
          <w:color w:val="000000"/>
          <w:sz w:val="21"/>
          <w:szCs w:val="21"/>
        </w:rPr>
        <w:t xml:space="preserve">requerisca al beneficiari perquè en el termini improrrogable de quinze dies presente la justificació. La falta de presentació de la justificació, en el termini establert, comportarà  l'exigència del reintegrament i la resta de responsabilitats establides en la Llei General de Subvencions. A més, s'haurà d'acordar l'inici d'exigència de responsabilitats contra el beneficiari de la subvenció nominativa atorgada a </w:t>
      </w:r>
      <w:r w:rsidRPr="005F040E">
        <w:rPr>
          <w:rFonts w:ascii="Arial" w:eastAsia="Times New Roman" w:hAnsi="Arial" w:cs="Arial"/>
          <w:i/>
          <w:iCs/>
          <w:color w:val="000000"/>
          <w:sz w:val="21"/>
          <w:szCs w:val="21"/>
        </w:rPr>
        <w:t>Acció contra La Fam.</w:t>
      </w:r>
    </w:p>
    <w:p w14:paraId="77DE03E3" w14:textId="77777777" w:rsidR="002105F8" w:rsidRPr="002105F8" w:rsidRDefault="002105F8" w:rsidP="002105F8">
      <w:pPr>
        <w:spacing w:after="240" w:line="276" w:lineRule="auto"/>
        <w:jc w:val="both"/>
        <w:rPr>
          <w:rFonts w:ascii="Arial" w:eastAsia="Times New Roman" w:hAnsi="Arial" w:cs="Arial"/>
          <w:color w:val="000000"/>
          <w:sz w:val="21"/>
          <w:szCs w:val="21"/>
          <w:lang w:val="ca-ES"/>
        </w:rPr>
      </w:pPr>
      <w:r w:rsidRPr="002105F8">
        <w:rPr>
          <w:rFonts w:ascii="Arial" w:eastAsia="Times New Roman" w:hAnsi="Arial" w:cs="Arial"/>
          <w:b/>
          <w:bCs/>
          <w:color w:val="000000"/>
          <w:sz w:val="21"/>
          <w:szCs w:val="21"/>
          <w:lang w:val="ca-ES"/>
        </w:rPr>
        <w:t>Fase de seguiment:</w:t>
      </w:r>
      <w:r w:rsidRPr="002105F8">
        <w:rPr>
          <w:rFonts w:ascii="Arial" w:eastAsia="Times New Roman" w:hAnsi="Arial" w:cs="Arial"/>
          <w:color w:val="000000"/>
          <w:sz w:val="21"/>
          <w:szCs w:val="21"/>
          <w:lang w:val="ca-ES"/>
        </w:rPr>
        <w:t xml:space="preserve"> Finalitzada la Fase de seguiment, </w:t>
      </w:r>
      <w:r w:rsidRPr="002105F8">
        <w:rPr>
          <w:rFonts w:ascii="Arial" w:eastAsia="Times New Roman" w:hAnsi="Arial" w:cs="Arial"/>
          <w:b/>
          <w:bCs/>
          <w:color w:val="000000"/>
          <w:sz w:val="21"/>
          <w:szCs w:val="21"/>
          <w:lang w:val="ca-ES"/>
        </w:rPr>
        <w:t>s'han incomplit per l'Ajuntament de València les recomanacions proposades per l'AVAF</w:t>
      </w:r>
      <w:r w:rsidRPr="002105F8">
        <w:rPr>
          <w:rFonts w:ascii="Arial" w:eastAsia="Times New Roman" w:hAnsi="Arial" w:cs="Arial"/>
          <w:color w:val="000000"/>
          <w:sz w:val="21"/>
          <w:szCs w:val="21"/>
          <w:lang w:val="ca-ES"/>
        </w:rPr>
        <w:t>, la qual cosa es va constatar mitjançant Resolució del director de l'Agència núm. 584, de 23 d'agost de 2021. Acreditat este incompliment, es fa constar en esta Memòria d'activitat 2021.</w:t>
      </w:r>
    </w:p>
    <w:p w14:paraId="532F6EBB" w14:textId="77777777" w:rsidR="002105F8" w:rsidRPr="002105F8" w:rsidRDefault="002105F8" w:rsidP="002105F8">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02" w:name="_Toc99110734"/>
      <w:r w:rsidRPr="002105F8">
        <w:rPr>
          <w:rFonts w:ascii="Arial" w:eastAsia="Times New Roman" w:hAnsi="Arial" w:cs="Arial"/>
          <w:b/>
          <w:color w:val="9D2235"/>
          <w:sz w:val="28"/>
          <w:szCs w:val="28"/>
        </w:rPr>
        <w:t>Denominació: Ajuntament de Rojales. Irregularitats en el contracte servici d'organització de les festes Mare de Déu del Rosari 2019-2020 negociat sense publicitat</w:t>
      </w:r>
      <w:bookmarkEnd w:id="202"/>
    </w:p>
    <w:p w14:paraId="5DB7DE8A" w14:textId="77777777" w:rsidR="002105F8" w:rsidRP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b/>
          <w:bCs/>
          <w:color w:val="000000"/>
          <w:sz w:val="21"/>
          <w:szCs w:val="21"/>
        </w:rPr>
        <w:t xml:space="preserve">Expedient: </w:t>
      </w:r>
      <w:r w:rsidRPr="002105F8">
        <w:rPr>
          <w:rFonts w:ascii="Arial" w:eastAsia="Times New Roman" w:hAnsi="Arial" w:cs="Arial"/>
          <w:color w:val="000000"/>
          <w:sz w:val="21"/>
          <w:szCs w:val="21"/>
        </w:rPr>
        <w:t>2020/G01_01/000251 [142/2019]</w:t>
      </w:r>
    </w:p>
    <w:p w14:paraId="26281A0E" w14:textId="77777777" w:rsidR="002105F8" w:rsidRPr="002105F8" w:rsidRDefault="002105F8" w:rsidP="002105F8">
      <w:pPr>
        <w:spacing w:after="240" w:line="276" w:lineRule="auto"/>
        <w:rPr>
          <w:rFonts w:ascii="Arial" w:eastAsia="Times New Roman" w:hAnsi="Arial" w:cs="Arial"/>
          <w:sz w:val="18"/>
          <w:szCs w:val="18"/>
          <w:lang w:eastAsia="es-ES"/>
        </w:rPr>
      </w:pPr>
      <w:r w:rsidRPr="002105F8">
        <w:rPr>
          <w:rFonts w:ascii="Arial" w:eastAsia="Times New Roman" w:hAnsi="Arial" w:cs="Arial"/>
          <w:b/>
          <w:bCs/>
          <w:sz w:val="21"/>
          <w:szCs w:val="21"/>
        </w:rPr>
        <w:t>Enllaç a la publicació:</w:t>
      </w:r>
      <w:r w:rsidRPr="002105F8">
        <w:rPr>
          <w:rFonts w:ascii="Arial" w:eastAsia="Times New Roman" w:hAnsi="Arial" w:cs="Arial"/>
          <w:b/>
          <w:bCs/>
          <w:sz w:val="21"/>
          <w:szCs w:val="21"/>
        </w:rPr>
        <w:br/>
      </w:r>
      <w:hyperlink r:id="rId432" w:history="1">
        <w:r w:rsidRPr="002105F8">
          <w:rPr>
            <w:rFonts w:ascii="Arial" w:eastAsia="Times New Roman" w:hAnsi="Arial" w:cs="Arial"/>
            <w:bCs/>
            <w:color w:val="000080"/>
            <w:sz w:val="18"/>
            <w:szCs w:val="18"/>
            <w:u w:val="single"/>
          </w:rPr>
          <w:t>http://www.antifraucv.es/wp-content/uploads/2021/04/20210301_AJUNTAMENT_DE_ROJALES.pdf</w:t>
        </w:r>
      </w:hyperlink>
    </w:p>
    <w:p w14:paraId="66E6F88A" w14:textId="77777777" w:rsidR="002105F8" w:rsidRP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b/>
          <w:bCs/>
          <w:color w:val="000000"/>
          <w:sz w:val="21"/>
          <w:szCs w:val="21"/>
        </w:rPr>
        <w:t>Descripció:</w:t>
      </w:r>
      <w:r w:rsidRPr="002105F8">
        <w:rPr>
          <w:rFonts w:ascii="Arial" w:eastAsia="Times New Roman" w:hAnsi="Arial" w:cs="Arial"/>
          <w:color w:val="000000"/>
          <w:sz w:val="21"/>
          <w:szCs w:val="21"/>
        </w:rPr>
        <w:t xml:space="preserve"> Els fets denunciats, es concreten en el tracte desigual entre els licitadors participants en la licitació del contracte de servici d'organització de les festes Mare de Déu del Rosari 2019-2020.</w:t>
      </w:r>
    </w:p>
    <w:p w14:paraId="45D9C057" w14:textId="77777777" w:rsidR="002105F8" w:rsidRP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color w:val="000000"/>
          <w:sz w:val="21"/>
          <w:szCs w:val="21"/>
        </w:rPr>
        <w:t>Després de la instrucció de l'oportú procediment d'investigació, es va evidenciar que:</w:t>
      </w:r>
    </w:p>
    <w:p w14:paraId="4DB4AD42" w14:textId="77777777" w:rsidR="002105F8" w:rsidRPr="002105F8" w:rsidRDefault="002105F8" w:rsidP="00153419">
      <w:pPr>
        <w:numPr>
          <w:ilvl w:val="0"/>
          <w:numId w:val="92"/>
        </w:numPr>
        <w:spacing w:after="120" w:line="276" w:lineRule="auto"/>
        <w:ind w:left="714" w:hanging="357"/>
        <w:jc w:val="both"/>
        <w:rPr>
          <w:rFonts w:ascii="Arial" w:eastAsia="Times New Roman" w:hAnsi="Arial" w:cs="Arial"/>
          <w:color w:val="000000"/>
          <w:sz w:val="21"/>
          <w:szCs w:val="21"/>
        </w:rPr>
      </w:pPr>
      <w:r w:rsidRPr="002105F8">
        <w:rPr>
          <w:rFonts w:ascii="Arial" w:eastAsia="Times New Roman" w:hAnsi="Arial" w:cs="Arial"/>
          <w:color w:val="000000"/>
          <w:sz w:val="21"/>
          <w:szCs w:val="21"/>
        </w:rPr>
        <w:t xml:space="preserve">La citació per a participar en el procés de negociació s'envia el mateix dia que finalitza el termini de presentació de les ofertes. La convocatòria es realitza amb molt poca antelació respecte de l'hora de celebració de la negociació, produint-se un tracte discriminatori entre els distints licitadors. </w:t>
      </w:r>
    </w:p>
    <w:p w14:paraId="2767AD25" w14:textId="77777777" w:rsidR="002105F8" w:rsidRPr="002105F8" w:rsidRDefault="002105F8" w:rsidP="00153419">
      <w:pPr>
        <w:numPr>
          <w:ilvl w:val="0"/>
          <w:numId w:val="92"/>
        </w:numPr>
        <w:spacing w:after="120" w:line="276" w:lineRule="auto"/>
        <w:ind w:left="714" w:hanging="357"/>
        <w:jc w:val="both"/>
        <w:rPr>
          <w:rFonts w:ascii="Arial" w:eastAsia="Times New Roman" w:hAnsi="Arial" w:cs="Arial"/>
          <w:color w:val="000000"/>
          <w:sz w:val="21"/>
          <w:szCs w:val="21"/>
        </w:rPr>
      </w:pPr>
      <w:r w:rsidRPr="002105F8">
        <w:rPr>
          <w:rFonts w:ascii="Arial" w:eastAsia="Times New Roman" w:hAnsi="Arial" w:cs="Arial"/>
          <w:color w:val="000000"/>
          <w:sz w:val="21"/>
          <w:szCs w:val="21"/>
        </w:rPr>
        <w:t>Contractació de l'orquestra Evasió: l'1 d'octubre de 2019, el mateix dia que es formalitza el contracte, l'Ajuntament de Rojales ja és coneixedor de quina orquestra realitzarà l'actuació. D'acord amb el que preveu el PCAP, la mercantil adjudicatària hauria d'haver proposat a l'Ajuntament de Rojales 3 orquestres, no acreditant-se en l'Expedient, cap cosa respecte d'això.</w:t>
      </w:r>
    </w:p>
    <w:p w14:paraId="4F6A3B0F" w14:textId="77777777" w:rsidR="002105F8" w:rsidRPr="002105F8" w:rsidRDefault="002105F8" w:rsidP="00153419">
      <w:pPr>
        <w:numPr>
          <w:ilvl w:val="0"/>
          <w:numId w:val="92"/>
        </w:numPr>
        <w:spacing w:after="120" w:line="276" w:lineRule="auto"/>
        <w:ind w:left="714" w:hanging="357"/>
        <w:jc w:val="both"/>
        <w:rPr>
          <w:rFonts w:ascii="Arial" w:eastAsia="Times New Roman" w:hAnsi="Arial" w:cs="Arial"/>
          <w:color w:val="000000"/>
          <w:sz w:val="21"/>
          <w:szCs w:val="21"/>
        </w:rPr>
      </w:pPr>
      <w:r w:rsidRPr="002105F8">
        <w:rPr>
          <w:rFonts w:ascii="Arial" w:eastAsia="Times New Roman" w:hAnsi="Arial" w:cs="Arial"/>
          <w:color w:val="000000"/>
          <w:sz w:val="21"/>
          <w:szCs w:val="21"/>
        </w:rPr>
        <w:t xml:space="preserve">Comunicacions: En l'expedient de contractació s'observa que les comunicacions no es realitzen per escrit. En els procediments de contractació, es permeten les comunicacions orals, si bé ha de quedar documentat de tal forma que conste per escrit la pràctica de les mateixes. En l'expedient, no hi ha constància ni de la realització de les cridades telefòniques ni de la data de realització d'estes. </w:t>
      </w:r>
    </w:p>
    <w:p w14:paraId="39688764" w14:textId="77777777" w:rsidR="002105F8" w:rsidRPr="002105F8" w:rsidRDefault="002105F8" w:rsidP="00153419">
      <w:pPr>
        <w:numPr>
          <w:ilvl w:val="0"/>
          <w:numId w:val="92"/>
        </w:numPr>
        <w:spacing w:after="240" w:line="276" w:lineRule="auto"/>
        <w:jc w:val="both"/>
        <w:rPr>
          <w:rFonts w:ascii="Arial" w:eastAsia="Times New Roman" w:hAnsi="Arial" w:cs="Arial"/>
          <w:color w:val="000000"/>
          <w:sz w:val="21"/>
          <w:szCs w:val="21"/>
        </w:rPr>
      </w:pPr>
      <w:r w:rsidRPr="002105F8">
        <w:rPr>
          <w:rFonts w:ascii="Arial" w:eastAsia="Times New Roman" w:hAnsi="Arial" w:cs="Arial"/>
          <w:color w:val="000000"/>
          <w:sz w:val="21"/>
          <w:szCs w:val="21"/>
        </w:rPr>
        <w:t>Acta de comprovació: L'acta de comprovació es firma el 12 d'agost de 2020, nou mesos després de la realització dels treballs, redactant un document que havia de formar part de l'expedient a posteriori i coneguda la investigació d'esta Agència.</w:t>
      </w:r>
    </w:p>
    <w:p w14:paraId="7A1ED21A" w14:textId="77777777" w:rsidR="002105F8" w:rsidRP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b/>
          <w:bCs/>
          <w:color w:val="000000"/>
          <w:sz w:val="21"/>
          <w:szCs w:val="21"/>
        </w:rPr>
        <w:t>Resultat:</w:t>
      </w:r>
      <w:r w:rsidRPr="002105F8">
        <w:rPr>
          <w:rFonts w:ascii="Arial" w:eastAsia="Times New Roman" w:hAnsi="Arial" w:cs="Arial"/>
          <w:color w:val="000000"/>
          <w:sz w:val="21"/>
          <w:szCs w:val="21"/>
        </w:rPr>
        <w:t xml:space="preserve"> Formulació de recomanacions a l'Ajuntament de Rojales, requerint-se l'emissió d'un Pla de Contractació de l'exercici 2021. </w:t>
      </w:r>
    </w:p>
    <w:p w14:paraId="0B6F3A4A" w14:textId="77777777" w:rsidR="002105F8" w:rsidRPr="002105F8" w:rsidRDefault="002105F8" w:rsidP="002105F8">
      <w:pPr>
        <w:spacing w:after="240" w:line="276" w:lineRule="auto"/>
        <w:jc w:val="both"/>
        <w:rPr>
          <w:rFonts w:ascii="Arial" w:eastAsia="Times New Roman" w:hAnsi="Arial" w:cs="Arial"/>
          <w:color w:val="000000"/>
          <w:sz w:val="21"/>
          <w:szCs w:val="21"/>
        </w:rPr>
      </w:pPr>
      <w:r w:rsidRPr="002105F8">
        <w:rPr>
          <w:rFonts w:ascii="Arial" w:eastAsia="Times New Roman" w:hAnsi="Arial" w:cs="Arial"/>
          <w:b/>
          <w:bCs/>
          <w:color w:val="000000"/>
          <w:sz w:val="21"/>
          <w:szCs w:val="21"/>
        </w:rPr>
        <w:t>Fase de seguiment:</w:t>
      </w:r>
      <w:r w:rsidRPr="002105F8">
        <w:rPr>
          <w:rFonts w:ascii="Arial" w:eastAsia="Times New Roman" w:hAnsi="Arial" w:cs="Arial"/>
          <w:color w:val="000000"/>
          <w:sz w:val="21"/>
          <w:szCs w:val="21"/>
        </w:rPr>
        <w:t xml:space="preserve"> S'ha completat esta fase, l'Ajuntament de Rojales ha acceptat les recomanacions proposades.</w:t>
      </w:r>
    </w:p>
    <w:p w14:paraId="4E587569" w14:textId="77777777" w:rsidR="00F00177" w:rsidRPr="00F00177" w:rsidRDefault="00F00177" w:rsidP="00F00177">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03" w:name="_Toc99110735"/>
      <w:r w:rsidRPr="00F00177">
        <w:rPr>
          <w:rFonts w:ascii="Arial" w:eastAsia="Times New Roman" w:hAnsi="Arial" w:cs="Arial"/>
          <w:b/>
          <w:color w:val="9D2235"/>
          <w:sz w:val="28"/>
          <w:szCs w:val="28"/>
        </w:rPr>
        <w:t>Denominació: Ajuntament de València. Organisme Autònom Municipal de Parcs i Jardins</w:t>
      </w:r>
      <w:bookmarkEnd w:id="203"/>
    </w:p>
    <w:p w14:paraId="329D1C88" w14:textId="77777777" w:rsidR="00F00177" w:rsidRPr="00F00177" w:rsidRDefault="00F00177" w:rsidP="005F040E">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Expedient</w:t>
      </w:r>
      <w:r w:rsidRPr="00F00177">
        <w:rPr>
          <w:rFonts w:ascii="Arial" w:eastAsia="Times New Roman" w:hAnsi="Arial" w:cs="Arial"/>
          <w:color w:val="000000"/>
          <w:sz w:val="21"/>
          <w:szCs w:val="21"/>
        </w:rPr>
        <w:t>: 2020/G01_01/000071</w:t>
      </w:r>
    </w:p>
    <w:p w14:paraId="14E5327E" w14:textId="77777777" w:rsidR="00F00177" w:rsidRPr="00F00177" w:rsidRDefault="00F00177" w:rsidP="00F00177">
      <w:pPr>
        <w:spacing w:after="240" w:line="276" w:lineRule="auto"/>
        <w:rPr>
          <w:rFonts w:ascii="Arial" w:eastAsia="Times New Roman" w:hAnsi="Arial" w:cs="Arial"/>
          <w:bCs/>
          <w:sz w:val="18"/>
          <w:szCs w:val="18"/>
        </w:rPr>
      </w:pPr>
      <w:r w:rsidRPr="00F00177">
        <w:rPr>
          <w:rFonts w:ascii="Arial" w:eastAsia="Times New Roman" w:hAnsi="Arial" w:cs="Arial"/>
          <w:b/>
          <w:bCs/>
          <w:sz w:val="21"/>
          <w:szCs w:val="21"/>
        </w:rPr>
        <w:t>Enllaç a la publicació:</w:t>
      </w:r>
      <w:r w:rsidRPr="00F00177">
        <w:rPr>
          <w:rFonts w:ascii="Arial" w:eastAsia="Times New Roman" w:hAnsi="Arial" w:cs="Arial"/>
          <w:b/>
          <w:bCs/>
          <w:sz w:val="21"/>
          <w:szCs w:val="21"/>
        </w:rPr>
        <w:br/>
      </w:r>
      <w:hyperlink r:id="rId433" w:history="1">
        <w:r w:rsidRPr="00F00177">
          <w:rPr>
            <w:rFonts w:ascii="Arial" w:eastAsia="Times New Roman" w:hAnsi="Arial" w:cs="Arial"/>
            <w:bCs/>
            <w:color w:val="000080"/>
            <w:sz w:val="18"/>
            <w:szCs w:val="18"/>
            <w:u w:val="single"/>
          </w:rPr>
          <w:t>http://www.antifraucv.es/wp-content/uploads/2021/04/20210304_AJUNTAMENT_DE_VALENCIA.pdf</w:t>
        </w:r>
      </w:hyperlink>
    </w:p>
    <w:p w14:paraId="7F8240A4"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Descripció</w:t>
      </w:r>
      <w:r w:rsidRPr="00F00177">
        <w:rPr>
          <w:rFonts w:ascii="Arial" w:eastAsia="Times New Roman" w:hAnsi="Arial" w:cs="Arial"/>
          <w:color w:val="000000"/>
          <w:sz w:val="21"/>
          <w:szCs w:val="21"/>
        </w:rPr>
        <w:t>: Es denuncia en particular que l'Organisme Autònom Municipal de Parcs i Jardins (OAM) podria haver fraccionat contractes indegudament per a eludir l'aplicació dels principis generals que regixen la contractació administrativa, en concret, la publicitat i la lliure concurrència.</w:t>
      </w:r>
    </w:p>
    <w:p w14:paraId="42F6BD87"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Després de la instrucció de l'oportú procediment d'investigació, es va evidenciar que:</w:t>
      </w:r>
    </w:p>
    <w:p w14:paraId="0ED1B7E4" w14:textId="77777777" w:rsidR="00F00177" w:rsidRPr="00F00177" w:rsidRDefault="00F00177" w:rsidP="00153419">
      <w:pPr>
        <w:numPr>
          <w:ilvl w:val="0"/>
          <w:numId w:val="94"/>
        </w:numPr>
        <w:spacing w:after="120" w:line="276" w:lineRule="auto"/>
        <w:ind w:left="714"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Quant a l'acreditació que es va promoure la deguda concurrència en les contractacions que s'analitzen.</w:t>
      </w:r>
    </w:p>
    <w:p w14:paraId="1E88631F" w14:textId="77777777" w:rsidR="00F00177" w:rsidRPr="00F00177" w:rsidRDefault="00F00177" w:rsidP="00153419">
      <w:pPr>
        <w:numPr>
          <w:ilvl w:val="0"/>
          <w:numId w:val="94"/>
        </w:num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 xml:space="preserve">S'ha constatat que, en un total de 18 expedients, </w:t>
      </w:r>
      <w:r w:rsidRPr="00F00177">
        <w:rPr>
          <w:rFonts w:ascii="Arial" w:eastAsia="Times New Roman" w:hAnsi="Arial" w:cs="Arial"/>
          <w:color w:val="000000"/>
          <w:sz w:val="21"/>
          <w:szCs w:val="21"/>
          <w:u w:val="single"/>
        </w:rPr>
        <w:t>únicament en 6 d'ells existia més d'una oferta, i això, a pesar que en tots els 18 Expedients es contemplaven afirmacions dels gestors administratius relatives a l'existència de diversos proveïdors</w:t>
      </w:r>
      <w:r w:rsidRPr="00F00177">
        <w:rPr>
          <w:rFonts w:ascii="Arial" w:eastAsia="Times New Roman" w:hAnsi="Arial" w:cs="Arial"/>
          <w:color w:val="000000"/>
          <w:sz w:val="21"/>
          <w:szCs w:val="21"/>
        </w:rPr>
        <w:t>.</w:t>
      </w:r>
    </w:p>
    <w:p w14:paraId="714F6610"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 xml:space="preserve">El fet de que la llei no exigira la sol·licitud de pressupostos addicionals resulta irrellevant, quan </w:t>
      </w:r>
      <w:r w:rsidRPr="00F00177">
        <w:rPr>
          <w:rFonts w:ascii="Arial" w:eastAsia="Times New Roman" w:hAnsi="Arial" w:cs="Arial"/>
          <w:color w:val="000000"/>
          <w:sz w:val="21"/>
          <w:szCs w:val="21"/>
          <w:u w:val="single"/>
        </w:rPr>
        <w:t>és el propi personal de l'OAM qui advertix en els seus informes r que sí s'han sol·licitat pressupostos addicionals</w:t>
      </w:r>
      <w:r w:rsidRPr="00F00177">
        <w:rPr>
          <w:rFonts w:ascii="Arial" w:eastAsia="Times New Roman" w:hAnsi="Arial" w:cs="Arial"/>
          <w:color w:val="000000"/>
          <w:sz w:val="21"/>
          <w:szCs w:val="21"/>
        </w:rPr>
        <w:t>, però no deixa cap rastre en l'expedient a fi de fiscalitzar adequadament l'actuació. La gestió dels fons públics requerix la verificació de la selecció de la millor oferta en el seu conjunt i, no ha d'obviar-se, que la licitació conjunta d'un major volum de contractació i la tramitació d'un expedient que promoga la concurrència generarà sempre sinergies de mercat i millores ofertes en el seu conjunt per a l'administració.</w:t>
      </w:r>
    </w:p>
    <w:p w14:paraId="0E0B70CC"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Resultat</w:t>
      </w:r>
      <w:r w:rsidRPr="00F00177">
        <w:rPr>
          <w:rFonts w:ascii="Arial" w:eastAsia="Times New Roman" w:hAnsi="Arial" w:cs="Arial"/>
          <w:color w:val="000000"/>
          <w:sz w:val="21"/>
          <w:szCs w:val="21"/>
        </w:rPr>
        <w:t>: Es finalitza l'expedient amb l'elevació de recomanacions:</w:t>
      </w:r>
    </w:p>
    <w:p w14:paraId="67F2F4AF" w14:textId="77777777" w:rsidR="00F00177" w:rsidRPr="00F00177" w:rsidRDefault="00F00177" w:rsidP="00153419">
      <w:pPr>
        <w:numPr>
          <w:ilvl w:val="0"/>
          <w:numId w:val="93"/>
        </w:numPr>
        <w:spacing w:after="120" w:line="276" w:lineRule="auto"/>
        <w:ind w:left="714"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La correcta planificació de l'activitat contractual de l'ens, per mitjà de l'aprovació de l'instrument formal que arreplegue les necessitats de contractació de l'OAM per a un escenari anual y/o plurianual.</w:t>
      </w:r>
    </w:p>
    <w:p w14:paraId="6EA1CEB7" w14:textId="77777777" w:rsidR="00F00177" w:rsidRPr="00F00177" w:rsidRDefault="00F00177" w:rsidP="00153419">
      <w:pPr>
        <w:numPr>
          <w:ilvl w:val="0"/>
          <w:numId w:val="93"/>
        </w:numPr>
        <w:spacing w:after="120" w:line="276" w:lineRule="auto"/>
        <w:ind w:left="714"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Incorporen als expedients de contractació, inclosa la menor, informes tècnics y/o jurídics que justifiquen, suficient i motivadament, que no s'incorre en fraccionament respecte a contractacions semblants dutes a terme en el mateix exercici o en els exercicis immediatament anteriors.</w:t>
      </w:r>
    </w:p>
    <w:p w14:paraId="508426F5" w14:textId="77777777" w:rsidR="00F00177" w:rsidRPr="00F00177" w:rsidRDefault="00F00177" w:rsidP="00153419">
      <w:pPr>
        <w:numPr>
          <w:ilvl w:val="0"/>
          <w:numId w:val="93"/>
        </w:num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En els contractes menors, hauran de formar part dels expedients les consultes de mercat o diferents ofertes de proveïdors, havent de garantir el compliment i l'acreditació de l'exigència de tres ofertes aprovada pel propi Ajuntament.</w:t>
      </w:r>
    </w:p>
    <w:p w14:paraId="78D7752B"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Fase de seguiment:</w:t>
      </w:r>
      <w:r w:rsidRPr="00F00177">
        <w:rPr>
          <w:rFonts w:ascii="Arial" w:eastAsia="Times New Roman" w:hAnsi="Arial" w:cs="Arial"/>
          <w:color w:val="000000"/>
          <w:sz w:val="21"/>
          <w:szCs w:val="21"/>
        </w:rPr>
        <w:t xml:space="preserve"> S'ha completat esta fase, l'OAM ha acceptat les recomanacions proposades.</w:t>
      </w:r>
    </w:p>
    <w:p w14:paraId="6D59B9DE" w14:textId="77777777" w:rsidR="00F00177" w:rsidRPr="00F00177" w:rsidRDefault="00F00177" w:rsidP="00F00177">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04" w:name="_Toc99110736"/>
      <w:r w:rsidRPr="00F00177">
        <w:rPr>
          <w:rFonts w:ascii="Arial" w:eastAsia="Times New Roman" w:hAnsi="Arial" w:cs="Arial"/>
          <w:b/>
          <w:color w:val="9D2235"/>
          <w:sz w:val="28"/>
          <w:szCs w:val="28"/>
        </w:rPr>
        <w:t>Denominació: Ajuntament de Callosa de Segura. Procés selectiu Intendent de la Policia Local</w:t>
      </w:r>
      <w:bookmarkEnd w:id="204"/>
    </w:p>
    <w:p w14:paraId="263C63E6" w14:textId="77777777" w:rsidR="00F00177" w:rsidRPr="00F00177" w:rsidRDefault="00F00177" w:rsidP="005F040E">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Expedient</w:t>
      </w:r>
      <w:r w:rsidRPr="00F00177">
        <w:rPr>
          <w:rFonts w:ascii="Arial" w:eastAsia="Times New Roman" w:hAnsi="Arial" w:cs="Arial"/>
          <w:color w:val="000000"/>
          <w:sz w:val="21"/>
          <w:szCs w:val="21"/>
        </w:rPr>
        <w:t>: 2020/G01_01/000171 [19/2019]</w:t>
      </w:r>
    </w:p>
    <w:p w14:paraId="623FADBC" w14:textId="77777777" w:rsidR="00F00177" w:rsidRPr="00F00177" w:rsidRDefault="00F00177" w:rsidP="00F00177">
      <w:pPr>
        <w:spacing w:after="240" w:line="276" w:lineRule="auto"/>
        <w:rPr>
          <w:rFonts w:ascii="Arial" w:eastAsia="Times New Roman" w:hAnsi="Arial" w:cs="Arial"/>
          <w:sz w:val="16"/>
          <w:szCs w:val="16"/>
          <w:lang w:eastAsia="es-ES"/>
        </w:rPr>
      </w:pPr>
      <w:r w:rsidRPr="00F00177">
        <w:rPr>
          <w:rFonts w:ascii="Arial" w:eastAsia="Times New Roman" w:hAnsi="Arial" w:cs="Arial"/>
          <w:b/>
          <w:bCs/>
          <w:sz w:val="21"/>
          <w:szCs w:val="21"/>
        </w:rPr>
        <w:t>Enllaç a la publicació:</w:t>
      </w:r>
      <w:r w:rsidRPr="00F00177">
        <w:rPr>
          <w:rFonts w:ascii="Arial" w:eastAsia="Times New Roman" w:hAnsi="Arial" w:cs="Arial"/>
          <w:b/>
          <w:bCs/>
          <w:sz w:val="21"/>
          <w:szCs w:val="21"/>
        </w:rPr>
        <w:br/>
      </w:r>
      <w:r w:rsidR="00254AEC">
        <w:fldChar w:fldCharType="begin"/>
      </w:r>
      <w:r w:rsidR="00254AEC">
        <w:instrText>HYPERLINK</w:instrText>
      </w:r>
      <w:r w:rsidR="00254AEC">
        <w:fldChar w:fldCharType="separate"/>
      </w:r>
      <w:r w:rsidR="00254AEC">
        <w:rPr>
          <w:b/>
          <w:bCs/>
          <w:lang w:val="es-ES"/>
        </w:rPr>
        <w:t>¡Error! Referencia de hipervínculo no válida.</w:t>
      </w:r>
      <w:r w:rsidR="00254AEC">
        <w:rPr>
          <w:b/>
          <w:bCs/>
          <w:lang w:val="es-ES"/>
        </w:rPr>
        <w:fldChar w:fldCharType="end"/>
      </w:r>
    </w:p>
    <w:p w14:paraId="765AB8D0"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Descripció</w:t>
      </w:r>
      <w:r w:rsidRPr="00F00177">
        <w:rPr>
          <w:rFonts w:ascii="Arial" w:eastAsia="Times New Roman" w:hAnsi="Arial" w:cs="Arial"/>
          <w:color w:val="000000"/>
          <w:sz w:val="21"/>
          <w:szCs w:val="21"/>
        </w:rPr>
        <w:t>: Es denuncien presumptes irregularitats en el procés de selecció del lloc d'Intendent de la Policia Local.</w:t>
      </w:r>
    </w:p>
    <w:p w14:paraId="1170F562" w14:textId="77777777" w:rsidR="00F00177" w:rsidRPr="00F00177" w:rsidRDefault="00F00177" w:rsidP="00F00177">
      <w:pPr>
        <w:spacing w:after="240" w:line="276" w:lineRule="auto"/>
        <w:jc w:val="both"/>
        <w:rPr>
          <w:rFonts w:ascii="Arial" w:eastAsia="Times New Roman" w:hAnsi="Arial" w:cs="Arial"/>
          <w:b/>
          <w:bCs/>
          <w:color w:val="000000"/>
          <w:sz w:val="21"/>
          <w:szCs w:val="21"/>
        </w:rPr>
      </w:pPr>
      <w:r w:rsidRPr="00F00177">
        <w:rPr>
          <w:rFonts w:ascii="Arial" w:eastAsia="Times New Roman" w:hAnsi="Arial" w:cs="Arial"/>
          <w:color w:val="000000"/>
          <w:sz w:val="21"/>
          <w:szCs w:val="21"/>
        </w:rPr>
        <w:t>Després de l'estudi en detall de la totalitat de la documentació, es conclou que:</w:t>
      </w:r>
    </w:p>
    <w:p w14:paraId="358260C8" w14:textId="77777777" w:rsidR="00F00177" w:rsidRPr="00F00177" w:rsidRDefault="00F00177" w:rsidP="00153419">
      <w:pPr>
        <w:numPr>
          <w:ilvl w:val="0"/>
          <w:numId w:val="95"/>
        </w:numPr>
        <w:spacing w:after="120" w:line="276" w:lineRule="auto"/>
        <w:ind w:left="714"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El Tribunal de selecció no va garantir l'anonimat dels aspirants en la prova psicotècnica tipus test. L'anonimització del desenvolupament i correcció de les proves selectives és obligatòria sempre que siga possible, en conseqüència, en les proves escrites, és un requisit de compliment obligatori i no optatiu, i la seua no observança podria comportar, la possible nul·litat o anul·labilitat del procés per incompliment del procediment legalment establit o per defecte formal invalidant, segons els casos.</w:t>
      </w:r>
    </w:p>
    <w:p w14:paraId="65C7AAA0" w14:textId="77777777" w:rsidR="00F00177" w:rsidRPr="00F00177" w:rsidRDefault="00F00177" w:rsidP="00153419">
      <w:pPr>
        <w:numPr>
          <w:ilvl w:val="0"/>
          <w:numId w:val="95"/>
        </w:num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El recurs de reposició interposat per un dels aspirants en data 23 de maig de 2019, amb relació a la no observança de l'anonimat dels participants en el desenrotllament de la prova psicotècnica, no ha sigut resolt per part de l'Ajuntament.</w:t>
      </w:r>
    </w:p>
    <w:p w14:paraId="37E9B163"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Resultat</w:t>
      </w:r>
      <w:r w:rsidRPr="00F00177">
        <w:rPr>
          <w:rFonts w:ascii="Arial" w:eastAsia="Times New Roman" w:hAnsi="Arial" w:cs="Arial"/>
          <w:color w:val="000000"/>
          <w:sz w:val="21"/>
          <w:szCs w:val="21"/>
        </w:rPr>
        <w:t>: Es finalitza l'expedient amb les següents recomanacions:</w:t>
      </w:r>
    </w:p>
    <w:p w14:paraId="1B470712" w14:textId="77777777" w:rsidR="00F00177" w:rsidRPr="00F00177" w:rsidRDefault="00F00177" w:rsidP="00153419">
      <w:pPr>
        <w:numPr>
          <w:ilvl w:val="0"/>
          <w:numId w:val="96"/>
        </w:numPr>
        <w:spacing w:after="120" w:line="276" w:lineRule="auto"/>
        <w:ind w:left="714"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Que es procedisca a iniciar la revisió d'ofici de l'expedient tramitat, amb motiu de procés selectiu d'una plaça d'Intendent de la policia local de l'Ajuntament de Callosa de Segura.</w:t>
      </w:r>
    </w:p>
    <w:p w14:paraId="0EE70ACB" w14:textId="77777777" w:rsidR="00F00177" w:rsidRPr="00F00177" w:rsidRDefault="00F00177" w:rsidP="00153419">
      <w:pPr>
        <w:numPr>
          <w:ilvl w:val="0"/>
          <w:numId w:val="96"/>
        </w:num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Que es procedisca a resoldre el recurs de reposició interposat per un dels aspirants en data 23 de maig de 2019, relatiu a la no observança de l'anonimat dels participants en el desenrotllament de la prova psicotècnica.</w:t>
      </w:r>
    </w:p>
    <w:p w14:paraId="5095CBA3"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Es procedix a traslladar de la resolució a l'Agència Valenciana de Seguretat i Resposta a les Emergències (AVSRE).</w:t>
      </w:r>
    </w:p>
    <w:p w14:paraId="1DB20768" w14:textId="77777777" w:rsidR="00F00177" w:rsidRPr="00F00177" w:rsidRDefault="00F00177" w:rsidP="00F00177">
      <w:pPr>
        <w:spacing w:after="240" w:line="276" w:lineRule="auto"/>
        <w:jc w:val="both"/>
        <w:rPr>
          <w:rFonts w:ascii="Arial" w:eastAsia="Times New Roman" w:hAnsi="Arial" w:cs="Arial"/>
          <w:color w:val="000000"/>
          <w:sz w:val="21"/>
          <w:szCs w:val="21"/>
          <w:lang w:val="ca-ES"/>
        </w:rPr>
      </w:pPr>
      <w:r w:rsidRPr="00F00177">
        <w:rPr>
          <w:rFonts w:ascii="Arial" w:eastAsia="Times New Roman" w:hAnsi="Arial" w:cs="Arial"/>
          <w:b/>
          <w:bCs/>
          <w:color w:val="000000"/>
          <w:sz w:val="21"/>
          <w:szCs w:val="21"/>
        </w:rPr>
        <w:t>Fase de seguiment:</w:t>
      </w:r>
      <w:r w:rsidRPr="00F00177">
        <w:rPr>
          <w:rFonts w:ascii="Arial" w:eastAsia="Times New Roman" w:hAnsi="Arial" w:cs="Arial"/>
          <w:color w:val="000000"/>
          <w:sz w:val="21"/>
          <w:szCs w:val="21"/>
        </w:rPr>
        <w:t xml:space="preserve"> La Fase de seguiment es troba finalitzada en relació amb la revisió d'ofici, a l'existir una resolució judicial prèvia que entraria en contradicció amb la recomanació; trobant-se en tràmit, en relació amb la resolució del recurs de reposició</w:t>
      </w:r>
      <w:r w:rsidRPr="00F00177">
        <w:rPr>
          <w:rFonts w:ascii="Arial" w:eastAsia="Times New Roman" w:hAnsi="Arial" w:cs="Arial"/>
          <w:color w:val="000000"/>
          <w:sz w:val="21"/>
          <w:szCs w:val="21"/>
          <w:lang w:val="ca-ES"/>
        </w:rPr>
        <w:t>.</w:t>
      </w:r>
    </w:p>
    <w:p w14:paraId="0FB1EA4A" w14:textId="77777777" w:rsidR="00F00177" w:rsidRPr="00F00177" w:rsidRDefault="00F00177" w:rsidP="00F00177">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05" w:name="_Toc95209062"/>
      <w:bookmarkStart w:id="206" w:name="_Toc95913854"/>
      <w:bookmarkStart w:id="207" w:name="_Toc99110737"/>
      <w:r w:rsidRPr="00F00177">
        <w:rPr>
          <w:rFonts w:ascii="Arial" w:eastAsia="Times New Roman" w:hAnsi="Arial" w:cs="Arial"/>
          <w:b/>
          <w:color w:val="9D2235"/>
          <w:sz w:val="28"/>
          <w:szCs w:val="28"/>
        </w:rPr>
        <w:t>Denominació: Ajuntament de Calp. Subvenció encoberta</w:t>
      </w:r>
      <w:bookmarkEnd w:id="205"/>
      <w:bookmarkEnd w:id="206"/>
      <w:bookmarkEnd w:id="207"/>
    </w:p>
    <w:p w14:paraId="3775C3F8" w14:textId="77777777" w:rsidR="00F00177" w:rsidRPr="00F00177" w:rsidRDefault="00F00177" w:rsidP="005F040E">
      <w:pPr>
        <w:spacing w:after="240" w:line="276" w:lineRule="auto"/>
        <w:jc w:val="both"/>
        <w:rPr>
          <w:rFonts w:ascii="Arial" w:eastAsia="Times New Roman" w:hAnsi="Arial" w:cs="Arial"/>
          <w:b/>
          <w:bCs/>
          <w:color w:val="000000"/>
          <w:sz w:val="21"/>
          <w:szCs w:val="21"/>
        </w:rPr>
      </w:pPr>
      <w:r w:rsidRPr="00F00177">
        <w:rPr>
          <w:rFonts w:ascii="Arial" w:eastAsia="Times New Roman" w:hAnsi="Arial" w:cs="Arial"/>
          <w:b/>
          <w:bCs/>
          <w:color w:val="000000"/>
          <w:sz w:val="21"/>
          <w:szCs w:val="21"/>
        </w:rPr>
        <w:t xml:space="preserve">Expedient: </w:t>
      </w:r>
      <w:r w:rsidRPr="00F00177">
        <w:rPr>
          <w:rFonts w:ascii="Arial" w:eastAsia="Times New Roman" w:hAnsi="Arial" w:cs="Arial"/>
          <w:color w:val="000000"/>
          <w:sz w:val="21"/>
          <w:szCs w:val="21"/>
        </w:rPr>
        <w:t>2020/G01_01/000016</w:t>
      </w:r>
    </w:p>
    <w:p w14:paraId="639712CA" w14:textId="77777777" w:rsidR="00F00177" w:rsidRPr="00F00177" w:rsidRDefault="00F00177" w:rsidP="00F00177">
      <w:pPr>
        <w:spacing w:after="240" w:line="276" w:lineRule="auto"/>
        <w:rPr>
          <w:rFonts w:ascii="Arial" w:eastAsia="Times New Roman" w:hAnsi="Arial" w:cs="Arial"/>
          <w:sz w:val="18"/>
          <w:szCs w:val="18"/>
          <w:lang w:eastAsia="es-ES"/>
        </w:rPr>
      </w:pPr>
      <w:r w:rsidRPr="00F00177">
        <w:rPr>
          <w:rFonts w:ascii="Arial" w:eastAsia="Times New Roman" w:hAnsi="Arial" w:cs="Arial"/>
          <w:b/>
          <w:bCs/>
          <w:sz w:val="21"/>
          <w:szCs w:val="21"/>
        </w:rPr>
        <w:t>Enllaç a la publicació:</w:t>
      </w:r>
      <w:r w:rsidRPr="00F00177">
        <w:rPr>
          <w:rFonts w:ascii="Arial" w:eastAsia="Times New Roman" w:hAnsi="Arial" w:cs="Arial"/>
          <w:b/>
          <w:bCs/>
          <w:sz w:val="21"/>
          <w:szCs w:val="21"/>
        </w:rPr>
        <w:br/>
      </w:r>
      <w:hyperlink r:id="rId434" w:history="1">
        <w:r w:rsidRPr="00F00177">
          <w:rPr>
            <w:rFonts w:ascii="Arial" w:eastAsia="Times New Roman" w:hAnsi="Arial" w:cs="Arial"/>
            <w:color w:val="000080"/>
            <w:sz w:val="18"/>
            <w:szCs w:val="18"/>
            <w:u w:val="single"/>
            <w:lang w:eastAsia="es-ES"/>
          </w:rPr>
          <w:t>http://www.antifraucv.es/wp-content/uploads/2021/04/20210308_AJUNTAMENT_DE_CALPE.pdf</w:t>
        </w:r>
      </w:hyperlink>
    </w:p>
    <w:p w14:paraId="5F07995A"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 xml:space="preserve">Descripció: </w:t>
      </w:r>
      <w:r w:rsidRPr="00F00177">
        <w:rPr>
          <w:rFonts w:ascii="Arial" w:eastAsia="Times New Roman" w:hAnsi="Arial" w:cs="Arial"/>
          <w:color w:val="000000"/>
          <w:sz w:val="21"/>
          <w:szCs w:val="21"/>
        </w:rPr>
        <w:t>Els fets denunciats es van concretar en que, l'Ajuntament de Calp va licitar un contracte quan la presumpta pretensió era subvencionar una activitat de foment, com és la promoció turística, atés que el promotor tenia ja organitzat l'esdeveniment. L'objecte del contracte SER 47/2019, el procediment del qual es va iniciar al setembre 2019, coincidia plenament amb la planificació d'activitats programades des de juny del mateix any pel promotor. L'esdeveniment ja estava organitzat i programades les seues dates d'execució.</w:t>
      </w:r>
    </w:p>
    <w:p w14:paraId="419302B0"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Després de la instrucció de l'oportú procediment d'investigació, es va acreditar que:</w:t>
      </w:r>
    </w:p>
    <w:p w14:paraId="3FDAF07B" w14:textId="77777777" w:rsidR="00F00177" w:rsidRPr="00F00177" w:rsidRDefault="00F00177" w:rsidP="00153419">
      <w:pPr>
        <w:numPr>
          <w:ilvl w:val="0"/>
          <w:numId w:val="97"/>
        </w:numPr>
        <w:spacing w:after="120" w:line="276" w:lineRule="auto"/>
        <w:ind w:left="714"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 xml:space="preserve">Quan l'Ajuntament de Calp va firmar, en data 27 de desembre de 2019, el contracte de servici d'organització d'un esdeveniment de promoció turística, dirigit a propietaris i directius d'agències de viatges i altres intermediaris i professionals de l'àmbit turístic del Regne Unit, este no tenia objecte ja que el servici ja s'havia prestat, fet indubtable, entre el 25 i 28 de novembre. </w:t>
      </w:r>
    </w:p>
    <w:p w14:paraId="4D4870A8" w14:textId="77777777" w:rsidR="00F00177" w:rsidRPr="00F00177" w:rsidRDefault="00F00177" w:rsidP="00153419">
      <w:pPr>
        <w:numPr>
          <w:ilvl w:val="0"/>
          <w:numId w:val="97"/>
        </w:num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 xml:space="preserve">La contractació de l'expedient SER 47/2019 es va utilitzar per a donar cobertura a un pagament que respon a una activitat subvencionada, sense aplicar la normativa en matèria de subvencions públiques i amb un total incompliment de les fites i procediments de contractació pública, arribant a la normalització de la contractació d'un esdeveniment que era públic, notori i conegut que ja s'havia produït l'objecte contractual que es pretenia contractar. </w:t>
      </w:r>
    </w:p>
    <w:p w14:paraId="6F16ABEE"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Resultat:</w:t>
      </w:r>
      <w:r w:rsidRPr="00F00177">
        <w:rPr>
          <w:rFonts w:ascii="Arial" w:eastAsia="Times New Roman" w:hAnsi="Arial" w:cs="Arial"/>
          <w:color w:val="000000"/>
          <w:sz w:val="21"/>
          <w:szCs w:val="21"/>
        </w:rPr>
        <w:t xml:space="preserve"> Formulació de recomanacions a l'Ajuntament, que consistixen en la implementació d'un pla integral amb l'objectiu final d'atorgar cobertura legal a tota l'activitat prestacional o de foment de l'Ajuntament, i que es definisquen correctament els procediments en atenció a la dita activitat. A més, s'insta i recomana a l'Ajuntament de Calp que procedisca a la revisió d'ofici dels actes incursos en causa de nul·litat de ple dret i que s'inicien els procediments que corresponguen per a depurar responsabilitats.</w:t>
      </w:r>
    </w:p>
    <w:p w14:paraId="53CEAD90"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Fase de seguiment</w:t>
      </w:r>
      <w:r w:rsidRPr="00F00177">
        <w:rPr>
          <w:rFonts w:ascii="Arial" w:eastAsia="Times New Roman" w:hAnsi="Arial" w:cs="Arial"/>
          <w:color w:val="000000"/>
          <w:sz w:val="21"/>
          <w:szCs w:val="21"/>
        </w:rPr>
        <w:t>: La Fase de seguiment es troba finalitzada, havent-se acceptat parcialment per l'Ajuntament de Calp les recomanacions proposades; i havent-se justificat les no acceptades.</w:t>
      </w:r>
    </w:p>
    <w:p w14:paraId="75AD5157" w14:textId="77777777" w:rsidR="00F00177" w:rsidRPr="00F00177" w:rsidRDefault="00F00177" w:rsidP="00F00177">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08" w:name="_Toc99110738"/>
      <w:r w:rsidRPr="00F00177">
        <w:rPr>
          <w:rFonts w:ascii="Arial" w:eastAsia="Times New Roman" w:hAnsi="Arial" w:cs="Arial"/>
          <w:b/>
          <w:color w:val="9D2235"/>
          <w:sz w:val="28"/>
          <w:szCs w:val="28"/>
        </w:rPr>
        <w:t>Denominació: Ajuntament de Cofrentes. Fraccionament de contractes relatius al Parc aquàtic en la piscina municipal</w:t>
      </w:r>
      <w:bookmarkEnd w:id="208"/>
    </w:p>
    <w:p w14:paraId="1516711E" w14:textId="77777777" w:rsidR="00F00177" w:rsidRPr="00F00177" w:rsidRDefault="00F00177" w:rsidP="005F040E">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Expedient</w:t>
      </w:r>
      <w:r w:rsidRPr="00F00177">
        <w:rPr>
          <w:rFonts w:ascii="Arial" w:eastAsia="Times New Roman" w:hAnsi="Arial" w:cs="Arial"/>
          <w:color w:val="000000"/>
          <w:sz w:val="21"/>
          <w:szCs w:val="21"/>
        </w:rPr>
        <w:t>: 2020/G01_01/000298-(40/18)</w:t>
      </w:r>
    </w:p>
    <w:p w14:paraId="2AA29B4B" w14:textId="77777777" w:rsidR="00F00177" w:rsidRPr="00F00177" w:rsidRDefault="00F00177" w:rsidP="00F00177">
      <w:pPr>
        <w:spacing w:after="240" w:line="276" w:lineRule="auto"/>
        <w:rPr>
          <w:rFonts w:ascii="Arial" w:eastAsia="Times New Roman" w:hAnsi="Arial" w:cs="Arial"/>
          <w:sz w:val="18"/>
          <w:szCs w:val="18"/>
          <w:lang w:eastAsia="es-ES"/>
        </w:rPr>
      </w:pPr>
      <w:r w:rsidRPr="00F00177">
        <w:rPr>
          <w:rFonts w:ascii="Arial" w:eastAsia="Times New Roman" w:hAnsi="Arial" w:cs="Arial"/>
          <w:b/>
          <w:bCs/>
          <w:sz w:val="21"/>
          <w:szCs w:val="21"/>
        </w:rPr>
        <w:t>Enllaç a la publicació:</w:t>
      </w:r>
      <w:r w:rsidRPr="00F00177">
        <w:rPr>
          <w:rFonts w:ascii="Arial" w:eastAsia="Times New Roman" w:hAnsi="Arial" w:cs="Arial"/>
          <w:b/>
          <w:bCs/>
          <w:sz w:val="21"/>
          <w:szCs w:val="21"/>
        </w:rPr>
        <w:br/>
      </w:r>
      <w:hyperlink r:id="rId435" w:history="1">
        <w:r w:rsidRPr="00F00177">
          <w:rPr>
            <w:rFonts w:ascii="Arial" w:eastAsia="Times New Roman" w:hAnsi="Arial" w:cs="Arial"/>
            <w:color w:val="000080"/>
            <w:sz w:val="18"/>
            <w:szCs w:val="18"/>
            <w:u w:val="single"/>
            <w:lang w:eastAsia="es-ES"/>
          </w:rPr>
          <w:t>http://www.antifraucv.es/wp-content/uploads/2021/04/20210316_AJUNTAMENT_DE_COFRENTES.pdf</w:t>
        </w:r>
      </w:hyperlink>
    </w:p>
    <w:p w14:paraId="6CBB1894"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Descripció</w:t>
      </w:r>
      <w:r w:rsidRPr="00F00177">
        <w:rPr>
          <w:rFonts w:ascii="Arial" w:eastAsia="Times New Roman" w:hAnsi="Arial" w:cs="Arial"/>
          <w:color w:val="000000"/>
          <w:sz w:val="21"/>
          <w:szCs w:val="21"/>
        </w:rPr>
        <w:t>: Es denuncia el presumpte fraccionament en frau de llei realitzat per l'Ajuntament de Cofrentes, en referència a l'adjudicació de dos contractes paral·lels amb objecte i àmbit funcional anàlegs.</w:t>
      </w:r>
    </w:p>
    <w:p w14:paraId="60AAE01F"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Després de la instrucció de l'oportú procediment d'investigació, es va acreditar que hi ha els següents indicis de fraccionament entre els Expedients de contractació C1/2016 i C2/2016:</w:t>
      </w:r>
    </w:p>
    <w:p w14:paraId="1664F6EE" w14:textId="77777777" w:rsidR="00F00177" w:rsidRPr="00F00177" w:rsidRDefault="00F00177" w:rsidP="00153419">
      <w:pPr>
        <w:numPr>
          <w:ilvl w:val="0"/>
          <w:numId w:val="99"/>
        </w:numPr>
        <w:spacing w:after="120" w:line="276" w:lineRule="auto"/>
        <w:ind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Numeració correlativa dels Expedients: C1/2016 y C2/2016.</w:t>
      </w:r>
    </w:p>
    <w:p w14:paraId="3A61D0FE" w14:textId="77777777" w:rsidR="00F00177" w:rsidRPr="00F00177" w:rsidRDefault="00F00177" w:rsidP="00153419">
      <w:pPr>
        <w:numPr>
          <w:ilvl w:val="0"/>
          <w:numId w:val="99"/>
        </w:numPr>
        <w:spacing w:after="120" w:line="276" w:lineRule="auto"/>
        <w:ind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Objecte íntimament relacionat i mateixa ubicació:</w:t>
      </w:r>
    </w:p>
    <w:p w14:paraId="559B7385" w14:textId="77777777" w:rsidR="00F00177" w:rsidRPr="00F00177" w:rsidRDefault="00F00177" w:rsidP="006F03EF">
      <w:pPr>
        <w:numPr>
          <w:ilvl w:val="0"/>
          <w:numId w:val="98"/>
        </w:numPr>
        <w:spacing w:after="120" w:line="276" w:lineRule="auto"/>
        <w:ind w:left="1276"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C1/2016: creació d’un parc aquàtic a la piscina municipal.</w:t>
      </w:r>
    </w:p>
    <w:p w14:paraId="47AB8796" w14:textId="77777777" w:rsidR="00F00177" w:rsidRPr="00F00177" w:rsidRDefault="00F00177" w:rsidP="006F03EF">
      <w:pPr>
        <w:numPr>
          <w:ilvl w:val="0"/>
          <w:numId w:val="98"/>
        </w:numPr>
        <w:spacing w:after="120" w:line="276" w:lineRule="auto"/>
        <w:ind w:left="1276"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C2/2016: instal·lació d’un tobogan aquàtic a la piscina municipal.</w:t>
      </w:r>
    </w:p>
    <w:p w14:paraId="1A7D7045" w14:textId="77777777" w:rsidR="00F00177" w:rsidRPr="00F00177" w:rsidRDefault="00F00177" w:rsidP="00153419">
      <w:pPr>
        <w:numPr>
          <w:ilvl w:val="0"/>
          <w:numId w:val="99"/>
        </w:numPr>
        <w:spacing w:after="120" w:line="276" w:lineRule="auto"/>
        <w:ind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Tramitació simultània en el temps d’ambdós expedients.</w:t>
      </w:r>
    </w:p>
    <w:p w14:paraId="5948B452" w14:textId="77777777" w:rsidR="00F00177" w:rsidRPr="00F00177" w:rsidRDefault="00F00177" w:rsidP="00153419">
      <w:pPr>
        <w:numPr>
          <w:ilvl w:val="0"/>
          <w:numId w:val="99"/>
        </w:numPr>
        <w:spacing w:after="120" w:line="276" w:lineRule="auto"/>
        <w:ind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Invitació a la negociació a les mateixes 3 empreses, en ambdós contractes.</w:t>
      </w:r>
    </w:p>
    <w:p w14:paraId="553AA2E7" w14:textId="77777777" w:rsidR="00F00177" w:rsidRPr="00F00177" w:rsidRDefault="00F00177" w:rsidP="00153419">
      <w:pPr>
        <w:numPr>
          <w:ilvl w:val="0"/>
          <w:numId w:val="99"/>
        </w:numPr>
        <w:spacing w:after="120" w:line="276" w:lineRule="auto"/>
        <w:ind w:hanging="357"/>
        <w:jc w:val="both"/>
        <w:rPr>
          <w:rFonts w:ascii="Arial" w:eastAsia="Times New Roman" w:hAnsi="Arial" w:cs="Arial"/>
          <w:color w:val="000000"/>
          <w:sz w:val="21"/>
          <w:szCs w:val="21"/>
        </w:rPr>
      </w:pPr>
      <w:r w:rsidRPr="00F00177">
        <w:rPr>
          <w:rFonts w:ascii="Arial" w:eastAsia="Times New Roman" w:hAnsi="Arial" w:cs="Arial"/>
          <w:color w:val="000000"/>
          <w:sz w:val="21"/>
          <w:szCs w:val="21"/>
        </w:rPr>
        <w:t>Adjudicació d’ambdós contractes a la mateixa empresa, amb a penes 14 dies de diferència entre una i l’altra adjudicació.</w:t>
      </w:r>
    </w:p>
    <w:p w14:paraId="45884E16" w14:textId="77777777" w:rsidR="00F00177" w:rsidRPr="00F00177" w:rsidRDefault="00F00177" w:rsidP="00153419">
      <w:pPr>
        <w:numPr>
          <w:ilvl w:val="0"/>
          <w:numId w:val="99"/>
        </w:num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Execució simultània d’ambdós contractacions.</w:t>
      </w:r>
    </w:p>
    <w:p w14:paraId="1928777D" w14:textId="1B49DD8E"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color w:val="000000"/>
          <w:sz w:val="21"/>
          <w:szCs w:val="21"/>
        </w:rPr>
        <w:t>No obstant això, l'anterior, els fets denunciats han sigut examinats des del prisma judicial en les Diligències Prèvies [DIP] n</w:t>
      </w:r>
      <w:r w:rsidR="00BF7CAF">
        <w:rPr>
          <w:rFonts w:ascii="Arial" w:eastAsia="Times New Roman" w:hAnsi="Arial" w:cs="Arial"/>
          <w:color w:val="000000"/>
          <w:sz w:val="21"/>
          <w:szCs w:val="21"/>
        </w:rPr>
        <w:t>úm</w:t>
      </w:r>
      <w:r w:rsidRPr="00F00177">
        <w:rPr>
          <w:rFonts w:ascii="Arial" w:eastAsia="Times New Roman" w:hAnsi="Arial" w:cs="Arial"/>
          <w:color w:val="000000"/>
          <w:sz w:val="21"/>
          <w:szCs w:val="21"/>
        </w:rPr>
        <w:t>. 000472/2019, seguides davant del Jutjat d'Instrucció n</w:t>
      </w:r>
      <w:r w:rsidR="00BF7CAF">
        <w:rPr>
          <w:rFonts w:ascii="Arial" w:eastAsia="Times New Roman" w:hAnsi="Arial" w:cs="Arial"/>
          <w:color w:val="000000"/>
          <w:sz w:val="21"/>
          <w:szCs w:val="21"/>
        </w:rPr>
        <w:t>úm.</w:t>
      </w:r>
      <w:r w:rsidRPr="00F00177">
        <w:rPr>
          <w:rFonts w:ascii="Arial" w:eastAsia="Times New Roman" w:hAnsi="Arial" w:cs="Arial"/>
          <w:color w:val="000000"/>
          <w:sz w:val="21"/>
          <w:szCs w:val="21"/>
        </w:rPr>
        <w:t xml:space="preserve"> 1 de Requena. El dit procés penal ha finalitzat per acord sobreseïment provisional.</w:t>
      </w:r>
    </w:p>
    <w:p w14:paraId="407CB38D"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Resultat</w:t>
      </w:r>
      <w:r w:rsidRPr="00F00177">
        <w:rPr>
          <w:rFonts w:ascii="Arial" w:eastAsia="Times New Roman" w:hAnsi="Arial" w:cs="Arial"/>
          <w:color w:val="000000"/>
          <w:sz w:val="21"/>
          <w:szCs w:val="21"/>
        </w:rPr>
        <w:t>: Se finalitza l’expedient amb arxiu de les actuacions.</w:t>
      </w:r>
    </w:p>
    <w:p w14:paraId="0B010A75" w14:textId="77777777" w:rsidR="00F00177" w:rsidRPr="00F00177" w:rsidRDefault="00F00177" w:rsidP="00F00177">
      <w:pPr>
        <w:spacing w:after="240" w:line="276" w:lineRule="auto"/>
        <w:jc w:val="both"/>
        <w:rPr>
          <w:rFonts w:ascii="Arial" w:eastAsia="Times New Roman" w:hAnsi="Arial" w:cs="Arial"/>
          <w:color w:val="000000"/>
          <w:sz w:val="21"/>
          <w:szCs w:val="21"/>
        </w:rPr>
      </w:pPr>
      <w:r w:rsidRPr="00F00177">
        <w:rPr>
          <w:rFonts w:ascii="Arial" w:eastAsia="Times New Roman" w:hAnsi="Arial" w:cs="Arial"/>
          <w:b/>
          <w:bCs/>
          <w:color w:val="000000"/>
          <w:sz w:val="21"/>
          <w:szCs w:val="21"/>
        </w:rPr>
        <w:t>Fase de seguiment</w:t>
      </w:r>
      <w:r w:rsidRPr="00F00177">
        <w:rPr>
          <w:rFonts w:ascii="Arial" w:eastAsia="Times New Roman" w:hAnsi="Arial" w:cs="Arial"/>
          <w:color w:val="000000"/>
          <w:sz w:val="21"/>
          <w:szCs w:val="21"/>
        </w:rPr>
        <w:t>: No procedeix.</w:t>
      </w:r>
    </w:p>
    <w:p w14:paraId="72C68C59" w14:textId="77777777" w:rsidR="00463485" w:rsidRPr="00463485" w:rsidRDefault="00463485" w:rsidP="00463485">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09" w:name="_Toc99110739"/>
      <w:r w:rsidRPr="00463485">
        <w:rPr>
          <w:rFonts w:ascii="Arial" w:eastAsia="Times New Roman" w:hAnsi="Arial" w:cs="Arial"/>
          <w:b/>
          <w:color w:val="9D2235"/>
          <w:sz w:val="28"/>
          <w:szCs w:val="28"/>
        </w:rPr>
        <w:t>Denominació: DIVALTERRA, S.A. Fraccionament de contractes de servicis d'auditoria</w:t>
      </w:r>
      <w:bookmarkEnd w:id="209"/>
    </w:p>
    <w:p w14:paraId="46031C95" w14:textId="77777777" w:rsidR="00463485" w:rsidRPr="00463485" w:rsidRDefault="00463485" w:rsidP="005F040E">
      <w:pPr>
        <w:spacing w:after="240" w:line="276" w:lineRule="auto"/>
        <w:jc w:val="both"/>
        <w:rPr>
          <w:rFonts w:ascii="Arial" w:eastAsia="Times New Roman" w:hAnsi="Arial" w:cs="Arial"/>
          <w:color w:val="000000"/>
          <w:sz w:val="21"/>
          <w:szCs w:val="21"/>
        </w:rPr>
      </w:pPr>
      <w:r w:rsidRPr="00463485">
        <w:rPr>
          <w:rFonts w:ascii="Arial" w:eastAsia="Times New Roman" w:hAnsi="Arial" w:cs="Arial"/>
          <w:b/>
          <w:bCs/>
          <w:color w:val="000000"/>
          <w:sz w:val="21"/>
          <w:szCs w:val="21"/>
        </w:rPr>
        <w:t>Expedient</w:t>
      </w:r>
      <w:r w:rsidRPr="00463485">
        <w:rPr>
          <w:rFonts w:ascii="Arial" w:eastAsia="Times New Roman" w:hAnsi="Arial" w:cs="Arial"/>
          <w:color w:val="000000"/>
          <w:sz w:val="21"/>
          <w:szCs w:val="21"/>
        </w:rPr>
        <w:t>: 2020/G01_01/000371 (110/2018 y 114/2018)</w:t>
      </w:r>
    </w:p>
    <w:p w14:paraId="2DB2B9BF" w14:textId="77777777" w:rsidR="00463485" w:rsidRPr="00463485" w:rsidRDefault="00463485" w:rsidP="00463485">
      <w:pPr>
        <w:spacing w:after="240" w:line="276" w:lineRule="auto"/>
        <w:rPr>
          <w:rFonts w:ascii="Arial" w:eastAsia="Times New Roman" w:hAnsi="Arial" w:cs="Arial"/>
          <w:sz w:val="16"/>
          <w:szCs w:val="16"/>
          <w:lang w:eastAsia="es-ES"/>
        </w:rPr>
      </w:pPr>
      <w:r w:rsidRPr="00463485">
        <w:rPr>
          <w:rFonts w:ascii="Arial" w:eastAsia="Times New Roman" w:hAnsi="Arial" w:cs="Arial"/>
          <w:b/>
          <w:bCs/>
          <w:sz w:val="21"/>
          <w:szCs w:val="21"/>
        </w:rPr>
        <w:t>Enllaç a la publicació:</w:t>
      </w:r>
      <w:r w:rsidRPr="00463485">
        <w:rPr>
          <w:rFonts w:ascii="Arial" w:eastAsia="Times New Roman" w:hAnsi="Arial" w:cs="Arial"/>
          <w:b/>
          <w:bCs/>
          <w:sz w:val="21"/>
          <w:szCs w:val="21"/>
        </w:rPr>
        <w:br/>
      </w:r>
      <w:hyperlink r:id="rId436" w:history="1">
        <w:r w:rsidRPr="00463485">
          <w:rPr>
            <w:rFonts w:ascii="Arial" w:eastAsia="Times New Roman" w:hAnsi="Arial" w:cs="Arial"/>
            <w:color w:val="000080"/>
            <w:sz w:val="16"/>
            <w:szCs w:val="16"/>
            <w:u w:val="single"/>
            <w:lang w:eastAsia="es-ES"/>
          </w:rPr>
          <w:t>http://www.antifraucv.es/wp-content/uploads/2021/04/20210316_DIPUTACION_DE_VALENCIA-DIVALTERRA.pdf</w:t>
        </w:r>
      </w:hyperlink>
    </w:p>
    <w:p w14:paraId="554BED37" w14:textId="77777777" w:rsidR="00463485" w:rsidRPr="00463485" w:rsidRDefault="00463485" w:rsidP="00463485">
      <w:pPr>
        <w:spacing w:after="240" w:line="276" w:lineRule="auto"/>
        <w:jc w:val="both"/>
        <w:rPr>
          <w:rFonts w:ascii="Arial" w:eastAsia="Times New Roman" w:hAnsi="Arial" w:cs="Arial"/>
          <w:color w:val="000000"/>
          <w:sz w:val="21"/>
          <w:szCs w:val="21"/>
        </w:rPr>
      </w:pPr>
      <w:r w:rsidRPr="00463485">
        <w:rPr>
          <w:rFonts w:ascii="Arial" w:eastAsia="Times New Roman" w:hAnsi="Arial" w:cs="Arial"/>
          <w:b/>
          <w:bCs/>
          <w:color w:val="000000"/>
          <w:sz w:val="21"/>
          <w:szCs w:val="21"/>
        </w:rPr>
        <w:t>Descripció</w:t>
      </w:r>
      <w:r w:rsidRPr="00463485">
        <w:rPr>
          <w:rFonts w:ascii="Arial" w:eastAsia="Times New Roman" w:hAnsi="Arial" w:cs="Arial"/>
          <w:color w:val="000000"/>
          <w:sz w:val="21"/>
          <w:szCs w:val="21"/>
        </w:rPr>
        <w:t>: Es denuncia que, DIVALTERRA, S.A. podria haver fraccionat contractes indegudament per a eludir l'aplicació dels principis generals que regixen la contractació administrativa, en concret, la publicitat i la lliure concurrència, en concret:</w:t>
      </w:r>
    </w:p>
    <w:p w14:paraId="5CD848A5" w14:textId="77777777" w:rsidR="00463485" w:rsidRPr="00463485" w:rsidRDefault="00463485" w:rsidP="00DE53A4">
      <w:pPr>
        <w:numPr>
          <w:ilvl w:val="0"/>
          <w:numId w:val="100"/>
        </w:numPr>
        <w:spacing w:after="120" w:line="276" w:lineRule="auto"/>
        <w:ind w:left="714" w:hanging="357"/>
        <w:jc w:val="both"/>
        <w:rPr>
          <w:rFonts w:ascii="Arial" w:eastAsia="Times New Roman" w:hAnsi="Arial" w:cs="Arial"/>
          <w:color w:val="000000"/>
          <w:sz w:val="21"/>
          <w:szCs w:val="21"/>
        </w:rPr>
      </w:pPr>
      <w:r w:rsidRPr="00463485">
        <w:rPr>
          <w:rFonts w:ascii="Arial" w:eastAsia="Times New Roman" w:hAnsi="Arial" w:cs="Arial"/>
          <w:color w:val="000000"/>
          <w:sz w:val="21"/>
          <w:szCs w:val="21"/>
        </w:rPr>
        <w:t xml:space="preserve">Que es van excedir els límits de la contractació menor. </w:t>
      </w:r>
    </w:p>
    <w:p w14:paraId="7067DC4C" w14:textId="77777777" w:rsidR="00463485" w:rsidRPr="00463485" w:rsidRDefault="00463485" w:rsidP="00DE53A4">
      <w:pPr>
        <w:numPr>
          <w:ilvl w:val="0"/>
          <w:numId w:val="100"/>
        </w:numPr>
        <w:spacing w:after="120" w:line="276" w:lineRule="auto"/>
        <w:ind w:left="714" w:hanging="357"/>
        <w:jc w:val="both"/>
        <w:rPr>
          <w:rFonts w:ascii="Arial" w:eastAsia="Times New Roman" w:hAnsi="Arial" w:cs="Arial"/>
          <w:color w:val="000000"/>
          <w:sz w:val="21"/>
          <w:szCs w:val="21"/>
        </w:rPr>
      </w:pPr>
      <w:r w:rsidRPr="00463485">
        <w:rPr>
          <w:rFonts w:ascii="Arial" w:eastAsia="Times New Roman" w:hAnsi="Arial" w:cs="Arial"/>
          <w:color w:val="000000"/>
          <w:sz w:val="21"/>
          <w:szCs w:val="21"/>
        </w:rPr>
        <w:t xml:space="preserve">Que els pagaments finalment realitzats en les contractacions van excedir els imports efectivament contractats. </w:t>
      </w:r>
    </w:p>
    <w:p w14:paraId="5B7B4133" w14:textId="77777777" w:rsidR="00463485" w:rsidRPr="00463485" w:rsidRDefault="00463485" w:rsidP="00DE53A4">
      <w:pPr>
        <w:numPr>
          <w:ilvl w:val="0"/>
          <w:numId w:val="100"/>
        </w:numPr>
        <w:spacing w:after="240" w:line="276" w:lineRule="auto"/>
        <w:jc w:val="both"/>
        <w:rPr>
          <w:rFonts w:ascii="Arial" w:eastAsia="Times New Roman" w:hAnsi="Arial" w:cs="Arial"/>
          <w:color w:val="000000"/>
          <w:sz w:val="21"/>
          <w:szCs w:val="21"/>
        </w:rPr>
      </w:pPr>
      <w:r w:rsidRPr="00463485">
        <w:rPr>
          <w:rFonts w:ascii="Arial" w:eastAsia="Times New Roman" w:hAnsi="Arial" w:cs="Arial"/>
          <w:color w:val="000000"/>
          <w:sz w:val="21"/>
          <w:szCs w:val="21"/>
        </w:rPr>
        <w:t>Que s'ha produït fraccionament de contractes.</w:t>
      </w:r>
    </w:p>
    <w:p w14:paraId="22812974" w14:textId="77777777" w:rsidR="00463485" w:rsidRPr="00463485" w:rsidRDefault="00463485" w:rsidP="00463485">
      <w:pPr>
        <w:spacing w:after="240" w:line="276" w:lineRule="auto"/>
        <w:jc w:val="both"/>
        <w:rPr>
          <w:rFonts w:ascii="Arial" w:eastAsia="Times New Roman" w:hAnsi="Arial" w:cs="Arial"/>
          <w:color w:val="000000"/>
          <w:sz w:val="21"/>
          <w:szCs w:val="21"/>
        </w:rPr>
      </w:pPr>
      <w:r w:rsidRPr="00463485">
        <w:rPr>
          <w:rFonts w:ascii="Arial" w:eastAsia="Times New Roman" w:hAnsi="Arial" w:cs="Arial"/>
          <w:color w:val="000000"/>
          <w:sz w:val="21"/>
          <w:szCs w:val="21"/>
        </w:rPr>
        <w:t>Després de l'estudi en detall de la totalitat de la documentació, es conclou que:</w:t>
      </w:r>
    </w:p>
    <w:p w14:paraId="50201E82" w14:textId="77777777" w:rsidR="00463485" w:rsidRPr="00463485" w:rsidRDefault="00463485" w:rsidP="00DE53A4">
      <w:pPr>
        <w:numPr>
          <w:ilvl w:val="0"/>
          <w:numId w:val="101"/>
        </w:numPr>
        <w:spacing w:after="120" w:line="276" w:lineRule="auto"/>
        <w:ind w:hanging="357"/>
        <w:jc w:val="both"/>
        <w:rPr>
          <w:rFonts w:ascii="Arial" w:eastAsia="Times New Roman" w:hAnsi="Arial" w:cs="Arial"/>
          <w:color w:val="000000"/>
          <w:sz w:val="21"/>
          <w:szCs w:val="21"/>
        </w:rPr>
      </w:pPr>
      <w:r w:rsidRPr="00463485">
        <w:rPr>
          <w:rFonts w:ascii="Arial" w:eastAsia="Times New Roman" w:hAnsi="Arial" w:cs="Arial"/>
          <w:color w:val="000000"/>
          <w:sz w:val="21"/>
          <w:szCs w:val="21"/>
        </w:rPr>
        <w:t>Irregularitats constatades en l'Expedient denominat “60/ECOF/2015”:</w:t>
      </w:r>
    </w:p>
    <w:p w14:paraId="7B3F331F" w14:textId="1043C0DF" w:rsidR="00463485" w:rsidRPr="00463485" w:rsidRDefault="00463485" w:rsidP="006F03EF">
      <w:pPr>
        <w:numPr>
          <w:ilvl w:val="1"/>
          <w:numId w:val="101"/>
        </w:numPr>
        <w:spacing w:after="120" w:line="276" w:lineRule="auto"/>
        <w:ind w:hanging="447"/>
        <w:jc w:val="both"/>
        <w:rPr>
          <w:rFonts w:ascii="Arial" w:eastAsia="Times New Roman" w:hAnsi="Arial" w:cs="Arial"/>
          <w:color w:val="000000"/>
          <w:sz w:val="21"/>
          <w:szCs w:val="21"/>
        </w:rPr>
      </w:pPr>
      <w:r w:rsidRPr="00463485">
        <w:rPr>
          <w:rFonts w:ascii="Arial" w:eastAsia="Times New Roman" w:hAnsi="Arial" w:cs="Arial"/>
          <w:color w:val="000000"/>
          <w:sz w:val="21"/>
          <w:szCs w:val="21"/>
        </w:rPr>
        <w:t xml:space="preserve">Existència de contactes previs a l'inici de la contractació que no han sigut justificats. </w:t>
      </w:r>
    </w:p>
    <w:p w14:paraId="42991A8E" w14:textId="77777777" w:rsidR="00463485" w:rsidRPr="00463485" w:rsidRDefault="00463485" w:rsidP="006F03EF">
      <w:pPr>
        <w:numPr>
          <w:ilvl w:val="1"/>
          <w:numId w:val="101"/>
        </w:numPr>
        <w:spacing w:after="120" w:line="276" w:lineRule="auto"/>
        <w:ind w:hanging="447"/>
        <w:jc w:val="both"/>
        <w:rPr>
          <w:rFonts w:ascii="Arial" w:eastAsia="Times New Roman" w:hAnsi="Arial" w:cs="Arial"/>
          <w:color w:val="000000"/>
          <w:sz w:val="21"/>
          <w:szCs w:val="21"/>
        </w:rPr>
      </w:pPr>
      <w:r w:rsidRPr="00463485">
        <w:rPr>
          <w:rFonts w:ascii="Arial" w:eastAsia="Times New Roman" w:hAnsi="Arial" w:cs="Arial"/>
          <w:color w:val="000000"/>
          <w:sz w:val="21"/>
          <w:szCs w:val="21"/>
        </w:rPr>
        <w:t xml:space="preserve">Existència de documents de control de pagaments incomplets i amb anotacions manuscrites no justificades. </w:t>
      </w:r>
    </w:p>
    <w:p w14:paraId="069CA1D1" w14:textId="77777777" w:rsidR="00463485" w:rsidRPr="00463485" w:rsidRDefault="00463485" w:rsidP="006F03EF">
      <w:pPr>
        <w:numPr>
          <w:ilvl w:val="1"/>
          <w:numId w:val="101"/>
        </w:numPr>
        <w:spacing w:after="120" w:line="276" w:lineRule="auto"/>
        <w:ind w:hanging="447"/>
        <w:jc w:val="both"/>
        <w:rPr>
          <w:rFonts w:ascii="Arial" w:eastAsia="Times New Roman" w:hAnsi="Arial" w:cs="Arial"/>
          <w:color w:val="000000"/>
          <w:sz w:val="21"/>
          <w:szCs w:val="21"/>
        </w:rPr>
      </w:pPr>
      <w:r w:rsidRPr="00463485">
        <w:rPr>
          <w:rFonts w:ascii="Arial" w:eastAsia="Times New Roman" w:hAnsi="Arial" w:cs="Arial"/>
          <w:color w:val="000000"/>
          <w:sz w:val="21"/>
          <w:szCs w:val="21"/>
        </w:rPr>
        <w:t xml:space="preserve"> Existència d'una “nova” proposta de servicis i dos “noves” factures, que no corresponen al servici inicialment contractat, la qual cosa podria configurar una segona contractació dins del mateix expedient. Els documents interns de control de pagaments també estan incomplets i amb anotacions manuscrites no justificades. </w:t>
      </w:r>
    </w:p>
    <w:p w14:paraId="41F87570" w14:textId="77777777" w:rsidR="00463485" w:rsidRPr="00463485" w:rsidRDefault="00463485" w:rsidP="006F03EF">
      <w:pPr>
        <w:numPr>
          <w:ilvl w:val="1"/>
          <w:numId w:val="101"/>
        </w:numPr>
        <w:spacing w:after="120" w:line="276" w:lineRule="auto"/>
        <w:ind w:hanging="447"/>
        <w:jc w:val="both"/>
        <w:rPr>
          <w:rFonts w:ascii="Arial" w:eastAsia="Times New Roman" w:hAnsi="Arial" w:cs="Arial"/>
          <w:color w:val="000000"/>
          <w:sz w:val="21"/>
          <w:szCs w:val="21"/>
        </w:rPr>
      </w:pPr>
      <w:r w:rsidRPr="00463485">
        <w:rPr>
          <w:rFonts w:ascii="Arial" w:eastAsia="Times New Roman" w:hAnsi="Arial" w:cs="Arial"/>
          <w:color w:val="000000"/>
          <w:sz w:val="21"/>
          <w:szCs w:val="21"/>
        </w:rPr>
        <w:t>Inexistència de la justificació exigible per a l'adjudicació de contractes de forma directa per resultar impossible promoure la concurrència.</w:t>
      </w:r>
    </w:p>
    <w:p w14:paraId="73BE3176" w14:textId="77777777" w:rsidR="00463485" w:rsidRPr="00463485" w:rsidRDefault="00463485" w:rsidP="00DE53A4">
      <w:pPr>
        <w:numPr>
          <w:ilvl w:val="0"/>
          <w:numId w:val="101"/>
        </w:numPr>
        <w:spacing w:after="120" w:line="276" w:lineRule="auto"/>
        <w:ind w:hanging="357"/>
        <w:jc w:val="both"/>
        <w:rPr>
          <w:rFonts w:ascii="Arial" w:eastAsia="Times New Roman" w:hAnsi="Arial" w:cs="Arial"/>
          <w:color w:val="000000"/>
          <w:sz w:val="21"/>
          <w:szCs w:val="21"/>
        </w:rPr>
      </w:pPr>
      <w:r w:rsidRPr="00463485">
        <w:rPr>
          <w:rFonts w:ascii="Arial" w:eastAsia="Times New Roman" w:hAnsi="Arial" w:cs="Arial"/>
          <w:color w:val="000000"/>
          <w:sz w:val="21"/>
          <w:szCs w:val="21"/>
        </w:rPr>
        <w:t>Irregularitats constatades a l’expedient denominat “233/AJ/2016”:</w:t>
      </w:r>
    </w:p>
    <w:p w14:paraId="627C6BA9" w14:textId="77777777" w:rsidR="00463485" w:rsidRPr="00463485" w:rsidRDefault="00463485" w:rsidP="006F03EF">
      <w:pPr>
        <w:numPr>
          <w:ilvl w:val="0"/>
          <w:numId w:val="102"/>
        </w:numPr>
        <w:spacing w:after="120" w:line="276" w:lineRule="auto"/>
        <w:ind w:left="1418" w:hanging="425"/>
        <w:jc w:val="both"/>
        <w:rPr>
          <w:rFonts w:ascii="Arial" w:eastAsia="Times New Roman" w:hAnsi="Arial" w:cs="Arial"/>
          <w:color w:val="000000"/>
          <w:sz w:val="21"/>
          <w:szCs w:val="21"/>
        </w:rPr>
      </w:pPr>
      <w:r w:rsidRPr="00463485">
        <w:rPr>
          <w:rFonts w:ascii="Arial" w:eastAsia="Times New Roman" w:hAnsi="Arial" w:cs="Arial"/>
          <w:color w:val="000000"/>
          <w:sz w:val="21"/>
          <w:szCs w:val="21"/>
        </w:rPr>
        <w:t xml:space="preserve">Incongruència no justificada entre l'informe previ de necessitat a satisfer i l'acord adoptat per l'òrgan de contractació. </w:t>
      </w:r>
    </w:p>
    <w:p w14:paraId="5A3B0C88" w14:textId="77777777" w:rsidR="00463485" w:rsidRPr="00463485" w:rsidRDefault="00463485" w:rsidP="006F03EF">
      <w:pPr>
        <w:numPr>
          <w:ilvl w:val="0"/>
          <w:numId w:val="102"/>
        </w:numPr>
        <w:spacing w:after="240" w:line="276" w:lineRule="auto"/>
        <w:ind w:left="1418" w:hanging="425"/>
        <w:jc w:val="both"/>
        <w:rPr>
          <w:rFonts w:ascii="Arial" w:eastAsia="Times New Roman" w:hAnsi="Arial" w:cs="Arial"/>
          <w:color w:val="000000"/>
          <w:sz w:val="21"/>
          <w:szCs w:val="21"/>
        </w:rPr>
      </w:pPr>
      <w:r w:rsidRPr="00463485">
        <w:rPr>
          <w:rFonts w:ascii="Arial" w:eastAsia="Times New Roman" w:hAnsi="Arial" w:cs="Arial"/>
          <w:color w:val="000000"/>
          <w:sz w:val="21"/>
          <w:szCs w:val="21"/>
        </w:rPr>
        <w:t xml:space="preserve"> Inexistència de la justificació exigible per a l'adjudicació de contractes de forma directa, per resultar impossible promoure la concurrència.</w:t>
      </w:r>
    </w:p>
    <w:p w14:paraId="265CAAF4" w14:textId="77777777" w:rsidR="00463485" w:rsidRPr="00463485" w:rsidRDefault="00463485" w:rsidP="00463485">
      <w:pPr>
        <w:spacing w:after="240" w:line="276" w:lineRule="auto"/>
        <w:jc w:val="both"/>
        <w:rPr>
          <w:rFonts w:ascii="Arial" w:eastAsia="Times New Roman" w:hAnsi="Arial" w:cs="Arial"/>
          <w:color w:val="000000"/>
          <w:sz w:val="21"/>
          <w:szCs w:val="21"/>
        </w:rPr>
      </w:pPr>
      <w:r w:rsidRPr="00463485">
        <w:rPr>
          <w:rFonts w:ascii="Arial" w:eastAsia="Times New Roman" w:hAnsi="Arial" w:cs="Arial"/>
          <w:color w:val="000000"/>
          <w:sz w:val="21"/>
          <w:szCs w:val="21"/>
        </w:rPr>
        <w:t>L'entitat al·lega que a l’empara del que establix l'art. 39 de les Instruccions Internes de Contractació de DIVALTERRA, es va decidir separar-se de l'informe jurídic que recomanava l'adjudicació per negociat sense publicitat, optant en el seu lloc per l'adjudicació directa.</w:t>
      </w:r>
    </w:p>
    <w:p w14:paraId="4C171B8C" w14:textId="77777777" w:rsidR="00463485" w:rsidRPr="00463485" w:rsidRDefault="00463485" w:rsidP="00463485">
      <w:pPr>
        <w:spacing w:after="240" w:line="276" w:lineRule="auto"/>
        <w:jc w:val="both"/>
        <w:rPr>
          <w:rFonts w:ascii="Arial" w:eastAsia="Times New Roman" w:hAnsi="Arial" w:cs="Arial"/>
          <w:color w:val="000000"/>
          <w:sz w:val="21"/>
          <w:szCs w:val="21"/>
        </w:rPr>
      </w:pPr>
      <w:r w:rsidRPr="00463485">
        <w:rPr>
          <w:rFonts w:ascii="Arial" w:eastAsia="Times New Roman" w:hAnsi="Arial" w:cs="Arial"/>
          <w:b/>
          <w:bCs/>
          <w:color w:val="000000"/>
          <w:sz w:val="21"/>
          <w:szCs w:val="21"/>
        </w:rPr>
        <w:t>Resultat</w:t>
      </w:r>
      <w:r w:rsidRPr="00463485">
        <w:rPr>
          <w:rFonts w:ascii="Arial" w:eastAsia="Times New Roman" w:hAnsi="Arial" w:cs="Arial"/>
          <w:color w:val="000000"/>
          <w:sz w:val="21"/>
          <w:szCs w:val="21"/>
        </w:rPr>
        <w:t>: Es finalitza l’expedient amb arxiu de les actuacions.</w:t>
      </w:r>
    </w:p>
    <w:p w14:paraId="2D889996" w14:textId="77777777" w:rsidR="00463485" w:rsidRPr="00463485" w:rsidRDefault="00463485" w:rsidP="00463485">
      <w:pPr>
        <w:spacing w:after="240" w:line="276" w:lineRule="auto"/>
        <w:jc w:val="both"/>
        <w:rPr>
          <w:rFonts w:ascii="Arial" w:eastAsia="Times New Roman" w:hAnsi="Arial" w:cs="Arial"/>
          <w:color w:val="000000"/>
          <w:sz w:val="21"/>
          <w:szCs w:val="21"/>
        </w:rPr>
      </w:pPr>
      <w:r w:rsidRPr="00463485">
        <w:rPr>
          <w:rFonts w:ascii="Arial" w:eastAsia="Times New Roman" w:hAnsi="Arial" w:cs="Arial"/>
          <w:b/>
          <w:bCs/>
          <w:color w:val="000000"/>
          <w:sz w:val="21"/>
          <w:szCs w:val="21"/>
        </w:rPr>
        <w:t>Fase de seguiment</w:t>
      </w:r>
      <w:r w:rsidRPr="00463485">
        <w:rPr>
          <w:rFonts w:ascii="Arial" w:eastAsia="Times New Roman" w:hAnsi="Arial" w:cs="Arial"/>
          <w:color w:val="000000"/>
          <w:sz w:val="21"/>
          <w:szCs w:val="21"/>
        </w:rPr>
        <w:t>: No procedeix.</w:t>
      </w:r>
    </w:p>
    <w:p w14:paraId="643299B7" w14:textId="77777777" w:rsidR="00E77EFC" w:rsidRPr="00E77EFC" w:rsidRDefault="00E77EFC" w:rsidP="00E77EFC">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10" w:name="_Toc99110740"/>
      <w:r w:rsidRPr="00E77EFC">
        <w:rPr>
          <w:rFonts w:ascii="Arial" w:eastAsia="Times New Roman" w:hAnsi="Arial" w:cs="Arial"/>
          <w:b/>
          <w:color w:val="9D2235"/>
          <w:sz w:val="28"/>
          <w:szCs w:val="28"/>
        </w:rPr>
        <w:t>Denominació: Facultat de Dret Universitat de València. Incompatibilitat de personal docent</w:t>
      </w:r>
      <w:bookmarkEnd w:id="210"/>
    </w:p>
    <w:p w14:paraId="043FED75" w14:textId="77777777" w:rsidR="00E77EFC" w:rsidRPr="00E77EFC" w:rsidRDefault="00E77EFC" w:rsidP="005F040E">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Expedient</w:t>
      </w:r>
      <w:r w:rsidRPr="00E77EFC">
        <w:rPr>
          <w:rFonts w:ascii="Arial" w:eastAsia="Times New Roman" w:hAnsi="Arial" w:cs="Arial"/>
          <w:color w:val="000000"/>
          <w:sz w:val="21"/>
          <w:szCs w:val="21"/>
        </w:rPr>
        <w:t>: 2020/G01_01/000050 [146/2018]</w:t>
      </w:r>
    </w:p>
    <w:p w14:paraId="561F3BC2" w14:textId="77777777" w:rsidR="00E77EFC" w:rsidRPr="00E77EFC" w:rsidRDefault="00E77EFC" w:rsidP="00E77EFC">
      <w:pPr>
        <w:spacing w:after="240" w:line="276" w:lineRule="auto"/>
        <w:rPr>
          <w:rFonts w:ascii="Arial" w:eastAsia="Times New Roman" w:hAnsi="Arial" w:cs="Arial"/>
          <w:sz w:val="18"/>
          <w:szCs w:val="18"/>
          <w:lang w:eastAsia="es-ES"/>
        </w:rPr>
      </w:pPr>
      <w:r w:rsidRPr="00E77EFC">
        <w:rPr>
          <w:rFonts w:ascii="Arial" w:eastAsia="Times New Roman" w:hAnsi="Arial" w:cs="Arial"/>
          <w:b/>
          <w:bCs/>
          <w:sz w:val="21"/>
          <w:szCs w:val="21"/>
        </w:rPr>
        <w:t>Enllaç a la publicació:</w:t>
      </w:r>
      <w:r w:rsidRPr="00E77EFC">
        <w:rPr>
          <w:rFonts w:ascii="Arial" w:eastAsia="Times New Roman" w:hAnsi="Arial" w:cs="Arial"/>
          <w:b/>
          <w:bCs/>
          <w:sz w:val="21"/>
          <w:szCs w:val="21"/>
        </w:rPr>
        <w:br/>
      </w:r>
      <w:hyperlink r:id="rId437" w:history="1">
        <w:r w:rsidRPr="00E77EFC">
          <w:rPr>
            <w:rFonts w:ascii="Arial" w:eastAsia="Times New Roman" w:hAnsi="Arial" w:cs="Arial"/>
            <w:color w:val="000080"/>
            <w:sz w:val="18"/>
            <w:szCs w:val="18"/>
            <w:u w:val="single"/>
            <w:lang w:eastAsia="es-ES"/>
          </w:rPr>
          <w:t>http://www.antifraucv.es/wp-content/uploads/2021/04/20210317_UNIVERSITAT_DE_VALENCIA.pdf</w:t>
        </w:r>
      </w:hyperlink>
    </w:p>
    <w:p w14:paraId="4BA163CC"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Descripció</w:t>
      </w:r>
      <w:r w:rsidRPr="00E77EFC">
        <w:rPr>
          <w:rFonts w:ascii="Arial" w:eastAsia="Times New Roman" w:hAnsi="Arial" w:cs="Arial"/>
          <w:color w:val="000000"/>
          <w:sz w:val="21"/>
          <w:szCs w:val="21"/>
        </w:rPr>
        <w:t>: Es denuncia en particular, diverses qüestions en relació amb els deures d'un empleat públic, com la prevalença de la seua condició per a l'obtenció de beneficis privats, l'incompliment dels seus horaris i jornada de treball, i amb la realització d'activitats de caràcter privatiu, en concret, l'exercici de l'advocacia per compte propi, la qual cosa podria suposar un clar conflicte d'interés i un incompliment de la normativa sobre el règim d'incompatibilitats.</w:t>
      </w:r>
    </w:p>
    <w:p w14:paraId="097E6546"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color w:val="000000"/>
          <w:sz w:val="21"/>
          <w:szCs w:val="21"/>
        </w:rPr>
        <w:t>De l'estudi detallat de la documentació, es va constatar que:</w:t>
      </w:r>
    </w:p>
    <w:p w14:paraId="50FFF1F0" w14:textId="77777777" w:rsidR="00E77EFC" w:rsidRPr="00E77EFC" w:rsidRDefault="00E77EFC" w:rsidP="00DE53A4">
      <w:pPr>
        <w:numPr>
          <w:ilvl w:val="0"/>
          <w:numId w:val="103"/>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S'hauria estat compatibilitzant l'exercici de la seua activitat pública docent amb l'exercici de l'advocacia privada, almenys des del canvi a dedicació parcial des del 24 d'octubre de 1990. No consta resolució de concessió de compatibilitat, sense que hagen pogut acreditar acords expressos respecte d'això. </w:t>
      </w:r>
    </w:p>
    <w:p w14:paraId="05F17748" w14:textId="77777777" w:rsidR="00E77EFC" w:rsidRPr="00E77EFC" w:rsidRDefault="00E77EFC" w:rsidP="00DE53A4">
      <w:pPr>
        <w:numPr>
          <w:ilvl w:val="0"/>
          <w:numId w:val="103"/>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La UV va detectar l'absència d'autorització de compatibilitat l'11 de maig de 2017, per mitjà de l'execució d'un procés de revisió d'Expedients del professorat. </w:t>
      </w:r>
    </w:p>
    <w:p w14:paraId="1B79B8A2" w14:textId="77777777" w:rsidR="00E77EFC" w:rsidRPr="00E77EFC" w:rsidRDefault="00E77EFC" w:rsidP="00DE53A4">
      <w:pPr>
        <w:numPr>
          <w:ilvl w:val="0"/>
          <w:numId w:val="103"/>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El 31 de maig de 2017, la persona afectada va formalitzar declaració responsable en què indicava que exercia l'activitat privada de l'advocacia.</w:t>
      </w:r>
    </w:p>
    <w:p w14:paraId="27ACF086" w14:textId="77777777" w:rsidR="00E77EFC" w:rsidRPr="00E77EFC" w:rsidRDefault="00E77EFC" w:rsidP="00DE53A4">
      <w:pPr>
        <w:numPr>
          <w:ilvl w:val="0"/>
          <w:numId w:val="103"/>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El 20 de desembre de 2017, la vicerectora d'Ordenació Acadèmica, Professorat i Sostenibilitat, va resoldre autoritzar la compatibilitat sol·licitada, condicionada al compliment de l'obligació accessòria de presentar declaració jurada sobre el manteniment de les dites circumstàncies o, en qualsevol altre cas, una nova sol·licitud per a l'autorització de compatibilitat. </w:t>
      </w:r>
    </w:p>
    <w:p w14:paraId="30941E12" w14:textId="77777777" w:rsidR="00E77EFC" w:rsidRPr="00E77EFC" w:rsidRDefault="00E77EFC" w:rsidP="00DE53A4">
      <w:pPr>
        <w:numPr>
          <w:ilvl w:val="0"/>
          <w:numId w:val="103"/>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Consta declaració jurada de l'interessat, de data 4 de novembre de 2020, en la que manifesta que es mantenen les mateixes condicions de compatibilitat per a l'exercici de l'activitat privada previstes en la resolució d'autorització. </w:t>
      </w:r>
    </w:p>
    <w:p w14:paraId="3D5266C4" w14:textId="77777777" w:rsidR="00E77EFC" w:rsidRPr="00E77EFC" w:rsidRDefault="00E77EFC" w:rsidP="00DE53A4">
      <w:pPr>
        <w:numPr>
          <w:ilvl w:val="0"/>
          <w:numId w:val="103"/>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La dita declaració no estava firmada per l'interessat, ni tenia segell d'entrada en registre oficial ni el segell de compulsa estava complet. </w:t>
      </w:r>
    </w:p>
    <w:p w14:paraId="1D3D38F5" w14:textId="77777777" w:rsidR="00E77EFC" w:rsidRPr="00E77EFC" w:rsidRDefault="00E77EFC" w:rsidP="00DE53A4">
      <w:pPr>
        <w:numPr>
          <w:ilvl w:val="0"/>
          <w:numId w:val="103"/>
        </w:numPr>
        <w:spacing w:after="240" w:line="276" w:lineRule="auto"/>
        <w:jc w:val="both"/>
        <w:rPr>
          <w:rFonts w:ascii="Arial" w:eastAsia="Times New Roman" w:hAnsi="Arial" w:cs="Arial"/>
          <w:color w:val="000000"/>
          <w:sz w:val="21"/>
          <w:szCs w:val="21"/>
        </w:rPr>
      </w:pPr>
      <w:r w:rsidRPr="00E77EFC">
        <w:rPr>
          <w:rFonts w:ascii="Arial" w:eastAsia="Times New Roman" w:hAnsi="Arial" w:cs="Arial"/>
          <w:color w:val="000000"/>
          <w:sz w:val="21"/>
          <w:szCs w:val="21"/>
        </w:rPr>
        <w:t>Consta informe d'avaluació de la docència, del curs 2019-2020, en el que s'acredita l'obtenció d'uns resultats en les enquestes d'avaluació superiors a les de la mitjana de la titulació.</w:t>
      </w:r>
    </w:p>
    <w:p w14:paraId="50BEDAFB"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color w:val="000000"/>
          <w:sz w:val="21"/>
          <w:szCs w:val="21"/>
        </w:rPr>
        <w:t>Després de la instrucció de l'oportú procediment d'investigació, es va acreditar que:</w:t>
      </w:r>
    </w:p>
    <w:p w14:paraId="44E3B011" w14:textId="77777777" w:rsidR="00E77EFC" w:rsidRPr="00E77EFC" w:rsidRDefault="00E77EFC" w:rsidP="00DE53A4">
      <w:pPr>
        <w:numPr>
          <w:ilvl w:val="0"/>
          <w:numId w:val="104"/>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Respecte de l'Expedient original de concessió de compatibilitat per a l'exercici d'activitat privada, que comprendria el període fins a 2017, ha quedat acreditada la inexistència d'un expedient de concessió de compatibilitat per a l'exercici d'activitats privades amb anterioritat al curs 2017-2018, la Universitat al·lega el caràcter implícit de la concessió, que no és admissible procedimentalment. </w:t>
      </w:r>
    </w:p>
    <w:p w14:paraId="6DE650B1" w14:textId="77777777" w:rsidR="00E77EFC" w:rsidRPr="00E77EFC" w:rsidRDefault="00E77EFC" w:rsidP="00DE53A4">
      <w:pPr>
        <w:numPr>
          <w:ilvl w:val="0"/>
          <w:numId w:val="104"/>
        </w:numPr>
        <w:spacing w:after="240" w:line="276" w:lineRule="auto"/>
        <w:jc w:val="both"/>
        <w:rPr>
          <w:rFonts w:ascii="Arial" w:eastAsia="Times New Roman" w:hAnsi="Arial" w:cs="Arial"/>
          <w:color w:val="000000"/>
          <w:sz w:val="21"/>
          <w:szCs w:val="21"/>
        </w:rPr>
      </w:pPr>
      <w:r w:rsidRPr="00E77EFC">
        <w:rPr>
          <w:rFonts w:ascii="Arial" w:eastAsia="Times New Roman" w:hAnsi="Arial" w:cs="Arial"/>
          <w:color w:val="000000"/>
          <w:sz w:val="21"/>
          <w:szCs w:val="21"/>
        </w:rPr>
        <w:t>Respecte de l'expedient de concessió de compatibilitat per a l'exercici d'activitat privada, que comprendria el període des de 2017 fins a l'actualitat, s'al·ludix que “no és l'únic cas en què el professorat no repara o oblida esta obligació, confiant en que el seu expedient administratiu està en ordre al no haver variat les circumstàncies declarades a la Universitat i desenvolupar normalment i sense incidències les seues funcions docents, esmenant la falta a requeriment del Servici de Recursos Humans (PDI)”. L'anterior posa de manifest que, concedides les autoritzacions, només es supervisa la vigència de les mateixes per part de l’organisme gestor, d’una forma ocasional i no periòdica.</w:t>
      </w:r>
    </w:p>
    <w:p w14:paraId="37B2924F"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Resultat</w:t>
      </w:r>
      <w:r w:rsidRPr="00E77EFC">
        <w:rPr>
          <w:rFonts w:ascii="Arial" w:eastAsia="Times New Roman" w:hAnsi="Arial" w:cs="Arial"/>
          <w:color w:val="000000"/>
          <w:sz w:val="21"/>
          <w:szCs w:val="21"/>
        </w:rPr>
        <w:t>: Es finalitza l’expedient amb l’elevació de recomanacions:</w:t>
      </w:r>
    </w:p>
    <w:p w14:paraId="58A3ABDA" w14:textId="77777777" w:rsidR="00E77EFC" w:rsidRPr="00E77EFC" w:rsidRDefault="00E77EFC" w:rsidP="00DE53A4">
      <w:pPr>
        <w:numPr>
          <w:ilvl w:val="0"/>
          <w:numId w:val="105"/>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No sent admissible en dret, ni ajustada al procediment administratiu la concessió implícita de la compatibilitat per a l'activitat privada, haurà de procedir a revisar la situació de tot el seu personal docent en la dita situació per a concedir o denegar, si és el cas, de manera expressa la mateixa. </w:t>
      </w:r>
    </w:p>
    <w:p w14:paraId="1A04AB28" w14:textId="77777777" w:rsidR="00E77EFC" w:rsidRPr="00E77EFC" w:rsidRDefault="00E77EFC" w:rsidP="00DE53A4">
      <w:pPr>
        <w:numPr>
          <w:ilvl w:val="0"/>
          <w:numId w:val="105"/>
        </w:numPr>
        <w:spacing w:after="120" w:line="276" w:lineRule="auto"/>
        <w:ind w:left="714"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Haurà d'establir els protocols, procediments o mecanismes de treball que permeten la supervisió periòdica de les autoritzacions de compatibilitat concedides. </w:t>
      </w:r>
    </w:p>
    <w:p w14:paraId="4026D2A8" w14:textId="77777777" w:rsidR="00E77EFC" w:rsidRPr="00E77EFC" w:rsidRDefault="00E77EFC" w:rsidP="00DE53A4">
      <w:pPr>
        <w:numPr>
          <w:ilvl w:val="0"/>
          <w:numId w:val="105"/>
        </w:numPr>
        <w:spacing w:after="240" w:line="276" w:lineRule="auto"/>
        <w:jc w:val="both"/>
        <w:rPr>
          <w:rFonts w:ascii="Arial" w:eastAsia="Times New Roman" w:hAnsi="Arial" w:cs="Arial"/>
          <w:color w:val="000000"/>
          <w:sz w:val="21"/>
          <w:szCs w:val="21"/>
        </w:rPr>
      </w:pPr>
      <w:r w:rsidRPr="00E77EFC">
        <w:rPr>
          <w:rFonts w:ascii="Arial" w:eastAsia="Times New Roman" w:hAnsi="Arial" w:cs="Arial"/>
          <w:color w:val="000000"/>
          <w:sz w:val="21"/>
          <w:szCs w:val="21"/>
        </w:rPr>
        <w:t>Haurà de procedir a incoar els Expedients disciplinaris que siguen procedents, per l'incompliment del règim d'autoritzacions de compatibilitats després de la revisió de la situació del seu personal docent i l'establiment dels protocols d'actuació.</w:t>
      </w:r>
    </w:p>
    <w:p w14:paraId="2C6C488E"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Fase de seguiment</w:t>
      </w:r>
      <w:r w:rsidRPr="00E77EFC">
        <w:rPr>
          <w:rFonts w:ascii="Arial" w:eastAsia="Times New Roman" w:hAnsi="Arial" w:cs="Arial"/>
          <w:color w:val="000000"/>
          <w:sz w:val="21"/>
          <w:szCs w:val="21"/>
        </w:rPr>
        <w:t>: S'ha completat aquesta fase. La UV ha acceptat les recomanacions proposades.</w:t>
      </w:r>
    </w:p>
    <w:p w14:paraId="41BE8CD7" w14:textId="2F951058" w:rsidR="00E77EFC" w:rsidRPr="00E77EFC" w:rsidRDefault="00E77EFC" w:rsidP="00E77EFC">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11" w:name="_Toc99110741"/>
      <w:r w:rsidRPr="00E77EFC">
        <w:rPr>
          <w:rFonts w:ascii="Arial" w:eastAsia="Times New Roman" w:hAnsi="Arial" w:cs="Arial"/>
          <w:b/>
          <w:color w:val="9D2235"/>
          <w:sz w:val="28"/>
          <w:szCs w:val="28"/>
        </w:rPr>
        <w:t>Denominació: Fundació de la Comunitat Valenciana per a l'Atenció de les Víctimes del Delicte i per a la Trobada Familiar (FAVIDE). Falta de rendició de comptes i absència actuacions pel Protectorat</w:t>
      </w:r>
      <w:bookmarkEnd w:id="211"/>
    </w:p>
    <w:p w14:paraId="462DD8F7" w14:textId="77777777" w:rsidR="00E77EFC" w:rsidRPr="00E77EFC" w:rsidRDefault="00E77EFC" w:rsidP="005F040E">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Expedient:</w:t>
      </w:r>
      <w:r w:rsidRPr="00E77EFC">
        <w:rPr>
          <w:rFonts w:ascii="Arial" w:eastAsia="Times New Roman" w:hAnsi="Arial" w:cs="Arial"/>
          <w:color w:val="000000"/>
          <w:sz w:val="21"/>
          <w:szCs w:val="21"/>
        </w:rPr>
        <w:t xml:space="preserve"> 2020/G01_01/00051 [96/2018]</w:t>
      </w:r>
    </w:p>
    <w:p w14:paraId="074E0CB8" w14:textId="77777777" w:rsidR="00E77EFC" w:rsidRPr="00E77EFC" w:rsidRDefault="00E77EFC" w:rsidP="00E77EFC">
      <w:pPr>
        <w:spacing w:after="240" w:line="276" w:lineRule="auto"/>
        <w:rPr>
          <w:rFonts w:ascii="Arial" w:eastAsia="Times New Roman" w:hAnsi="Arial" w:cs="Arial"/>
          <w:sz w:val="18"/>
          <w:szCs w:val="18"/>
          <w:lang w:eastAsia="es-ES"/>
        </w:rPr>
      </w:pPr>
      <w:r w:rsidRPr="00E77EFC">
        <w:rPr>
          <w:rFonts w:ascii="Arial" w:eastAsia="Times New Roman" w:hAnsi="Arial" w:cs="Arial"/>
          <w:b/>
          <w:bCs/>
          <w:sz w:val="21"/>
          <w:szCs w:val="21"/>
        </w:rPr>
        <w:t>Enllaç a la publicació:</w:t>
      </w:r>
      <w:r w:rsidRPr="00E77EFC">
        <w:rPr>
          <w:rFonts w:ascii="Arial" w:eastAsia="Times New Roman" w:hAnsi="Arial" w:cs="Arial"/>
          <w:b/>
          <w:bCs/>
          <w:sz w:val="21"/>
          <w:szCs w:val="21"/>
        </w:rPr>
        <w:br/>
      </w:r>
      <w:hyperlink r:id="rId438" w:history="1">
        <w:r w:rsidRPr="00E77EFC">
          <w:rPr>
            <w:rFonts w:ascii="Arial" w:eastAsia="Times New Roman" w:hAnsi="Arial" w:cs="Arial"/>
            <w:color w:val="000080"/>
            <w:sz w:val="18"/>
            <w:szCs w:val="18"/>
            <w:u w:val="single"/>
            <w:lang w:eastAsia="es-ES"/>
          </w:rPr>
          <w:t>http://www.antifraucv.es/wp-content/uploads/2021/04/20210322_FAVIDE.pdf</w:t>
        </w:r>
      </w:hyperlink>
    </w:p>
    <w:p w14:paraId="7D1A387E"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Descripció:</w:t>
      </w:r>
      <w:r w:rsidRPr="00E77EFC">
        <w:rPr>
          <w:rFonts w:ascii="Arial" w:eastAsia="Times New Roman" w:hAnsi="Arial" w:cs="Arial"/>
          <w:color w:val="000000"/>
          <w:sz w:val="21"/>
          <w:szCs w:val="21"/>
        </w:rPr>
        <w:t xml:space="preserve"> Els fets denunciats es van concretar en:</w:t>
      </w:r>
    </w:p>
    <w:p w14:paraId="71F6388D" w14:textId="77777777" w:rsidR="00E77EFC" w:rsidRPr="00E77EFC" w:rsidRDefault="00E77EFC" w:rsidP="00DE53A4">
      <w:pPr>
        <w:numPr>
          <w:ilvl w:val="0"/>
          <w:numId w:val="106"/>
        </w:numPr>
        <w:spacing w:after="120" w:line="276" w:lineRule="auto"/>
        <w:ind w:left="714" w:hanging="357"/>
        <w:jc w:val="both"/>
        <w:rPr>
          <w:rFonts w:ascii="Arial" w:eastAsia="Times New Roman" w:hAnsi="Arial" w:cs="Arial"/>
          <w:b/>
          <w:bCs/>
          <w:color w:val="000000"/>
          <w:sz w:val="21"/>
          <w:szCs w:val="21"/>
        </w:rPr>
      </w:pPr>
      <w:r w:rsidRPr="00E77EFC">
        <w:rPr>
          <w:rFonts w:ascii="Arial" w:eastAsia="Times New Roman" w:hAnsi="Arial" w:cs="Arial"/>
          <w:color w:val="000000"/>
          <w:sz w:val="21"/>
          <w:szCs w:val="21"/>
        </w:rPr>
        <w:t xml:space="preserve">Falta de rendició de comptes per part de la fundació FAVIDE. </w:t>
      </w:r>
    </w:p>
    <w:p w14:paraId="0DE45FF4" w14:textId="77777777" w:rsidR="00E77EFC" w:rsidRPr="00E77EFC" w:rsidRDefault="00E77EFC" w:rsidP="00DE53A4">
      <w:pPr>
        <w:numPr>
          <w:ilvl w:val="0"/>
          <w:numId w:val="106"/>
        </w:numPr>
        <w:spacing w:after="240" w:line="276" w:lineRule="auto"/>
        <w:jc w:val="both"/>
        <w:rPr>
          <w:rFonts w:ascii="Arial" w:eastAsia="Times New Roman" w:hAnsi="Arial" w:cs="Arial"/>
          <w:b/>
          <w:bCs/>
          <w:color w:val="000000"/>
          <w:sz w:val="21"/>
          <w:szCs w:val="21"/>
        </w:rPr>
      </w:pPr>
      <w:r w:rsidRPr="00E77EFC">
        <w:rPr>
          <w:rFonts w:ascii="Arial" w:eastAsia="Times New Roman" w:hAnsi="Arial" w:cs="Arial"/>
          <w:color w:val="000000"/>
          <w:sz w:val="21"/>
          <w:szCs w:val="21"/>
        </w:rPr>
        <w:t>Absència de control per part del Protectorat de Fundacions de la Conselleria de Justícia, Interior i Administració Pública.</w:t>
      </w:r>
    </w:p>
    <w:p w14:paraId="0D41C852" w14:textId="77777777" w:rsidR="00E77EFC" w:rsidRPr="00E77EFC" w:rsidRDefault="00E77EFC" w:rsidP="00E77EFC">
      <w:pPr>
        <w:spacing w:after="120" w:line="276" w:lineRule="auto"/>
        <w:jc w:val="both"/>
        <w:rPr>
          <w:rFonts w:ascii="Arial" w:eastAsia="Times New Roman" w:hAnsi="Arial" w:cs="Arial"/>
          <w:b/>
          <w:bCs/>
          <w:color w:val="000000"/>
          <w:sz w:val="21"/>
          <w:szCs w:val="21"/>
        </w:rPr>
      </w:pPr>
      <w:r w:rsidRPr="00E77EFC">
        <w:rPr>
          <w:rFonts w:ascii="Arial" w:eastAsia="Times New Roman" w:hAnsi="Arial" w:cs="Arial"/>
          <w:color w:val="000000"/>
          <w:sz w:val="21"/>
          <w:szCs w:val="21"/>
        </w:rPr>
        <w:t xml:space="preserve">Després de la instrucció de l'oportú procediment d'investigació, es va evidenciar: </w:t>
      </w:r>
    </w:p>
    <w:p w14:paraId="2FAE9981" w14:textId="77777777" w:rsidR="00E77EFC" w:rsidRPr="00E77EFC" w:rsidRDefault="00E77EFC" w:rsidP="00DE53A4">
      <w:pPr>
        <w:numPr>
          <w:ilvl w:val="0"/>
          <w:numId w:val="107"/>
        </w:numPr>
        <w:spacing w:after="120" w:line="276" w:lineRule="auto"/>
        <w:ind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u w:val="single"/>
        </w:rPr>
        <w:t>Quant a la Fundació de la Comunitat Valenciana per a l'Atenció de les Víctimes del Delicte i per a la Trobada Familiar (FAVIDE)</w:t>
      </w:r>
      <w:r w:rsidRPr="00E77EFC">
        <w:rPr>
          <w:rFonts w:ascii="Arial" w:eastAsia="Times New Roman" w:hAnsi="Arial" w:cs="Arial"/>
          <w:color w:val="000000"/>
          <w:sz w:val="21"/>
          <w:szCs w:val="21"/>
        </w:rPr>
        <w:t>:</w:t>
      </w:r>
    </w:p>
    <w:p w14:paraId="5843A7AE" w14:textId="77777777" w:rsidR="00E77EFC" w:rsidRPr="00E77EFC" w:rsidRDefault="00E77EFC" w:rsidP="006F03EF">
      <w:pPr>
        <w:numPr>
          <w:ilvl w:val="0"/>
          <w:numId w:val="108"/>
        </w:numPr>
        <w:spacing w:after="120" w:line="276" w:lineRule="auto"/>
        <w:ind w:hanging="441"/>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 Incompliment de la normativa aplicable en l'extinció de la Fundació FAVIDE.</w:t>
      </w:r>
    </w:p>
    <w:p w14:paraId="3684926E" w14:textId="77777777" w:rsidR="00E77EFC" w:rsidRPr="00E77EFC" w:rsidRDefault="00E77EFC" w:rsidP="006F03EF">
      <w:pPr>
        <w:numPr>
          <w:ilvl w:val="0"/>
          <w:numId w:val="108"/>
        </w:numPr>
        <w:spacing w:after="120" w:line="276" w:lineRule="auto"/>
        <w:ind w:hanging="441"/>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 Incompliment legal de retre comptes (exercicis, 2014, 2015, 2016 i 2018) i</w:t>
      </w:r>
    </w:p>
    <w:p w14:paraId="16F26619" w14:textId="77777777" w:rsidR="00E77EFC" w:rsidRPr="00E77EFC" w:rsidRDefault="00E77EFC" w:rsidP="006F03EF">
      <w:pPr>
        <w:numPr>
          <w:ilvl w:val="0"/>
          <w:numId w:val="108"/>
        </w:numPr>
        <w:spacing w:after="120" w:line="276" w:lineRule="auto"/>
        <w:ind w:hanging="441"/>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 Incompliment del termini per a sol·licitar la inscripció de l'augment de la dotació adoptat el 29 de desembre de 2015.</w:t>
      </w:r>
    </w:p>
    <w:p w14:paraId="6C438247" w14:textId="77777777" w:rsidR="00E77EFC" w:rsidRPr="00E77EFC" w:rsidRDefault="00E77EFC" w:rsidP="00DE53A4">
      <w:pPr>
        <w:numPr>
          <w:ilvl w:val="0"/>
          <w:numId w:val="107"/>
        </w:numPr>
        <w:spacing w:after="120" w:line="276" w:lineRule="auto"/>
        <w:ind w:hanging="357"/>
        <w:jc w:val="both"/>
        <w:rPr>
          <w:rFonts w:ascii="Arial" w:eastAsia="Times New Roman" w:hAnsi="Arial" w:cs="Arial"/>
          <w:color w:val="000000"/>
          <w:sz w:val="21"/>
          <w:szCs w:val="21"/>
        </w:rPr>
      </w:pPr>
      <w:r w:rsidRPr="00E77EFC">
        <w:rPr>
          <w:rFonts w:ascii="Arial" w:eastAsia="Times New Roman" w:hAnsi="Arial" w:cs="Arial"/>
          <w:color w:val="000000"/>
          <w:sz w:val="21"/>
          <w:szCs w:val="21"/>
          <w:u w:val="single"/>
        </w:rPr>
        <w:t>Respecte del Protectorat de Fundacions de la Generalitat</w:t>
      </w:r>
      <w:r w:rsidRPr="00E77EFC">
        <w:rPr>
          <w:rFonts w:ascii="Arial" w:eastAsia="Times New Roman" w:hAnsi="Arial" w:cs="Arial"/>
          <w:color w:val="000000"/>
          <w:sz w:val="21"/>
          <w:szCs w:val="21"/>
        </w:rPr>
        <w:t>:</w:t>
      </w:r>
    </w:p>
    <w:p w14:paraId="74E9DCA5" w14:textId="77777777" w:rsidR="00E77EFC" w:rsidRPr="00E77EFC" w:rsidRDefault="00E77EFC" w:rsidP="006F03EF">
      <w:pPr>
        <w:numPr>
          <w:ilvl w:val="0"/>
          <w:numId w:val="109"/>
        </w:numPr>
        <w:spacing w:after="120" w:line="276" w:lineRule="auto"/>
        <w:ind w:left="1418" w:hanging="425"/>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 Absència d'actuació, per no vetlar pel compliment de les obligacions que competixen al Patronat de la Fundació FAVIDE de presentació dels comptes durant diversos exercicis econòmics. </w:t>
      </w:r>
    </w:p>
    <w:p w14:paraId="4AC293B6" w14:textId="77777777" w:rsidR="00E77EFC" w:rsidRPr="00E77EFC" w:rsidRDefault="00E77EFC" w:rsidP="006F03EF">
      <w:pPr>
        <w:numPr>
          <w:ilvl w:val="0"/>
          <w:numId w:val="109"/>
        </w:numPr>
        <w:spacing w:after="120" w:line="276" w:lineRule="auto"/>
        <w:ind w:left="1418" w:hanging="425"/>
        <w:jc w:val="both"/>
        <w:rPr>
          <w:rFonts w:ascii="Arial" w:eastAsia="Times New Roman" w:hAnsi="Arial" w:cs="Arial"/>
          <w:color w:val="000000"/>
          <w:sz w:val="21"/>
          <w:szCs w:val="21"/>
        </w:rPr>
      </w:pPr>
      <w:r w:rsidRPr="00E77EFC">
        <w:rPr>
          <w:rFonts w:ascii="Arial" w:eastAsia="Times New Roman" w:hAnsi="Arial" w:cs="Arial"/>
          <w:color w:val="000000"/>
          <w:sz w:val="21"/>
          <w:szCs w:val="21"/>
        </w:rPr>
        <w:t xml:space="preserve"> Absència d'actuació, al no requerir fins al 2020 la documentació corresponent a l'augment de la dotació fundacional acordada en el 2015 i pendent d'inscripció en el Registre de Fundacions i </w:t>
      </w:r>
    </w:p>
    <w:p w14:paraId="25A98B01" w14:textId="77777777" w:rsidR="00E77EFC" w:rsidRPr="00E77EFC" w:rsidRDefault="00E77EFC" w:rsidP="006F03EF">
      <w:pPr>
        <w:numPr>
          <w:ilvl w:val="0"/>
          <w:numId w:val="109"/>
        </w:numPr>
        <w:spacing w:after="240" w:line="276" w:lineRule="auto"/>
        <w:ind w:left="1418" w:hanging="425"/>
        <w:jc w:val="both"/>
        <w:rPr>
          <w:rFonts w:ascii="Arial" w:eastAsia="Times New Roman" w:hAnsi="Arial" w:cs="Arial"/>
          <w:color w:val="000000"/>
          <w:sz w:val="21"/>
          <w:szCs w:val="21"/>
        </w:rPr>
      </w:pPr>
      <w:r w:rsidRPr="00E77EFC">
        <w:rPr>
          <w:rFonts w:ascii="Arial" w:eastAsia="Times New Roman" w:hAnsi="Arial" w:cs="Arial"/>
          <w:color w:val="000000"/>
          <w:sz w:val="21"/>
          <w:szCs w:val="21"/>
        </w:rPr>
        <w:t>Absència d'actuació, al no instar el procés d'extinció, liquidació i baixa registral de la Fundació FAVIDE, en compliment del que disposa el Decret 165/2016, de 4 de novembre, del Consell, per ell es crea i regula la Xarxa d'Oficines de la Generalitat d'Assistència a les Víctimes del Delicte. La inactivitat per part del Protectorat crida especialment l'atenció si es té en compte que, respecte a la Fundació FAVIDE, la Generalitat Valenciana és al mateix temps fundadora, gestora i òrgan fiscalitzador de la seua pròpia actuació.</w:t>
      </w:r>
    </w:p>
    <w:p w14:paraId="74466FB0" w14:textId="77777777" w:rsidR="00E77EFC" w:rsidRPr="00E77EFC" w:rsidRDefault="00E77EFC" w:rsidP="00E77EFC">
      <w:pPr>
        <w:spacing w:after="120" w:line="276" w:lineRule="auto"/>
        <w:jc w:val="both"/>
        <w:rPr>
          <w:rFonts w:ascii="Arial" w:eastAsia="Times New Roman" w:hAnsi="Arial" w:cs="Arial"/>
          <w:i/>
          <w:iCs/>
          <w:color w:val="000000"/>
          <w:sz w:val="21"/>
          <w:szCs w:val="21"/>
        </w:rPr>
      </w:pPr>
      <w:r w:rsidRPr="00E77EFC">
        <w:rPr>
          <w:rFonts w:ascii="Arial" w:eastAsia="Times New Roman" w:hAnsi="Arial" w:cs="Arial"/>
          <w:b/>
          <w:bCs/>
          <w:color w:val="000000"/>
          <w:sz w:val="21"/>
          <w:szCs w:val="21"/>
        </w:rPr>
        <w:t>Resultat:</w:t>
      </w:r>
      <w:r w:rsidRPr="00E77EFC">
        <w:rPr>
          <w:rFonts w:ascii="Arial" w:eastAsia="Times New Roman" w:hAnsi="Arial" w:cs="Arial"/>
          <w:color w:val="000000"/>
          <w:sz w:val="21"/>
          <w:szCs w:val="21"/>
        </w:rPr>
        <w:t xml:space="preserve"> Finalització de la investigació amb recomanacions i obertura de Fase de seguiment. </w:t>
      </w:r>
    </w:p>
    <w:p w14:paraId="4D37BA55" w14:textId="77777777" w:rsidR="00E77EFC" w:rsidRPr="00E77EFC" w:rsidRDefault="00E77EFC" w:rsidP="00E77EFC">
      <w:pPr>
        <w:spacing w:after="240" w:line="276" w:lineRule="auto"/>
        <w:jc w:val="both"/>
        <w:rPr>
          <w:rFonts w:ascii="Arial" w:eastAsia="Times New Roman" w:hAnsi="Arial" w:cs="Arial"/>
          <w:color w:val="000000"/>
          <w:sz w:val="21"/>
          <w:szCs w:val="21"/>
          <w:lang w:val="ca-ES"/>
        </w:rPr>
      </w:pPr>
      <w:r w:rsidRPr="00E77EFC">
        <w:rPr>
          <w:rFonts w:ascii="Arial" w:eastAsia="Times New Roman" w:hAnsi="Arial" w:cs="Arial"/>
          <w:b/>
          <w:bCs/>
          <w:color w:val="000000"/>
          <w:sz w:val="21"/>
          <w:szCs w:val="21"/>
        </w:rPr>
        <w:t xml:space="preserve">Fase de seguiment: </w:t>
      </w:r>
      <w:r w:rsidRPr="00E77EFC">
        <w:rPr>
          <w:rFonts w:ascii="Arial" w:eastAsia="Times New Roman" w:hAnsi="Arial" w:cs="Arial"/>
          <w:color w:val="000000"/>
          <w:sz w:val="21"/>
          <w:szCs w:val="21"/>
        </w:rPr>
        <w:t>En tràmit</w:t>
      </w:r>
      <w:r w:rsidRPr="00E77EFC">
        <w:rPr>
          <w:rFonts w:ascii="Arial" w:eastAsia="Times New Roman" w:hAnsi="Arial" w:cs="Arial"/>
          <w:color w:val="000000"/>
          <w:sz w:val="21"/>
          <w:szCs w:val="21"/>
          <w:lang w:val="ca-ES"/>
        </w:rPr>
        <w:t>.</w:t>
      </w:r>
    </w:p>
    <w:p w14:paraId="26D6EA2C" w14:textId="77777777" w:rsidR="00E77EFC" w:rsidRPr="00E77EFC" w:rsidRDefault="00E77EFC" w:rsidP="00E77EFC">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12" w:name="_Toc99110742"/>
      <w:r w:rsidRPr="00E77EFC">
        <w:rPr>
          <w:rFonts w:ascii="Arial" w:eastAsia="Times New Roman" w:hAnsi="Arial" w:cs="Arial"/>
          <w:b/>
          <w:color w:val="9D2235"/>
          <w:sz w:val="28"/>
          <w:szCs w:val="28"/>
        </w:rPr>
        <w:t>Denominació: Ajuntament de València. Prestació de servicis sense contracte</w:t>
      </w:r>
      <w:bookmarkEnd w:id="212"/>
    </w:p>
    <w:p w14:paraId="1DE25016" w14:textId="77777777" w:rsidR="00E77EFC" w:rsidRPr="00E77EFC" w:rsidRDefault="00E77EFC" w:rsidP="005F040E">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 xml:space="preserve">Expedient: </w:t>
      </w:r>
      <w:r w:rsidRPr="00E77EFC">
        <w:rPr>
          <w:rFonts w:ascii="Arial" w:eastAsia="Times New Roman" w:hAnsi="Arial" w:cs="Arial"/>
          <w:color w:val="000000"/>
          <w:sz w:val="21"/>
          <w:szCs w:val="21"/>
        </w:rPr>
        <w:t>2020/G01_01/000026 [6/2018]</w:t>
      </w:r>
    </w:p>
    <w:p w14:paraId="043533FA" w14:textId="77777777" w:rsidR="00E77EFC" w:rsidRPr="00E77EFC" w:rsidRDefault="00E77EFC" w:rsidP="00E77EFC">
      <w:pPr>
        <w:spacing w:after="240" w:line="276" w:lineRule="auto"/>
        <w:rPr>
          <w:rFonts w:ascii="Arial" w:eastAsia="Times New Roman" w:hAnsi="Arial" w:cs="Arial"/>
          <w:sz w:val="18"/>
          <w:szCs w:val="18"/>
          <w:lang w:eastAsia="es-ES"/>
        </w:rPr>
      </w:pPr>
      <w:r w:rsidRPr="00E77EFC">
        <w:rPr>
          <w:rFonts w:ascii="Arial" w:eastAsia="Times New Roman" w:hAnsi="Arial" w:cs="Arial"/>
          <w:b/>
          <w:bCs/>
          <w:sz w:val="21"/>
          <w:szCs w:val="21"/>
        </w:rPr>
        <w:t>Enllaç a la publicació:</w:t>
      </w:r>
      <w:r w:rsidRPr="00E77EFC">
        <w:rPr>
          <w:rFonts w:ascii="Arial" w:eastAsia="Times New Roman" w:hAnsi="Arial" w:cs="Arial"/>
          <w:b/>
          <w:bCs/>
          <w:sz w:val="21"/>
          <w:szCs w:val="21"/>
        </w:rPr>
        <w:br/>
      </w:r>
      <w:hyperlink r:id="rId439" w:history="1">
        <w:r w:rsidRPr="00E77EFC">
          <w:rPr>
            <w:rFonts w:ascii="Arial" w:eastAsia="Times New Roman" w:hAnsi="Arial" w:cs="Arial"/>
            <w:color w:val="000080"/>
            <w:sz w:val="18"/>
            <w:szCs w:val="18"/>
            <w:u w:val="single"/>
            <w:lang w:eastAsia="es-ES"/>
          </w:rPr>
          <w:t>http://www.antifraucv.es/wp-content/uploads/2021/04/20210322_AJUNTAMENT_DE_VALENCIA.pdf</w:t>
        </w:r>
      </w:hyperlink>
    </w:p>
    <w:p w14:paraId="0C5DF6B3"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 xml:space="preserve">Descripció: </w:t>
      </w:r>
      <w:r w:rsidRPr="00E77EFC">
        <w:rPr>
          <w:rFonts w:ascii="Arial" w:eastAsia="Times New Roman" w:hAnsi="Arial" w:cs="Arial"/>
          <w:color w:val="000000"/>
          <w:sz w:val="21"/>
          <w:szCs w:val="21"/>
        </w:rPr>
        <w:t xml:space="preserve">Els fets denunciats es van concretar en que una vegada vençut, el 2 de desembre de 2015, el contracte de servicis per al manteniment d'edificis i instal·lacions esportives de la Fundació Esportiva Municipal, que es va concertar per un període de quatre anys, amb possibilitat de pròrroga fins a un màxim de dos anys, i a pesar que l'empresa va sol·licitar la pròrroga el 21 de setembre de 2015, s'ha estat recorrent al procediment de reconeixement extrajudicial de crèdit per a l'abonament de les factures. </w:t>
      </w:r>
    </w:p>
    <w:p w14:paraId="0BCDE601"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color w:val="000000"/>
          <w:sz w:val="21"/>
          <w:szCs w:val="21"/>
        </w:rPr>
        <w:t>Després de la instrucció de l'oportú procediment d'investigació, es va acreditar que el procediment de pròrroga no es va realitzar dins de termini i que el procediment de nova contractació es va ultimar a l'octubre de 2018.</w:t>
      </w:r>
    </w:p>
    <w:p w14:paraId="74FD77F2"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 xml:space="preserve">Resultat: </w:t>
      </w:r>
      <w:r w:rsidRPr="00E77EFC">
        <w:rPr>
          <w:rFonts w:ascii="Arial" w:eastAsia="Times New Roman" w:hAnsi="Arial" w:cs="Arial"/>
          <w:color w:val="000000"/>
          <w:sz w:val="21"/>
          <w:szCs w:val="21"/>
        </w:rPr>
        <w:t xml:space="preserve">Formulació de Recomanacions a l'Ajuntament de València, que consistixen en el fet que formule Pla d'Implementació amb l'objecte de fer una adequada planificació de la contractació en el servici d'Esports. El pla haurà d'establir els protocols interns que garantisquen la tramitació amb la suficient antelació, tant els expedients de pròrrogues contractuals com les noves licitacions, per a evitar l'existència de prestació de servicis, realització de subministraments de tracte de successiu i la resta de contractes i prestacions habituals sense cobertura contractual. Així mateix, haurà de tramitar els expedients interns de depuració de responsabilitats que corresponguen. </w:t>
      </w:r>
    </w:p>
    <w:p w14:paraId="3AEF78F9" w14:textId="77777777" w:rsidR="00E77EFC" w:rsidRPr="00E77EFC" w:rsidRDefault="00E77EFC" w:rsidP="00E77EFC">
      <w:pPr>
        <w:spacing w:after="240" w:line="276" w:lineRule="auto"/>
        <w:jc w:val="both"/>
        <w:rPr>
          <w:rFonts w:ascii="Arial" w:eastAsia="Times New Roman" w:hAnsi="Arial" w:cs="Arial"/>
          <w:color w:val="000000"/>
          <w:sz w:val="21"/>
          <w:szCs w:val="21"/>
        </w:rPr>
      </w:pPr>
      <w:r w:rsidRPr="00E77EFC">
        <w:rPr>
          <w:rFonts w:ascii="Arial" w:eastAsia="Times New Roman" w:hAnsi="Arial" w:cs="Arial"/>
          <w:b/>
          <w:bCs/>
          <w:color w:val="000000"/>
          <w:sz w:val="21"/>
          <w:szCs w:val="21"/>
        </w:rPr>
        <w:t xml:space="preserve">Fase de seguiment: </w:t>
      </w:r>
      <w:r w:rsidRPr="00E77EFC">
        <w:rPr>
          <w:rFonts w:ascii="Arial" w:eastAsia="Times New Roman" w:hAnsi="Arial" w:cs="Arial"/>
          <w:color w:val="000000"/>
          <w:sz w:val="21"/>
          <w:szCs w:val="21"/>
        </w:rPr>
        <w:t>La Fase de seguiment es troba finalitzada, havent-se acceptat parcialment per l'Ajuntament de València les recomanacions proposades; i havent-se justificat les no acceptades.</w:t>
      </w:r>
    </w:p>
    <w:p w14:paraId="26B82198" w14:textId="0F5BA6F9" w:rsidR="00803959" w:rsidRPr="00803959" w:rsidRDefault="00803959" w:rsidP="0080395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13" w:name="_Toc99110743"/>
      <w:r w:rsidRPr="00803959">
        <w:rPr>
          <w:rFonts w:ascii="Arial" w:eastAsia="Times New Roman" w:hAnsi="Arial" w:cs="Arial"/>
          <w:b/>
          <w:color w:val="9D2235"/>
          <w:sz w:val="28"/>
          <w:szCs w:val="28"/>
        </w:rPr>
        <w:t xml:space="preserve">Denominació: Fundació Universitat Jaume I-Empresa. Indemnització acomiadament de gerent i </w:t>
      </w:r>
      <w:r w:rsidR="00AE24EC">
        <w:rPr>
          <w:rFonts w:ascii="Arial" w:eastAsia="Times New Roman" w:hAnsi="Arial" w:cs="Arial"/>
          <w:b/>
          <w:color w:val="9D2235"/>
          <w:sz w:val="28"/>
          <w:szCs w:val="28"/>
        </w:rPr>
        <w:t xml:space="preserve">nou </w:t>
      </w:r>
      <w:r w:rsidRPr="00803959">
        <w:rPr>
          <w:rFonts w:ascii="Arial" w:eastAsia="Times New Roman" w:hAnsi="Arial" w:cs="Arial"/>
          <w:b/>
          <w:color w:val="9D2235"/>
          <w:sz w:val="28"/>
          <w:szCs w:val="28"/>
        </w:rPr>
        <w:t>nomenament</w:t>
      </w:r>
      <w:bookmarkEnd w:id="213"/>
    </w:p>
    <w:p w14:paraId="00ED7B25" w14:textId="77777777" w:rsidR="00803959" w:rsidRPr="00803959" w:rsidRDefault="00803959" w:rsidP="005F040E">
      <w:pPr>
        <w:spacing w:after="240" w:line="276" w:lineRule="auto"/>
        <w:jc w:val="both"/>
        <w:rPr>
          <w:rFonts w:ascii="Arial" w:eastAsia="Times New Roman" w:hAnsi="Arial" w:cs="Arial"/>
          <w:color w:val="000000"/>
          <w:sz w:val="21"/>
          <w:szCs w:val="21"/>
        </w:rPr>
      </w:pPr>
      <w:r w:rsidRPr="00803959">
        <w:rPr>
          <w:rFonts w:ascii="Arial" w:eastAsia="Times New Roman" w:hAnsi="Arial" w:cs="Arial"/>
          <w:b/>
          <w:bCs/>
          <w:color w:val="000000"/>
          <w:sz w:val="21"/>
          <w:szCs w:val="21"/>
        </w:rPr>
        <w:t xml:space="preserve">Expedient: </w:t>
      </w:r>
      <w:r w:rsidRPr="00803959">
        <w:rPr>
          <w:rFonts w:ascii="Arial" w:eastAsia="Times New Roman" w:hAnsi="Arial" w:cs="Arial"/>
          <w:color w:val="000000"/>
          <w:sz w:val="21"/>
          <w:szCs w:val="21"/>
        </w:rPr>
        <w:t>2020/G01_01/ 000210 y 2020/G01_01/000211 [52/2019 y 62/2019]</w:t>
      </w:r>
    </w:p>
    <w:p w14:paraId="6B6F1995" w14:textId="77777777" w:rsidR="00C82995" w:rsidRPr="00C82995" w:rsidRDefault="00C82995" w:rsidP="00C82995">
      <w:pPr>
        <w:spacing w:after="240" w:line="276" w:lineRule="auto"/>
        <w:rPr>
          <w:rFonts w:ascii="Arial" w:eastAsia="Times New Roman" w:hAnsi="Arial" w:cs="Arial"/>
          <w:sz w:val="18"/>
          <w:szCs w:val="18"/>
          <w:lang w:eastAsia="es-ES"/>
        </w:rPr>
      </w:pPr>
      <w:r w:rsidRPr="00C82995">
        <w:rPr>
          <w:rFonts w:ascii="Arial" w:eastAsia="Times New Roman" w:hAnsi="Arial" w:cs="Arial"/>
          <w:b/>
          <w:bCs/>
          <w:sz w:val="21"/>
          <w:szCs w:val="21"/>
        </w:rPr>
        <w:t>Enllaç a la publicació:</w:t>
      </w:r>
      <w:r w:rsidRPr="00C82995">
        <w:rPr>
          <w:rFonts w:ascii="Arial" w:eastAsia="Times New Roman" w:hAnsi="Arial" w:cs="Arial"/>
          <w:b/>
          <w:bCs/>
          <w:sz w:val="21"/>
          <w:szCs w:val="21"/>
        </w:rPr>
        <w:br/>
      </w:r>
      <w:hyperlink r:id="rId440" w:history="1">
        <w:r w:rsidRPr="00C82995">
          <w:rPr>
            <w:rFonts w:ascii="Arial" w:eastAsia="Times New Roman" w:hAnsi="Arial" w:cs="Arial"/>
            <w:color w:val="000080"/>
            <w:sz w:val="18"/>
            <w:szCs w:val="18"/>
            <w:u w:val="single"/>
            <w:lang w:eastAsia="es-ES"/>
          </w:rPr>
          <w:t>http://www.antifraucv.es/wp-content/uploads/2021/04/20210323_UNIVERSITAT_JAUME_I_FUE.pdf</w:t>
        </w:r>
      </w:hyperlink>
    </w:p>
    <w:p w14:paraId="7A1AF89A" w14:textId="77777777" w:rsidR="00803959" w:rsidRPr="00803959" w:rsidRDefault="00803959" w:rsidP="00803959">
      <w:pPr>
        <w:spacing w:after="240" w:line="276" w:lineRule="auto"/>
        <w:jc w:val="both"/>
        <w:rPr>
          <w:rFonts w:ascii="Arial" w:eastAsia="Times New Roman" w:hAnsi="Arial" w:cs="Arial"/>
          <w:color w:val="000000"/>
          <w:sz w:val="21"/>
          <w:szCs w:val="21"/>
        </w:rPr>
      </w:pPr>
      <w:r w:rsidRPr="00803959">
        <w:rPr>
          <w:rFonts w:ascii="Arial" w:eastAsia="Times New Roman" w:hAnsi="Arial" w:cs="Arial"/>
          <w:b/>
          <w:bCs/>
          <w:color w:val="000000"/>
          <w:sz w:val="21"/>
          <w:szCs w:val="21"/>
        </w:rPr>
        <w:t xml:space="preserve">Descripció: </w:t>
      </w:r>
      <w:r w:rsidRPr="00803959">
        <w:rPr>
          <w:rFonts w:ascii="Arial" w:eastAsia="Times New Roman" w:hAnsi="Arial" w:cs="Arial"/>
          <w:color w:val="000000"/>
          <w:sz w:val="21"/>
          <w:szCs w:val="21"/>
        </w:rPr>
        <w:t>Els fets denunciats es van concretar en que, per l'incompliment del termini de preavís per part de la Fundació, se li va indemnitzar el gerent amb una quantia corresponent a l'incompliment del dit termini.</w:t>
      </w:r>
    </w:p>
    <w:p w14:paraId="77C016E7" w14:textId="77777777" w:rsidR="00803959" w:rsidRPr="00803959" w:rsidRDefault="00803959" w:rsidP="00803959">
      <w:pPr>
        <w:spacing w:after="240" w:line="276" w:lineRule="auto"/>
        <w:jc w:val="both"/>
        <w:rPr>
          <w:rFonts w:ascii="Arial" w:eastAsia="Times New Roman" w:hAnsi="Arial" w:cs="Arial"/>
          <w:color w:val="000000"/>
          <w:sz w:val="21"/>
          <w:szCs w:val="21"/>
        </w:rPr>
      </w:pPr>
      <w:r w:rsidRPr="00803959">
        <w:rPr>
          <w:rFonts w:ascii="Arial" w:eastAsia="Times New Roman" w:hAnsi="Arial" w:cs="Arial"/>
          <w:color w:val="000000"/>
          <w:sz w:val="21"/>
          <w:szCs w:val="21"/>
        </w:rPr>
        <w:t>Després de la instrucció de l'oportú procediment d'investigació, es va acreditar conforme al criteri del CJCCV, que no són aplicables les normes que reduïxen el temps de preavís dels contractes d'alta direcció del sector públic a la Fundació Jaume I-Empresa, i per tant l'acord indemnitzatori és ajustat a dret. La indemnització abonada per l'incompliment del termini de preavís evidència si més no, una actuació poc diligent per part de la Fundació, que va cursar l'acomiadament del gerent el 15 d'abril de 2019 i la comunicació la va realitzar el 13 de març de 2019, preavís de 32 dies, generant la indemnització de 58 dies per incompliment del termini.</w:t>
      </w:r>
    </w:p>
    <w:p w14:paraId="1F3B942E" w14:textId="77777777" w:rsidR="00803959" w:rsidRPr="00803959" w:rsidRDefault="00803959" w:rsidP="00803959">
      <w:pPr>
        <w:spacing w:after="240" w:line="276" w:lineRule="auto"/>
        <w:jc w:val="both"/>
        <w:rPr>
          <w:rFonts w:ascii="Arial" w:eastAsia="Times New Roman" w:hAnsi="Arial" w:cs="Arial"/>
          <w:color w:val="000000"/>
          <w:sz w:val="21"/>
          <w:szCs w:val="21"/>
        </w:rPr>
      </w:pPr>
      <w:r w:rsidRPr="00803959">
        <w:rPr>
          <w:rFonts w:ascii="Arial" w:eastAsia="Times New Roman" w:hAnsi="Arial" w:cs="Arial"/>
          <w:b/>
          <w:bCs/>
          <w:color w:val="000000"/>
          <w:sz w:val="21"/>
          <w:szCs w:val="21"/>
        </w:rPr>
        <w:t xml:space="preserve">Resultat: </w:t>
      </w:r>
      <w:r w:rsidRPr="00803959">
        <w:rPr>
          <w:rFonts w:ascii="Arial" w:eastAsia="Times New Roman" w:hAnsi="Arial" w:cs="Arial"/>
          <w:color w:val="000000"/>
          <w:sz w:val="21"/>
          <w:szCs w:val="21"/>
        </w:rPr>
        <w:t xml:space="preserve">Arxivament de les actuacions per quant el Dictamen del CJCCV considera que “donat que ni les Universitats Públiques ni els ens que en depenguen són sector públic instrumental de la Generalitat, ni empreses públiques, ni fundacions públiques del sector públic de la Generalitat (de no complir-se, com succeïx amb la FUE-UJI, els requisits de l'article 157 de la Llei 1/2015, LHSPS) , el decret llei 1/2001 i el Decret 1/2011 no els resulten d'aplicació". </w:t>
      </w:r>
    </w:p>
    <w:p w14:paraId="4BB070B7" w14:textId="77777777" w:rsidR="00803959" w:rsidRPr="00803959" w:rsidRDefault="00803959" w:rsidP="00803959">
      <w:pPr>
        <w:spacing w:after="240" w:line="276" w:lineRule="auto"/>
        <w:jc w:val="both"/>
        <w:rPr>
          <w:rFonts w:ascii="Arial" w:eastAsia="Times New Roman" w:hAnsi="Arial" w:cs="Arial"/>
          <w:color w:val="000000"/>
          <w:sz w:val="21"/>
          <w:szCs w:val="21"/>
        </w:rPr>
      </w:pPr>
      <w:r w:rsidRPr="00803959">
        <w:rPr>
          <w:rFonts w:ascii="Arial" w:eastAsia="Times New Roman" w:hAnsi="Arial" w:cs="Arial"/>
          <w:b/>
          <w:bCs/>
          <w:color w:val="000000"/>
          <w:sz w:val="21"/>
          <w:szCs w:val="21"/>
        </w:rPr>
        <w:t xml:space="preserve">Fase de seguiment: </w:t>
      </w:r>
      <w:r w:rsidRPr="00803959">
        <w:rPr>
          <w:rFonts w:ascii="Arial" w:eastAsia="Times New Roman" w:hAnsi="Arial" w:cs="Arial"/>
          <w:color w:val="000000"/>
          <w:sz w:val="21"/>
          <w:szCs w:val="21"/>
        </w:rPr>
        <w:t>No procedeix.</w:t>
      </w:r>
    </w:p>
    <w:p w14:paraId="5A69C335" w14:textId="77777777" w:rsidR="007659B0" w:rsidRPr="007659B0" w:rsidRDefault="007659B0" w:rsidP="007659B0">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14" w:name="_Toc99110744"/>
      <w:r w:rsidRPr="007659B0">
        <w:rPr>
          <w:rFonts w:ascii="Arial" w:eastAsia="Times New Roman" w:hAnsi="Arial" w:cs="Arial"/>
          <w:b/>
          <w:color w:val="9D2235"/>
          <w:sz w:val="28"/>
          <w:szCs w:val="28"/>
        </w:rPr>
        <w:t>Denominació: Ajuntament de Sedaví. Procés selectiu Policia Local</w:t>
      </w:r>
      <w:bookmarkEnd w:id="214"/>
    </w:p>
    <w:p w14:paraId="2672B44D" w14:textId="77777777" w:rsidR="007659B0" w:rsidRPr="007659B0" w:rsidRDefault="007659B0" w:rsidP="005F040E">
      <w:pPr>
        <w:spacing w:after="240" w:line="276" w:lineRule="auto"/>
        <w:jc w:val="both"/>
        <w:rPr>
          <w:rFonts w:ascii="Arial" w:eastAsia="Times New Roman" w:hAnsi="Arial" w:cs="Arial"/>
          <w:color w:val="000000"/>
          <w:sz w:val="21"/>
          <w:szCs w:val="21"/>
        </w:rPr>
      </w:pPr>
      <w:r w:rsidRPr="007659B0">
        <w:rPr>
          <w:rFonts w:ascii="Arial" w:eastAsia="Times New Roman" w:hAnsi="Arial" w:cs="Arial"/>
          <w:b/>
          <w:bCs/>
          <w:color w:val="000000"/>
          <w:sz w:val="21"/>
          <w:szCs w:val="21"/>
        </w:rPr>
        <w:t>Expedient</w:t>
      </w:r>
      <w:r w:rsidRPr="007659B0">
        <w:rPr>
          <w:rFonts w:ascii="Arial" w:eastAsia="Times New Roman" w:hAnsi="Arial" w:cs="Arial"/>
          <w:color w:val="000000"/>
          <w:sz w:val="21"/>
          <w:szCs w:val="21"/>
        </w:rPr>
        <w:t>: 2020/G01_01/000244 [141/2019]</w:t>
      </w:r>
    </w:p>
    <w:p w14:paraId="2FEAB4EF" w14:textId="77777777" w:rsidR="007659B0" w:rsidRPr="007659B0" w:rsidRDefault="007659B0" w:rsidP="007659B0">
      <w:pPr>
        <w:spacing w:after="240" w:line="276" w:lineRule="auto"/>
        <w:rPr>
          <w:rFonts w:ascii="Arial" w:eastAsia="Times New Roman" w:hAnsi="Arial" w:cs="Arial"/>
          <w:sz w:val="18"/>
          <w:szCs w:val="18"/>
          <w:lang w:eastAsia="es-ES"/>
        </w:rPr>
      </w:pPr>
      <w:r w:rsidRPr="007659B0">
        <w:rPr>
          <w:rFonts w:ascii="Arial" w:eastAsia="Times New Roman" w:hAnsi="Arial" w:cs="Arial"/>
          <w:b/>
          <w:bCs/>
          <w:sz w:val="21"/>
          <w:szCs w:val="21"/>
        </w:rPr>
        <w:t>Enllaç a la publicació:</w:t>
      </w:r>
      <w:r w:rsidRPr="007659B0">
        <w:rPr>
          <w:rFonts w:ascii="Arial" w:eastAsia="Times New Roman" w:hAnsi="Arial" w:cs="Arial"/>
          <w:b/>
          <w:bCs/>
          <w:sz w:val="21"/>
          <w:szCs w:val="21"/>
        </w:rPr>
        <w:br/>
      </w:r>
      <w:hyperlink r:id="rId441" w:history="1">
        <w:r w:rsidRPr="007659B0">
          <w:rPr>
            <w:rFonts w:ascii="Arial" w:eastAsia="Times New Roman" w:hAnsi="Arial" w:cs="Arial"/>
            <w:color w:val="000080"/>
            <w:sz w:val="18"/>
            <w:szCs w:val="18"/>
            <w:u w:val="single"/>
            <w:lang w:eastAsia="es-ES"/>
          </w:rPr>
          <w:t>http://www.antifraucv.es/wp-content/uploads/2021/04/20210419_AJUNTAMENT_DE_SEDAVI.pdf</w:t>
        </w:r>
      </w:hyperlink>
    </w:p>
    <w:p w14:paraId="3C400D26" w14:textId="77777777" w:rsidR="007659B0" w:rsidRPr="007659B0" w:rsidRDefault="007659B0" w:rsidP="007659B0">
      <w:pPr>
        <w:spacing w:after="240" w:line="276" w:lineRule="auto"/>
        <w:jc w:val="both"/>
        <w:rPr>
          <w:rFonts w:ascii="Arial" w:eastAsia="Times New Roman" w:hAnsi="Arial" w:cs="Arial"/>
          <w:color w:val="000000"/>
          <w:sz w:val="21"/>
          <w:szCs w:val="21"/>
        </w:rPr>
      </w:pPr>
      <w:r w:rsidRPr="007659B0">
        <w:rPr>
          <w:rFonts w:ascii="Arial" w:eastAsia="Times New Roman" w:hAnsi="Arial" w:cs="Arial"/>
          <w:b/>
          <w:bCs/>
          <w:color w:val="000000"/>
          <w:sz w:val="21"/>
          <w:szCs w:val="21"/>
        </w:rPr>
        <w:t>Descripció</w:t>
      </w:r>
      <w:r w:rsidRPr="007659B0">
        <w:rPr>
          <w:rFonts w:ascii="Arial" w:eastAsia="Times New Roman" w:hAnsi="Arial" w:cs="Arial"/>
          <w:color w:val="000000"/>
          <w:sz w:val="21"/>
          <w:szCs w:val="21"/>
        </w:rPr>
        <w:t>: Es denuncia el procés selectiu per a proveir tres places de funcionaris de la policia local d'Ajuntament de Sedaví, dos per torn lliure i una per mobilitat (convocatòria de l'exercici 2019). En concret, es denuncia:</w:t>
      </w:r>
    </w:p>
    <w:p w14:paraId="00454758" w14:textId="77777777" w:rsidR="007659B0" w:rsidRPr="007659B0" w:rsidRDefault="007659B0" w:rsidP="00DD0C5C">
      <w:pPr>
        <w:numPr>
          <w:ilvl w:val="0"/>
          <w:numId w:val="110"/>
        </w:numPr>
        <w:spacing w:after="120" w:line="276" w:lineRule="auto"/>
        <w:ind w:left="714" w:hanging="357"/>
        <w:jc w:val="both"/>
        <w:rPr>
          <w:rFonts w:ascii="Arial" w:eastAsia="Times New Roman" w:hAnsi="Arial" w:cs="Arial"/>
          <w:color w:val="000000"/>
          <w:sz w:val="21"/>
          <w:szCs w:val="21"/>
        </w:rPr>
      </w:pPr>
      <w:r w:rsidRPr="007659B0">
        <w:rPr>
          <w:rFonts w:ascii="Arial" w:eastAsia="Times New Roman" w:hAnsi="Arial" w:cs="Arial"/>
          <w:color w:val="000000"/>
          <w:sz w:val="21"/>
          <w:szCs w:val="21"/>
        </w:rPr>
        <w:t xml:space="preserve">Que hi ha hagut una filtració en les preguntes de l'examen de cultura policial del torn lliure, el qual només han superat tres aspirants. </w:t>
      </w:r>
    </w:p>
    <w:p w14:paraId="7CCEBAF4" w14:textId="77777777" w:rsidR="007659B0" w:rsidRPr="007659B0" w:rsidRDefault="007659B0" w:rsidP="00DD0C5C">
      <w:pPr>
        <w:numPr>
          <w:ilvl w:val="0"/>
          <w:numId w:val="110"/>
        </w:numPr>
        <w:spacing w:after="240" w:line="276" w:lineRule="auto"/>
        <w:jc w:val="both"/>
        <w:rPr>
          <w:rFonts w:ascii="Arial" w:eastAsia="Times New Roman" w:hAnsi="Arial" w:cs="Arial"/>
          <w:color w:val="000000"/>
          <w:sz w:val="21"/>
          <w:szCs w:val="21"/>
        </w:rPr>
      </w:pPr>
      <w:r w:rsidRPr="007659B0">
        <w:rPr>
          <w:rFonts w:ascii="Arial" w:eastAsia="Times New Roman" w:hAnsi="Arial" w:cs="Arial"/>
          <w:color w:val="000000"/>
          <w:sz w:val="21"/>
          <w:szCs w:val="21"/>
        </w:rPr>
        <w:t>Que posteriorment, dites tres aspirants són declarats no aptes davant dels indicis de filtració que van observar membres del tribunal.</w:t>
      </w:r>
    </w:p>
    <w:p w14:paraId="21E7277E" w14:textId="77777777" w:rsidR="007659B0" w:rsidRPr="007659B0" w:rsidRDefault="007659B0" w:rsidP="007659B0">
      <w:pPr>
        <w:spacing w:after="240" w:line="276" w:lineRule="auto"/>
        <w:jc w:val="both"/>
        <w:rPr>
          <w:rFonts w:ascii="Arial" w:eastAsia="Times New Roman" w:hAnsi="Arial" w:cs="Arial"/>
          <w:color w:val="000000"/>
          <w:sz w:val="21"/>
          <w:szCs w:val="21"/>
        </w:rPr>
      </w:pPr>
      <w:r w:rsidRPr="007659B0">
        <w:rPr>
          <w:rFonts w:ascii="Arial" w:eastAsia="Times New Roman" w:hAnsi="Arial" w:cs="Arial"/>
          <w:color w:val="000000"/>
          <w:sz w:val="21"/>
          <w:szCs w:val="21"/>
        </w:rPr>
        <w:t>Després de l'estudi en detall, de la totalitat de la documentació requerida a l'Ajuntament de Sedaví i a l'Agència Valenciana de Seguretat i Resposta a les Emergències, es conclou que:</w:t>
      </w:r>
    </w:p>
    <w:p w14:paraId="3BE2D096" w14:textId="77777777" w:rsidR="007659B0" w:rsidRPr="007659B0" w:rsidRDefault="007659B0" w:rsidP="00DD0C5C">
      <w:pPr>
        <w:numPr>
          <w:ilvl w:val="0"/>
          <w:numId w:val="111"/>
        </w:numPr>
        <w:spacing w:after="120" w:line="276" w:lineRule="auto"/>
        <w:ind w:left="714" w:hanging="357"/>
        <w:jc w:val="both"/>
        <w:rPr>
          <w:rFonts w:ascii="Arial" w:eastAsia="Times New Roman" w:hAnsi="Arial" w:cs="Arial"/>
          <w:color w:val="000000"/>
          <w:sz w:val="21"/>
          <w:szCs w:val="21"/>
        </w:rPr>
      </w:pPr>
      <w:r w:rsidRPr="007659B0">
        <w:rPr>
          <w:rFonts w:ascii="Arial" w:eastAsia="Times New Roman" w:hAnsi="Arial" w:cs="Arial"/>
          <w:color w:val="000000"/>
          <w:sz w:val="21"/>
          <w:szCs w:val="21"/>
        </w:rPr>
        <w:t xml:space="preserve">El tribunal del procés selectiu, per a proveir dos places de funcionaris de la policia local d'Ajuntament de Sedaví per torn lliure, va declarar desertes les places després de la correcció del qüestionari tipus test, ja que tots els aspirants presentats van obtindre una qualificació inferior a 5 punts. </w:t>
      </w:r>
    </w:p>
    <w:p w14:paraId="0768CCBC" w14:textId="77777777" w:rsidR="007659B0" w:rsidRPr="007659B0" w:rsidRDefault="007659B0" w:rsidP="00DD0C5C">
      <w:pPr>
        <w:numPr>
          <w:ilvl w:val="0"/>
          <w:numId w:val="111"/>
        </w:numPr>
        <w:spacing w:after="120" w:line="276" w:lineRule="auto"/>
        <w:ind w:left="714" w:hanging="357"/>
        <w:jc w:val="both"/>
        <w:rPr>
          <w:rFonts w:ascii="Arial" w:eastAsia="Times New Roman" w:hAnsi="Arial" w:cs="Arial"/>
          <w:color w:val="000000"/>
          <w:sz w:val="21"/>
          <w:szCs w:val="21"/>
        </w:rPr>
      </w:pPr>
      <w:r w:rsidRPr="007659B0">
        <w:rPr>
          <w:rFonts w:ascii="Arial" w:eastAsia="Times New Roman" w:hAnsi="Arial" w:cs="Arial"/>
          <w:color w:val="000000"/>
          <w:sz w:val="21"/>
          <w:szCs w:val="21"/>
        </w:rPr>
        <w:t xml:space="preserve">No es va realitzar la repetició de l'exercici, al considerar el tribunal per unanimitat que les preguntes van ser adequades al temari, que el nivell de les mateixes va ser d'acord amb proves d'eixe caràcter, i que no existia empara per a la dita repetició ni en les bases del procediment ni en la legislació aplicable. </w:t>
      </w:r>
    </w:p>
    <w:p w14:paraId="5A82EB49" w14:textId="77777777" w:rsidR="007659B0" w:rsidRPr="007659B0" w:rsidRDefault="007659B0" w:rsidP="00DD0C5C">
      <w:pPr>
        <w:numPr>
          <w:ilvl w:val="0"/>
          <w:numId w:val="111"/>
        </w:numPr>
        <w:spacing w:after="120" w:line="276" w:lineRule="auto"/>
        <w:ind w:left="714" w:hanging="357"/>
        <w:jc w:val="both"/>
        <w:rPr>
          <w:rFonts w:ascii="Arial" w:eastAsia="Times New Roman" w:hAnsi="Arial" w:cs="Arial"/>
          <w:color w:val="000000"/>
          <w:sz w:val="21"/>
          <w:szCs w:val="21"/>
        </w:rPr>
      </w:pPr>
      <w:r w:rsidRPr="007659B0">
        <w:rPr>
          <w:rFonts w:ascii="Arial" w:eastAsia="Times New Roman" w:hAnsi="Arial" w:cs="Arial"/>
          <w:color w:val="000000"/>
          <w:sz w:val="21"/>
          <w:szCs w:val="21"/>
        </w:rPr>
        <w:t xml:space="preserve">No li consta, a l'Agència Valenciana de Seguretat i Resposta a les Emergències, que existira cap incidència en el desenrotllament del procés selectiu. </w:t>
      </w:r>
    </w:p>
    <w:p w14:paraId="6B89490D" w14:textId="77777777" w:rsidR="007659B0" w:rsidRPr="007659B0" w:rsidRDefault="007659B0" w:rsidP="00DD0C5C">
      <w:pPr>
        <w:numPr>
          <w:ilvl w:val="0"/>
          <w:numId w:val="111"/>
        </w:numPr>
        <w:spacing w:after="240" w:line="276" w:lineRule="auto"/>
        <w:jc w:val="both"/>
        <w:rPr>
          <w:rFonts w:ascii="Arial" w:eastAsia="Times New Roman" w:hAnsi="Arial" w:cs="Arial"/>
          <w:color w:val="000000"/>
          <w:sz w:val="21"/>
          <w:szCs w:val="21"/>
        </w:rPr>
      </w:pPr>
      <w:r w:rsidRPr="007659B0">
        <w:rPr>
          <w:rFonts w:ascii="Arial" w:eastAsia="Times New Roman" w:hAnsi="Arial" w:cs="Arial"/>
          <w:color w:val="000000"/>
          <w:sz w:val="21"/>
          <w:szCs w:val="21"/>
        </w:rPr>
        <w:t>No consten indicis, ni s'ha acreditat l'existència de filtracions, en el desenrotllament de l'examen tipus test.</w:t>
      </w:r>
    </w:p>
    <w:p w14:paraId="0CC46964" w14:textId="77777777" w:rsidR="007659B0" w:rsidRPr="007659B0" w:rsidRDefault="007659B0" w:rsidP="007659B0">
      <w:pPr>
        <w:spacing w:after="240" w:line="276" w:lineRule="auto"/>
        <w:jc w:val="both"/>
        <w:rPr>
          <w:rFonts w:ascii="Arial" w:eastAsia="Times New Roman" w:hAnsi="Arial" w:cs="Arial"/>
          <w:color w:val="000000"/>
          <w:sz w:val="21"/>
          <w:szCs w:val="21"/>
        </w:rPr>
      </w:pPr>
      <w:r w:rsidRPr="007659B0">
        <w:rPr>
          <w:rFonts w:ascii="Arial" w:eastAsia="Times New Roman" w:hAnsi="Arial" w:cs="Arial"/>
          <w:b/>
          <w:bCs/>
          <w:color w:val="000000"/>
          <w:sz w:val="21"/>
          <w:szCs w:val="21"/>
        </w:rPr>
        <w:t>Resultat</w:t>
      </w:r>
      <w:r w:rsidRPr="007659B0">
        <w:rPr>
          <w:rFonts w:ascii="Arial" w:eastAsia="Times New Roman" w:hAnsi="Arial" w:cs="Arial"/>
          <w:color w:val="000000"/>
          <w:sz w:val="21"/>
          <w:szCs w:val="21"/>
        </w:rPr>
        <w:t>: Es finalitza l’expedient amb arxiu i conclusió de les actuacions.</w:t>
      </w:r>
    </w:p>
    <w:p w14:paraId="660BE9EF" w14:textId="77777777" w:rsidR="007659B0" w:rsidRPr="007659B0" w:rsidRDefault="007659B0" w:rsidP="007659B0">
      <w:pPr>
        <w:spacing w:after="240" w:line="276" w:lineRule="auto"/>
        <w:jc w:val="both"/>
        <w:rPr>
          <w:rFonts w:ascii="Arial" w:eastAsia="Times New Roman" w:hAnsi="Arial" w:cs="Arial"/>
          <w:color w:val="000000"/>
          <w:sz w:val="21"/>
          <w:szCs w:val="21"/>
        </w:rPr>
      </w:pPr>
      <w:r w:rsidRPr="007659B0">
        <w:rPr>
          <w:rFonts w:ascii="Arial" w:eastAsia="Times New Roman" w:hAnsi="Arial" w:cs="Arial"/>
          <w:color w:val="000000"/>
          <w:sz w:val="21"/>
          <w:szCs w:val="21"/>
        </w:rPr>
        <w:t>Es trasllada la resolució a l'Agència Valenciana de Seguretat i Resposta a les Emergències.</w:t>
      </w:r>
    </w:p>
    <w:p w14:paraId="721A5009" w14:textId="4B2146C5" w:rsidR="007659B0" w:rsidRDefault="007659B0" w:rsidP="007659B0">
      <w:pPr>
        <w:spacing w:after="240" w:line="276" w:lineRule="auto"/>
        <w:jc w:val="both"/>
        <w:rPr>
          <w:rFonts w:ascii="Arial" w:eastAsia="Times New Roman" w:hAnsi="Arial" w:cs="Arial"/>
          <w:color w:val="000000"/>
          <w:sz w:val="21"/>
          <w:szCs w:val="21"/>
          <w:lang w:val="ca-ES"/>
        </w:rPr>
      </w:pPr>
      <w:r w:rsidRPr="007659B0">
        <w:rPr>
          <w:rFonts w:ascii="Arial" w:eastAsia="Times New Roman" w:hAnsi="Arial" w:cs="Arial"/>
          <w:b/>
          <w:bCs/>
          <w:color w:val="000000"/>
          <w:sz w:val="21"/>
          <w:szCs w:val="21"/>
        </w:rPr>
        <w:t xml:space="preserve">Fase de seguiment: </w:t>
      </w:r>
      <w:r w:rsidRPr="007659B0">
        <w:rPr>
          <w:rFonts w:ascii="Arial" w:eastAsia="Times New Roman" w:hAnsi="Arial" w:cs="Arial"/>
          <w:color w:val="000000"/>
          <w:sz w:val="21"/>
          <w:szCs w:val="21"/>
        </w:rPr>
        <w:t>No procedeix</w:t>
      </w:r>
      <w:r w:rsidRPr="007659B0">
        <w:rPr>
          <w:rFonts w:ascii="Arial" w:eastAsia="Times New Roman" w:hAnsi="Arial" w:cs="Arial"/>
          <w:color w:val="000000"/>
          <w:sz w:val="21"/>
          <w:szCs w:val="21"/>
          <w:lang w:val="ca-ES"/>
        </w:rPr>
        <w:t>.</w:t>
      </w:r>
    </w:p>
    <w:p w14:paraId="56A4DCB1" w14:textId="77777777" w:rsidR="00B61D27" w:rsidRPr="007659B0" w:rsidRDefault="00B61D27" w:rsidP="007659B0">
      <w:pPr>
        <w:spacing w:after="240" w:line="276" w:lineRule="auto"/>
        <w:jc w:val="both"/>
        <w:rPr>
          <w:rFonts w:ascii="Arial" w:eastAsia="Times New Roman" w:hAnsi="Arial" w:cs="Arial"/>
          <w:color w:val="000000"/>
          <w:sz w:val="21"/>
          <w:szCs w:val="21"/>
          <w:lang w:val="ca-ES"/>
        </w:rPr>
      </w:pPr>
    </w:p>
    <w:p w14:paraId="6D21956D" w14:textId="77777777" w:rsidR="007659B0" w:rsidRPr="007659B0" w:rsidRDefault="007659B0" w:rsidP="007659B0">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15" w:name="_Toc95209070"/>
      <w:bookmarkStart w:id="216" w:name="_Toc95913862"/>
      <w:bookmarkStart w:id="217" w:name="_Toc99110745"/>
      <w:r w:rsidRPr="007659B0">
        <w:rPr>
          <w:rFonts w:ascii="Arial" w:eastAsia="Times New Roman" w:hAnsi="Arial" w:cs="Arial"/>
          <w:b/>
          <w:color w:val="9D2235"/>
          <w:sz w:val="28"/>
          <w:szCs w:val="28"/>
        </w:rPr>
        <w:t>Denominació: Conselleria d'Educació, Cultura i Esport. Pagaments irregulars en la reforma de l'IES Botànic Cavanilles de la Vall d’Uxó</w:t>
      </w:r>
      <w:bookmarkEnd w:id="215"/>
      <w:bookmarkEnd w:id="216"/>
      <w:bookmarkEnd w:id="217"/>
    </w:p>
    <w:p w14:paraId="3C6E5755" w14:textId="77777777" w:rsidR="007659B0" w:rsidRPr="007659B0" w:rsidRDefault="007659B0" w:rsidP="005F040E">
      <w:pPr>
        <w:spacing w:after="240" w:line="276" w:lineRule="auto"/>
        <w:jc w:val="both"/>
        <w:rPr>
          <w:rFonts w:ascii="Arial" w:eastAsia="Times New Roman" w:hAnsi="Arial" w:cs="Arial"/>
          <w:color w:val="000000"/>
          <w:sz w:val="21"/>
          <w:szCs w:val="21"/>
          <w:lang w:val="ca-ES"/>
        </w:rPr>
      </w:pPr>
      <w:r w:rsidRPr="007659B0">
        <w:rPr>
          <w:rFonts w:ascii="Arial" w:eastAsia="Times New Roman" w:hAnsi="Arial" w:cs="Arial"/>
          <w:b/>
          <w:bCs/>
          <w:color w:val="000000"/>
          <w:sz w:val="21"/>
          <w:szCs w:val="21"/>
          <w:lang w:val="ca-ES"/>
        </w:rPr>
        <w:t>Expedient:</w:t>
      </w:r>
      <w:r w:rsidRPr="007659B0">
        <w:rPr>
          <w:rFonts w:ascii="Arial" w:eastAsia="Times New Roman" w:hAnsi="Arial" w:cs="Arial"/>
          <w:color w:val="000000"/>
          <w:sz w:val="21"/>
          <w:szCs w:val="21"/>
          <w:lang w:val="ca-ES"/>
        </w:rPr>
        <w:t xml:space="preserve"> 2020/G01_01/000056 [150/2018] </w:t>
      </w:r>
    </w:p>
    <w:p w14:paraId="2AC1C969" w14:textId="77777777" w:rsidR="007659B0" w:rsidRPr="007659B0" w:rsidRDefault="007659B0" w:rsidP="007659B0">
      <w:pPr>
        <w:spacing w:after="240" w:line="276" w:lineRule="auto"/>
        <w:rPr>
          <w:rFonts w:ascii="Arial" w:eastAsia="Times New Roman" w:hAnsi="Arial" w:cs="Arial"/>
          <w:sz w:val="17"/>
          <w:szCs w:val="17"/>
          <w:lang w:val="ca-ES" w:eastAsia="es-ES"/>
        </w:rPr>
      </w:pPr>
      <w:r w:rsidRPr="007659B0">
        <w:rPr>
          <w:rFonts w:ascii="Arial" w:eastAsia="Times New Roman" w:hAnsi="Arial" w:cs="Arial"/>
          <w:b/>
          <w:bCs/>
          <w:sz w:val="21"/>
          <w:szCs w:val="21"/>
          <w:lang w:val="ca-ES"/>
        </w:rPr>
        <w:t>Enllaç a la publicació:</w:t>
      </w:r>
      <w:r w:rsidRPr="007659B0">
        <w:rPr>
          <w:rFonts w:ascii="Arial" w:eastAsia="Times New Roman" w:hAnsi="Arial" w:cs="Arial"/>
          <w:b/>
          <w:bCs/>
          <w:sz w:val="21"/>
          <w:szCs w:val="21"/>
          <w:lang w:val="ca-ES"/>
        </w:rPr>
        <w:br/>
      </w:r>
      <w:hyperlink r:id="rId442" w:history="1">
        <w:r w:rsidRPr="007659B0">
          <w:rPr>
            <w:rFonts w:ascii="Arial" w:eastAsia="Times New Roman" w:hAnsi="Arial" w:cs="Arial"/>
            <w:color w:val="000080"/>
            <w:sz w:val="17"/>
            <w:szCs w:val="17"/>
            <w:u w:val="single"/>
            <w:lang w:val="ca-ES" w:eastAsia="es-ES"/>
          </w:rPr>
          <w:t>http://www.antifraucv.es/wp-content/uploads/2021/04/20210421_GVA_CONSELLERIA_DE_EDUCACION.pdf</w:t>
        </w:r>
      </w:hyperlink>
    </w:p>
    <w:p w14:paraId="0EB552A0" w14:textId="77777777" w:rsidR="007659B0" w:rsidRPr="007659B0" w:rsidRDefault="007659B0" w:rsidP="007659B0">
      <w:pPr>
        <w:spacing w:after="240" w:line="276" w:lineRule="auto"/>
        <w:jc w:val="both"/>
        <w:rPr>
          <w:rFonts w:ascii="Arial" w:eastAsia="Times New Roman" w:hAnsi="Arial" w:cs="Arial"/>
          <w:color w:val="000000"/>
          <w:sz w:val="21"/>
          <w:szCs w:val="21"/>
          <w:lang w:val="ca-ES"/>
        </w:rPr>
      </w:pPr>
      <w:r w:rsidRPr="007659B0">
        <w:rPr>
          <w:rFonts w:ascii="Arial" w:eastAsia="Times New Roman" w:hAnsi="Arial" w:cs="Arial"/>
          <w:b/>
          <w:bCs/>
          <w:color w:val="000000"/>
          <w:sz w:val="21"/>
          <w:szCs w:val="21"/>
          <w:lang w:val="ca-ES"/>
        </w:rPr>
        <w:t>Descripció</w:t>
      </w:r>
      <w:r w:rsidRPr="007659B0">
        <w:rPr>
          <w:rFonts w:ascii="Arial" w:eastAsia="Times New Roman" w:hAnsi="Arial" w:cs="Arial"/>
          <w:color w:val="000000"/>
          <w:sz w:val="21"/>
          <w:szCs w:val="21"/>
          <w:lang w:val="ca-ES"/>
        </w:rPr>
        <w:t>: S'analitzen les possibles irregularitats administratives en la tramitació i pagament de modificats en l'expedient de contractació amb la ref. CNMY10/EC78A/13, “Honoraris de redacció del projecte bàsic i d'execució amb desenrotllament d'instal·lacions, direcció d'obra i coordinació de seguretat i salut de les obres de construcció de diversos espais de formació professional en l'IES Botànic Cavanilles, en la Vall d’Uixó (Castelló)".</w:t>
      </w:r>
    </w:p>
    <w:p w14:paraId="5D2F8A7B" w14:textId="77777777" w:rsidR="007659B0" w:rsidRPr="007659B0" w:rsidRDefault="007659B0" w:rsidP="007659B0">
      <w:pPr>
        <w:spacing w:after="240" w:line="276" w:lineRule="auto"/>
        <w:jc w:val="both"/>
        <w:rPr>
          <w:rFonts w:ascii="Arial" w:eastAsia="Times New Roman" w:hAnsi="Arial" w:cs="Arial"/>
          <w:color w:val="000000"/>
          <w:sz w:val="21"/>
          <w:szCs w:val="21"/>
          <w:lang w:val="ca-ES"/>
        </w:rPr>
      </w:pPr>
      <w:r w:rsidRPr="007659B0">
        <w:rPr>
          <w:rFonts w:ascii="Arial" w:eastAsia="Times New Roman" w:hAnsi="Arial" w:cs="Arial"/>
          <w:color w:val="000000"/>
          <w:sz w:val="21"/>
          <w:szCs w:val="21"/>
          <w:lang w:val="ca-ES"/>
        </w:rPr>
        <w:t>Es van produir fins a 4 alteracions a l'alça en el preu del referit contracte de servicis. El PPT arreplega un Pressupost d'execució material estimat de 1.513.359,93 €. No obstant això, el projecte presentat per l'adjudicatari del contracte de servicis conté un pressupost d'execució material de 2.191.675,00 €, la qual cosa suposa una diferència de pressupost d'execució material de 678.315,07 €, 983.103,81 € de major cost en projecte de la intervenció, és a dir un 44,82% d'increment.</w:t>
      </w:r>
    </w:p>
    <w:p w14:paraId="03E08008" w14:textId="77777777" w:rsidR="007659B0" w:rsidRPr="005F040E" w:rsidRDefault="007659B0" w:rsidP="007659B0">
      <w:pPr>
        <w:spacing w:after="240" w:line="276" w:lineRule="auto"/>
        <w:jc w:val="both"/>
        <w:rPr>
          <w:rFonts w:ascii="Arial" w:eastAsia="Times New Roman" w:hAnsi="Arial" w:cs="Arial"/>
          <w:color w:val="000000"/>
          <w:sz w:val="21"/>
          <w:szCs w:val="21"/>
        </w:rPr>
      </w:pPr>
      <w:r w:rsidRPr="005F040E">
        <w:rPr>
          <w:rFonts w:ascii="Arial" w:eastAsia="Times New Roman" w:hAnsi="Arial" w:cs="Arial"/>
          <w:color w:val="000000"/>
          <w:sz w:val="21"/>
          <w:szCs w:val="21"/>
        </w:rPr>
        <w:t>Res regula el PPT ni el PCAP sobre la possibilitat que l'adjudicatari del contracte de servicis, redactor del projecte, puga presentar un projecte tècnic que incremente el cost de l'obra al promotor, l'administració, en quasi un milió d'euros. El PCAP únicament regula la possibilitat de modificació de preu del contracte per “raons d'interés públic i per a atendre a causes imprevistes”, que no concorre en el cas que ens ocupa.</w:t>
      </w:r>
    </w:p>
    <w:p w14:paraId="569C633C" w14:textId="77777777" w:rsidR="007659B0" w:rsidRPr="007659B0" w:rsidRDefault="007659B0" w:rsidP="007659B0">
      <w:pPr>
        <w:spacing w:after="240" w:line="276" w:lineRule="auto"/>
        <w:jc w:val="both"/>
        <w:rPr>
          <w:rFonts w:ascii="Arial" w:eastAsia="Times New Roman" w:hAnsi="Arial" w:cs="Arial"/>
          <w:color w:val="000000"/>
          <w:sz w:val="21"/>
          <w:szCs w:val="21"/>
          <w:lang w:val="ca-ES"/>
        </w:rPr>
      </w:pPr>
      <w:r w:rsidRPr="007659B0">
        <w:rPr>
          <w:rFonts w:ascii="Arial" w:eastAsia="Times New Roman" w:hAnsi="Arial" w:cs="Arial"/>
          <w:b/>
          <w:bCs/>
          <w:color w:val="000000"/>
          <w:sz w:val="21"/>
          <w:szCs w:val="21"/>
          <w:lang w:val="ca-ES"/>
        </w:rPr>
        <w:t>Resultat</w:t>
      </w:r>
      <w:r w:rsidRPr="007659B0">
        <w:rPr>
          <w:rFonts w:ascii="Arial" w:eastAsia="Times New Roman" w:hAnsi="Arial" w:cs="Arial"/>
          <w:color w:val="000000"/>
          <w:sz w:val="21"/>
          <w:szCs w:val="21"/>
          <w:lang w:val="ca-ES"/>
        </w:rPr>
        <w:t>: Es finalitza l’expedient amb les següents recomanacions:</w:t>
      </w:r>
    </w:p>
    <w:p w14:paraId="4897D4B4" w14:textId="5F49D874" w:rsidR="007659B0" w:rsidRPr="005F040E" w:rsidRDefault="007659B0" w:rsidP="00DD0C5C">
      <w:pPr>
        <w:numPr>
          <w:ilvl w:val="0"/>
          <w:numId w:val="112"/>
        </w:numPr>
        <w:spacing w:after="120" w:line="276" w:lineRule="auto"/>
        <w:ind w:left="714" w:hanging="357"/>
        <w:jc w:val="both"/>
        <w:rPr>
          <w:rFonts w:ascii="Arial" w:eastAsia="Times New Roman" w:hAnsi="Arial" w:cs="Arial"/>
          <w:color w:val="000000"/>
          <w:sz w:val="21"/>
          <w:szCs w:val="21"/>
        </w:rPr>
      </w:pPr>
      <w:r w:rsidRPr="005F040E">
        <w:rPr>
          <w:rFonts w:ascii="Arial" w:eastAsia="Times New Roman" w:hAnsi="Arial" w:cs="Arial"/>
          <w:color w:val="000000"/>
          <w:sz w:val="21"/>
          <w:szCs w:val="21"/>
        </w:rPr>
        <w:t xml:space="preserve">Procedir a l'inici de la revisió d'ofici les actuacions corresponents als actes administratius </w:t>
      </w:r>
      <w:r w:rsidR="006F1645" w:rsidRPr="005F040E">
        <w:rPr>
          <w:rFonts w:ascii="Arial" w:eastAsia="Times New Roman" w:hAnsi="Arial" w:cs="Arial"/>
          <w:color w:val="000000"/>
          <w:sz w:val="21"/>
          <w:szCs w:val="21"/>
        </w:rPr>
        <w:t>aprovatoris</w:t>
      </w:r>
      <w:r w:rsidRPr="005F040E">
        <w:rPr>
          <w:rFonts w:ascii="Arial" w:eastAsia="Times New Roman" w:hAnsi="Arial" w:cs="Arial"/>
          <w:color w:val="000000"/>
          <w:sz w:val="21"/>
          <w:szCs w:val="21"/>
        </w:rPr>
        <w:t xml:space="preserve"> de les distintes modificacions contractuals al marge de qualsevol procediment legal, així com identificar el personal i autoritats en el període temporal analitzat i que van participar en la tramitació de les modificacions indicades.</w:t>
      </w:r>
    </w:p>
    <w:p w14:paraId="03C7EA6A" w14:textId="77777777" w:rsidR="007659B0" w:rsidRPr="007659B0" w:rsidRDefault="007659B0" w:rsidP="00DD0C5C">
      <w:pPr>
        <w:numPr>
          <w:ilvl w:val="0"/>
          <w:numId w:val="112"/>
        </w:numPr>
        <w:spacing w:after="240" w:line="276" w:lineRule="auto"/>
        <w:jc w:val="both"/>
        <w:rPr>
          <w:rFonts w:ascii="Arial" w:eastAsia="Times New Roman" w:hAnsi="Arial" w:cs="Arial"/>
          <w:color w:val="000000"/>
          <w:sz w:val="21"/>
          <w:szCs w:val="21"/>
          <w:lang w:val="ca-ES"/>
        </w:rPr>
      </w:pPr>
      <w:r w:rsidRPr="005F040E">
        <w:rPr>
          <w:rFonts w:ascii="Arial" w:eastAsia="Times New Roman" w:hAnsi="Arial" w:cs="Arial"/>
          <w:color w:val="000000"/>
          <w:sz w:val="21"/>
          <w:szCs w:val="21"/>
        </w:rPr>
        <w:t>Atendre en la redacció dels plecs de prescripcions tècniques i en l'elaboració i supervisió dels projectes d'obra, a tots aquells aspectes clau del contracte atenent a la seua especificitat, de manera que es tinguen en compte totes les circumstàncies que un poder adjudicador raonablement diligent puga preveure, amb la intenció d'evitar, en la mesura que siga possible, futures modificacions dels contractes</w:t>
      </w:r>
      <w:r w:rsidRPr="007659B0">
        <w:rPr>
          <w:rFonts w:ascii="Arial" w:eastAsia="Times New Roman" w:hAnsi="Arial" w:cs="Arial"/>
          <w:color w:val="000000"/>
          <w:sz w:val="21"/>
          <w:szCs w:val="21"/>
          <w:lang w:val="ca-ES"/>
        </w:rPr>
        <w:t>.</w:t>
      </w:r>
    </w:p>
    <w:p w14:paraId="2778A300" w14:textId="15666800" w:rsidR="007659B0" w:rsidRDefault="007659B0" w:rsidP="007659B0">
      <w:pPr>
        <w:spacing w:after="240" w:line="276" w:lineRule="auto"/>
        <w:jc w:val="both"/>
        <w:rPr>
          <w:rFonts w:ascii="Arial" w:eastAsia="Times New Roman" w:hAnsi="Arial" w:cs="Arial"/>
          <w:color w:val="000000"/>
          <w:sz w:val="21"/>
          <w:szCs w:val="21"/>
          <w:lang w:val="ca-ES"/>
        </w:rPr>
      </w:pPr>
      <w:r w:rsidRPr="007659B0">
        <w:rPr>
          <w:rFonts w:ascii="Arial" w:eastAsia="Times New Roman" w:hAnsi="Arial" w:cs="Arial"/>
          <w:b/>
          <w:bCs/>
          <w:color w:val="000000"/>
          <w:sz w:val="21"/>
          <w:szCs w:val="21"/>
          <w:lang w:val="ca-ES"/>
        </w:rPr>
        <w:t xml:space="preserve">Fase de seguiment: </w:t>
      </w:r>
      <w:r w:rsidRPr="007659B0">
        <w:rPr>
          <w:rFonts w:ascii="Arial" w:eastAsia="Times New Roman" w:hAnsi="Arial" w:cs="Arial"/>
          <w:color w:val="000000"/>
          <w:sz w:val="21"/>
          <w:szCs w:val="21"/>
          <w:lang w:val="ca-ES"/>
        </w:rPr>
        <w:t>En tràmit.</w:t>
      </w:r>
    </w:p>
    <w:p w14:paraId="14B077E2" w14:textId="77777777" w:rsidR="00B61D27" w:rsidRPr="007659B0" w:rsidRDefault="00B61D27" w:rsidP="007659B0">
      <w:pPr>
        <w:spacing w:after="240" w:line="276" w:lineRule="auto"/>
        <w:jc w:val="both"/>
        <w:rPr>
          <w:rFonts w:ascii="Arial" w:eastAsia="Times New Roman" w:hAnsi="Arial" w:cs="Arial"/>
          <w:color w:val="000000"/>
          <w:sz w:val="21"/>
          <w:szCs w:val="21"/>
          <w:lang w:val="ca-ES"/>
        </w:rPr>
      </w:pPr>
    </w:p>
    <w:p w14:paraId="7D0B3A63" w14:textId="77777777" w:rsidR="001B1E70" w:rsidRPr="001B1E70" w:rsidRDefault="001B1E70" w:rsidP="001B1E70">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18" w:name="_Toc95209071"/>
      <w:bookmarkStart w:id="219" w:name="_Toc95913863"/>
      <w:bookmarkStart w:id="220" w:name="_Toc99110746"/>
      <w:r w:rsidRPr="001B1E70">
        <w:rPr>
          <w:rFonts w:ascii="Arial" w:eastAsia="Times New Roman" w:hAnsi="Arial" w:cs="Arial"/>
          <w:b/>
          <w:color w:val="9D2235"/>
          <w:sz w:val="28"/>
          <w:szCs w:val="28"/>
        </w:rPr>
        <w:t xml:space="preserve">Denominació: Ajuntament de Vinaròs. Pagament de factures amb </w:t>
      </w:r>
      <w:bookmarkEnd w:id="218"/>
      <w:bookmarkEnd w:id="219"/>
      <w:r w:rsidRPr="001B1E70">
        <w:rPr>
          <w:rFonts w:ascii="Arial" w:eastAsia="Times New Roman" w:hAnsi="Arial" w:cs="Arial"/>
          <w:b/>
          <w:color w:val="9D2235"/>
          <w:sz w:val="28"/>
          <w:szCs w:val="28"/>
        </w:rPr>
        <w:t>reparaments</w:t>
      </w:r>
      <w:bookmarkEnd w:id="220"/>
    </w:p>
    <w:p w14:paraId="32CBF43B" w14:textId="77777777" w:rsidR="001B1E70" w:rsidRPr="001B1E70" w:rsidRDefault="001B1E70" w:rsidP="006F1645">
      <w:pPr>
        <w:spacing w:after="240" w:line="276" w:lineRule="auto"/>
        <w:jc w:val="both"/>
        <w:rPr>
          <w:rFonts w:ascii="Arial" w:eastAsia="Times New Roman" w:hAnsi="Arial" w:cs="Arial"/>
          <w:color w:val="000000"/>
          <w:sz w:val="21"/>
          <w:szCs w:val="21"/>
          <w:lang w:val="ca-ES"/>
        </w:rPr>
      </w:pPr>
      <w:r w:rsidRPr="001B1E70">
        <w:rPr>
          <w:rFonts w:ascii="Arial" w:eastAsia="Times New Roman" w:hAnsi="Arial" w:cs="Arial"/>
          <w:b/>
          <w:bCs/>
          <w:color w:val="000000"/>
          <w:sz w:val="21"/>
          <w:szCs w:val="21"/>
          <w:lang w:val="ca-ES"/>
        </w:rPr>
        <w:t xml:space="preserve">Expedient: </w:t>
      </w:r>
      <w:r w:rsidRPr="001B1E70">
        <w:rPr>
          <w:rFonts w:ascii="Arial" w:eastAsia="Times New Roman" w:hAnsi="Arial" w:cs="Arial"/>
          <w:color w:val="000000"/>
          <w:sz w:val="21"/>
          <w:szCs w:val="21"/>
          <w:lang w:val="ca-ES"/>
        </w:rPr>
        <w:t>G01_01 2020/000197 [4/2019]</w:t>
      </w:r>
    </w:p>
    <w:p w14:paraId="1D2F4034" w14:textId="77777777" w:rsidR="000E04BC" w:rsidRPr="001E45F9" w:rsidRDefault="000E04BC" w:rsidP="000E04BC">
      <w:pPr>
        <w:spacing w:after="240" w:line="276" w:lineRule="auto"/>
        <w:rPr>
          <w:rFonts w:ascii="Arial" w:eastAsia="Times New Roman" w:hAnsi="Arial" w:cs="Arial"/>
          <w:sz w:val="18"/>
          <w:szCs w:val="18"/>
          <w:lang w:val="ca-ES" w:eastAsia="es-ES"/>
        </w:rPr>
      </w:pPr>
      <w:r w:rsidRPr="001E45F9">
        <w:rPr>
          <w:rFonts w:ascii="Arial" w:eastAsia="Times New Roman" w:hAnsi="Arial" w:cs="Arial"/>
          <w:b/>
          <w:bCs/>
          <w:sz w:val="21"/>
          <w:szCs w:val="21"/>
          <w:lang w:val="ca-ES"/>
        </w:rPr>
        <w:t>Enllaç a la publicació:</w:t>
      </w:r>
      <w:r w:rsidRPr="001E45F9">
        <w:rPr>
          <w:rFonts w:ascii="Arial" w:eastAsia="Times New Roman" w:hAnsi="Arial" w:cs="Arial"/>
          <w:b/>
          <w:bCs/>
          <w:sz w:val="21"/>
          <w:szCs w:val="21"/>
          <w:lang w:val="ca-ES"/>
        </w:rPr>
        <w:br/>
      </w:r>
      <w:hyperlink r:id="rId443" w:history="1">
        <w:r w:rsidRPr="001E45F9">
          <w:rPr>
            <w:rStyle w:val="Hipervnculo"/>
            <w:rFonts w:ascii="Arial" w:eastAsia="Times New Roman" w:hAnsi="Arial" w:cs="Arial"/>
            <w:sz w:val="18"/>
            <w:szCs w:val="18"/>
            <w:lang w:val="ca-ES" w:eastAsia="es-ES"/>
          </w:rPr>
          <w:t>http://www.antifraucv.es/wp-content/uploads/2021/04/202210430_AJUNTAMENT_DE_VINAROZ.pdf</w:t>
        </w:r>
      </w:hyperlink>
    </w:p>
    <w:p w14:paraId="2BB32E09" w14:textId="77777777" w:rsidR="001B1E70" w:rsidRPr="001B1E70" w:rsidRDefault="001B1E70" w:rsidP="001B1E70">
      <w:pPr>
        <w:spacing w:after="240" w:line="276" w:lineRule="auto"/>
        <w:jc w:val="both"/>
        <w:rPr>
          <w:rFonts w:ascii="Arial" w:eastAsia="Times New Roman" w:hAnsi="Arial" w:cs="Arial"/>
          <w:color w:val="000000"/>
          <w:sz w:val="21"/>
          <w:szCs w:val="21"/>
          <w:lang w:val="ca-ES"/>
        </w:rPr>
      </w:pPr>
      <w:r w:rsidRPr="001B1E70">
        <w:rPr>
          <w:rFonts w:ascii="Arial" w:eastAsia="Times New Roman" w:hAnsi="Arial" w:cs="Arial"/>
          <w:b/>
          <w:bCs/>
          <w:color w:val="000000"/>
          <w:sz w:val="21"/>
          <w:szCs w:val="21"/>
          <w:lang w:val="ca-ES"/>
        </w:rPr>
        <w:t xml:space="preserve">Descripció: </w:t>
      </w:r>
      <w:r w:rsidRPr="001B1E70">
        <w:rPr>
          <w:rFonts w:ascii="Arial" w:eastAsia="Times New Roman" w:hAnsi="Arial" w:cs="Arial"/>
          <w:color w:val="000000"/>
          <w:sz w:val="21"/>
          <w:szCs w:val="21"/>
          <w:lang w:val="ca-ES"/>
        </w:rPr>
        <w:t>Els fets denunciats es van concretar en que s'havien emés, per part de la Intervenció de l'Ajuntament, un nombre elevat de reparaments entre 2011 i 2015 en matèria de contractació en l'exercici de la funció interventora.</w:t>
      </w:r>
    </w:p>
    <w:p w14:paraId="13F9CD17" w14:textId="77777777" w:rsidR="001B1E70" w:rsidRPr="001B1E70" w:rsidRDefault="001B1E70" w:rsidP="001B1E70">
      <w:pPr>
        <w:spacing w:after="240" w:line="276" w:lineRule="auto"/>
        <w:jc w:val="both"/>
        <w:rPr>
          <w:rFonts w:ascii="Arial" w:eastAsia="Times New Roman" w:hAnsi="Arial" w:cs="Arial"/>
          <w:color w:val="000000"/>
          <w:sz w:val="21"/>
          <w:szCs w:val="21"/>
          <w:lang w:val="ca-ES"/>
        </w:rPr>
      </w:pPr>
      <w:r w:rsidRPr="001B1E70">
        <w:rPr>
          <w:rFonts w:ascii="Arial" w:eastAsia="Times New Roman" w:hAnsi="Arial" w:cs="Arial"/>
          <w:color w:val="000000"/>
          <w:sz w:val="21"/>
          <w:szCs w:val="21"/>
          <w:lang w:val="ca-ES"/>
        </w:rPr>
        <w:t xml:space="preserve">Després de la instrucció de l'oportú procediment d'investigació, es va acreditar el compliment de les obligacions contingudes en l'article 218 del Reial Decret legislatiu 2/2004, de 5 de març, pel qual s'aprova el text refós de la Llei Reguladora de les Hisendes Locals. </w:t>
      </w:r>
    </w:p>
    <w:p w14:paraId="713D9935" w14:textId="77777777" w:rsidR="001B1E70" w:rsidRPr="001B1E70" w:rsidRDefault="001B1E70" w:rsidP="001B1E70">
      <w:pPr>
        <w:spacing w:after="240" w:line="276" w:lineRule="auto"/>
        <w:jc w:val="both"/>
        <w:rPr>
          <w:rFonts w:ascii="Arial" w:eastAsia="Times New Roman" w:hAnsi="Arial" w:cs="Arial"/>
          <w:color w:val="000000"/>
          <w:sz w:val="21"/>
          <w:szCs w:val="21"/>
          <w:lang w:val="ca-ES"/>
        </w:rPr>
      </w:pPr>
      <w:r w:rsidRPr="001B1E70">
        <w:rPr>
          <w:rFonts w:ascii="Arial" w:eastAsia="Times New Roman" w:hAnsi="Arial" w:cs="Arial"/>
          <w:color w:val="000000"/>
          <w:sz w:val="21"/>
          <w:szCs w:val="21"/>
          <w:lang w:val="ca-ES"/>
        </w:rPr>
        <w:t xml:space="preserve">Així mateix, es justifica el compliment de les obligacions contingudes en l'article 218.3 del Reial Decret Legislatiu 2/2004, de 5 de març, pel qual s'aprova el text refós de la Llei Reguladora de les Hisendes Locals redactat pel número Tres de l'article segon de la Llei 27/2013, 27 desembre, de racionalització i sostenibilitat de l'Administració Local («B.O.E.» 30 desembre), la vigència del qual és de 31 desembre 2013. </w:t>
      </w:r>
    </w:p>
    <w:p w14:paraId="632B8CC0" w14:textId="77777777" w:rsidR="001B1E70" w:rsidRPr="001B1E70" w:rsidRDefault="001B1E70" w:rsidP="001B1E70">
      <w:pPr>
        <w:spacing w:after="240" w:line="276" w:lineRule="auto"/>
        <w:jc w:val="both"/>
        <w:rPr>
          <w:rFonts w:ascii="Arial" w:eastAsia="Times New Roman" w:hAnsi="Arial" w:cs="Arial"/>
          <w:color w:val="000000"/>
          <w:sz w:val="21"/>
          <w:szCs w:val="21"/>
          <w:lang w:val="ca-ES"/>
        </w:rPr>
      </w:pPr>
      <w:r w:rsidRPr="001B1E70">
        <w:rPr>
          <w:rFonts w:ascii="Arial" w:eastAsia="Times New Roman" w:hAnsi="Arial" w:cs="Arial"/>
          <w:color w:val="000000"/>
          <w:sz w:val="21"/>
          <w:szCs w:val="21"/>
          <w:lang w:val="ca-ES"/>
        </w:rPr>
        <w:t>Addicionalment, es va comprovar que la matèria sobre la qual es van efectuar els inconvenients era de molt diversa índole.</w:t>
      </w:r>
    </w:p>
    <w:p w14:paraId="18C37D64" w14:textId="77777777" w:rsidR="001B1E70" w:rsidRPr="001B1E70" w:rsidRDefault="001B1E70" w:rsidP="001B1E70">
      <w:pPr>
        <w:spacing w:after="240" w:line="276" w:lineRule="auto"/>
        <w:jc w:val="both"/>
        <w:rPr>
          <w:rFonts w:ascii="Arial" w:eastAsia="Times New Roman" w:hAnsi="Arial" w:cs="Arial"/>
          <w:color w:val="000000"/>
          <w:sz w:val="21"/>
          <w:szCs w:val="21"/>
          <w:lang w:val="ca-ES"/>
        </w:rPr>
      </w:pPr>
      <w:r w:rsidRPr="001B1E70">
        <w:rPr>
          <w:rFonts w:ascii="Arial" w:eastAsia="Times New Roman" w:hAnsi="Arial" w:cs="Arial"/>
          <w:b/>
          <w:bCs/>
          <w:color w:val="000000"/>
          <w:sz w:val="21"/>
          <w:szCs w:val="21"/>
          <w:lang w:val="ca-ES"/>
        </w:rPr>
        <w:t xml:space="preserve">Resultat: </w:t>
      </w:r>
      <w:r w:rsidRPr="001B1E70">
        <w:rPr>
          <w:rFonts w:ascii="Arial" w:eastAsia="Times New Roman" w:hAnsi="Arial" w:cs="Arial"/>
          <w:color w:val="000000"/>
          <w:sz w:val="21"/>
          <w:szCs w:val="21"/>
          <w:lang w:val="ca-ES"/>
        </w:rPr>
        <w:t xml:space="preserve">Arxiu de les actuacions. </w:t>
      </w:r>
    </w:p>
    <w:p w14:paraId="1EAE1E6D" w14:textId="77777777" w:rsidR="001B1E70" w:rsidRPr="001B1E70" w:rsidRDefault="001B1E70" w:rsidP="001B1E70">
      <w:pPr>
        <w:spacing w:after="240" w:line="276" w:lineRule="auto"/>
        <w:jc w:val="both"/>
        <w:rPr>
          <w:rFonts w:ascii="Arial" w:eastAsia="Times New Roman" w:hAnsi="Arial" w:cs="Arial"/>
          <w:color w:val="000000"/>
          <w:sz w:val="21"/>
          <w:szCs w:val="21"/>
          <w:lang w:val="ca-ES"/>
        </w:rPr>
      </w:pPr>
      <w:r w:rsidRPr="001B1E70">
        <w:rPr>
          <w:rFonts w:ascii="Arial" w:eastAsia="Times New Roman" w:hAnsi="Arial" w:cs="Arial"/>
          <w:b/>
          <w:bCs/>
          <w:color w:val="000000"/>
          <w:sz w:val="21"/>
          <w:szCs w:val="21"/>
          <w:lang w:val="ca-ES"/>
        </w:rPr>
        <w:t xml:space="preserve">Fase de seguiment: </w:t>
      </w:r>
      <w:r w:rsidRPr="001B1E70">
        <w:rPr>
          <w:rFonts w:ascii="Arial" w:eastAsia="Times New Roman" w:hAnsi="Arial" w:cs="Arial"/>
          <w:color w:val="000000"/>
          <w:sz w:val="21"/>
          <w:szCs w:val="21"/>
          <w:lang w:val="ca-ES"/>
        </w:rPr>
        <w:t>No procedeix.</w:t>
      </w:r>
    </w:p>
    <w:p w14:paraId="05D999FC" w14:textId="77777777" w:rsidR="001B1E70" w:rsidRPr="001B1E70" w:rsidRDefault="001B1E70" w:rsidP="001B1E70">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21" w:name="_Toc95209072"/>
      <w:bookmarkStart w:id="222" w:name="_Toc95913864"/>
      <w:bookmarkStart w:id="223" w:name="_Toc99110747"/>
      <w:r w:rsidRPr="001B1E70">
        <w:rPr>
          <w:rFonts w:ascii="Arial" w:eastAsia="Times New Roman" w:hAnsi="Arial" w:cs="Arial"/>
          <w:b/>
          <w:color w:val="9D2235"/>
          <w:sz w:val="28"/>
          <w:szCs w:val="28"/>
        </w:rPr>
        <w:t>Denominació: Ajuntament de Los Montesinos. Contractació administrativa</w:t>
      </w:r>
      <w:bookmarkEnd w:id="221"/>
      <w:bookmarkEnd w:id="222"/>
      <w:bookmarkEnd w:id="223"/>
    </w:p>
    <w:p w14:paraId="07F50A87" w14:textId="77777777" w:rsidR="001B1E70" w:rsidRPr="001B1E70" w:rsidRDefault="001B1E70" w:rsidP="000E04BC">
      <w:pPr>
        <w:spacing w:after="240" w:line="276" w:lineRule="auto"/>
        <w:jc w:val="both"/>
        <w:rPr>
          <w:rFonts w:ascii="Arial" w:eastAsia="Times New Roman" w:hAnsi="Arial" w:cs="Arial"/>
          <w:color w:val="000000"/>
          <w:sz w:val="21"/>
          <w:szCs w:val="21"/>
        </w:rPr>
      </w:pPr>
      <w:r w:rsidRPr="001B1E70">
        <w:rPr>
          <w:rFonts w:ascii="Arial" w:eastAsia="Times New Roman" w:hAnsi="Arial" w:cs="Arial"/>
          <w:b/>
          <w:bCs/>
          <w:color w:val="000000"/>
          <w:sz w:val="21"/>
          <w:szCs w:val="21"/>
        </w:rPr>
        <w:t>Expedient</w:t>
      </w:r>
      <w:r w:rsidRPr="001B1E70">
        <w:rPr>
          <w:rFonts w:ascii="Arial" w:eastAsia="Times New Roman" w:hAnsi="Arial" w:cs="Arial"/>
          <w:color w:val="000000"/>
          <w:sz w:val="21"/>
          <w:szCs w:val="21"/>
        </w:rPr>
        <w:t>: 2020/G01_01/000170 [170/2020]</w:t>
      </w:r>
    </w:p>
    <w:p w14:paraId="3E43F97F" w14:textId="77777777" w:rsidR="009B5D1B" w:rsidRPr="009B5D1B" w:rsidRDefault="009B5D1B" w:rsidP="009B5D1B">
      <w:pPr>
        <w:spacing w:after="240" w:line="276" w:lineRule="auto"/>
        <w:rPr>
          <w:rFonts w:ascii="Arial" w:eastAsia="Times New Roman" w:hAnsi="Arial" w:cs="Arial"/>
          <w:sz w:val="16"/>
          <w:szCs w:val="16"/>
          <w:lang w:eastAsia="es-ES"/>
        </w:rPr>
      </w:pPr>
      <w:r w:rsidRPr="009B5D1B">
        <w:rPr>
          <w:rFonts w:ascii="Arial" w:eastAsia="Times New Roman" w:hAnsi="Arial" w:cs="Arial"/>
          <w:b/>
          <w:bCs/>
          <w:sz w:val="21"/>
          <w:szCs w:val="21"/>
        </w:rPr>
        <w:t>Enllaç a la publicació:</w:t>
      </w:r>
      <w:r w:rsidRPr="009B5D1B">
        <w:rPr>
          <w:rFonts w:ascii="Arial" w:eastAsia="Times New Roman" w:hAnsi="Arial" w:cs="Arial"/>
          <w:b/>
          <w:bCs/>
          <w:sz w:val="21"/>
          <w:szCs w:val="21"/>
        </w:rPr>
        <w:br/>
      </w:r>
      <w:hyperlink r:id="rId444" w:history="1">
        <w:r w:rsidRPr="009B5D1B">
          <w:rPr>
            <w:rFonts w:ascii="Arial" w:eastAsia="Times New Roman" w:hAnsi="Arial" w:cs="Arial"/>
            <w:color w:val="000080"/>
            <w:sz w:val="16"/>
            <w:szCs w:val="16"/>
            <w:u w:val="single"/>
            <w:lang w:eastAsia="es-ES"/>
          </w:rPr>
          <w:t>http://www.antifraucv.es/wp-content/uploads/2021/04/20210503_AJUNTAMENT_DE_LOS_MONTESINOS.pdf</w:t>
        </w:r>
      </w:hyperlink>
    </w:p>
    <w:p w14:paraId="781525C5" w14:textId="77777777" w:rsidR="001B1E70" w:rsidRPr="001B1E70" w:rsidRDefault="001B1E70" w:rsidP="001B1E70">
      <w:pPr>
        <w:spacing w:after="240" w:line="276" w:lineRule="auto"/>
        <w:jc w:val="both"/>
        <w:rPr>
          <w:rFonts w:ascii="Arial" w:eastAsia="Times New Roman" w:hAnsi="Arial" w:cs="Arial"/>
          <w:color w:val="000000"/>
          <w:sz w:val="21"/>
          <w:szCs w:val="21"/>
        </w:rPr>
      </w:pPr>
      <w:r w:rsidRPr="001B1E70">
        <w:rPr>
          <w:rFonts w:ascii="Arial" w:eastAsia="Times New Roman" w:hAnsi="Arial" w:cs="Arial"/>
          <w:b/>
          <w:bCs/>
          <w:color w:val="000000"/>
          <w:sz w:val="21"/>
          <w:szCs w:val="21"/>
        </w:rPr>
        <w:t>Descripció:</w:t>
      </w:r>
      <w:r w:rsidRPr="001B1E70">
        <w:rPr>
          <w:rFonts w:ascii="Arial" w:eastAsia="Times New Roman" w:hAnsi="Arial" w:cs="Arial"/>
          <w:color w:val="000000"/>
          <w:sz w:val="21"/>
          <w:szCs w:val="21"/>
        </w:rPr>
        <w:t xml:space="preserve"> Es denuncia presumptes conductes contràries a les normes reguladores de la contractació administrativa. </w:t>
      </w:r>
    </w:p>
    <w:p w14:paraId="5E56E3A9" w14:textId="77777777" w:rsidR="001B1E70" w:rsidRPr="001B1E70" w:rsidRDefault="001B1E70" w:rsidP="001B1E70">
      <w:pPr>
        <w:spacing w:after="240" w:line="276" w:lineRule="auto"/>
        <w:jc w:val="both"/>
        <w:rPr>
          <w:rFonts w:ascii="Arial" w:eastAsia="Times New Roman" w:hAnsi="Arial" w:cs="Arial"/>
          <w:color w:val="000000"/>
          <w:sz w:val="21"/>
          <w:szCs w:val="21"/>
        </w:rPr>
      </w:pPr>
      <w:r w:rsidRPr="001B1E70">
        <w:rPr>
          <w:rFonts w:ascii="Arial" w:eastAsia="Times New Roman" w:hAnsi="Arial" w:cs="Arial"/>
          <w:color w:val="000000"/>
          <w:sz w:val="21"/>
          <w:szCs w:val="21"/>
        </w:rPr>
        <w:t xml:space="preserve">Després de l'estudi en detall de la totalitat de la documentació, es conclou en síntesi que: </w:t>
      </w:r>
    </w:p>
    <w:p w14:paraId="4668B637" w14:textId="77777777" w:rsidR="001B1E70" w:rsidRPr="001B1E70" w:rsidRDefault="001B1E70" w:rsidP="00DD0C5C">
      <w:pPr>
        <w:numPr>
          <w:ilvl w:val="0"/>
          <w:numId w:val="113"/>
        </w:numPr>
        <w:spacing w:after="120" w:line="276" w:lineRule="auto"/>
        <w:ind w:left="714" w:hanging="357"/>
        <w:jc w:val="both"/>
        <w:rPr>
          <w:rFonts w:ascii="Arial" w:eastAsia="Times New Roman" w:hAnsi="Arial" w:cs="Arial"/>
          <w:color w:val="000000"/>
          <w:sz w:val="21"/>
          <w:szCs w:val="21"/>
        </w:rPr>
      </w:pPr>
      <w:r w:rsidRPr="001B1E70">
        <w:rPr>
          <w:rFonts w:ascii="Arial" w:eastAsia="Times New Roman" w:hAnsi="Arial" w:cs="Arial"/>
          <w:color w:val="000000"/>
          <w:sz w:val="21"/>
          <w:szCs w:val="21"/>
        </w:rPr>
        <w:t xml:space="preserve">Hi ha una concatenació d'uns contractes menors subscrits amb la mateixa mercantil, per a la prestació del servici d'assessoria jurídica en l'Ajuntament dels Montesinos en els exercicis 2012, 2013 i 2014, havent-se per tant fraccionat l'objecte del contracte amb la conseqüent elusió de la normativa en matèria contractual, atés que no es va procedir a licitar els servicis d'assessoria jurídica per mitjà del procediment oportú i es van realitzar adjudicacions directes a la mencionada mercantil. </w:t>
      </w:r>
    </w:p>
    <w:p w14:paraId="3A23446E" w14:textId="77777777" w:rsidR="001B1E70" w:rsidRPr="001B1E70" w:rsidRDefault="001B1E70" w:rsidP="00DD0C5C">
      <w:pPr>
        <w:numPr>
          <w:ilvl w:val="0"/>
          <w:numId w:val="113"/>
        </w:numPr>
        <w:spacing w:after="120" w:line="276" w:lineRule="auto"/>
        <w:ind w:left="714" w:hanging="357"/>
        <w:jc w:val="both"/>
        <w:rPr>
          <w:rFonts w:ascii="Arial" w:eastAsia="Times New Roman" w:hAnsi="Arial" w:cs="Arial"/>
          <w:color w:val="000000"/>
          <w:sz w:val="21"/>
          <w:szCs w:val="21"/>
        </w:rPr>
      </w:pPr>
      <w:r w:rsidRPr="001B1E70">
        <w:rPr>
          <w:rFonts w:ascii="Arial" w:eastAsia="Times New Roman" w:hAnsi="Arial" w:cs="Arial"/>
          <w:color w:val="000000"/>
          <w:sz w:val="21"/>
          <w:szCs w:val="21"/>
        </w:rPr>
        <w:t>Al tractar-se el servici d'assessoria jurídica d'una necessitat permanent en l'Ajuntament dels Montesinos i al mateix temps previsible, hauria d'haver-se procedit a tramitar l'expedient de contractació corresponent amb concurrència competitiva.</w:t>
      </w:r>
    </w:p>
    <w:p w14:paraId="760511BD" w14:textId="77777777" w:rsidR="001B1E70" w:rsidRPr="001B1E70" w:rsidRDefault="001B1E70" w:rsidP="00DD0C5C">
      <w:pPr>
        <w:numPr>
          <w:ilvl w:val="0"/>
          <w:numId w:val="113"/>
        </w:numPr>
        <w:spacing w:after="120" w:line="276" w:lineRule="auto"/>
        <w:ind w:left="714" w:hanging="357"/>
        <w:jc w:val="both"/>
        <w:rPr>
          <w:rFonts w:ascii="Arial" w:eastAsia="Times New Roman" w:hAnsi="Arial" w:cs="Arial"/>
          <w:color w:val="000000"/>
          <w:sz w:val="21"/>
          <w:szCs w:val="21"/>
        </w:rPr>
      </w:pPr>
      <w:r w:rsidRPr="001B1E70">
        <w:rPr>
          <w:rFonts w:ascii="Arial" w:eastAsia="Times New Roman" w:hAnsi="Arial" w:cs="Arial"/>
          <w:color w:val="000000"/>
          <w:sz w:val="21"/>
          <w:szCs w:val="21"/>
        </w:rPr>
        <w:t xml:space="preserve">Les factures emeses per la mercantil corresponents als contractes menors celebrats, no van ser conformades per funcionaris municipals, sinó únicament per l'alcaldia, incomplint-se per tant l'article 72.1 del Reial Decret 1098/2001, de 12 d'octubre, pel qual s'aprova el Reglament general de la Llei de Contractes de les Administracions Públiques. </w:t>
      </w:r>
    </w:p>
    <w:p w14:paraId="3B868170" w14:textId="77777777" w:rsidR="001B1E70" w:rsidRPr="001B1E70" w:rsidRDefault="001B1E70" w:rsidP="00DD0C5C">
      <w:pPr>
        <w:numPr>
          <w:ilvl w:val="0"/>
          <w:numId w:val="113"/>
        </w:numPr>
        <w:spacing w:after="120" w:line="276" w:lineRule="auto"/>
        <w:ind w:left="714" w:hanging="357"/>
        <w:jc w:val="both"/>
        <w:rPr>
          <w:rFonts w:ascii="Arial" w:eastAsia="Times New Roman" w:hAnsi="Arial" w:cs="Arial"/>
          <w:color w:val="000000"/>
          <w:sz w:val="21"/>
          <w:szCs w:val="21"/>
        </w:rPr>
      </w:pPr>
      <w:r w:rsidRPr="001B1E70">
        <w:rPr>
          <w:rFonts w:ascii="Arial" w:eastAsia="Times New Roman" w:hAnsi="Arial" w:cs="Arial"/>
          <w:color w:val="000000"/>
          <w:sz w:val="21"/>
          <w:szCs w:val="21"/>
        </w:rPr>
        <w:t>El procediment negociat sense publicitat tramitat en l'exercici 2016, no complix amb el que establix el RDL 3/2011, pel qual s'aprova el Text Refós de la Llei de Contractes del Sector Públic, al no constar en l'expedient el seu tràmit essencial i definitori del mateix, la negociació, realitzant-se exclusivament la sol·licitud d'ofertes i adjudicació a la considerada millor i única oferta. L'absència de negociació pot comportar la nul·litat de ple dret del procediment negociat.</w:t>
      </w:r>
    </w:p>
    <w:p w14:paraId="3220703E" w14:textId="77777777" w:rsidR="001B1E70" w:rsidRPr="001B1E70" w:rsidRDefault="001B1E70" w:rsidP="00DD0C5C">
      <w:pPr>
        <w:numPr>
          <w:ilvl w:val="0"/>
          <w:numId w:val="113"/>
        </w:numPr>
        <w:spacing w:after="120" w:line="276" w:lineRule="auto"/>
        <w:ind w:left="714" w:hanging="357"/>
        <w:jc w:val="both"/>
        <w:rPr>
          <w:rFonts w:ascii="Arial" w:eastAsia="Times New Roman" w:hAnsi="Arial" w:cs="Arial"/>
          <w:color w:val="000000"/>
          <w:sz w:val="21"/>
          <w:szCs w:val="21"/>
        </w:rPr>
      </w:pPr>
      <w:r w:rsidRPr="001B1E70">
        <w:rPr>
          <w:rFonts w:ascii="Arial" w:eastAsia="Times New Roman" w:hAnsi="Arial" w:cs="Arial"/>
          <w:color w:val="000000"/>
          <w:sz w:val="21"/>
          <w:szCs w:val="21"/>
        </w:rPr>
        <w:t>El termini de duració del contracte adjudicat per mitjà del procediment anterior era d'un any prorrogable per un altre, finalitzant el primer any el dia 11 de març de 2017. Encara que, segons el text del mateix, no cabia pròrroga tàcita pel consentiment de les parts, es va continuar prestant el servici sense acordar prèviament la pròrroga, ja que la mateixa es va acordar en la sessió de la Junta de Govern Local de data 3 d'abril de 2017. Per tant, al no haver-se produït la pròrroga expressa del contracte prèviament al venciment o compliment del mateix, es va produir la seua extinció, no procedint la pròrroga amb caràcter posterior a la dita extinció.</w:t>
      </w:r>
    </w:p>
    <w:p w14:paraId="217ECA19" w14:textId="77777777" w:rsidR="001B1E70" w:rsidRPr="001B1E70" w:rsidRDefault="001B1E70" w:rsidP="00DD0C5C">
      <w:pPr>
        <w:numPr>
          <w:ilvl w:val="0"/>
          <w:numId w:val="113"/>
        </w:numPr>
        <w:spacing w:after="120" w:line="276" w:lineRule="auto"/>
        <w:ind w:left="714" w:hanging="357"/>
        <w:jc w:val="both"/>
        <w:rPr>
          <w:rFonts w:ascii="Arial" w:eastAsia="Times New Roman" w:hAnsi="Arial" w:cs="Arial"/>
          <w:color w:val="000000"/>
          <w:sz w:val="21"/>
          <w:szCs w:val="21"/>
        </w:rPr>
      </w:pPr>
      <w:r w:rsidRPr="001B1E70">
        <w:rPr>
          <w:rFonts w:ascii="Arial" w:eastAsia="Times New Roman" w:hAnsi="Arial" w:cs="Arial"/>
          <w:color w:val="000000"/>
          <w:sz w:val="21"/>
          <w:szCs w:val="21"/>
        </w:rPr>
        <w:t>La concreta contractació de la mercantil que ens ocupa, per a l'exercici de les funcions que s'indica en els successius contractes (a saber, col·laboració d'un despatx d'advocats per a l'assessorament jurídic en la tramitació d'expedients de planejament, gestió i disciplina urbanística; assessorament jurídic municipal en la tramitació d'expedients administratius; prestació del servici d'assessorament jurídic per no tindre el personal necessari per a això), no pot ser sotmesa al Dret Administratiu, sinó que ha de ser la pròpia d'una contractació laboral o funcionarial, trobant-se les funcions que es pretenen realitzar amb la dita contracta reservades a funcionaris o empleats municipals, segons els casos.</w:t>
      </w:r>
    </w:p>
    <w:p w14:paraId="181BF72D" w14:textId="77777777" w:rsidR="001B1E70" w:rsidRPr="001B1E70" w:rsidRDefault="001B1E70" w:rsidP="00DD0C5C">
      <w:pPr>
        <w:numPr>
          <w:ilvl w:val="0"/>
          <w:numId w:val="113"/>
        </w:numPr>
        <w:spacing w:after="240" w:line="276" w:lineRule="auto"/>
        <w:jc w:val="both"/>
        <w:rPr>
          <w:rFonts w:ascii="Arial" w:eastAsia="Times New Roman" w:hAnsi="Arial" w:cs="Arial"/>
          <w:color w:val="000000"/>
          <w:sz w:val="21"/>
          <w:szCs w:val="21"/>
        </w:rPr>
      </w:pPr>
      <w:r w:rsidRPr="001B1E70">
        <w:rPr>
          <w:rFonts w:ascii="Arial" w:eastAsia="Times New Roman" w:hAnsi="Arial" w:cs="Arial"/>
          <w:color w:val="000000"/>
          <w:sz w:val="21"/>
          <w:szCs w:val="21"/>
        </w:rPr>
        <w:t>El fet de que prèviament a la firma del dit contracte, s'emeten informes per la mateixa mercantil adjudicatària del contracte, en relació a l'expedient disciplinari a instruir el funcionari de l'Ajuntament dels Montesinos que ostenta la Direcció del Negociat d'Urbanisme, posa de manifest l'existència d'un possible conflicte d'interés, al contractar a una mercantil que ha avalat amb els seus informes la decisió d'iniciar un expedient disciplinari a un funcionari municipal, per a després ser la mateixa mercantil la que realitze les tasques que abans corresponien al dit funcionari.</w:t>
      </w:r>
    </w:p>
    <w:p w14:paraId="03E647E0" w14:textId="77777777" w:rsidR="001B1E70" w:rsidRPr="001B1E70" w:rsidRDefault="001B1E70" w:rsidP="001B1E70">
      <w:pPr>
        <w:spacing w:after="240" w:line="276" w:lineRule="auto"/>
        <w:jc w:val="both"/>
        <w:rPr>
          <w:rFonts w:ascii="Arial" w:eastAsia="Times New Roman" w:hAnsi="Arial" w:cs="Arial"/>
          <w:color w:val="000000"/>
          <w:sz w:val="21"/>
          <w:szCs w:val="21"/>
        </w:rPr>
      </w:pPr>
      <w:r w:rsidRPr="001B1E70">
        <w:rPr>
          <w:rFonts w:ascii="Arial" w:eastAsia="Times New Roman" w:hAnsi="Arial" w:cs="Arial"/>
          <w:b/>
          <w:bCs/>
          <w:color w:val="000000"/>
          <w:sz w:val="21"/>
          <w:szCs w:val="21"/>
        </w:rPr>
        <w:t>Resultat</w:t>
      </w:r>
      <w:r w:rsidRPr="001B1E70">
        <w:rPr>
          <w:rFonts w:ascii="Arial" w:eastAsia="Times New Roman" w:hAnsi="Arial" w:cs="Arial"/>
          <w:color w:val="000000"/>
          <w:sz w:val="21"/>
          <w:szCs w:val="21"/>
        </w:rPr>
        <w:t>: Se finalitza l’expedient amb les següents recomanacions:</w:t>
      </w:r>
    </w:p>
    <w:p w14:paraId="34601DA3" w14:textId="3D15D8D8" w:rsidR="001B1E70" w:rsidRPr="001B1E70" w:rsidRDefault="001B1E70" w:rsidP="00DD0C5C">
      <w:pPr>
        <w:numPr>
          <w:ilvl w:val="0"/>
          <w:numId w:val="114"/>
        </w:numPr>
        <w:spacing w:after="120" w:line="276" w:lineRule="auto"/>
        <w:ind w:left="714" w:hanging="357"/>
        <w:jc w:val="both"/>
        <w:rPr>
          <w:rFonts w:ascii="Arial" w:eastAsia="Times New Roman" w:hAnsi="Arial" w:cs="Arial"/>
          <w:color w:val="000000"/>
          <w:sz w:val="21"/>
          <w:szCs w:val="21"/>
        </w:rPr>
      </w:pPr>
      <w:r w:rsidRPr="001B1E70">
        <w:rPr>
          <w:rFonts w:ascii="Arial" w:eastAsia="Times New Roman" w:hAnsi="Arial" w:cs="Arial"/>
          <w:color w:val="000000"/>
          <w:sz w:val="21"/>
          <w:szCs w:val="21"/>
        </w:rPr>
        <w:t>Procedir a iniciar la revisió d'ofici de l'acte d'adjudicació del procediment negociat sense publicitat, per mitjà del qual es va adjudicar en data 7 de març de 2016 el contracte de prestació de servicis (Expedient núm</w:t>
      </w:r>
      <w:r w:rsidR="00B97862">
        <w:rPr>
          <w:rFonts w:ascii="Arial" w:eastAsia="Times New Roman" w:hAnsi="Arial" w:cs="Arial"/>
          <w:color w:val="000000"/>
          <w:sz w:val="21"/>
          <w:szCs w:val="21"/>
        </w:rPr>
        <w:t>.</w:t>
      </w:r>
      <w:r w:rsidRPr="001B1E70">
        <w:rPr>
          <w:rFonts w:ascii="Arial" w:eastAsia="Times New Roman" w:hAnsi="Arial" w:cs="Arial"/>
          <w:color w:val="000000"/>
          <w:sz w:val="21"/>
          <w:szCs w:val="21"/>
        </w:rPr>
        <w:t xml:space="preserve"> C-01/2016), per existir una possible causa de nul·litat al no constar en l'expedient el seu tràmit essencial i definitori del mateix, la negociació (article 47.1 apartat de la Llei 39/2015, d'1 d'octubre). </w:t>
      </w:r>
    </w:p>
    <w:p w14:paraId="665DD812" w14:textId="77777777" w:rsidR="001B1E70" w:rsidRPr="001B1E70" w:rsidRDefault="001B1E70" w:rsidP="00DD0C5C">
      <w:pPr>
        <w:numPr>
          <w:ilvl w:val="0"/>
          <w:numId w:val="114"/>
        </w:numPr>
        <w:spacing w:after="120" w:line="276" w:lineRule="auto"/>
        <w:ind w:left="714" w:hanging="357"/>
        <w:jc w:val="both"/>
        <w:rPr>
          <w:rFonts w:ascii="Arial" w:eastAsia="Times New Roman" w:hAnsi="Arial" w:cs="Arial"/>
          <w:color w:val="000000"/>
          <w:sz w:val="21"/>
          <w:szCs w:val="21"/>
        </w:rPr>
      </w:pPr>
      <w:r w:rsidRPr="001B1E70">
        <w:rPr>
          <w:rFonts w:ascii="Arial" w:eastAsia="Times New Roman" w:hAnsi="Arial" w:cs="Arial"/>
          <w:color w:val="000000"/>
          <w:sz w:val="21"/>
          <w:szCs w:val="21"/>
        </w:rPr>
        <w:t>Procedir a realitzar un procés selectiu, per a la creació de les bosses d'ocupació de naturalesa funcionarial que siguen necessàries per a donar cobertura a les possibles baixes del personal funcionari. Tot això amb la finalitat d'evitar acudir a contractes administratius pels que es presten funcions reservades a funcionaris públics.</w:t>
      </w:r>
    </w:p>
    <w:p w14:paraId="39370CEC" w14:textId="77777777" w:rsidR="001B1E70" w:rsidRPr="001B1E70" w:rsidRDefault="001B1E70" w:rsidP="00DD0C5C">
      <w:pPr>
        <w:numPr>
          <w:ilvl w:val="0"/>
          <w:numId w:val="114"/>
        </w:numPr>
        <w:spacing w:after="240" w:line="276" w:lineRule="auto"/>
        <w:jc w:val="both"/>
        <w:rPr>
          <w:rFonts w:ascii="Arial" w:eastAsia="Times New Roman" w:hAnsi="Arial" w:cs="Arial"/>
          <w:color w:val="000000"/>
          <w:sz w:val="21"/>
          <w:szCs w:val="21"/>
        </w:rPr>
      </w:pPr>
      <w:r w:rsidRPr="001B1E70">
        <w:rPr>
          <w:rFonts w:ascii="Arial" w:eastAsia="Times New Roman" w:hAnsi="Arial" w:cs="Arial"/>
          <w:color w:val="000000"/>
          <w:sz w:val="21"/>
          <w:szCs w:val="21"/>
        </w:rPr>
        <w:t>Procedir a introduir, en les bases d'execució del pressupost municipal, el sistema de conformitat prèvia de les factures, indicant en tot cas que deuen d'anar conformades pel funcionari municipal corresponent, així com pel responsable polític de l'àrea municipal que suporta la despesa.</w:t>
      </w:r>
    </w:p>
    <w:p w14:paraId="0FF7802C" w14:textId="77777777" w:rsidR="001B1E70" w:rsidRPr="001B1E70" w:rsidRDefault="001B1E70" w:rsidP="001B1E70">
      <w:pPr>
        <w:spacing w:after="240" w:line="276" w:lineRule="auto"/>
        <w:jc w:val="both"/>
        <w:rPr>
          <w:rFonts w:ascii="Arial" w:eastAsia="Times New Roman" w:hAnsi="Arial" w:cs="Arial"/>
          <w:b/>
          <w:bCs/>
          <w:color w:val="000000"/>
          <w:sz w:val="21"/>
          <w:szCs w:val="21"/>
        </w:rPr>
      </w:pPr>
      <w:r w:rsidRPr="001B1E70">
        <w:rPr>
          <w:rFonts w:ascii="Arial" w:eastAsia="Times New Roman" w:hAnsi="Arial" w:cs="Arial"/>
          <w:b/>
          <w:bCs/>
          <w:color w:val="000000"/>
          <w:sz w:val="21"/>
          <w:szCs w:val="21"/>
        </w:rPr>
        <w:t>Fase de seguiment:</w:t>
      </w:r>
      <w:r w:rsidRPr="001B1E70">
        <w:rPr>
          <w:rFonts w:ascii="Arial" w:eastAsia="Times New Roman" w:hAnsi="Arial" w:cs="Arial"/>
          <w:i/>
          <w:iCs/>
          <w:color w:val="000000"/>
          <w:sz w:val="21"/>
          <w:szCs w:val="21"/>
        </w:rPr>
        <w:t xml:space="preserve"> </w:t>
      </w:r>
      <w:r w:rsidRPr="001B1E70">
        <w:rPr>
          <w:rFonts w:ascii="Arial" w:eastAsia="Times New Roman" w:hAnsi="Arial" w:cs="Arial"/>
          <w:color w:val="000000"/>
          <w:sz w:val="21"/>
          <w:szCs w:val="21"/>
        </w:rPr>
        <w:t>En tràmit.</w:t>
      </w:r>
    </w:p>
    <w:p w14:paraId="14381859" w14:textId="77777777" w:rsidR="009B5D1B" w:rsidRPr="009B5D1B" w:rsidRDefault="009B5D1B" w:rsidP="009B5D1B">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24" w:name="_Toc99110748"/>
      <w:r w:rsidRPr="009B5D1B">
        <w:rPr>
          <w:rFonts w:ascii="Arial" w:eastAsia="Times New Roman" w:hAnsi="Arial" w:cs="Arial"/>
          <w:b/>
          <w:color w:val="9D2235"/>
          <w:sz w:val="28"/>
          <w:szCs w:val="28"/>
        </w:rPr>
        <w:t>Denominació: Diputació de Castelló. Irregularitats en la contractació del personal d'empreses interposades prestadores de servicis, en favor de familiars de càrrecs electes</w:t>
      </w:r>
      <w:bookmarkEnd w:id="224"/>
    </w:p>
    <w:p w14:paraId="470AC1E2" w14:textId="77777777" w:rsidR="009B5D1B" w:rsidRPr="009B5D1B" w:rsidRDefault="009B5D1B" w:rsidP="000E04BC">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 xml:space="preserve">Expedient: </w:t>
      </w:r>
      <w:r w:rsidRPr="009B5D1B">
        <w:rPr>
          <w:rFonts w:ascii="Arial" w:eastAsia="Times New Roman" w:hAnsi="Arial" w:cs="Arial"/>
          <w:color w:val="000000"/>
          <w:sz w:val="21"/>
          <w:szCs w:val="21"/>
        </w:rPr>
        <w:t>2020/G01_01/000226 [106/2019]</w:t>
      </w:r>
    </w:p>
    <w:p w14:paraId="52C5DCF8" w14:textId="77777777" w:rsidR="009B5D1B" w:rsidRPr="009B5D1B" w:rsidRDefault="009B5D1B" w:rsidP="009B5D1B">
      <w:pPr>
        <w:spacing w:after="240" w:line="276" w:lineRule="auto"/>
        <w:rPr>
          <w:rFonts w:ascii="Arial" w:eastAsia="Times New Roman" w:hAnsi="Arial" w:cs="Arial"/>
          <w:sz w:val="18"/>
          <w:szCs w:val="18"/>
          <w:lang w:eastAsia="es-ES"/>
        </w:rPr>
      </w:pPr>
      <w:r w:rsidRPr="009B5D1B">
        <w:rPr>
          <w:rFonts w:ascii="Arial" w:eastAsia="Times New Roman" w:hAnsi="Arial" w:cs="Arial"/>
          <w:b/>
          <w:bCs/>
          <w:sz w:val="21"/>
          <w:szCs w:val="21"/>
        </w:rPr>
        <w:t>Enllaç a la publicació:</w:t>
      </w:r>
      <w:r w:rsidRPr="009B5D1B">
        <w:rPr>
          <w:rFonts w:ascii="Arial" w:eastAsia="Times New Roman" w:hAnsi="Arial" w:cs="Arial"/>
          <w:b/>
          <w:bCs/>
          <w:sz w:val="21"/>
          <w:szCs w:val="21"/>
        </w:rPr>
        <w:br/>
      </w:r>
      <w:hyperlink r:id="rId445" w:history="1">
        <w:r w:rsidRPr="009B5D1B">
          <w:rPr>
            <w:rFonts w:ascii="Arial" w:eastAsia="Times New Roman" w:hAnsi="Arial" w:cs="Arial"/>
            <w:color w:val="000080"/>
            <w:sz w:val="18"/>
            <w:szCs w:val="18"/>
            <w:u w:val="single"/>
            <w:lang w:eastAsia="es-ES"/>
          </w:rPr>
          <w:t>http://www.antifraucv.es/wp-content/uploads/2021/04/20210503_DIPUTACION_DE_CASTELLON.pdf</w:t>
        </w:r>
      </w:hyperlink>
    </w:p>
    <w:p w14:paraId="2113F54B"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 xml:space="preserve">Descripció: </w:t>
      </w:r>
      <w:r w:rsidRPr="009B5D1B">
        <w:rPr>
          <w:rFonts w:ascii="Arial" w:eastAsia="Times New Roman" w:hAnsi="Arial" w:cs="Arial"/>
          <w:color w:val="000000"/>
          <w:sz w:val="21"/>
          <w:szCs w:val="21"/>
        </w:rPr>
        <w:t xml:space="preserve">Els fets denunciats es van concretar en que, en el centre de desenvolupament rural de Vilanova de la Reina, es realitzaven tasques de neteja diària, sense necessitat, per quant el centre mancava pràcticament d'activitats. </w:t>
      </w:r>
    </w:p>
    <w:p w14:paraId="15B60CDA"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color w:val="000000"/>
          <w:sz w:val="21"/>
          <w:szCs w:val="21"/>
        </w:rPr>
        <w:t xml:space="preserve">Després de la instrucció de l'oportú procediment d'investigació, es va acreditar que el contracte de neteja era per a tots els immobles de la Diputació, que l'empresa adjudicatària es va subrogar en el contracte previ que mantenia la treballadora, a qui s'al·ludix en l'alerta, que el centre tenia un horari de neteja de 6 hores 5 dies a la setmana i que el centre estava infrautilitzat i no corresponien les hores de neteja amb les activitats que en el mateix es desenrotllaven. </w:t>
      </w:r>
    </w:p>
    <w:p w14:paraId="0417C012"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 xml:space="preserve">Resultat: </w:t>
      </w:r>
      <w:r w:rsidRPr="009B5D1B">
        <w:rPr>
          <w:rFonts w:ascii="Arial" w:eastAsia="Times New Roman" w:hAnsi="Arial" w:cs="Arial"/>
          <w:color w:val="000000"/>
          <w:sz w:val="21"/>
          <w:szCs w:val="21"/>
        </w:rPr>
        <w:t>Formulació de Recomanacions a la Diputació de Castelló que consistixen en el fet que procedisca a revisar els servicis de neteja, actualment arreplegats en “El contracte del Servici de neteja de les dependències de la Diputació Provincial de Castelló” a l'efecte de verificar la intensitat d'ús dels distints locals i dependències, per a comprovar que els servicis de neteja realitzats són adequats amb les necessitats d'utilització, que es tramiten les modificacions contractuals necessàries si és el cas, i que es tinguen en compte per a futures licitacions. A més, que es milloren els servicis de control efectius per al seguiment del contracte, valorant el nomenament de responsables específics del mateix en funció de la distribució geogràfica en la província dels distints centres o dependències.</w:t>
      </w:r>
    </w:p>
    <w:p w14:paraId="1E3020D9"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Fase de seguiment</w:t>
      </w:r>
      <w:r w:rsidRPr="009B5D1B">
        <w:rPr>
          <w:rFonts w:ascii="Arial" w:eastAsia="Times New Roman" w:hAnsi="Arial" w:cs="Arial"/>
          <w:color w:val="000000"/>
          <w:sz w:val="21"/>
          <w:szCs w:val="21"/>
        </w:rPr>
        <w:t>: Se ha completat aquesta fase. La Diputació de Castelló ha acceptat les recomanacions.</w:t>
      </w:r>
    </w:p>
    <w:p w14:paraId="4BE21060" w14:textId="77777777" w:rsidR="009B5D1B" w:rsidRPr="009B5D1B" w:rsidRDefault="009B5D1B" w:rsidP="009B5D1B">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25" w:name="_Toc95209074"/>
      <w:bookmarkStart w:id="226" w:name="_Toc95913866"/>
      <w:bookmarkStart w:id="227" w:name="_Toc99110749"/>
      <w:r w:rsidRPr="009B5D1B">
        <w:rPr>
          <w:rFonts w:ascii="Arial" w:eastAsia="Times New Roman" w:hAnsi="Arial" w:cs="Arial"/>
          <w:b/>
          <w:color w:val="9D2235"/>
          <w:sz w:val="28"/>
          <w:szCs w:val="28"/>
        </w:rPr>
        <w:t>Denominació: Institut Valencià de la Joventut (IVAJ). Comissions de servei.</w:t>
      </w:r>
      <w:bookmarkEnd w:id="225"/>
      <w:bookmarkEnd w:id="226"/>
      <w:bookmarkEnd w:id="227"/>
    </w:p>
    <w:p w14:paraId="3A9B0333" w14:textId="77777777" w:rsidR="009B5D1B" w:rsidRPr="009B5D1B" w:rsidRDefault="009B5D1B" w:rsidP="000E04BC">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Expedient</w:t>
      </w:r>
      <w:r w:rsidRPr="009B5D1B">
        <w:rPr>
          <w:rFonts w:ascii="Arial" w:eastAsia="Times New Roman" w:hAnsi="Arial" w:cs="Arial"/>
          <w:color w:val="000000"/>
          <w:sz w:val="21"/>
          <w:szCs w:val="21"/>
        </w:rPr>
        <w:t>: 2020/G01_01/000288</w:t>
      </w:r>
    </w:p>
    <w:p w14:paraId="6B297BCC" w14:textId="77777777" w:rsidR="009B5D1B" w:rsidRPr="009B5D1B" w:rsidRDefault="009B5D1B" w:rsidP="009B5D1B">
      <w:pPr>
        <w:spacing w:after="240" w:line="276" w:lineRule="auto"/>
        <w:rPr>
          <w:rFonts w:ascii="Arial" w:eastAsia="Times New Roman" w:hAnsi="Arial" w:cs="Arial"/>
          <w:sz w:val="18"/>
          <w:szCs w:val="18"/>
          <w:lang w:eastAsia="es-ES"/>
        </w:rPr>
      </w:pPr>
      <w:r w:rsidRPr="009B5D1B">
        <w:rPr>
          <w:rFonts w:ascii="Arial" w:eastAsia="Times New Roman" w:hAnsi="Arial" w:cs="Arial"/>
          <w:b/>
          <w:bCs/>
          <w:sz w:val="21"/>
          <w:szCs w:val="21"/>
        </w:rPr>
        <w:t>Enllaç a la publicació:</w:t>
      </w:r>
      <w:r w:rsidRPr="009B5D1B">
        <w:rPr>
          <w:rFonts w:ascii="Arial" w:eastAsia="Times New Roman" w:hAnsi="Arial" w:cs="Arial"/>
          <w:b/>
          <w:bCs/>
          <w:sz w:val="21"/>
          <w:szCs w:val="21"/>
        </w:rPr>
        <w:br/>
      </w:r>
      <w:hyperlink r:id="rId446" w:history="1">
        <w:r w:rsidRPr="009B5D1B">
          <w:rPr>
            <w:rFonts w:ascii="Arial" w:eastAsia="Times New Roman" w:hAnsi="Arial" w:cs="Arial"/>
            <w:color w:val="000080"/>
            <w:sz w:val="18"/>
            <w:szCs w:val="18"/>
            <w:u w:val="single"/>
            <w:lang w:eastAsia="es-ES"/>
          </w:rPr>
          <w:t>http://www.antifraucv.es/wp-content/uploads/2021/04/20210510_IVAJ_DGFP.pdf</w:t>
        </w:r>
      </w:hyperlink>
    </w:p>
    <w:p w14:paraId="2C8F1B72"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Descripció</w:t>
      </w:r>
      <w:r w:rsidRPr="009B5D1B">
        <w:rPr>
          <w:rFonts w:ascii="Arial" w:eastAsia="Times New Roman" w:hAnsi="Arial" w:cs="Arial"/>
          <w:color w:val="000000"/>
          <w:sz w:val="21"/>
          <w:szCs w:val="21"/>
        </w:rPr>
        <w:t>: Es denuncia, que hi ha llocs de treball en esta institució en què les comissions de servicis de les persones que els ocupen tenen una duració superior a dos anys, termini màxim que establix la normativa aplicable a este efecte. Els dos llocs de treball que es detallen en la denúncia són els següents:</w:t>
      </w:r>
    </w:p>
    <w:p w14:paraId="091CA96D" w14:textId="77777777" w:rsidR="009B5D1B" w:rsidRPr="009B5D1B" w:rsidRDefault="009B5D1B" w:rsidP="006F03EF">
      <w:pPr>
        <w:numPr>
          <w:ilvl w:val="0"/>
          <w:numId w:val="83"/>
        </w:numPr>
        <w:spacing w:after="120" w:line="276" w:lineRule="auto"/>
        <w:ind w:left="1276" w:hanging="357"/>
        <w:jc w:val="both"/>
        <w:rPr>
          <w:rFonts w:ascii="Arial" w:eastAsia="Times New Roman" w:hAnsi="Arial" w:cs="Arial"/>
          <w:color w:val="000000"/>
          <w:sz w:val="21"/>
          <w:szCs w:val="21"/>
        </w:rPr>
      </w:pPr>
      <w:r w:rsidRPr="009B5D1B">
        <w:rPr>
          <w:rFonts w:ascii="Arial" w:eastAsia="Times New Roman" w:hAnsi="Arial" w:cs="Arial"/>
          <w:color w:val="000000"/>
          <w:sz w:val="21"/>
          <w:szCs w:val="21"/>
        </w:rPr>
        <w:t>Lloc 13327. Director RJ LA FLORIDA (Alacant).</w:t>
      </w:r>
    </w:p>
    <w:p w14:paraId="2B9C793D" w14:textId="77777777" w:rsidR="009B5D1B" w:rsidRPr="009B5D1B" w:rsidRDefault="009B5D1B" w:rsidP="006F03EF">
      <w:pPr>
        <w:numPr>
          <w:ilvl w:val="0"/>
          <w:numId w:val="83"/>
        </w:numPr>
        <w:spacing w:after="240" w:line="276" w:lineRule="auto"/>
        <w:ind w:left="1276"/>
        <w:jc w:val="both"/>
        <w:rPr>
          <w:rFonts w:ascii="Arial" w:eastAsia="Times New Roman" w:hAnsi="Arial" w:cs="Arial"/>
          <w:color w:val="000000"/>
          <w:sz w:val="21"/>
          <w:szCs w:val="21"/>
        </w:rPr>
      </w:pPr>
      <w:r w:rsidRPr="009B5D1B">
        <w:rPr>
          <w:rFonts w:ascii="Arial" w:eastAsia="Times New Roman" w:hAnsi="Arial" w:cs="Arial"/>
          <w:color w:val="000000"/>
          <w:sz w:val="21"/>
          <w:szCs w:val="21"/>
        </w:rPr>
        <w:t>Lloc 21480. Director Alberg Juvenil LA MARINA de Moraira</w:t>
      </w:r>
    </w:p>
    <w:p w14:paraId="2CE3ED4E"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color w:val="000000"/>
          <w:sz w:val="21"/>
          <w:szCs w:val="21"/>
        </w:rPr>
        <w:t>Se ha verificat a la fase d’investigació que:</w:t>
      </w:r>
    </w:p>
    <w:p w14:paraId="3F13A280" w14:textId="77777777" w:rsidR="009B5D1B" w:rsidRPr="009B5D1B" w:rsidRDefault="009B5D1B" w:rsidP="00DD0C5C">
      <w:pPr>
        <w:numPr>
          <w:ilvl w:val="0"/>
          <w:numId w:val="115"/>
        </w:numPr>
        <w:spacing w:after="120" w:line="276" w:lineRule="auto"/>
        <w:ind w:left="714" w:hanging="357"/>
        <w:jc w:val="both"/>
        <w:rPr>
          <w:rFonts w:ascii="Arial" w:eastAsia="Times New Roman" w:hAnsi="Arial" w:cs="Arial"/>
          <w:color w:val="000000"/>
          <w:sz w:val="21"/>
          <w:szCs w:val="21"/>
        </w:rPr>
      </w:pPr>
      <w:r w:rsidRPr="009B5D1B">
        <w:rPr>
          <w:rFonts w:ascii="Arial" w:eastAsia="Times New Roman" w:hAnsi="Arial" w:cs="Arial"/>
          <w:color w:val="000000"/>
          <w:sz w:val="21"/>
          <w:szCs w:val="21"/>
        </w:rPr>
        <w:t xml:space="preserve">Una persona, roman en comissió de servicis en el lloc de treball número 13327 (director/a Residència Juvenil La Florida d'Alacant), des del dia 9 de març de 2017, havent superat en més de 2 anys el termini màxim de dos anys establit en l'article 104.2 de la Llei 10/2010, de 9 de juliol, d'ordenació i gestió de la Funció Pública Valenciana. </w:t>
      </w:r>
    </w:p>
    <w:p w14:paraId="6F4DE82E" w14:textId="77777777" w:rsidR="009B5D1B" w:rsidRPr="009B5D1B" w:rsidRDefault="009B5D1B" w:rsidP="00DD0C5C">
      <w:pPr>
        <w:numPr>
          <w:ilvl w:val="0"/>
          <w:numId w:val="115"/>
        </w:numPr>
        <w:spacing w:after="240" w:line="276" w:lineRule="auto"/>
        <w:jc w:val="both"/>
        <w:rPr>
          <w:rFonts w:ascii="Arial" w:eastAsia="Times New Roman" w:hAnsi="Arial" w:cs="Arial"/>
          <w:color w:val="000000"/>
          <w:sz w:val="21"/>
          <w:szCs w:val="21"/>
        </w:rPr>
      </w:pPr>
      <w:r w:rsidRPr="009B5D1B">
        <w:rPr>
          <w:rFonts w:ascii="Arial" w:eastAsia="Times New Roman" w:hAnsi="Arial" w:cs="Arial"/>
          <w:color w:val="000000"/>
          <w:sz w:val="21"/>
          <w:szCs w:val="21"/>
        </w:rPr>
        <w:t>Una altra persona, roman en comissió de servicis en el lloc de treball número 21480 (director/a Alberg Juvenil “La Marina” de Moraira), des del dia 1 d'abril de 2015, havent superat en més de 4 anys el termini màxim de dos anys previst en l'article 104.2 de la Llei 10/2010, de 9 de juliol, d'ordenació i gestió de la Funció Pública Valenciana.</w:t>
      </w:r>
    </w:p>
    <w:p w14:paraId="1AD12B31"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Resultat</w:t>
      </w:r>
      <w:r w:rsidRPr="009B5D1B">
        <w:rPr>
          <w:rFonts w:ascii="Arial" w:eastAsia="Times New Roman" w:hAnsi="Arial" w:cs="Arial"/>
          <w:color w:val="000000"/>
          <w:sz w:val="21"/>
          <w:szCs w:val="21"/>
        </w:rPr>
        <w:t>: Es finalitza l’expedient amb les següents recomanacions:</w:t>
      </w:r>
    </w:p>
    <w:p w14:paraId="6572C1A7" w14:textId="77777777" w:rsidR="009B5D1B" w:rsidRPr="009B5D1B" w:rsidRDefault="009B5D1B" w:rsidP="00DD0C5C">
      <w:pPr>
        <w:numPr>
          <w:ilvl w:val="0"/>
          <w:numId w:val="116"/>
        </w:numPr>
        <w:spacing w:after="120" w:line="276" w:lineRule="auto"/>
        <w:ind w:left="714" w:hanging="357"/>
        <w:jc w:val="both"/>
        <w:rPr>
          <w:rFonts w:ascii="Arial" w:eastAsia="Times New Roman" w:hAnsi="Arial" w:cs="Arial"/>
          <w:color w:val="000000"/>
          <w:sz w:val="21"/>
          <w:szCs w:val="21"/>
        </w:rPr>
      </w:pPr>
      <w:r w:rsidRPr="009B5D1B">
        <w:rPr>
          <w:rFonts w:ascii="Arial" w:eastAsia="Times New Roman" w:hAnsi="Arial" w:cs="Arial"/>
          <w:color w:val="000000"/>
          <w:sz w:val="21"/>
          <w:szCs w:val="21"/>
        </w:rPr>
        <w:t xml:space="preserve">Que procedisca a resoldre's la comissió de servicis en el lloc de treball número 13327 (director/a Residència Juvenil La Florida d'Alacant), al haver-se superat el termini màxim de dos anys establit en l'article 104.2 de la Llei 10/2010, de 9 de juliol, d'ordenació i gestió de la Funció Pública Valenciana. </w:t>
      </w:r>
    </w:p>
    <w:p w14:paraId="7E7C0F1D" w14:textId="77777777" w:rsidR="009B5D1B" w:rsidRPr="009B5D1B" w:rsidRDefault="009B5D1B" w:rsidP="00DD0C5C">
      <w:pPr>
        <w:numPr>
          <w:ilvl w:val="0"/>
          <w:numId w:val="116"/>
        </w:numPr>
        <w:spacing w:after="240" w:line="276" w:lineRule="auto"/>
        <w:jc w:val="both"/>
        <w:rPr>
          <w:rFonts w:ascii="Arial" w:eastAsia="Times New Roman" w:hAnsi="Arial" w:cs="Arial"/>
          <w:color w:val="000000"/>
          <w:sz w:val="21"/>
          <w:szCs w:val="21"/>
        </w:rPr>
      </w:pPr>
      <w:r w:rsidRPr="009B5D1B">
        <w:rPr>
          <w:rFonts w:ascii="Arial" w:eastAsia="Times New Roman" w:hAnsi="Arial" w:cs="Arial"/>
          <w:color w:val="000000"/>
          <w:sz w:val="21"/>
          <w:szCs w:val="21"/>
        </w:rPr>
        <w:t>Que procedisca a resoldre's la comissió de servicis en el lloc de treball número 21480 (director/a Alberg Juvenil “La Marina” de Moraira), al haver-se superat el termini màxim de dos anys establit en l'article 104.2 de la Llei 10/2010, de 9 de juliol, d'ordenació i gestió de la Funció Pública Valenciana.</w:t>
      </w:r>
    </w:p>
    <w:p w14:paraId="785CB781"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Fase de seguiment:</w:t>
      </w:r>
      <w:r w:rsidRPr="009B5D1B">
        <w:rPr>
          <w:rFonts w:ascii="Arial" w:eastAsia="Times New Roman" w:hAnsi="Arial" w:cs="Arial"/>
          <w:i/>
          <w:iCs/>
          <w:color w:val="000000"/>
          <w:sz w:val="21"/>
          <w:szCs w:val="21"/>
        </w:rPr>
        <w:t xml:space="preserve"> </w:t>
      </w:r>
      <w:r w:rsidRPr="009B5D1B">
        <w:rPr>
          <w:rFonts w:ascii="Arial" w:eastAsia="Times New Roman" w:hAnsi="Arial" w:cs="Arial"/>
          <w:color w:val="000000"/>
          <w:sz w:val="21"/>
          <w:szCs w:val="21"/>
        </w:rPr>
        <w:t>Per part de l'IVAJ i de la Direcció General de Funció Pública s'ha procedit a complir les recomanacions efectuades resolent les comissions de servici.</w:t>
      </w:r>
    </w:p>
    <w:p w14:paraId="2DBD273C" w14:textId="77777777" w:rsidR="009B5D1B" w:rsidRPr="009B5D1B" w:rsidRDefault="009B5D1B" w:rsidP="009B5D1B">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28" w:name="_Toc95209075"/>
      <w:bookmarkStart w:id="229" w:name="_Toc95913867"/>
      <w:bookmarkStart w:id="230" w:name="_Toc99110750"/>
      <w:bookmarkStart w:id="231" w:name="_Hlk78640239"/>
      <w:r w:rsidRPr="009B5D1B">
        <w:rPr>
          <w:rFonts w:ascii="Arial" w:eastAsia="Times New Roman" w:hAnsi="Arial" w:cs="Arial"/>
          <w:b/>
          <w:color w:val="9D2235"/>
          <w:sz w:val="28"/>
          <w:szCs w:val="28"/>
        </w:rPr>
        <w:t>Denominació: Ajuntament de València. Contractació campanyes publicitàries</w:t>
      </w:r>
      <w:bookmarkEnd w:id="228"/>
      <w:bookmarkEnd w:id="229"/>
      <w:bookmarkEnd w:id="230"/>
    </w:p>
    <w:p w14:paraId="4C96E7BC" w14:textId="77777777" w:rsidR="009B5D1B" w:rsidRPr="009B5D1B" w:rsidRDefault="009B5D1B" w:rsidP="000E04BC">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 xml:space="preserve">Expedient: </w:t>
      </w:r>
      <w:r w:rsidRPr="009B5D1B">
        <w:rPr>
          <w:rFonts w:ascii="Arial" w:eastAsia="Times New Roman" w:hAnsi="Arial" w:cs="Arial"/>
          <w:color w:val="000000"/>
          <w:sz w:val="21"/>
          <w:szCs w:val="21"/>
        </w:rPr>
        <w:t>2020/G01_01/000217 [60/2019]</w:t>
      </w:r>
    </w:p>
    <w:p w14:paraId="0E88B3AE" w14:textId="77777777" w:rsidR="009B5D1B" w:rsidRPr="009B5D1B" w:rsidRDefault="009B5D1B" w:rsidP="009B5D1B">
      <w:pPr>
        <w:spacing w:after="240" w:line="276" w:lineRule="auto"/>
        <w:rPr>
          <w:rFonts w:ascii="Arial" w:eastAsia="Times New Roman" w:hAnsi="Arial" w:cs="Arial"/>
          <w:sz w:val="18"/>
          <w:szCs w:val="18"/>
          <w:lang w:eastAsia="es-ES"/>
        </w:rPr>
      </w:pPr>
      <w:r w:rsidRPr="009B5D1B">
        <w:rPr>
          <w:rFonts w:ascii="Arial" w:eastAsia="Times New Roman" w:hAnsi="Arial" w:cs="Arial"/>
          <w:b/>
          <w:bCs/>
          <w:sz w:val="21"/>
          <w:szCs w:val="21"/>
        </w:rPr>
        <w:t>Enllaç a la publicació:</w:t>
      </w:r>
      <w:r w:rsidRPr="009B5D1B">
        <w:rPr>
          <w:rFonts w:ascii="Arial" w:eastAsia="Times New Roman" w:hAnsi="Arial" w:cs="Arial"/>
          <w:b/>
          <w:bCs/>
          <w:sz w:val="21"/>
          <w:szCs w:val="21"/>
        </w:rPr>
        <w:br/>
      </w:r>
      <w:hyperlink r:id="rId447" w:history="1">
        <w:r w:rsidRPr="009B5D1B">
          <w:rPr>
            <w:rFonts w:ascii="Arial" w:eastAsia="Times New Roman" w:hAnsi="Arial" w:cs="Arial"/>
            <w:color w:val="000080"/>
            <w:sz w:val="18"/>
            <w:szCs w:val="18"/>
            <w:u w:val="single"/>
            <w:lang w:eastAsia="es-ES"/>
          </w:rPr>
          <w:t>http://www.antifraucv.es/wp-content/uploads/2021/04/20210512_AJUNTAMENT_DE_VALENCIA.pdf</w:t>
        </w:r>
      </w:hyperlink>
    </w:p>
    <w:p w14:paraId="7736771A"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 xml:space="preserve">Descripció: </w:t>
      </w:r>
      <w:r w:rsidRPr="009B5D1B">
        <w:rPr>
          <w:rFonts w:ascii="Arial" w:eastAsia="Times New Roman" w:hAnsi="Arial" w:cs="Arial"/>
          <w:color w:val="000000"/>
          <w:sz w:val="21"/>
          <w:szCs w:val="21"/>
        </w:rPr>
        <w:t xml:space="preserve">Els fets denunciats es van concretar en les irregularitats produïdes en el procediment de contractació de la campanya de promoció dels mercats no sedentaris. </w:t>
      </w:r>
    </w:p>
    <w:p w14:paraId="7F8427FD"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color w:val="000000"/>
          <w:sz w:val="21"/>
          <w:szCs w:val="21"/>
        </w:rPr>
        <w:t>Després de la instrucció de l'oportú procediment d'investigació, es va acreditar que no es justifica que la campanya de promoció dels mercats no sedentaris tinga fita en la Llei 29/2005, de 29 de desembre, de Publicitat i Comunicació Institucional i en la Llei 12/2018, de 24 de maig, de publicitat institucional per a l'interés ciutadà i la concepció col·lectiva de les infraestructures públiques. No queda, a més, degudament justificada la necessitat del contracte. No s'ha acreditat el compliment de l'article 101 de la Llei de contractes i a més es van produir irregularitats en la facturació.</w:t>
      </w:r>
    </w:p>
    <w:p w14:paraId="0BFF0562"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 xml:space="preserve">Resultat: </w:t>
      </w:r>
      <w:r w:rsidRPr="009B5D1B">
        <w:rPr>
          <w:rFonts w:ascii="Arial" w:eastAsia="Times New Roman" w:hAnsi="Arial" w:cs="Arial"/>
          <w:color w:val="000000"/>
          <w:sz w:val="21"/>
          <w:szCs w:val="21"/>
        </w:rPr>
        <w:t>Formulació de Recomanacions a l'Ajuntament de València, que consistixen en el fet que formule Pla d'Implementació amb l'objecte que s'incorporen les Conclusions del Dictamen 657/2019, corresponent a l'Expedient 515/2019 del CJCCV en les instruccions de contractació dels contractes menors de publicitat institucional perquè siguen de coneixement de totes les àrees municipals, en especial quant a la convocatòria pública i publica concurrència dels dits contractes. Que se seguisquen les instruccions sobre la contractació menor elaborades per la pròpia corporació i que s'identifique amb base a la Llei 34/1988, General de Publicitat, el tipus de contracte de publicitat institucional corresponent. Així mateix, s'hauran de dictar les instruccions internes per a acreditar el compliment exacte de la normativa de facturació.</w:t>
      </w:r>
    </w:p>
    <w:p w14:paraId="517E2671" w14:textId="77777777" w:rsidR="009B5D1B" w:rsidRPr="009B5D1B" w:rsidRDefault="009B5D1B" w:rsidP="009B5D1B">
      <w:pPr>
        <w:spacing w:after="240" w:line="276" w:lineRule="auto"/>
        <w:jc w:val="both"/>
        <w:rPr>
          <w:rFonts w:ascii="Arial" w:eastAsia="Times New Roman" w:hAnsi="Arial" w:cs="Arial"/>
          <w:color w:val="000000"/>
          <w:sz w:val="21"/>
          <w:szCs w:val="21"/>
        </w:rPr>
      </w:pPr>
      <w:r w:rsidRPr="009B5D1B">
        <w:rPr>
          <w:rFonts w:ascii="Arial" w:eastAsia="Times New Roman" w:hAnsi="Arial" w:cs="Arial"/>
          <w:b/>
          <w:bCs/>
          <w:color w:val="000000"/>
          <w:sz w:val="21"/>
          <w:szCs w:val="21"/>
        </w:rPr>
        <w:t xml:space="preserve">Fase de seguiment: </w:t>
      </w:r>
      <w:r w:rsidRPr="009B5D1B">
        <w:rPr>
          <w:rFonts w:ascii="Arial" w:eastAsia="Times New Roman" w:hAnsi="Arial" w:cs="Arial"/>
          <w:color w:val="000000"/>
          <w:sz w:val="21"/>
          <w:szCs w:val="21"/>
        </w:rPr>
        <w:t>Compliment de les recomanacions. No obstant això, l'Ajuntament de València haurà d'establir els mecanismes interns necessaris de verificació del compliment de les instruccions pròpies que dicta i actuar en cas d'incompliment.</w:t>
      </w:r>
    </w:p>
    <w:p w14:paraId="4FB92591" w14:textId="77777777" w:rsidR="00D62DE1" w:rsidRPr="00D62DE1" w:rsidRDefault="00D62DE1" w:rsidP="00D62DE1">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32" w:name="_Toc95209076"/>
      <w:bookmarkStart w:id="233" w:name="_Toc95913868"/>
      <w:bookmarkStart w:id="234" w:name="_Toc99110751"/>
      <w:bookmarkEnd w:id="231"/>
      <w:r w:rsidRPr="00D62DE1">
        <w:rPr>
          <w:rFonts w:ascii="Arial" w:eastAsia="Times New Roman" w:hAnsi="Arial" w:cs="Arial"/>
          <w:b/>
          <w:color w:val="9D2235"/>
          <w:sz w:val="28"/>
          <w:szCs w:val="28"/>
        </w:rPr>
        <w:t>Denominació: Ajuntament de Benissa. Irregularitats en matèria de personal</w:t>
      </w:r>
      <w:bookmarkEnd w:id="232"/>
      <w:bookmarkEnd w:id="233"/>
      <w:bookmarkEnd w:id="234"/>
    </w:p>
    <w:p w14:paraId="0CE30405" w14:textId="77777777" w:rsidR="00D62DE1" w:rsidRPr="00D62DE1" w:rsidRDefault="00D62DE1" w:rsidP="000E04BC">
      <w:pPr>
        <w:spacing w:after="240" w:line="276" w:lineRule="auto"/>
        <w:jc w:val="both"/>
        <w:rPr>
          <w:rFonts w:ascii="Arial" w:eastAsia="Times New Roman" w:hAnsi="Arial" w:cs="Arial"/>
          <w:color w:val="000000"/>
          <w:sz w:val="21"/>
          <w:szCs w:val="21"/>
        </w:rPr>
      </w:pPr>
      <w:r w:rsidRPr="00D62DE1">
        <w:rPr>
          <w:rFonts w:ascii="Arial" w:eastAsia="Times New Roman" w:hAnsi="Arial" w:cs="Arial"/>
          <w:b/>
          <w:bCs/>
          <w:color w:val="000000"/>
          <w:sz w:val="21"/>
          <w:szCs w:val="21"/>
        </w:rPr>
        <w:t>Expedient:</w:t>
      </w:r>
      <w:r w:rsidRPr="00D62DE1">
        <w:rPr>
          <w:rFonts w:ascii="Arial" w:eastAsia="Times New Roman" w:hAnsi="Arial" w:cs="Arial"/>
          <w:color w:val="000000"/>
          <w:sz w:val="21"/>
          <w:szCs w:val="21"/>
        </w:rPr>
        <w:t xml:space="preserve"> 2020/G01_01/000009 [92/2018]</w:t>
      </w:r>
    </w:p>
    <w:p w14:paraId="02CDAE0F" w14:textId="77777777" w:rsidR="00D62DE1" w:rsidRPr="00D62DE1" w:rsidRDefault="00D62DE1" w:rsidP="00D62DE1">
      <w:pPr>
        <w:spacing w:after="240" w:line="276" w:lineRule="auto"/>
        <w:rPr>
          <w:rFonts w:ascii="Arial" w:eastAsia="Times New Roman" w:hAnsi="Arial" w:cs="Arial"/>
          <w:sz w:val="18"/>
          <w:szCs w:val="18"/>
          <w:lang w:eastAsia="es-ES"/>
        </w:rPr>
      </w:pPr>
      <w:r w:rsidRPr="00D62DE1">
        <w:rPr>
          <w:rFonts w:ascii="Arial" w:eastAsia="Times New Roman" w:hAnsi="Arial" w:cs="Arial"/>
          <w:b/>
          <w:bCs/>
          <w:sz w:val="21"/>
          <w:szCs w:val="21"/>
        </w:rPr>
        <w:t>Enllaç a la publicació:</w:t>
      </w:r>
      <w:r w:rsidRPr="00D62DE1">
        <w:rPr>
          <w:rFonts w:ascii="Arial" w:eastAsia="Times New Roman" w:hAnsi="Arial" w:cs="Arial"/>
          <w:b/>
          <w:bCs/>
          <w:sz w:val="21"/>
          <w:szCs w:val="21"/>
        </w:rPr>
        <w:br/>
      </w:r>
      <w:hyperlink r:id="rId448" w:history="1">
        <w:r w:rsidRPr="00D62DE1">
          <w:rPr>
            <w:rFonts w:ascii="Arial" w:eastAsia="Times New Roman" w:hAnsi="Arial" w:cs="Arial"/>
            <w:color w:val="000080"/>
            <w:sz w:val="18"/>
            <w:szCs w:val="18"/>
            <w:u w:val="single"/>
            <w:lang w:eastAsia="es-ES"/>
          </w:rPr>
          <w:t>http://www.antifraucv.es/wp-content/uploads/2021/04/20210518_AJUNTAMENT_DE_BENISSA.pdf</w:t>
        </w:r>
      </w:hyperlink>
    </w:p>
    <w:p w14:paraId="23220FB4" w14:textId="77777777" w:rsidR="00D62DE1" w:rsidRPr="00D62DE1" w:rsidRDefault="00D62DE1" w:rsidP="00D62DE1">
      <w:pPr>
        <w:spacing w:after="240" w:line="276" w:lineRule="auto"/>
        <w:jc w:val="both"/>
        <w:rPr>
          <w:rFonts w:ascii="Arial" w:eastAsia="Times New Roman" w:hAnsi="Arial" w:cs="Arial"/>
          <w:color w:val="000000"/>
          <w:sz w:val="21"/>
          <w:szCs w:val="21"/>
        </w:rPr>
      </w:pPr>
      <w:r w:rsidRPr="00D62DE1">
        <w:rPr>
          <w:rFonts w:ascii="Arial" w:eastAsia="Times New Roman" w:hAnsi="Arial" w:cs="Arial"/>
          <w:b/>
          <w:bCs/>
          <w:color w:val="000000"/>
          <w:sz w:val="21"/>
          <w:szCs w:val="21"/>
        </w:rPr>
        <w:t>Descripció:</w:t>
      </w:r>
      <w:r w:rsidRPr="00D62DE1">
        <w:rPr>
          <w:rFonts w:ascii="Arial" w:eastAsia="Times New Roman" w:hAnsi="Arial" w:cs="Arial"/>
          <w:color w:val="000000"/>
          <w:sz w:val="21"/>
          <w:szCs w:val="21"/>
        </w:rPr>
        <w:t xml:space="preserve"> S'alerta sobre la presumpta existència d'irregularitats administratives comeses en el si de la gestió de l'Ajuntament de Benissa. </w:t>
      </w:r>
    </w:p>
    <w:p w14:paraId="6CC13332" w14:textId="77777777" w:rsidR="00D62DE1" w:rsidRPr="00D62DE1" w:rsidRDefault="00D62DE1" w:rsidP="00D62DE1">
      <w:pPr>
        <w:spacing w:after="240" w:line="276" w:lineRule="auto"/>
        <w:jc w:val="both"/>
        <w:rPr>
          <w:rFonts w:ascii="Arial" w:eastAsia="Times New Roman" w:hAnsi="Arial" w:cs="Arial"/>
          <w:color w:val="000000"/>
          <w:sz w:val="21"/>
          <w:szCs w:val="21"/>
        </w:rPr>
      </w:pPr>
      <w:r w:rsidRPr="00D62DE1">
        <w:rPr>
          <w:rFonts w:ascii="Arial" w:eastAsia="Times New Roman" w:hAnsi="Arial" w:cs="Arial"/>
          <w:color w:val="000000"/>
          <w:sz w:val="21"/>
          <w:szCs w:val="21"/>
        </w:rPr>
        <w:t>Després de la instrucció de l'oportú procediment d'investigació, s'han constatat les següents irregularitats:</w:t>
      </w:r>
    </w:p>
    <w:p w14:paraId="4AD5F7F4" w14:textId="77777777" w:rsidR="00D62DE1" w:rsidRPr="00D62DE1" w:rsidRDefault="00D62DE1" w:rsidP="00DD0C5C">
      <w:pPr>
        <w:numPr>
          <w:ilvl w:val="0"/>
          <w:numId w:val="117"/>
        </w:numPr>
        <w:spacing w:after="120" w:line="276" w:lineRule="auto"/>
        <w:jc w:val="both"/>
        <w:rPr>
          <w:rFonts w:ascii="Arial" w:eastAsia="Times New Roman" w:hAnsi="Arial" w:cs="Arial"/>
          <w:color w:val="000000"/>
          <w:sz w:val="21"/>
          <w:szCs w:val="21"/>
        </w:rPr>
      </w:pPr>
      <w:r w:rsidRPr="00D62DE1">
        <w:rPr>
          <w:rFonts w:ascii="Arial" w:eastAsia="Times New Roman" w:hAnsi="Arial" w:cs="Arial"/>
          <w:color w:val="000000"/>
          <w:sz w:val="21"/>
          <w:szCs w:val="21"/>
        </w:rPr>
        <w:t xml:space="preserve">Respecte de la utilització d'un uniforme oficial de policia local, es va constatar que un inspector de Policia Local el va prestar de manera irregular a un particular, tornant-se el citat uniforme a l'Ajuntament amb motiu de la jubilació de l'inspector. No es va tramitar expedient disciplinari pels esmentats actes contraris a la normativa, per considerar el llavors alcalde que els fets no revestien el caràcter d'infracció disciplinària. </w:t>
      </w:r>
    </w:p>
    <w:p w14:paraId="0D962FF9" w14:textId="77777777" w:rsidR="00D62DE1" w:rsidRPr="00D62DE1" w:rsidRDefault="00D62DE1" w:rsidP="00D62DE1">
      <w:pPr>
        <w:spacing w:after="120" w:line="276" w:lineRule="auto"/>
        <w:ind w:left="709"/>
        <w:jc w:val="both"/>
        <w:rPr>
          <w:rFonts w:ascii="Arial" w:eastAsia="Times New Roman" w:hAnsi="Arial" w:cs="Arial"/>
          <w:color w:val="000000"/>
          <w:sz w:val="21"/>
          <w:szCs w:val="21"/>
        </w:rPr>
      </w:pPr>
      <w:r w:rsidRPr="00D62DE1">
        <w:rPr>
          <w:rFonts w:ascii="Arial" w:eastAsia="Times New Roman" w:hAnsi="Arial" w:cs="Arial"/>
          <w:color w:val="000000"/>
          <w:sz w:val="21"/>
          <w:szCs w:val="21"/>
        </w:rPr>
        <w:t>El mencionat inspector, ja jubilat, va infringir l'art. 33 apartat u) del Decret 19/2003, de 4 de març, del Consell de la Generalitat, pel qual es regula la Norma- Marco sobre Estructura, Organització i Funcionament dels Cossos de la Policia Local de la Comunitat Valenciana, en el que s'indica que constituïx una infracció greu. L'Ajuntament de Benissa hauria d'haver tramitat el corresponent expedient, a fi de depurar les responsabilitats succeïdes.</w:t>
      </w:r>
    </w:p>
    <w:p w14:paraId="55BB1F40" w14:textId="77777777" w:rsidR="00D62DE1" w:rsidRPr="00D62DE1" w:rsidRDefault="00D62DE1" w:rsidP="00DD0C5C">
      <w:pPr>
        <w:numPr>
          <w:ilvl w:val="0"/>
          <w:numId w:val="117"/>
        </w:numPr>
        <w:spacing w:after="240" w:line="276" w:lineRule="auto"/>
        <w:jc w:val="both"/>
        <w:rPr>
          <w:rFonts w:ascii="Arial" w:eastAsia="Times New Roman" w:hAnsi="Arial" w:cs="Arial"/>
          <w:color w:val="000000"/>
          <w:sz w:val="21"/>
          <w:szCs w:val="21"/>
        </w:rPr>
      </w:pPr>
      <w:r w:rsidRPr="00D62DE1">
        <w:rPr>
          <w:rFonts w:ascii="Arial" w:eastAsia="Times New Roman" w:hAnsi="Arial" w:cs="Arial"/>
          <w:color w:val="000000"/>
          <w:sz w:val="21"/>
          <w:szCs w:val="21"/>
        </w:rPr>
        <w:t xml:space="preserve">Respecte al canvi de jornada laboral d'un policia local, l'Ajuntament de Benissa no va seguir el procediment al no informar del policia afectat el canvi del torn de treball amb un mes d'antelació a la seua aplicació, d'acord amb el que disposa el Decret 19/2003. Si bé, com es posa de manifest en les al·legacions presentades, el canvi d'horari no es va arribar a materialitzar. </w:t>
      </w:r>
    </w:p>
    <w:p w14:paraId="06AAB225" w14:textId="77777777" w:rsidR="00D62DE1" w:rsidRPr="00D62DE1" w:rsidRDefault="00D62DE1" w:rsidP="00D62DE1">
      <w:pPr>
        <w:spacing w:after="240" w:line="276" w:lineRule="auto"/>
        <w:jc w:val="both"/>
        <w:rPr>
          <w:rFonts w:ascii="Arial" w:eastAsia="Times New Roman" w:hAnsi="Arial" w:cs="Arial"/>
          <w:color w:val="000000"/>
          <w:sz w:val="21"/>
          <w:szCs w:val="21"/>
        </w:rPr>
      </w:pPr>
      <w:r w:rsidRPr="00D62DE1">
        <w:rPr>
          <w:rFonts w:ascii="Arial" w:eastAsia="Times New Roman" w:hAnsi="Arial" w:cs="Arial"/>
          <w:b/>
          <w:bCs/>
          <w:color w:val="000000"/>
          <w:sz w:val="21"/>
          <w:szCs w:val="21"/>
        </w:rPr>
        <w:t xml:space="preserve">Resultat: </w:t>
      </w:r>
      <w:r w:rsidRPr="00D62DE1">
        <w:rPr>
          <w:rFonts w:ascii="Arial" w:eastAsia="Times New Roman" w:hAnsi="Arial" w:cs="Arial"/>
          <w:color w:val="000000"/>
          <w:sz w:val="21"/>
          <w:szCs w:val="21"/>
        </w:rPr>
        <w:t xml:space="preserve">Finalització de la investigació amb Recomanacions. </w:t>
      </w:r>
    </w:p>
    <w:p w14:paraId="5D80EB63" w14:textId="0EF0077E" w:rsidR="00D62DE1" w:rsidRDefault="00D62DE1" w:rsidP="00D62DE1">
      <w:pPr>
        <w:spacing w:after="240" w:line="276" w:lineRule="auto"/>
        <w:jc w:val="both"/>
        <w:rPr>
          <w:rFonts w:ascii="Arial" w:eastAsia="Times New Roman" w:hAnsi="Arial" w:cs="Arial"/>
          <w:color w:val="000000"/>
          <w:sz w:val="21"/>
          <w:szCs w:val="21"/>
        </w:rPr>
      </w:pPr>
      <w:r w:rsidRPr="00D62DE1">
        <w:rPr>
          <w:rFonts w:ascii="Arial" w:eastAsia="Times New Roman" w:hAnsi="Arial" w:cs="Arial"/>
          <w:b/>
          <w:bCs/>
          <w:color w:val="000000"/>
          <w:sz w:val="21"/>
          <w:szCs w:val="21"/>
        </w:rPr>
        <w:t xml:space="preserve">Fase de seguiment: </w:t>
      </w:r>
      <w:r w:rsidRPr="00D62DE1">
        <w:rPr>
          <w:rFonts w:ascii="Arial" w:eastAsia="Times New Roman" w:hAnsi="Arial" w:cs="Arial"/>
          <w:color w:val="000000"/>
          <w:sz w:val="21"/>
          <w:szCs w:val="21"/>
        </w:rPr>
        <w:t>S’ha</w:t>
      </w:r>
      <w:r w:rsidRPr="00D62DE1">
        <w:rPr>
          <w:rFonts w:ascii="Arial" w:eastAsia="Times New Roman" w:hAnsi="Arial" w:cs="Arial"/>
          <w:b/>
          <w:bCs/>
          <w:color w:val="000000"/>
          <w:sz w:val="21"/>
          <w:szCs w:val="21"/>
        </w:rPr>
        <w:t xml:space="preserve"> </w:t>
      </w:r>
      <w:r w:rsidRPr="00D62DE1">
        <w:rPr>
          <w:rFonts w:ascii="Arial" w:eastAsia="Times New Roman" w:hAnsi="Arial" w:cs="Arial"/>
          <w:color w:val="000000"/>
          <w:sz w:val="21"/>
          <w:szCs w:val="21"/>
        </w:rPr>
        <w:t>completat aquesta fase, l’Ajuntament de Benissa ha acceptat les Recomanacions proposades.</w:t>
      </w:r>
    </w:p>
    <w:p w14:paraId="51C25205" w14:textId="5ACAD453" w:rsidR="0026756F" w:rsidRPr="0026756F" w:rsidRDefault="0026756F" w:rsidP="0026756F">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35" w:name="_Toc95209077"/>
      <w:bookmarkStart w:id="236" w:name="_Toc95913869"/>
      <w:bookmarkStart w:id="237" w:name="_Toc99110752"/>
      <w:r w:rsidRPr="0026756F">
        <w:rPr>
          <w:rFonts w:ascii="Arial" w:eastAsia="Times New Roman" w:hAnsi="Arial" w:cs="Arial"/>
          <w:b/>
          <w:color w:val="9D2235"/>
          <w:sz w:val="28"/>
          <w:szCs w:val="28"/>
        </w:rPr>
        <w:t>Denominació: Ciutat de les Arts i de les Ciències (CACSA). Irregularitats en matèria contractual</w:t>
      </w:r>
      <w:bookmarkEnd w:id="235"/>
      <w:bookmarkEnd w:id="236"/>
      <w:bookmarkEnd w:id="237"/>
    </w:p>
    <w:p w14:paraId="26D17C3C" w14:textId="77777777" w:rsidR="0026756F" w:rsidRPr="0026756F" w:rsidRDefault="0026756F" w:rsidP="000E04BC">
      <w:pPr>
        <w:spacing w:after="240" w:line="276" w:lineRule="auto"/>
        <w:jc w:val="both"/>
        <w:rPr>
          <w:rFonts w:ascii="Arial" w:eastAsia="Times New Roman" w:hAnsi="Arial" w:cs="Arial"/>
          <w:color w:val="000000"/>
          <w:sz w:val="21"/>
          <w:szCs w:val="21"/>
        </w:rPr>
      </w:pPr>
      <w:r w:rsidRPr="0026756F">
        <w:rPr>
          <w:rFonts w:ascii="Arial" w:eastAsia="Times New Roman" w:hAnsi="Arial" w:cs="Arial"/>
          <w:b/>
          <w:bCs/>
          <w:color w:val="000000"/>
          <w:sz w:val="21"/>
          <w:szCs w:val="21"/>
        </w:rPr>
        <w:t>Expedient</w:t>
      </w:r>
      <w:r w:rsidRPr="0026756F">
        <w:rPr>
          <w:rFonts w:ascii="Arial" w:eastAsia="Times New Roman" w:hAnsi="Arial" w:cs="Arial"/>
          <w:color w:val="000000"/>
          <w:sz w:val="21"/>
          <w:szCs w:val="21"/>
        </w:rPr>
        <w:t>: 2020/G01_01/0000165 [92/2019]</w:t>
      </w:r>
    </w:p>
    <w:p w14:paraId="0E8E2008" w14:textId="77777777" w:rsidR="0026756F" w:rsidRPr="0026756F" w:rsidRDefault="0026756F" w:rsidP="0026756F">
      <w:pPr>
        <w:spacing w:after="240" w:line="276" w:lineRule="auto"/>
        <w:rPr>
          <w:rFonts w:ascii="Arial" w:eastAsia="Times New Roman" w:hAnsi="Arial" w:cs="Arial"/>
          <w:sz w:val="21"/>
          <w:szCs w:val="21"/>
          <w:lang w:eastAsia="es-ES"/>
        </w:rPr>
      </w:pPr>
      <w:r w:rsidRPr="0026756F">
        <w:rPr>
          <w:rFonts w:ascii="Arial" w:eastAsia="Times New Roman" w:hAnsi="Arial" w:cs="Arial"/>
          <w:b/>
          <w:bCs/>
          <w:sz w:val="21"/>
          <w:szCs w:val="21"/>
        </w:rPr>
        <w:t>Enllaç a la publicació:</w:t>
      </w:r>
      <w:r w:rsidRPr="0026756F">
        <w:rPr>
          <w:rFonts w:ascii="Arial" w:eastAsia="Times New Roman" w:hAnsi="Arial" w:cs="Arial"/>
          <w:b/>
          <w:bCs/>
          <w:sz w:val="21"/>
          <w:szCs w:val="21"/>
        </w:rPr>
        <w:br/>
      </w:r>
      <w:hyperlink r:id="rId449" w:history="1">
        <w:r w:rsidRPr="0026756F">
          <w:rPr>
            <w:rFonts w:ascii="Arial" w:eastAsia="Times New Roman" w:hAnsi="Arial" w:cs="Arial"/>
            <w:color w:val="000080"/>
            <w:sz w:val="21"/>
            <w:szCs w:val="21"/>
            <w:u w:val="single"/>
            <w:lang w:eastAsia="es-ES"/>
          </w:rPr>
          <w:t>http://www.antifraucv.es/wp-content/uploads/2021/04/20210518_CACSA.pdf</w:t>
        </w:r>
      </w:hyperlink>
    </w:p>
    <w:p w14:paraId="535E7FEB" w14:textId="77777777" w:rsidR="0026756F" w:rsidRPr="0026756F" w:rsidRDefault="0026756F" w:rsidP="0026756F">
      <w:pPr>
        <w:spacing w:after="240" w:line="276" w:lineRule="auto"/>
        <w:jc w:val="both"/>
        <w:rPr>
          <w:rFonts w:ascii="Arial" w:eastAsia="Times New Roman" w:hAnsi="Arial" w:cs="Arial"/>
          <w:color w:val="000000"/>
          <w:sz w:val="21"/>
          <w:szCs w:val="21"/>
        </w:rPr>
      </w:pPr>
      <w:r w:rsidRPr="0026756F">
        <w:rPr>
          <w:rFonts w:ascii="Arial" w:eastAsia="Times New Roman" w:hAnsi="Arial" w:cs="Arial"/>
          <w:b/>
          <w:bCs/>
          <w:color w:val="000000"/>
          <w:sz w:val="21"/>
          <w:szCs w:val="21"/>
        </w:rPr>
        <w:t>Descripció</w:t>
      </w:r>
      <w:r w:rsidRPr="0026756F">
        <w:rPr>
          <w:rFonts w:ascii="Arial" w:eastAsia="Times New Roman" w:hAnsi="Arial" w:cs="Arial"/>
          <w:color w:val="000000"/>
          <w:sz w:val="21"/>
          <w:szCs w:val="21"/>
        </w:rPr>
        <w:t xml:space="preserve">: Es denuncia la presumpta existència de conductes contràries als principis i normes reguladores, relatives a la contractació administrativa produïdes durant l'execució del contracte amb número d'Expedient PA 2-15, per la prestació de servici de manteniment de la Ciutat dels Arts i els Ciències. </w:t>
      </w:r>
    </w:p>
    <w:p w14:paraId="6B5E3063" w14:textId="77777777" w:rsidR="0026756F" w:rsidRPr="0026756F" w:rsidRDefault="0026756F" w:rsidP="0026756F">
      <w:pPr>
        <w:spacing w:after="240" w:line="276" w:lineRule="auto"/>
        <w:jc w:val="both"/>
        <w:rPr>
          <w:rFonts w:ascii="Arial" w:eastAsia="Times New Roman" w:hAnsi="Arial" w:cs="Arial"/>
          <w:color w:val="000000"/>
          <w:sz w:val="21"/>
          <w:szCs w:val="21"/>
        </w:rPr>
      </w:pPr>
      <w:r w:rsidRPr="0026756F">
        <w:rPr>
          <w:rFonts w:ascii="Arial" w:eastAsia="Times New Roman" w:hAnsi="Arial" w:cs="Arial"/>
          <w:color w:val="000000"/>
          <w:sz w:val="21"/>
          <w:szCs w:val="21"/>
        </w:rPr>
        <w:t>S'ha verificat en la fase d'investigació que:</w:t>
      </w:r>
    </w:p>
    <w:p w14:paraId="177333E3" w14:textId="77777777" w:rsidR="0026756F" w:rsidRPr="0026756F" w:rsidRDefault="0026756F" w:rsidP="00DD0C5C">
      <w:pPr>
        <w:numPr>
          <w:ilvl w:val="0"/>
          <w:numId w:val="118"/>
        </w:numPr>
        <w:spacing w:after="120" w:line="276" w:lineRule="auto"/>
        <w:ind w:left="714" w:hanging="357"/>
        <w:jc w:val="both"/>
        <w:rPr>
          <w:rFonts w:ascii="Arial" w:eastAsia="Times New Roman" w:hAnsi="Arial" w:cs="Arial"/>
          <w:color w:val="000000"/>
          <w:sz w:val="21"/>
          <w:szCs w:val="21"/>
        </w:rPr>
      </w:pPr>
      <w:r w:rsidRPr="0026756F">
        <w:rPr>
          <w:rFonts w:ascii="Arial" w:eastAsia="Times New Roman" w:hAnsi="Arial" w:cs="Arial"/>
          <w:color w:val="000000"/>
          <w:sz w:val="21"/>
          <w:szCs w:val="21"/>
        </w:rPr>
        <w:t xml:space="preserve">La liquidació del contracte amb número d'Expedient PA 2-15 i les seues successives addendes, es troba pendent de liquidació, havent de procedir-se a emetre l'informe definitiu corresponent, respecte a l'estat de les instal·lacions, així com resoldre les reclamacions efectuades per l'adjudicatària. </w:t>
      </w:r>
    </w:p>
    <w:p w14:paraId="399A50ED" w14:textId="77777777" w:rsidR="0026756F" w:rsidRPr="0026756F" w:rsidRDefault="0026756F" w:rsidP="00DD0C5C">
      <w:pPr>
        <w:numPr>
          <w:ilvl w:val="0"/>
          <w:numId w:val="118"/>
        </w:numPr>
        <w:spacing w:after="120" w:line="276" w:lineRule="auto"/>
        <w:ind w:left="714" w:hanging="357"/>
        <w:jc w:val="both"/>
        <w:rPr>
          <w:rFonts w:ascii="Arial" w:eastAsia="Times New Roman" w:hAnsi="Arial" w:cs="Arial"/>
          <w:color w:val="000000"/>
          <w:sz w:val="21"/>
          <w:szCs w:val="21"/>
        </w:rPr>
      </w:pPr>
      <w:r w:rsidRPr="0026756F">
        <w:rPr>
          <w:rFonts w:ascii="Arial" w:eastAsia="Times New Roman" w:hAnsi="Arial" w:cs="Arial"/>
          <w:color w:val="000000"/>
          <w:sz w:val="21"/>
          <w:szCs w:val="21"/>
        </w:rPr>
        <w:t xml:space="preserve">Les incidències relacionades amb el personal assignat al servici, posades de manifest pel primer responsable del contracte, van ser analitzades, justificades i resoltes pels responsables de CACSA. </w:t>
      </w:r>
    </w:p>
    <w:p w14:paraId="701F562F" w14:textId="77777777" w:rsidR="0026756F" w:rsidRPr="0026756F" w:rsidRDefault="0026756F" w:rsidP="00DD0C5C">
      <w:pPr>
        <w:numPr>
          <w:ilvl w:val="0"/>
          <w:numId w:val="118"/>
        </w:numPr>
        <w:spacing w:after="240" w:line="276" w:lineRule="auto"/>
        <w:jc w:val="both"/>
        <w:rPr>
          <w:rFonts w:ascii="Arial" w:eastAsia="Times New Roman" w:hAnsi="Arial" w:cs="Arial"/>
          <w:color w:val="000000"/>
          <w:sz w:val="21"/>
          <w:szCs w:val="21"/>
        </w:rPr>
      </w:pPr>
      <w:r w:rsidRPr="0026756F">
        <w:rPr>
          <w:rFonts w:ascii="Arial" w:eastAsia="Times New Roman" w:hAnsi="Arial" w:cs="Arial"/>
          <w:color w:val="000000"/>
          <w:sz w:val="21"/>
          <w:szCs w:val="21"/>
        </w:rPr>
        <w:t>Les incidències relacionades amb la justificació dels costos de material detectades pel primer responsable del contracte van ser analitzades pels responsables de CACSA, procedint des del moment del seu coneixement a exigir a l'adjudicatària la presentació de les factures corresponents.</w:t>
      </w:r>
    </w:p>
    <w:p w14:paraId="7D3A2ADA" w14:textId="77777777" w:rsidR="0026756F" w:rsidRPr="0026756F" w:rsidRDefault="0026756F" w:rsidP="0026756F">
      <w:pPr>
        <w:spacing w:after="240" w:line="276" w:lineRule="auto"/>
        <w:jc w:val="both"/>
        <w:rPr>
          <w:rFonts w:ascii="Arial" w:eastAsia="Times New Roman" w:hAnsi="Arial" w:cs="Arial"/>
          <w:color w:val="000000"/>
          <w:sz w:val="21"/>
          <w:szCs w:val="21"/>
        </w:rPr>
      </w:pPr>
      <w:r w:rsidRPr="0026756F">
        <w:rPr>
          <w:rFonts w:ascii="Arial" w:eastAsia="Times New Roman" w:hAnsi="Arial" w:cs="Arial"/>
          <w:color w:val="000000"/>
          <w:sz w:val="21"/>
          <w:szCs w:val="21"/>
        </w:rPr>
        <w:t>No consta que s'hagen sol·licitat les factures corresponents als períodes anteriors, en les que se suportaren les declaracions responsables firmades pel gerent de l'adjudicatària, en les que se certificava que la facturació dels preus era d'acord amb els termes del contracte. No obstant això, l'anterior, les declaracions responsables van ser acceptades per CACSA, ja que en els Plecs de prescripcions tècniques s'establia que l'adjudicatari podia justificar el cost del material consumit, aportant la corresponent factura o document acreditatiu de la despesa.</w:t>
      </w:r>
    </w:p>
    <w:p w14:paraId="3B8AEF0C" w14:textId="77777777" w:rsidR="0026756F" w:rsidRPr="0026756F" w:rsidRDefault="0026756F" w:rsidP="0026756F">
      <w:pPr>
        <w:spacing w:after="240" w:line="276" w:lineRule="auto"/>
        <w:jc w:val="both"/>
        <w:rPr>
          <w:rFonts w:ascii="Arial" w:eastAsia="Times New Roman" w:hAnsi="Arial" w:cs="Arial"/>
          <w:color w:val="000000"/>
          <w:sz w:val="21"/>
          <w:szCs w:val="21"/>
        </w:rPr>
      </w:pPr>
      <w:r w:rsidRPr="0026756F">
        <w:rPr>
          <w:rFonts w:ascii="Arial" w:eastAsia="Times New Roman" w:hAnsi="Arial" w:cs="Arial"/>
          <w:b/>
          <w:bCs/>
          <w:color w:val="000000"/>
          <w:sz w:val="21"/>
          <w:szCs w:val="21"/>
        </w:rPr>
        <w:t>Resultat</w:t>
      </w:r>
      <w:r w:rsidRPr="0026756F">
        <w:rPr>
          <w:rFonts w:ascii="Arial" w:eastAsia="Times New Roman" w:hAnsi="Arial" w:cs="Arial"/>
          <w:color w:val="000000"/>
          <w:sz w:val="21"/>
          <w:szCs w:val="21"/>
        </w:rPr>
        <w:t>: Es finalitza l'expedient amb la recomanació a la mercantil CACSA de què procedisca a efectuar la liquidació del contracte amb número d'Expedient PA 2-15 i les seues successives addendes.</w:t>
      </w:r>
    </w:p>
    <w:p w14:paraId="5C0170F4" w14:textId="51FFBE5F" w:rsidR="0026756F" w:rsidRDefault="0026756F" w:rsidP="0026756F">
      <w:pPr>
        <w:spacing w:after="240" w:line="276" w:lineRule="auto"/>
        <w:jc w:val="both"/>
        <w:rPr>
          <w:rFonts w:ascii="Arial" w:eastAsia="Times New Roman" w:hAnsi="Arial" w:cs="Arial"/>
          <w:color w:val="000000"/>
          <w:sz w:val="21"/>
          <w:szCs w:val="21"/>
          <w:lang w:val="ca-ES"/>
        </w:rPr>
      </w:pPr>
      <w:r w:rsidRPr="0026756F">
        <w:rPr>
          <w:rFonts w:ascii="Arial" w:eastAsia="Times New Roman" w:hAnsi="Arial" w:cs="Arial"/>
          <w:b/>
          <w:bCs/>
          <w:color w:val="000000"/>
          <w:sz w:val="21"/>
          <w:szCs w:val="21"/>
        </w:rPr>
        <w:t>Fase de seguiment:</w:t>
      </w:r>
      <w:r w:rsidRPr="0026756F">
        <w:rPr>
          <w:rFonts w:ascii="Arial" w:eastAsia="Times New Roman" w:hAnsi="Arial" w:cs="Arial"/>
          <w:i/>
          <w:iCs/>
          <w:color w:val="000000"/>
          <w:sz w:val="21"/>
          <w:szCs w:val="21"/>
        </w:rPr>
        <w:t xml:space="preserve"> </w:t>
      </w:r>
      <w:r w:rsidRPr="0026756F">
        <w:rPr>
          <w:rFonts w:ascii="Arial" w:eastAsia="Times New Roman" w:hAnsi="Arial" w:cs="Arial"/>
          <w:color w:val="000000"/>
          <w:sz w:val="21"/>
          <w:szCs w:val="21"/>
        </w:rPr>
        <w:t>En tràmit</w:t>
      </w:r>
      <w:r w:rsidRPr="0026756F">
        <w:rPr>
          <w:rFonts w:ascii="Arial" w:eastAsia="Times New Roman" w:hAnsi="Arial" w:cs="Arial"/>
          <w:color w:val="000000"/>
          <w:sz w:val="21"/>
          <w:szCs w:val="21"/>
          <w:lang w:val="ca-ES"/>
        </w:rPr>
        <w:t>.</w:t>
      </w:r>
    </w:p>
    <w:p w14:paraId="676A91BC" w14:textId="77777777" w:rsidR="0026756F" w:rsidRPr="0026756F" w:rsidRDefault="0026756F" w:rsidP="0026756F">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38" w:name="_Toc95209078"/>
      <w:bookmarkStart w:id="239" w:name="_Toc95913870"/>
      <w:bookmarkStart w:id="240" w:name="_Toc99110753"/>
      <w:r w:rsidRPr="0026756F">
        <w:rPr>
          <w:rFonts w:ascii="Arial" w:eastAsia="Times New Roman" w:hAnsi="Arial" w:cs="Arial"/>
          <w:b/>
          <w:color w:val="9D2235"/>
          <w:sz w:val="28"/>
          <w:szCs w:val="28"/>
        </w:rPr>
        <w:t>Denominació: Aigües i Sanejament de Sueca. Contractació del gerent</w:t>
      </w:r>
      <w:bookmarkEnd w:id="238"/>
      <w:bookmarkEnd w:id="239"/>
      <w:bookmarkEnd w:id="240"/>
    </w:p>
    <w:p w14:paraId="7E65D154" w14:textId="77777777" w:rsidR="0026756F" w:rsidRPr="0026756F" w:rsidRDefault="0026756F" w:rsidP="000E04BC">
      <w:pPr>
        <w:spacing w:after="240" w:line="276" w:lineRule="auto"/>
        <w:jc w:val="both"/>
        <w:rPr>
          <w:rFonts w:ascii="Arial" w:eastAsia="Times New Roman" w:hAnsi="Arial" w:cs="Arial"/>
          <w:color w:val="000000"/>
          <w:sz w:val="21"/>
          <w:szCs w:val="21"/>
        </w:rPr>
      </w:pPr>
      <w:r w:rsidRPr="0026756F">
        <w:rPr>
          <w:rFonts w:ascii="Arial" w:eastAsia="Times New Roman" w:hAnsi="Arial" w:cs="Arial"/>
          <w:b/>
          <w:bCs/>
          <w:color w:val="000000"/>
          <w:sz w:val="21"/>
          <w:szCs w:val="21"/>
        </w:rPr>
        <w:t xml:space="preserve">Expedient: </w:t>
      </w:r>
      <w:r w:rsidRPr="0026756F">
        <w:rPr>
          <w:rFonts w:ascii="Arial" w:eastAsia="Times New Roman" w:hAnsi="Arial" w:cs="Arial"/>
          <w:color w:val="000000"/>
          <w:sz w:val="21"/>
          <w:szCs w:val="21"/>
        </w:rPr>
        <w:t>2020/G01_01/000199 [11/2019]</w:t>
      </w:r>
    </w:p>
    <w:p w14:paraId="5DE47330" w14:textId="77777777" w:rsidR="0026756F" w:rsidRPr="0026756F" w:rsidRDefault="0026756F" w:rsidP="0026756F">
      <w:pPr>
        <w:spacing w:after="240" w:line="276" w:lineRule="auto"/>
        <w:rPr>
          <w:rFonts w:ascii="Arial" w:eastAsia="Times New Roman" w:hAnsi="Arial" w:cs="Arial"/>
          <w:sz w:val="21"/>
          <w:szCs w:val="21"/>
          <w:lang w:eastAsia="es-ES"/>
        </w:rPr>
      </w:pPr>
      <w:r w:rsidRPr="0026756F">
        <w:rPr>
          <w:rFonts w:ascii="Arial" w:eastAsia="Times New Roman" w:hAnsi="Arial" w:cs="Arial"/>
          <w:b/>
          <w:bCs/>
          <w:sz w:val="21"/>
          <w:szCs w:val="21"/>
        </w:rPr>
        <w:t>Enllaç a la publicació:</w:t>
      </w:r>
      <w:r w:rsidRPr="0026756F">
        <w:rPr>
          <w:rFonts w:ascii="Arial" w:eastAsia="Times New Roman" w:hAnsi="Arial" w:cs="Arial"/>
          <w:b/>
          <w:bCs/>
          <w:sz w:val="21"/>
          <w:szCs w:val="21"/>
        </w:rPr>
        <w:br/>
      </w:r>
      <w:hyperlink r:id="rId450" w:history="1">
        <w:r w:rsidRPr="0026756F">
          <w:rPr>
            <w:rFonts w:ascii="Arial" w:eastAsia="Times New Roman" w:hAnsi="Arial" w:cs="Arial"/>
            <w:color w:val="000080"/>
            <w:sz w:val="13"/>
            <w:szCs w:val="13"/>
            <w:u w:val="single"/>
            <w:lang w:eastAsia="es-ES"/>
          </w:rPr>
          <w:t>https://www.antifraucv.es/wp-content/uploads/2021/07/20210610_AJUNTAMENT_DE_SUECA_EPE_AIGUES_I_SANEJAMENT_DE_SUECA.pdf</w:t>
        </w:r>
      </w:hyperlink>
    </w:p>
    <w:p w14:paraId="17E4BC5F" w14:textId="77777777" w:rsidR="0026756F" w:rsidRPr="0026756F" w:rsidRDefault="0026756F" w:rsidP="0026756F">
      <w:pPr>
        <w:spacing w:after="240" w:line="276" w:lineRule="auto"/>
        <w:jc w:val="both"/>
        <w:rPr>
          <w:rFonts w:ascii="Arial" w:eastAsia="Times New Roman" w:hAnsi="Arial" w:cs="Arial"/>
          <w:color w:val="000000"/>
          <w:sz w:val="21"/>
          <w:szCs w:val="21"/>
        </w:rPr>
      </w:pPr>
      <w:r w:rsidRPr="0026756F">
        <w:rPr>
          <w:rFonts w:ascii="Arial" w:eastAsia="Times New Roman" w:hAnsi="Arial" w:cs="Arial"/>
          <w:b/>
          <w:bCs/>
          <w:color w:val="000000"/>
          <w:sz w:val="21"/>
          <w:szCs w:val="21"/>
        </w:rPr>
        <w:t xml:space="preserve">Descripció: </w:t>
      </w:r>
      <w:r w:rsidRPr="0026756F">
        <w:rPr>
          <w:rFonts w:ascii="Arial" w:eastAsia="Times New Roman" w:hAnsi="Arial" w:cs="Arial"/>
          <w:color w:val="000000"/>
          <w:sz w:val="21"/>
          <w:szCs w:val="21"/>
        </w:rPr>
        <w:t xml:space="preserve">Els fets denunciats es van concretar en les irregularitats en què es va incórrer en els processos de provisió, tant el provisional com el definitiu, del lloc de gerent. </w:t>
      </w:r>
    </w:p>
    <w:p w14:paraId="3D1B34DF" w14:textId="77777777" w:rsidR="0026756F" w:rsidRPr="0026756F" w:rsidRDefault="0026756F" w:rsidP="0026756F">
      <w:pPr>
        <w:spacing w:after="240" w:line="276" w:lineRule="auto"/>
        <w:jc w:val="both"/>
        <w:rPr>
          <w:rFonts w:ascii="Arial" w:eastAsia="Times New Roman" w:hAnsi="Arial" w:cs="Arial"/>
          <w:color w:val="000000"/>
          <w:sz w:val="21"/>
          <w:szCs w:val="21"/>
        </w:rPr>
      </w:pPr>
      <w:r w:rsidRPr="0026756F">
        <w:rPr>
          <w:rFonts w:ascii="Arial" w:eastAsia="Times New Roman" w:hAnsi="Arial" w:cs="Arial"/>
          <w:color w:val="000000"/>
          <w:sz w:val="21"/>
          <w:szCs w:val="21"/>
        </w:rPr>
        <w:t>Després de la instrucció de l'oportú procediment d'investigació, es va constatar que no es va seguir cap tipus de procediment per al nomenament de forma provisional del gerent. Respecte al nomenament definitiu, es van aprovar les bases sense cap criteri jurídic. Addicionalment, es va comprovar que es va utilitzar la bossa d'ocupació de l'Ajuntament de Sueca sense els requeriments que establix la normativa.</w:t>
      </w:r>
    </w:p>
    <w:p w14:paraId="57C816DE" w14:textId="77777777" w:rsidR="0026756F" w:rsidRPr="0026756F" w:rsidRDefault="0026756F" w:rsidP="0026756F">
      <w:pPr>
        <w:spacing w:after="240" w:line="276" w:lineRule="auto"/>
        <w:jc w:val="both"/>
        <w:rPr>
          <w:rFonts w:ascii="Arial" w:eastAsia="Times New Roman" w:hAnsi="Arial" w:cs="Arial"/>
          <w:color w:val="000000"/>
          <w:sz w:val="21"/>
          <w:szCs w:val="21"/>
        </w:rPr>
      </w:pPr>
      <w:r w:rsidRPr="0026756F">
        <w:rPr>
          <w:rFonts w:ascii="Arial" w:eastAsia="Times New Roman" w:hAnsi="Arial" w:cs="Arial"/>
          <w:b/>
          <w:bCs/>
          <w:color w:val="000000"/>
          <w:sz w:val="21"/>
          <w:szCs w:val="21"/>
        </w:rPr>
        <w:t xml:space="preserve">Resultat: </w:t>
      </w:r>
      <w:r w:rsidRPr="0026756F">
        <w:rPr>
          <w:rFonts w:ascii="Arial" w:eastAsia="Times New Roman" w:hAnsi="Arial" w:cs="Arial"/>
          <w:color w:val="000000"/>
          <w:sz w:val="21"/>
          <w:szCs w:val="21"/>
        </w:rPr>
        <w:t>Formulació de recomanacions a l'empresa municipal Aigües i Sanejament de Sueca, que consistixen en el fet que haurà de formular un Pla d'Implementació amb l'objecte de convocar bosses de treball específiques, que s'elabore un procediment de selecció del lloc de gerent que es documente per complet i que se cenyisca als informes tècnics i a la normativa, que les bases de les convocatòries responguen a criteris jurídics i que es puga acreditar per la secretaria la publicitat de la mateixa en totes les seues fases.</w:t>
      </w:r>
    </w:p>
    <w:p w14:paraId="322223E8" w14:textId="77777777" w:rsidR="0026756F" w:rsidRPr="0026756F" w:rsidRDefault="0026756F" w:rsidP="0026756F">
      <w:pPr>
        <w:spacing w:after="240" w:line="276" w:lineRule="auto"/>
        <w:jc w:val="both"/>
        <w:rPr>
          <w:rFonts w:ascii="Arial" w:eastAsia="Times New Roman" w:hAnsi="Arial" w:cs="Arial"/>
          <w:color w:val="000000"/>
          <w:sz w:val="21"/>
          <w:szCs w:val="21"/>
        </w:rPr>
      </w:pPr>
      <w:r w:rsidRPr="0026756F">
        <w:rPr>
          <w:rFonts w:ascii="Arial" w:eastAsia="Times New Roman" w:hAnsi="Arial" w:cs="Arial"/>
          <w:b/>
          <w:bCs/>
          <w:color w:val="000000"/>
          <w:sz w:val="21"/>
          <w:szCs w:val="21"/>
        </w:rPr>
        <w:t xml:space="preserve">Fase de seguiment: </w:t>
      </w:r>
      <w:r w:rsidRPr="0026756F">
        <w:rPr>
          <w:rFonts w:ascii="Arial" w:eastAsia="Times New Roman" w:hAnsi="Arial" w:cs="Arial"/>
          <w:color w:val="000000"/>
          <w:sz w:val="21"/>
          <w:szCs w:val="21"/>
        </w:rPr>
        <w:t>S'ha completat esta fase. L'empresa municipal Aigües i Sanejament de Sueca ha acceptat les recomanacions proposades.</w:t>
      </w:r>
    </w:p>
    <w:p w14:paraId="02164755" w14:textId="3AC0F272" w:rsidR="0075378F" w:rsidRPr="00B802E3" w:rsidRDefault="0075378F" w:rsidP="0075378F">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41" w:name="_Toc95209079"/>
      <w:bookmarkStart w:id="242" w:name="_Toc95913871"/>
      <w:bookmarkStart w:id="243" w:name="_Toc99110754"/>
      <w:r w:rsidRPr="00B802E3">
        <w:rPr>
          <w:rFonts w:ascii="Arial" w:eastAsia="Times New Roman" w:hAnsi="Arial" w:cs="Arial"/>
          <w:b/>
          <w:color w:val="9D2235"/>
          <w:sz w:val="28"/>
          <w:szCs w:val="28"/>
        </w:rPr>
        <w:t>Denominació: Generalitat Valenciana. Irregularitats en el desenvolupament de les proves selectives d'accés al Cos superior tècnic d'Administració General, Convocatòria 22/15</w:t>
      </w:r>
      <w:bookmarkEnd w:id="241"/>
      <w:bookmarkEnd w:id="242"/>
      <w:bookmarkEnd w:id="243"/>
      <w:r w:rsidRPr="00B802E3">
        <w:rPr>
          <w:rFonts w:ascii="Arial" w:eastAsia="Times New Roman" w:hAnsi="Arial" w:cs="Arial"/>
          <w:b/>
          <w:color w:val="9D2235"/>
          <w:sz w:val="28"/>
          <w:szCs w:val="28"/>
        </w:rPr>
        <w:t xml:space="preserve"> </w:t>
      </w:r>
    </w:p>
    <w:p w14:paraId="2BBB47F2" w14:textId="77777777" w:rsidR="0075378F" w:rsidRPr="0075378F" w:rsidRDefault="0075378F" w:rsidP="000E04BC">
      <w:pPr>
        <w:spacing w:after="240" w:line="276" w:lineRule="auto"/>
        <w:jc w:val="both"/>
        <w:rPr>
          <w:rFonts w:ascii="Arial" w:eastAsia="Times New Roman" w:hAnsi="Arial" w:cs="Arial"/>
          <w:color w:val="000000"/>
          <w:sz w:val="21"/>
          <w:szCs w:val="21"/>
        </w:rPr>
      </w:pPr>
      <w:r w:rsidRPr="0075378F">
        <w:rPr>
          <w:rFonts w:ascii="Arial" w:eastAsia="Times New Roman" w:hAnsi="Arial" w:cs="Arial"/>
          <w:b/>
          <w:bCs/>
          <w:color w:val="000000"/>
          <w:sz w:val="21"/>
          <w:szCs w:val="21"/>
        </w:rPr>
        <w:t>Expedient</w:t>
      </w:r>
      <w:r w:rsidRPr="0075378F">
        <w:rPr>
          <w:rFonts w:ascii="Arial" w:eastAsia="Times New Roman" w:hAnsi="Arial" w:cs="Arial"/>
          <w:color w:val="000000"/>
          <w:sz w:val="21"/>
          <w:szCs w:val="21"/>
        </w:rPr>
        <w:t>: 2021/G01_02/000114 [21/2018]</w:t>
      </w:r>
    </w:p>
    <w:p w14:paraId="52AE261B" w14:textId="77777777" w:rsidR="0075378F" w:rsidRPr="0075378F" w:rsidRDefault="0075378F" w:rsidP="0075378F">
      <w:pPr>
        <w:spacing w:after="240" w:line="276" w:lineRule="auto"/>
        <w:rPr>
          <w:rFonts w:ascii="Arial" w:eastAsia="Times New Roman" w:hAnsi="Arial" w:cs="Arial"/>
          <w:sz w:val="18"/>
          <w:szCs w:val="18"/>
          <w:lang w:val="ca-ES" w:eastAsia="es-ES"/>
        </w:rPr>
      </w:pPr>
      <w:r w:rsidRPr="0075378F">
        <w:rPr>
          <w:rFonts w:ascii="Arial" w:eastAsia="Times New Roman" w:hAnsi="Arial" w:cs="Arial"/>
          <w:b/>
          <w:bCs/>
          <w:sz w:val="21"/>
          <w:szCs w:val="21"/>
          <w:lang w:val="ca-ES"/>
        </w:rPr>
        <w:t>Enllaç a la publicació:</w:t>
      </w:r>
      <w:r w:rsidRPr="0075378F">
        <w:rPr>
          <w:rFonts w:ascii="Arial" w:eastAsia="Times New Roman" w:hAnsi="Arial" w:cs="Arial"/>
          <w:b/>
          <w:bCs/>
          <w:sz w:val="21"/>
          <w:szCs w:val="21"/>
          <w:lang w:val="ca-ES"/>
        </w:rPr>
        <w:br/>
      </w:r>
      <w:hyperlink r:id="rId451" w:history="1">
        <w:r w:rsidRPr="0075378F">
          <w:rPr>
            <w:rFonts w:ascii="Arial" w:eastAsia="Times New Roman" w:hAnsi="Arial" w:cs="Arial"/>
            <w:color w:val="000080"/>
            <w:sz w:val="18"/>
            <w:szCs w:val="18"/>
            <w:u w:val="single"/>
            <w:lang w:val="ca-ES" w:eastAsia="es-ES"/>
          </w:rPr>
          <w:t>https://www.antifraucv.es/wp-content/uploads/2021/07/20210610_CONSELLERIA_DE_JUSTICIA.pdf</w:t>
        </w:r>
      </w:hyperlink>
    </w:p>
    <w:p w14:paraId="2B3D4098" w14:textId="77777777" w:rsidR="00B802E3" w:rsidRPr="00B802E3" w:rsidRDefault="00B802E3" w:rsidP="00B802E3">
      <w:pPr>
        <w:spacing w:after="240" w:line="276" w:lineRule="auto"/>
        <w:jc w:val="both"/>
        <w:rPr>
          <w:rFonts w:ascii="Arial" w:eastAsia="Times New Roman" w:hAnsi="Arial" w:cs="Arial"/>
          <w:color w:val="000000"/>
          <w:sz w:val="21"/>
          <w:szCs w:val="21"/>
        </w:rPr>
      </w:pPr>
      <w:r w:rsidRPr="00B802E3">
        <w:rPr>
          <w:rFonts w:ascii="Arial" w:eastAsia="Times New Roman" w:hAnsi="Arial" w:cs="Arial"/>
          <w:b/>
          <w:bCs/>
          <w:color w:val="000000"/>
          <w:sz w:val="21"/>
          <w:szCs w:val="21"/>
        </w:rPr>
        <w:t xml:space="preserve">Descripció: </w:t>
      </w:r>
      <w:r w:rsidRPr="00B802E3">
        <w:rPr>
          <w:rFonts w:ascii="Arial" w:eastAsia="Times New Roman" w:hAnsi="Arial" w:cs="Arial"/>
          <w:color w:val="000000"/>
          <w:sz w:val="21"/>
          <w:szCs w:val="21"/>
        </w:rPr>
        <w:t>Els fets denunciats es van produir durant el desenvolupament del segon exercici de la fase d'oposició en el procediment selectiu d'accés al Cos superior tècnic d'Administració General, Convocatòria 22/15. En el curs de la prova va ser sorpresa una alta funcionària de l'administració convocant i ex-alt càrrec en matèria de Funció Pública, que estava expressament encarregada de vigilar l'examen i controlar la correcció del procés selectiu, en el moment en el qual la mateixa entregava a una persona aspirant material prohibit amb l'objectiu que aquesta opositora poguera copiar la contestació als temes plantejats en l'oposició. Aquesta actuació va ser detectada per altres dues persones funcionàries administratives que van procedir a efectuar la corresponent denúncia davant aquesta Agència.</w:t>
      </w:r>
    </w:p>
    <w:p w14:paraId="67E3CFAC" w14:textId="77777777" w:rsidR="00B802E3" w:rsidRPr="00B802E3" w:rsidRDefault="00B802E3" w:rsidP="00B802E3">
      <w:pPr>
        <w:spacing w:after="240" w:line="276" w:lineRule="auto"/>
        <w:jc w:val="both"/>
        <w:rPr>
          <w:rFonts w:ascii="Arial" w:eastAsia="Times New Roman" w:hAnsi="Arial" w:cs="Arial"/>
          <w:color w:val="000000"/>
          <w:sz w:val="21"/>
          <w:szCs w:val="21"/>
        </w:rPr>
      </w:pPr>
      <w:r w:rsidRPr="00B802E3">
        <w:rPr>
          <w:rFonts w:ascii="Arial" w:eastAsia="Times New Roman" w:hAnsi="Arial" w:cs="Arial"/>
          <w:color w:val="000000"/>
          <w:sz w:val="21"/>
          <w:szCs w:val="21"/>
        </w:rPr>
        <w:t xml:space="preserve">El procediment d'investigació d'aquesta Agència va haver de ser interromput en incoar-se un procediment judicial que tenia per objecte la investigació penal sobre els mateixos fets. El procés penal va finalitzar amb el dictat de la Sentència núm. 180/2021 de data 26 de març de 2021 de l'Audiència Provincial de València, que va ser recorreguda en apel·lació davant el Tribunal Superior de Justícia, exclusivament per raó de la condemna en costes imposada a l'acusació particular, resultant, en definitiva, que els fets provats que han esdevingut ferms, seguint el tenor literal d'aquella, són els següents: </w:t>
      </w:r>
    </w:p>
    <w:p w14:paraId="29A2EC20" w14:textId="77777777" w:rsidR="00B802E3" w:rsidRPr="00B802E3" w:rsidRDefault="00B802E3" w:rsidP="00B802E3">
      <w:pPr>
        <w:spacing w:after="120" w:line="276" w:lineRule="auto"/>
        <w:ind w:left="567"/>
        <w:jc w:val="both"/>
        <w:rPr>
          <w:rFonts w:ascii="Arial" w:eastAsia="Times New Roman" w:hAnsi="Arial" w:cs="Arial"/>
          <w:color w:val="000000"/>
          <w:sz w:val="20"/>
          <w:szCs w:val="20"/>
        </w:rPr>
      </w:pPr>
      <w:r w:rsidRPr="00B802E3">
        <w:rPr>
          <w:rFonts w:ascii="Arial" w:eastAsia="Times New Roman" w:hAnsi="Arial" w:cs="Arial"/>
          <w:color w:val="000000"/>
          <w:sz w:val="20"/>
          <w:szCs w:val="20"/>
        </w:rPr>
        <w:t>“II. FETS PROVATS</w:t>
      </w:r>
    </w:p>
    <w:p w14:paraId="6A495E04" w14:textId="77777777" w:rsidR="00B802E3" w:rsidRPr="00B802E3" w:rsidRDefault="00B802E3" w:rsidP="00B802E3">
      <w:pPr>
        <w:spacing w:after="120" w:line="276" w:lineRule="auto"/>
        <w:ind w:left="567"/>
        <w:jc w:val="both"/>
        <w:rPr>
          <w:rFonts w:ascii="Arial" w:eastAsia="Times New Roman" w:hAnsi="Arial" w:cs="Arial"/>
          <w:color w:val="000000"/>
          <w:sz w:val="20"/>
          <w:szCs w:val="20"/>
        </w:rPr>
      </w:pPr>
      <w:r w:rsidRPr="00B802E3">
        <w:rPr>
          <w:rFonts w:ascii="Arial" w:eastAsia="Times New Roman" w:hAnsi="Arial" w:cs="Arial"/>
          <w:color w:val="000000"/>
          <w:sz w:val="20"/>
          <w:szCs w:val="20"/>
        </w:rPr>
        <w:t>L'acusada XXXX, les circumstàncies personals de la qual consten en les actuacions, funcionària adscrita a la Direcció General de Funció Pública que amb anterioritat havia ostentat el càrrec de Directora General, el dia 10 de març de 2018 formava part del grup de funcionaris designats per aquest organisme per a vigilar la transparència i correcció en les proves d'oposició a "Tècnics Superiors de l'Administració de la Generalitat" (Grup A1-01), convocades per Ordre 1/2017, de 3 de gener de la Conselleria de Justícia.</w:t>
      </w:r>
    </w:p>
    <w:p w14:paraId="1BA8A9DB" w14:textId="77777777" w:rsidR="00B802E3" w:rsidRPr="00B802E3" w:rsidRDefault="00B802E3" w:rsidP="00B802E3">
      <w:pPr>
        <w:spacing w:after="120" w:line="276" w:lineRule="auto"/>
        <w:ind w:left="567"/>
        <w:jc w:val="both"/>
        <w:rPr>
          <w:rFonts w:ascii="Arial" w:eastAsia="Times New Roman" w:hAnsi="Arial" w:cs="Arial"/>
          <w:color w:val="000000"/>
          <w:sz w:val="20"/>
          <w:szCs w:val="20"/>
        </w:rPr>
      </w:pPr>
      <w:r w:rsidRPr="00B802E3">
        <w:rPr>
          <w:rFonts w:ascii="Arial" w:eastAsia="Times New Roman" w:hAnsi="Arial" w:cs="Arial"/>
          <w:color w:val="000000"/>
          <w:sz w:val="20"/>
          <w:szCs w:val="20"/>
        </w:rPr>
        <w:t>En el desenvolupament d'aquestes proves celebrades durant el matí d'aquest dia en la Universitat de València i després de ser anunciats els temes a contestar, l'acusada va ocupar una cadira al final de l'aula, on va començar a consultar el seu telèfon mòbil i a escriure les respostes a un d'aquests temes en diversos folis dels repartits als opositors, en lloc d'exercir la labor de vigilància encomanada. Seguidament l'acusada xxxx es va aproximar a l'opositora i també acusada YYYY, qui mantenia amb aquella una relació d'amistat, depositant XXXX en la seua taula els indicats folis amb les respostes escrites de pròpia mà.</w:t>
      </w:r>
    </w:p>
    <w:p w14:paraId="3088E757" w14:textId="77777777" w:rsidR="00B802E3" w:rsidRPr="00B802E3" w:rsidRDefault="00B802E3" w:rsidP="00B802E3">
      <w:pPr>
        <w:spacing w:after="240" w:line="276" w:lineRule="auto"/>
        <w:ind w:left="567"/>
        <w:jc w:val="both"/>
        <w:rPr>
          <w:rFonts w:ascii="Arial" w:eastAsia="Times New Roman" w:hAnsi="Arial" w:cs="Arial"/>
          <w:color w:val="000000"/>
          <w:sz w:val="20"/>
          <w:szCs w:val="20"/>
        </w:rPr>
      </w:pPr>
      <w:r w:rsidRPr="00B802E3">
        <w:rPr>
          <w:rFonts w:ascii="Arial" w:eastAsia="Times New Roman" w:hAnsi="Arial" w:cs="Arial"/>
          <w:color w:val="000000"/>
          <w:sz w:val="20"/>
          <w:szCs w:val="20"/>
        </w:rPr>
        <w:t>L'actuació descrita va ser advertida per altres dues funcionàries que vigilaven igualment l'examen, dirigint-se aquestes tot seguit a la taula ocupada per YYYY i intervenint en el seu poder les fulles escrites per la funcionària XXXX que la referida opositora ocultava davall d'un altre bloc de fulles en blanc, de les quals finalment no arribe a fer l'ús projectat.”</w:t>
      </w:r>
    </w:p>
    <w:p w14:paraId="0F1FB19A" w14:textId="77777777" w:rsidR="00B802E3" w:rsidRPr="00B802E3" w:rsidRDefault="00B802E3" w:rsidP="00B802E3">
      <w:pPr>
        <w:spacing w:after="240" w:line="276" w:lineRule="auto"/>
        <w:jc w:val="both"/>
        <w:rPr>
          <w:rFonts w:ascii="Arial" w:eastAsia="Times New Roman" w:hAnsi="Arial" w:cs="Arial"/>
          <w:color w:val="000000"/>
          <w:sz w:val="21"/>
          <w:szCs w:val="21"/>
        </w:rPr>
      </w:pPr>
      <w:r w:rsidRPr="00B802E3">
        <w:rPr>
          <w:rFonts w:ascii="Arial" w:eastAsia="Times New Roman" w:hAnsi="Arial" w:cs="Arial"/>
          <w:b/>
          <w:bCs/>
          <w:color w:val="000000"/>
          <w:sz w:val="21"/>
          <w:szCs w:val="21"/>
        </w:rPr>
        <w:t>Resultat</w:t>
      </w:r>
      <w:r w:rsidRPr="00B802E3">
        <w:rPr>
          <w:rFonts w:ascii="Arial" w:eastAsia="Times New Roman" w:hAnsi="Arial" w:cs="Arial"/>
          <w:color w:val="000000"/>
          <w:sz w:val="21"/>
          <w:szCs w:val="21"/>
        </w:rPr>
        <w:t xml:space="preserve">: El relat fàctic establit per la Sentència penal vincula a tots els poders públics i això tant a aquesta Agència, a qui li va ser notificada aquesta per la Sala a aquest efecte de prosseguir les seues actuacions. A la vista de la Sentència absolutòria, amb ple respecte als fets provats en aquesta, es va comprovar per aquesta Agència que l'actuació de la funcionària investigada no tenia encaix en el principi senar bis in idem, i això perquè el fonament del procediment disciplinari administratiu no sols és diferent i perfectament compatible amb l'absolució penal per falta de tipicitat, sinó a més absolutament exigible d'acord amb la normativa sancionadora de funció pública. Per tot el que s'ha exposat, amb total i plena adequació al relat de fets provats de la Sentència de l'Audiència Provincial, aquesta Agència va finalitzar la seua investigació instant a la Conselleria de Justícia, Interior i Administració Pública al fet que procedira a reprendre urgentment el procediment disciplinari, dictant la resolució sancionadora corresponent de conformitat amb els elements de fet fixats per la Sentència penal, amb el clar advertiment d'evitar caducitats o prescripcions. </w:t>
      </w:r>
    </w:p>
    <w:p w14:paraId="574FD0DD" w14:textId="4DED0EE0" w:rsidR="0075378F" w:rsidRPr="00B802E3" w:rsidRDefault="00B802E3" w:rsidP="00B802E3">
      <w:pPr>
        <w:spacing w:after="240" w:line="276" w:lineRule="auto"/>
        <w:jc w:val="both"/>
        <w:rPr>
          <w:rFonts w:ascii="Arial" w:eastAsia="Times New Roman" w:hAnsi="Arial" w:cs="Arial"/>
          <w:color w:val="000000"/>
          <w:sz w:val="21"/>
          <w:szCs w:val="21"/>
        </w:rPr>
      </w:pPr>
      <w:r w:rsidRPr="00B802E3">
        <w:rPr>
          <w:rFonts w:ascii="Arial" w:eastAsia="Times New Roman" w:hAnsi="Arial" w:cs="Arial"/>
          <w:b/>
          <w:bCs/>
          <w:color w:val="000000"/>
          <w:sz w:val="21"/>
          <w:szCs w:val="21"/>
        </w:rPr>
        <w:t>Fase de seguiment:</w:t>
      </w:r>
      <w:r w:rsidRPr="00B802E3">
        <w:rPr>
          <w:rFonts w:ascii="Arial" w:eastAsia="Times New Roman" w:hAnsi="Arial" w:cs="Arial"/>
          <w:i/>
          <w:iCs/>
          <w:color w:val="000000"/>
          <w:sz w:val="21"/>
          <w:szCs w:val="21"/>
        </w:rPr>
        <w:t xml:space="preserve"> </w:t>
      </w:r>
      <w:r w:rsidRPr="00B802E3">
        <w:rPr>
          <w:rFonts w:ascii="Arial" w:eastAsia="Times New Roman" w:hAnsi="Arial" w:cs="Arial"/>
          <w:color w:val="000000"/>
          <w:sz w:val="21"/>
          <w:szCs w:val="21"/>
        </w:rPr>
        <w:t>S'ha remés per la Generalitat Valenciana la resolució de l'expedient disciplinari, per la qual cosa s'ha complit la sol·licitud realitzada per aquesta Agència i amb això s'ha finalitzat l'expedient.</w:t>
      </w:r>
    </w:p>
    <w:p w14:paraId="577ECADC" w14:textId="77777777" w:rsidR="00005969" w:rsidRPr="00005969" w:rsidRDefault="00005969" w:rsidP="0000596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44" w:name="_Toc95209080"/>
      <w:bookmarkStart w:id="245" w:name="_Toc95913872"/>
      <w:bookmarkStart w:id="246" w:name="_Toc99110755"/>
      <w:r w:rsidRPr="00005969">
        <w:rPr>
          <w:rFonts w:ascii="Arial" w:eastAsia="Times New Roman" w:hAnsi="Arial" w:cs="Arial"/>
          <w:b/>
          <w:color w:val="9D2235"/>
          <w:sz w:val="28"/>
          <w:szCs w:val="28"/>
        </w:rPr>
        <w:t>Denominació: Ajuntament de Canet d’en Berenguer. Processos selectius Policia Local</w:t>
      </w:r>
      <w:bookmarkEnd w:id="244"/>
      <w:bookmarkEnd w:id="245"/>
      <w:bookmarkEnd w:id="246"/>
    </w:p>
    <w:p w14:paraId="36393496" w14:textId="77777777" w:rsidR="00005969" w:rsidRPr="00005969" w:rsidRDefault="00005969" w:rsidP="000E04BC">
      <w:pPr>
        <w:spacing w:after="240" w:line="276" w:lineRule="auto"/>
        <w:jc w:val="both"/>
        <w:rPr>
          <w:rFonts w:ascii="Arial" w:eastAsia="Times New Roman" w:hAnsi="Arial" w:cs="Arial"/>
          <w:color w:val="000000"/>
          <w:sz w:val="21"/>
          <w:szCs w:val="21"/>
        </w:rPr>
      </w:pPr>
      <w:r w:rsidRPr="00005969">
        <w:rPr>
          <w:rFonts w:ascii="Arial" w:eastAsia="Times New Roman" w:hAnsi="Arial" w:cs="Arial"/>
          <w:b/>
          <w:bCs/>
          <w:color w:val="000000"/>
          <w:sz w:val="21"/>
          <w:szCs w:val="21"/>
        </w:rPr>
        <w:t>Expedient</w:t>
      </w:r>
      <w:r w:rsidRPr="00005969">
        <w:rPr>
          <w:rFonts w:ascii="Arial" w:eastAsia="Times New Roman" w:hAnsi="Arial" w:cs="Arial"/>
          <w:color w:val="000000"/>
          <w:sz w:val="21"/>
          <w:szCs w:val="21"/>
        </w:rPr>
        <w:t>: 2020/G01_01/000261</w:t>
      </w:r>
    </w:p>
    <w:p w14:paraId="3701CFCF" w14:textId="77777777" w:rsidR="00005969" w:rsidRPr="00005969" w:rsidRDefault="00005969" w:rsidP="00005969">
      <w:pPr>
        <w:spacing w:after="240" w:line="276" w:lineRule="auto"/>
        <w:rPr>
          <w:rFonts w:ascii="Arial" w:eastAsia="Times New Roman" w:hAnsi="Arial" w:cs="Arial"/>
          <w:sz w:val="15"/>
          <w:szCs w:val="15"/>
          <w:lang w:eastAsia="es-ES"/>
        </w:rPr>
      </w:pPr>
      <w:r w:rsidRPr="00005969">
        <w:rPr>
          <w:rFonts w:ascii="Arial" w:eastAsia="Times New Roman" w:hAnsi="Arial" w:cs="Arial"/>
          <w:b/>
          <w:bCs/>
          <w:sz w:val="21"/>
          <w:szCs w:val="21"/>
        </w:rPr>
        <w:t>Enllaç a la publicació:</w:t>
      </w:r>
      <w:r w:rsidRPr="00005969">
        <w:rPr>
          <w:rFonts w:ascii="Arial" w:eastAsia="Times New Roman" w:hAnsi="Arial" w:cs="Arial"/>
          <w:b/>
          <w:bCs/>
          <w:sz w:val="21"/>
          <w:szCs w:val="21"/>
        </w:rPr>
        <w:br/>
      </w:r>
      <w:hyperlink r:id="rId452" w:history="1">
        <w:r w:rsidRPr="00005969">
          <w:rPr>
            <w:rFonts w:ascii="Arial" w:eastAsia="Times New Roman" w:hAnsi="Arial" w:cs="Arial"/>
            <w:color w:val="000080"/>
            <w:sz w:val="15"/>
            <w:szCs w:val="15"/>
            <w:u w:val="single"/>
            <w:lang w:eastAsia="es-ES"/>
          </w:rPr>
          <w:t>https://www.antifraucv.es/wp-content/uploads/2021/07/20210610_AJUNTAMENT_DE_CANET_DEN_BERENGUER.pdf</w:t>
        </w:r>
      </w:hyperlink>
    </w:p>
    <w:p w14:paraId="4E78B4C7" w14:textId="77777777" w:rsidR="00005969" w:rsidRPr="00005969" w:rsidRDefault="00005969" w:rsidP="00005969">
      <w:pPr>
        <w:spacing w:after="240" w:line="276" w:lineRule="auto"/>
        <w:jc w:val="both"/>
        <w:rPr>
          <w:rFonts w:ascii="Arial" w:eastAsia="Times New Roman" w:hAnsi="Arial" w:cs="Arial"/>
          <w:color w:val="000000"/>
          <w:sz w:val="21"/>
          <w:szCs w:val="21"/>
        </w:rPr>
      </w:pPr>
      <w:r w:rsidRPr="00005969">
        <w:rPr>
          <w:rFonts w:ascii="Arial" w:eastAsia="Times New Roman" w:hAnsi="Arial" w:cs="Arial"/>
          <w:b/>
          <w:bCs/>
          <w:color w:val="000000"/>
          <w:sz w:val="21"/>
          <w:szCs w:val="21"/>
        </w:rPr>
        <w:t>Descripció</w:t>
      </w:r>
      <w:r w:rsidRPr="00005969">
        <w:rPr>
          <w:rFonts w:ascii="Arial" w:eastAsia="Times New Roman" w:hAnsi="Arial" w:cs="Arial"/>
          <w:color w:val="000000"/>
          <w:sz w:val="21"/>
          <w:szCs w:val="21"/>
        </w:rPr>
        <w:t xml:space="preserve">: Es denuncien presumptes conductes contràries a la normativa vigent en matèria d'accés a l'ocupació pública, succeïdes en l'Ajuntament de Canet d’en Berenguer. </w:t>
      </w:r>
    </w:p>
    <w:p w14:paraId="07BC08A5" w14:textId="77777777" w:rsidR="00005969" w:rsidRPr="00005969" w:rsidRDefault="00005969" w:rsidP="00005969">
      <w:pPr>
        <w:spacing w:after="240" w:line="276" w:lineRule="auto"/>
        <w:jc w:val="both"/>
        <w:rPr>
          <w:rFonts w:ascii="Arial" w:eastAsia="Times New Roman" w:hAnsi="Arial" w:cs="Arial"/>
          <w:color w:val="000000"/>
          <w:sz w:val="21"/>
          <w:szCs w:val="21"/>
        </w:rPr>
      </w:pPr>
      <w:r w:rsidRPr="00005969">
        <w:rPr>
          <w:rFonts w:ascii="Arial" w:eastAsia="Times New Roman" w:hAnsi="Arial" w:cs="Arial"/>
          <w:color w:val="000000"/>
          <w:sz w:val="21"/>
          <w:szCs w:val="21"/>
        </w:rPr>
        <w:t xml:space="preserve">Després de l'estudi en detall de la totalitat de la documentació requerida i obtinguda en la fase d'investigació, s'ha verificat que els exercicis es van realitzar de manera anònima, constant un codi numèric assignat a cada aspirant i no observant-se dades personals dels mateixos en els exercicis que permeteren identificar-los en el moment de la correcció dels mateixos. </w:t>
      </w:r>
    </w:p>
    <w:p w14:paraId="53A446F5" w14:textId="77777777" w:rsidR="00005969" w:rsidRPr="00005969" w:rsidRDefault="00005969" w:rsidP="00005969">
      <w:pPr>
        <w:spacing w:after="240" w:line="276" w:lineRule="auto"/>
        <w:jc w:val="both"/>
        <w:rPr>
          <w:rFonts w:ascii="Arial" w:eastAsia="Times New Roman" w:hAnsi="Arial" w:cs="Arial"/>
          <w:b/>
          <w:bCs/>
          <w:color w:val="000000"/>
          <w:sz w:val="21"/>
          <w:szCs w:val="21"/>
        </w:rPr>
      </w:pPr>
      <w:r w:rsidRPr="00005969">
        <w:rPr>
          <w:rFonts w:ascii="Arial" w:eastAsia="Times New Roman" w:hAnsi="Arial" w:cs="Arial"/>
          <w:color w:val="000000"/>
          <w:sz w:val="21"/>
          <w:szCs w:val="21"/>
        </w:rPr>
        <w:t>Es conclou que no consten indicis, ni s'ha acreditat l'existència d'irregularitats en el desenrotllament dels procediments selectius, per a la provisió en propietat de dos places d'agents i d'una plaça d'oficial de la Policia Local de Canet d’en Berenguer, corresponents a l'Oferta d'Ocupació Pública de 2020.</w:t>
      </w:r>
    </w:p>
    <w:p w14:paraId="6042F480" w14:textId="77777777" w:rsidR="00005969" w:rsidRPr="00005969" w:rsidRDefault="00005969" w:rsidP="00005969">
      <w:pPr>
        <w:spacing w:after="240" w:line="276" w:lineRule="auto"/>
        <w:jc w:val="both"/>
        <w:rPr>
          <w:rFonts w:ascii="Arial" w:eastAsia="Times New Roman" w:hAnsi="Arial" w:cs="Arial"/>
          <w:color w:val="000000"/>
          <w:sz w:val="21"/>
          <w:szCs w:val="21"/>
        </w:rPr>
      </w:pPr>
      <w:r w:rsidRPr="00005969">
        <w:rPr>
          <w:rFonts w:ascii="Arial" w:eastAsia="Times New Roman" w:hAnsi="Arial" w:cs="Arial"/>
          <w:b/>
          <w:bCs/>
          <w:color w:val="000000"/>
          <w:sz w:val="21"/>
          <w:szCs w:val="21"/>
        </w:rPr>
        <w:t>Resultat</w:t>
      </w:r>
      <w:r w:rsidRPr="00005969">
        <w:rPr>
          <w:rFonts w:ascii="Arial" w:eastAsia="Times New Roman" w:hAnsi="Arial" w:cs="Arial"/>
          <w:color w:val="000000"/>
          <w:sz w:val="21"/>
          <w:szCs w:val="21"/>
        </w:rPr>
        <w:t>: Es finalitza l’expedient amb l’arxiu de les actuacions d’investigació.</w:t>
      </w:r>
    </w:p>
    <w:p w14:paraId="03AAC7FE" w14:textId="605E33EB" w:rsidR="00005969" w:rsidRDefault="00005969" w:rsidP="00005969">
      <w:pPr>
        <w:spacing w:after="240" w:line="276" w:lineRule="auto"/>
        <w:jc w:val="both"/>
        <w:rPr>
          <w:rFonts w:ascii="Arial" w:eastAsia="Times New Roman" w:hAnsi="Arial" w:cs="Arial"/>
          <w:color w:val="000000"/>
          <w:sz w:val="21"/>
          <w:szCs w:val="21"/>
          <w:lang w:val="ca-ES"/>
        </w:rPr>
      </w:pPr>
      <w:r w:rsidRPr="00005969">
        <w:rPr>
          <w:rFonts w:ascii="Arial" w:eastAsia="Times New Roman" w:hAnsi="Arial" w:cs="Arial"/>
          <w:b/>
          <w:bCs/>
          <w:color w:val="000000"/>
          <w:sz w:val="21"/>
          <w:szCs w:val="21"/>
        </w:rPr>
        <w:t>Fase de seguiment:</w:t>
      </w:r>
      <w:r w:rsidRPr="00005969">
        <w:rPr>
          <w:rFonts w:ascii="Arial" w:eastAsia="Times New Roman" w:hAnsi="Arial" w:cs="Arial"/>
          <w:i/>
          <w:iCs/>
          <w:color w:val="000000"/>
          <w:sz w:val="21"/>
          <w:szCs w:val="21"/>
        </w:rPr>
        <w:t xml:space="preserve"> </w:t>
      </w:r>
      <w:r w:rsidRPr="00005969">
        <w:rPr>
          <w:rFonts w:ascii="Arial" w:eastAsia="Times New Roman" w:hAnsi="Arial" w:cs="Arial"/>
          <w:color w:val="000000"/>
          <w:sz w:val="21"/>
          <w:szCs w:val="21"/>
        </w:rPr>
        <w:t>No procedeix</w:t>
      </w:r>
      <w:r w:rsidRPr="00005969">
        <w:rPr>
          <w:rFonts w:ascii="Arial" w:eastAsia="Times New Roman" w:hAnsi="Arial" w:cs="Arial"/>
          <w:color w:val="000000"/>
          <w:sz w:val="21"/>
          <w:szCs w:val="21"/>
          <w:lang w:val="ca-ES"/>
        </w:rPr>
        <w:t>.</w:t>
      </w:r>
    </w:p>
    <w:p w14:paraId="77D997A6" w14:textId="77777777" w:rsidR="00005969" w:rsidRPr="00005969" w:rsidRDefault="00005969" w:rsidP="0000596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47" w:name="_Toc95209081"/>
      <w:bookmarkStart w:id="248" w:name="_Toc95913873"/>
      <w:bookmarkStart w:id="249" w:name="_Toc99110756"/>
      <w:r w:rsidRPr="00005969">
        <w:rPr>
          <w:rFonts w:ascii="Arial" w:eastAsia="Times New Roman" w:hAnsi="Arial" w:cs="Arial"/>
          <w:b/>
          <w:color w:val="9D2235"/>
          <w:sz w:val="28"/>
          <w:szCs w:val="28"/>
        </w:rPr>
        <w:t>Denominació: Ajuntament de Benirredrà. Irregularitats en matèria d'accés a l'ocupació pública, en procés selectiu de provisió de plaça, per torn lliure, de policia local (convocatòria de l'exercici 2019)</w:t>
      </w:r>
      <w:bookmarkEnd w:id="247"/>
      <w:bookmarkEnd w:id="248"/>
      <w:bookmarkEnd w:id="249"/>
    </w:p>
    <w:p w14:paraId="719BBE34" w14:textId="77777777" w:rsidR="00005969" w:rsidRPr="00005969" w:rsidRDefault="00005969" w:rsidP="000E04BC">
      <w:pPr>
        <w:spacing w:after="240" w:line="276" w:lineRule="auto"/>
        <w:jc w:val="both"/>
        <w:rPr>
          <w:rFonts w:ascii="Arial" w:eastAsia="Times New Roman" w:hAnsi="Arial" w:cs="Arial"/>
          <w:color w:val="000000"/>
          <w:sz w:val="21"/>
          <w:szCs w:val="21"/>
        </w:rPr>
      </w:pPr>
      <w:r w:rsidRPr="00005969">
        <w:rPr>
          <w:rFonts w:ascii="Arial" w:eastAsia="Times New Roman" w:hAnsi="Arial" w:cs="Arial"/>
          <w:b/>
          <w:bCs/>
          <w:color w:val="000000"/>
          <w:sz w:val="21"/>
          <w:szCs w:val="21"/>
        </w:rPr>
        <w:t>Expedient:</w:t>
      </w:r>
      <w:r w:rsidRPr="00005969">
        <w:rPr>
          <w:rFonts w:ascii="Arial" w:eastAsia="Times New Roman" w:hAnsi="Arial" w:cs="Arial"/>
          <w:color w:val="000000"/>
          <w:sz w:val="21"/>
          <w:szCs w:val="21"/>
        </w:rPr>
        <w:t xml:space="preserve"> 2020/G01_01/000334 [149/2019]</w:t>
      </w:r>
    </w:p>
    <w:p w14:paraId="7680543F" w14:textId="77777777" w:rsidR="00005969" w:rsidRPr="00005969" w:rsidRDefault="00005969" w:rsidP="00005969">
      <w:pPr>
        <w:spacing w:after="240" w:line="276" w:lineRule="auto"/>
        <w:rPr>
          <w:rFonts w:ascii="Arial" w:eastAsia="Times New Roman" w:hAnsi="Arial" w:cs="Arial"/>
          <w:sz w:val="17"/>
          <w:szCs w:val="17"/>
          <w:lang w:eastAsia="es-ES"/>
        </w:rPr>
      </w:pPr>
      <w:r w:rsidRPr="00005969">
        <w:rPr>
          <w:rFonts w:ascii="Arial" w:eastAsia="Times New Roman" w:hAnsi="Arial" w:cs="Arial"/>
          <w:b/>
          <w:bCs/>
          <w:sz w:val="21"/>
          <w:szCs w:val="21"/>
        </w:rPr>
        <w:t>Enllaç a la publicació:</w:t>
      </w:r>
      <w:r w:rsidRPr="00005969">
        <w:rPr>
          <w:rFonts w:ascii="Arial" w:eastAsia="Times New Roman" w:hAnsi="Arial" w:cs="Arial"/>
          <w:b/>
          <w:bCs/>
          <w:sz w:val="21"/>
          <w:szCs w:val="21"/>
        </w:rPr>
        <w:br/>
      </w:r>
      <w:hyperlink r:id="rId453" w:history="1">
        <w:r w:rsidRPr="00005969">
          <w:rPr>
            <w:rFonts w:ascii="Arial" w:eastAsia="Times New Roman" w:hAnsi="Arial" w:cs="Arial"/>
            <w:color w:val="000080"/>
            <w:sz w:val="17"/>
            <w:szCs w:val="17"/>
            <w:u w:val="single"/>
            <w:lang w:eastAsia="es-ES"/>
          </w:rPr>
          <w:t>https://www.antifraucv.es/wp-content/uploads/2021/07/20210614_AJUNTAMENT_DE_BENIRREDRA.pdf</w:t>
        </w:r>
      </w:hyperlink>
    </w:p>
    <w:p w14:paraId="747183F3" w14:textId="77777777" w:rsidR="00005969" w:rsidRPr="00005969" w:rsidRDefault="00005969" w:rsidP="00005969">
      <w:pPr>
        <w:spacing w:after="240" w:line="276" w:lineRule="auto"/>
        <w:jc w:val="both"/>
        <w:rPr>
          <w:rFonts w:ascii="Arial" w:eastAsia="Times New Roman" w:hAnsi="Arial" w:cs="Arial"/>
          <w:color w:val="000000"/>
          <w:sz w:val="21"/>
          <w:szCs w:val="21"/>
        </w:rPr>
      </w:pPr>
      <w:r w:rsidRPr="00005969">
        <w:rPr>
          <w:rFonts w:ascii="Arial" w:eastAsia="Times New Roman" w:hAnsi="Arial" w:cs="Arial"/>
          <w:b/>
          <w:bCs/>
          <w:color w:val="000000"/>
          <w:sz w:val="21"/>
          <w:szCs w:val="21"/>
        </w:rPr>
        <w:t>Descripció:</w:t>
      </w:r>
      <w:r w:rsidRPr="00005969">
        <w:rPr>
          <w:rFonts w:ascii="Arial" w:eastAsia="Times New Roman" w:hAnsi="Arial" w:cs="Arial"/>
          <w:color w:val="000000"/>
          <w:sz w:val="21"/>
          <w:szCs w:val="21"/>
        </w:rPr>
        <w:t xml:space="preserve"> S'alerta que, amb caràcter previ a la seua resolució, el procés selectiu per a proveir una plaça, per torn lliure, de funcionari de la policia local de l'Ajuntament de Benirredrà (convocatòria de l'exercici 2019), finalitzarà amb l'adjudicació de la mateixa a un aspirant concret, denunciant presumptes filtracions d'exàmens i presumptes tractes de favor i conflictes d'interés per amistat amb un familiar. </w:t>
      </w:r>
    </w:p>
    <w:p w14:paraId="41E00646" w14:textId="77777777" w:rsidR="00005969" w:rsidRPr="00005969" w:rsidRDefault="00005969" w:rsidP="00005969">
      <w:pPr>
        <w:spacing w:after="240" w:line="276" w:lineRule="auto"/>
        <w:jc w:val="both"/>
        <w:rPr>
          <w:rFonts w:ascii="Arial" w:eastAsia="Times New Roman" w:hAnsi="Arial" w:cs="Arial"/>
          <w:color w:val="000000"/>
          <w:sz w:val="21"/>
          <w:szCs w:val="21"/>
        </w:rPr>
      </w:pPr>
      <w:r w:rsidRPr="00005969">
        <w:rPr>
          <w:rFonts w:ascii="Arial" w:eastAsia="Times New Roman" w:hAnsi="Arial" w:cs="Arial"/>
          <w:color w:val="000000"/>
          <w:sz w:val="21"/>
          <w:szCs w:val="21"/>
        </w:rPr>
        <w:t>Després de la instrucció de l'oportú procediment d'investigació, en el que es va efectuar el preceptiu tràmit d'audiència a l'administració denunciada, es conclou que no s'ha acreditat l'existència d'irregularitats en el desenvolupament del procés selectiu per a proveir la plaça de referència, sense perjuí que, a la vista de la tramitació del mateix, es puguen realitzar recomanacions de millora en relació amb certs aspectes de la tramitació del procediment (caràcter anònim de les proves mixtes, mitjans de prova, mecanismes per a evitar conflictes d’interés, integritat de l’expedient, control intern,…).</w:t>
      </w:r>
    </w:p>
    <w:p w14:paraId="4A5D9527" w14:textId="77777777" w:rsidR="00005969" w:rsidRPr="00005969" w:rsidRDefault="00005969" w:rsidP="00005969">
      <w:pPr>
        <w:spacing w:after="240" w:line="276" w:lineRule="auto"/>
        <w:jc w:val="both"/>
        <w:rPr>
          <w:rFonts w:ascii="Arial" w:eastAsia="Times New Roman" w:hAnsi="Arial" w:cs="Arial"/>
          <w:color w:val="000000"/>
          <w:sz w:val="21"/>
          <w:szCs w:val="21"/>
        </w:rPr>
      </w:pPr>
      <w:r w:rsidRPr="00005969">
        <w:rPr>
          <w:rFonts w:ascii="Arial" w:eastAsia="Times New Roman" w:hAnsi="Arial" w:cs="Arial"/>
          <w:b/>
          <w:bCs/>
          <w:color w:val="000000"/>
          <w:sz w:val="21"/>
          <w:szCs w:val="21"/>
        </w:rPr>
        <w:t>Resultat:</w:t>
      </w:r>
      <w:r w:rsidRPr="00005969">
        <w:rPr>
          <w:rFonts w:ascii="Arial" w:eastAsia="Times New Roman" w:hAnsi="Arial" w:cs="Arial"/>
          <w:color w:val="000000"/>
          <w:sz w:val="21"/>
          <w:szCs w:val="21"/>
        </w:rPr>
        <w:t xml:space="preserve"> Finalització de la investigació amb recomanacions i sense necessitat d'obertura de Fase de seguiment. Recomanacions:</w:t>
      </w:r>
    </w:p>
    <w:p w14:paraId="032FDE53" w14:textId="77777777" w:rsidR="00005969" w:rsidRPr="00005969" w:rsidRDefault="00005969" w:rsidP="00D24C9B">
      <w:pPr>
        <w:numPr>
          <w:ilvl w:val="0"/>
          <w:numId w:val="120"/>
        </w:numPr>
        <w:spacing w:after="120" w:line="276" w:lineRule="auto"/>
        <w:ind w:left="714" w:hanging="357"/>
        <w:jc w:val="both"/>
        <w:rPr>
          <w:rFonts w:ascii="Arial" w:eastAsia="Times New Roman" w:hAnsi="Arial" w:cs="Arial"/>
          <w:color w:val="000000"/>
          <w:sz w:val="21"/>
          <w:szCs w:val="21"/>
        </w:rPr>
      </w:pPr>
      <w:bookmarkStart w:id="250" w:name="_Hlk92800706"/>
      <w:r w:rsidRPr="00005969">
        <w:rPr>
          <w:rFonts w:ascii="Arial" w:eastAsia="Times New Roman" w:hAnsi="Arial" w:cs="Arial"/>
          <w:color w:val="000000"/>
          <w:sz w:val="21"/>
          <w:szCs w:val="21"/>
        </w:rPr>
        <w:t xml:space="preserve">Sobre conflictes d'interés: L'establiment de mecanismes que permeten evitar o reconèixer situacions de conflictes d'interés i de la resta de causes d'abstenció, a l'efecte d'evitar el risc potencial, aparent o real de produir un caire en el resultat del procés selectiu. </w:t>
      </w:r>
    </w:p>
    <w:p w14:paraId="5E70D1DE" w14:textId="77777777" w:rsidR="00005969" w:rsidRPr="00005969" w:rsidRDefault="00005969" w:rsidP="00D24C9B">
      <w:pPr>
        <w:numPr>
          <w:ilvl w:val="0"/>
          <w:numId w:val="120"/>
        </w:numPr>
        <w:spacing w:after="120" w:line="276" w:lineRule="auto"/>
        <w:ind w:left="714" w:hanging="357"/>
        <w:jc w:val="both"/>
        <w:rPr>
          <w:rFonts w:ascii="Arial" w:eastAsia="Times New Roman" w:hAnsi="Arial" w:cs="Arial"/>
          <w:color w:val="000000"/>
          <w:sz w:val="21"/>
          <w:szCs w:val="21"/>
        </w:rPr>
      </w:pPr>
      <w:r w:rsidRPr="00005969">
        <w:rPr>
          <w:rFonts w:ascii="Arial" w:eastAsia="Times New Roman" w:hAnsi="Arial" w:cs="Arial"/>
          <w:color w:val="000000"/>
          <w:sz w:val="21"/>
          <w:szCs w:val="21"/>
        </w:rPr>
        <w:t>Sobre el caràcter anònim de les proves mixtes: Establir en els processos selectius de l'entitat, el caràcter anònim de la part escrita prèvia a l'oral de les proves mixtes escrita/oral (a més de en les proves escrites), a fi de protegir els principis d'igualtat, mèrit i capacitat en l'accés a la funció pública.</w:t>
      </w:r>
    </w:p>
    <w:bookmarkEnd w:id="250"/>
    <w:p w14:paraId="293028F0" w14:textId="77777777" w:rsidR="00005969" w:rsidRPr="00005969" w:rsidRDefault="00005969" w:rsidP="00D24C9B">
      <w:pPr>
        <w:numPr>
          <w:ilvl w:val="0"/>
          <w:numId w:val="120"/>
        </w:numPr>
        <w:spacing w:after="120" w:line="276" w:lineRule="auto"/>
        <w:ind w:left="714" w:hanging="357"/>
        <w:jc w:val="both"/>
        <w:rPr>
          <w:rFonts w:ascii="Arial" w:eastAsia="Times New Roman" w:hAnsi="Arial" w:cs="Arial"/>
          <w:color w:val="000000"/>
          <w:sz w:val="21"/>
          <w:szCs w:val="21"/>
        </w:rPr>
      </w:pPr>
      <w:r w:rsidRPr="00005969">
        <w:rPr>
          <w:rFonts w:ascii="Arial" w:eastAsia="Times New Roman" w:hAnsi="Arial" w:cs="Arial"/>
          <w:color w:val="000000"/>
          <w:sz w:val="21"/>
          <w:szCs w:val="21"/>
        </w:rPr>
        <w:t xml:space="preserve">Sobre la gravació de les proves orals: La gravació, com a mitjà de prova, de les proves orals dels processos selectius de l'entitat, amb els requisits i condicions arreplegats en la normativa aplicable sobre protecció de dades de caràcter personal, així com s'arreplegue de forma expressa en les bases reguladores del procés selectiu. </w:t>
      </w:r>
    </w:p>
    <w:p w14:paraId="379F5043" w14:textId="77777777" w:rsidR="00005969" w:rsidRPr="00005969" w:rsidRDefault="00005969" w:rsidP="00D24C9B">
      <w:pPr>
        <w:numPr>
          <w:ilvl w:val="0"/>
          <w:numId w:val="120"/>
        </w:numPr>
        <w:spacing w:after="120" w:line="276" w:lineRule="auto"/>
        <w:ind w:left="714" w:hanging="357"/>
        <w:jc w:val="both"/>
        <w:rPr>
          <w:rFonts w:ascii="Arial" w:eastAsia="Times New Roman" w:hAnsi="Arial" w:cs="Arial"/>
          <w:color w:val="000000"/>
          <w:sz w:val="21"/>
          <w:szCs w:val="21"/>
        </w:rPr>
      </w:pPr>
      <w:r w:rsidRPr="00005969">
        <w:rPr>
          <w:rFonts w:ascii="Arial" w:eastAsia="Times New Roman" w:hAnsi="Arial" w:cs="Arial"/>
          <w:color w:val="000000"/>
          <w:sz w:val="21"/>
          <w:szCs w:val="21"/>
        </w:rPr>
        <w:t>Sobre la motivació de la valoració de les proves: Detallar de forma expressa en les bases reguladores dels processos selectius els criteris de valoració de cada una de les proves selectives, amb les seues especialitats.</w:t>
      </w:r>
    </w:p>
    <w:p w14:paraId="75D6E258" w14:textId="77777777" w:rsidR="00005969" w:rsidRPr="00005969" w:rsidRDefault="00005969" w:rsidP="00D24C9B">
      <w:pPr>
        <w:numPr>
          <w:ilvl w:val="0"/>
          <w:numId w:val="120"/>
        </w:numPr>
        <w:spacing w:after="120" w:line="276" w:lineRule="auto"/>
        <w:ind w:left="714" w:hanging="357"/>
        <w:jc w:val="both"/>
        <w:rPr>
          <w:rFonts w:ascii="Arial" w:eastAsia="Times New Roman" w:hAnsi="Arial" w:cs="Arial"/>
          <w:color w:val="000000"/>
          <w:sz w:val="21"/>
          <w:szCs w:val="21"/>
        </w:rPr>
      </w:pPr>
      <w:r w:rsidRPr="00005969">
        <w:rPr>
          <w:rFonts w:ascii="Arial" w:eastAsia="Times New Roman" w:hAnsi="Arial" w:cs="Arial"/>
          <w:color w:val="000000"/>
          <w:sz w:val="21"/>
          <w:szCs w:val="21"/>
        </w:rPr>
        <w:t xml:space="preserve">Sobre les actes del tribunal de selecció: El caràcter electrònic de tots els documents que integren l'expedient. </w:t>
      </w:r>
    </w:p>
    <w:p w14:paraId="4FB63929" w14:textId="77777777" w:rsidR="00005969" w:rsidRPr="00005969" w:rsidRDefault="00005969" w:rsidP="00D24C9B">
      <w:pPr>
        <w:numPr>
          <w:ilvl w:val="0"/>
          <w:numId w:val="120"/>
        </w:numPr>
        <w:spacing w:after="240" w:line="276" w:lineRule="auto"/>
        <w:jc w:val="both"/>
        <w:rPr>
          <w:rFonts w:ascii="Arial" w:eastAsia="Times New Roman" w:hAnsi="Arial" w:cs="Arial"/>
          <w:color w:val="000000"/>
          <w:sz w:val="21"/>
          <w:szCs w:val="21"/>
        </w:rPr>
      </w:pPr>
      <w:r w:rsidRPr="00005969">
        <w:rPr>
          <w:rFonts w:ascii="Arial" w:eastAsia="Times New Roman" w:hAnsi="Arial" w:cs="Arial"/>
          <w:color w:val="000000"/>
          <w:sz w:val="21"/>
          <w:szCs w:val="21"/>
        </w:rPr>
        <w:t>Sobre altres qüestions econòmic-financeres: La inclusió dels informes preceptius de fiscalització o intervenció prèvia, en tots els expedients que comporten despesa, com a tràmit essencial en la tramitació de la despesa.</w:t>
      </w:r>
    </w:p>
    <w:p w14:paraId="1CBBC904" w14:textId="77777777" w:rsidR="00005969" w:rsidRPr="00005969" w:rsidRDefault="00005969" w:rsidP="00005969">
      <w:pPr>
        <w:spacing w:after="240" w:line="276" w:lineRule="auto"/>
        <w:jc w:val="both"/>
        <w:rPr>
          <w:rFonts w:ascii="Arial" w:eastAsia="Times New Roman" w:hAnsi="Arial" w:cs="Arial"/>
          <w:b/>
          <w:bCs/>
          <w:color w:val="000000"/>
          <w:sz w:val="21"/>
          <w:szCs w:val="21"/>
        </w:rPr>
      </w:pPr>
      <w:r w:rsidRPr="00005969">
        <w:rPr>
          <w:rFonts w:ascii="Arial" w:eastAsia="Times New Roman" w:hAnsi="Arial" w:cs="Arial"/>
          <w:b/>
          <w:bCs/>
          <w:color w:val="000000"/>
          <w:sz w:val="21"/>
          <w:szCs w:val="21"/>
        </w:rPr>
        <w:t>Fase de seguiment:</w:t>
      </w:r>
      <w:r w:rsidRPr="00005969">
        <w:rPr>
          <w:rFonts w:ascii="Arial" w:eastAsia="Times New Roman" w:hAnsi="Arial" w:cs="Arial"/>
          <w:i/>
          <w:iCs/>
          <w:color w:val="000000"/>
          <w:sz w:val="21"/>
          <w:szCs w:val="21"/>
        </w:rPr>
        <w:t xml:space="preserve"> </w:t>
      </w:r>
      <w:r w:rsidRPr="00005969">
        <w:rPr>
          <w:rFonts w:ascii="Arial" w:eastAsia="Times New Roman" w:hAnsi="Arial" w:cs="Arial"/>
          <w:color w:val="000000"/>
          <w:sz w:val="21"/>
          <w:szCs w:val="21"/>
        </w:rPr>
        <w:t>No procedeix.</w:t>
      </w:r>
    </w:p>
    <w:p w14:paraId="045FB318" w14:textId="77777777" w:rsidR="00F14438" w:rsidRPr="00F14438" w:rsidRDefault="00F14438" w:rsidP="00F14438">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51" w:name="_Toc95209082"/>
      <w:bookmarkStart w:id="252" w:name="_Toc95913874"/>
      <w:bookmarkStart w:id="253" w:name="_Toc99110757"/>
      <w:r w:rsidRPr="00F14438">
        <w:rPr>
          <w:rFonts w:ascii="Arial" w:eastAsia="Times New Roman" w:hAnsi="Arial" w:cs="Arial"/>
          <w:b/>
          <w:color w:val="9D2235"/>
          <w:sz w:val="28"/>
          <w:szCs w:val="28"/>
        </w:rPr>
        <w:t>Denominació: Ajuntament de La Yesa. Irregularitats contractuals</w:t>
      </w:r>
      <w:bookmarkEnd w:id="251"/>
      <w:bookmarkEnd w:id="252"/>
      <w:bookmarkEnd w:id="253"/>
    </w:p>
    <w:p w14:paraId="66664508" w14:textId="77777777" w:rsidR="00F14438" w:rsidRPr="00F14438" w:rsidRDefault="00F14438" w:rsidP="000E04BC">
      <w:pPr>
        <w:spacing w:after="240" w:line="276" w:lineRule="auto"/>
        <w:jc w:val="both"/>
        <w:rPr>
          <w:rFonts w:ascii="Arial" w:eastAsia="Times New Roman" w:hAnsi="Arial" w:cs="Arial"/>
          <w:color w:val="000000"/>
          <w:sz w:val="21"/>
          <w:szCs w:val="21"/>
        </w:rPr>
      </w:pPr>
      <w:r w:rsidRPr="00F14438">
        <w:rPr>
          <w:rFonts w:ascii="Arial" w:eastAsia="Times New Roman" w:hAnsi="Arial" w:cs="Arial"/>
          <w:b/>
          <w:bCs/>
          <w:color w:val="000000"/>
          <w:sz w:val="21"/>
          <w:szCs w:val="21"/>
        </w:rPr>
        <w:t>Expedient</w:t>
      </w:r>
      <w:r w:rsidRPr="00F14438">
        <w:rPr>
          <w:rFonts w:ascii="Arial" w:eastAsia="Times New Roman" w:hAnsi="Arial" w:cs="Arial"/>
          <w:color w:val="000000"/>
          <w:sz w:val="21"/>
          <w:szCs w:val="21"/>
        </w:rPr>
        <w:t>: 2020/G01_01/000324 - Acumulat 2020/G01_01/000325</w:t>
      </w:r>
    </w:p>
    <w:p w14:paraId="4901DD0D" w14:textId="77777777" w:rsidR="00F14438" w:rsidRPr="00F14438" w:rsidRDefault="00F14438" w:rsidP="00F14438">
      <w:pPr>
        <w:spacing w:after="240" w:line="276" w:lineRule="auto"/>
        <w:rPr>
          <w:rFonts w:ascii="Arial" w:eastAsia="Times New Roman" w:hAnsi="Arial" w:cs="Arial"/>
          <w:sz w:val="18"/>
          <w:szCs w:val="18"/>
          <w:lang w:eastAsia="es-ES"/>
        </w:rPr>
      </w:pPr>
      <w:r w:rsidRPr="00F14438">
        <w:rPr>
          <w:rFonts w:ascii="Arial" w:eastAsia="Times New Roman" w:hAnsi="Arial" w:cs="Arial"/>
          <w:b/>
          <w:bCs/>
          <w:sz w:val="21"/>
          <w:szCs w:val="21"/>
        </w:rPr>
        <w:t>Enllaç a la publicació:</w:t>
      </w:r>
      <w:r w:rsidRPr="00F14438">
        <w:rPr>
          <w:rFonts w:ascii="Arial" w:eastAsia="Times New Roman" w:hAnsi="Arial" w:cs="Arial"/>
          <w:b/>
          <w:bCs/>
          <w:sz w:val="21"/>
          <w:szCs w:val="21"/>
        </w:rPr>
        <w:br/>
      </w:r>
      <w:hyperlink r:id="rId454" w:history="1">
        <w:r w:rsidRPr="00F14438">
          <w:rPr>
            <w:rFonts w:ascii="Arial" w:eastAsia="Times New Roman" w:hAnsi="Arial" w:cs="Arial"/>
            <w:color w:val="000080"/>
            <w:sz w:val="18"/>
            <w:szCs w:val="18"/>
            <w:u w:val="single"/>
            <w:lang w:eastAsia="es-ES"/>
          </w:rPr>
          <w:t>https://www.antifraucv.es/wp-content/uploads/2021/07/20210615-AJUNTAMENT_DE_LA-YESA.pdf</w:t>
        </w:r>
      </w:hyperlink>
    </w:p>
    <w:p w14:paraId="69E99BCB" w14:textId="77777777" w:rsidR="00F14438" w:rsidRP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b/>
          <w:bCs/>
          <w:color w:val="000000"/>
          <w:sz w:val="21"/>
          <w:szCs w:val="21"/>
        </w:rPr>
        <w:t>Descripció</w:t>
      </w:r>
      <w:r w:rsidRPr="00F14438">
        <w:rPr>
          <w:rFonts w:ascii="Arial" w:eastAsia="Times New Roman" w:hAnsi="Arial" w:cs="Arial"/>
          <w:color w:val="000000"/>
          <w:sz w:val="21"/>
          <w:szCs w:val="21"/>
        </w:rPr>
        <w:t xml:space="preserve">: Es denuncia, la possible existència d'irregularitats en la licitació del contracte de concessió de servicis per procediment obert, per a l'explotació del bar municipal de La Yesa. </w:t>
      </w:r>
    </w:p>
    <w:p w14:paraId="420AB541" w14:textId="77777777" w:rsidR="00F14438" w:rsidRP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S'ha verificat en la fase d'investigació que:</w:t>
      </w:r>
    </w:p>
    <w:p w14:paraId="2FD857C7" w14:textId="4DC8BAD7" w:rsidR="00F14438" w:rsidRPr="00F14438" w:rsidRDefault="00F14438" w:rsidP="00D24C9B">
      <w:pPr>
        <w:numPr>
          <w:ilvl w:val="0"/>
          <w:numId w:val="121"/>
        </w:numPr>
        <w:spacing w:after="120" w:line="276" w:lineRule="auto"/>
        <w:ind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En relació amb l'Expedient núm</w:t>
      </w:r>
      <w:r w:rsidR="00B97862">
        <w:rPr>
          <w:rFonts w:ascii="Arial" w:eastAsia="Times New Roman" w:hAnsi="Arial" w:cs="Arial"/>
          <w:color w:val="000000"/>
          <w:sz w:val="21"/>
          <w:szCs w:val="21"/>
        </w:rPr>
        <w:t>.</w:t>
      </w:r>
      <w:r w:rsidRPr="00F14438">
        <w:rPr>
          <w:rFonts w:ascii="Arial" w:eastAsia="Times New Roman" w:hAnsi="Arial" w:cs="Arial"/>
          <w:color w:val="000000"/>
          <w:sz w:val="21"/>
          <w:szCs w:val="21"/>
        </w:rPr>
        <w:t xml:space="preserve"> 52/2019, pel qual s'ha va procedir a licitar el contracte de concessió de servicis per procediment obert, per a l'explotació del bar municipal de La Yesa, s'ha comprovat que el mateix va sofrir de les següents irregularitats administratives:</w:t>
      </w:r>
    </w:p>
    <w:p w14:paraId="19AC4CFB" w14:textId="77777777" w:rsidR="00F14438" w:rsidRPr="00F14438" w:rsidRDefault="00F14438" w:rsidP="00F14438">
      <w:pPr>
        <w:numPr>
          <w:ilvl w:val="0"/>
          <w:numId w:val="83"/>
        </w:numPr>
        <w:spacing w:after="120" w:line="276" w:lineRule="auto"/>
        <w:ind w:left="1418"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 xml:space="preserve">No consta informe del funcionari que exerceix les funcions de Secretaria, el qual deu emetre's amb caràcter preceptiu prèviament a l'aprovació de l'Expedient de contractació, tal com establix la Disposició addicional tercera de la Llei 9/2017. </w:t>
      </w:r>
    </w:p>
    <w:p w14:paraId="0211EAF1" w14:textId="77777777" w:rsidR="00F14438" w:rsidRPr="00F14438" w:rsidRDefault="00F14438" w:rsidP="00F14438">
      <w:pPr>
        <w:numPr>
          <w:ilvl w:val="0"/>
          <w:numId w:val="83"/>
        </w:numPr>
        <w:spacing w:after="120" w:line="276" w:lineRule="auto"/>
        <w:ind w:left="1418"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El termini concedit per a la presentació d'ofertes, una vegada publicat l'anunci de licitació en la Plataforma de Contractació del Sector Públic, va ser de 15 dies naturals, termini que contravé l'apartat 6 de l'article 156 de la Llei 9/2017, de 8 de novembre, que establix un termini no inferior a 26 dies per a la presentació d'ofertes quan el contracte es referix a una concessió de servicis.</w:t>
      </w:r>
    </w:p>
    <w:p w14:paraId="046EC40B" w14:textId="77777777" w:rsidR="00F14438" w:rsidRPr="00F14438" w:rsidRDefault="00F14438" w:rsidP="00D24C9B">
      <w:pPr>
        <w:numPr>
          <w:ilvl w:val="0"/>
          <w:numId w:val="121"/>
        </w:numPr>
        <w:spacing w:after="120" w:line="276" w:lineRule="auto"/>
        <w:ind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 xml:space="preserve">L'anterior contracte va ser resolt en data 9 de juliol de 2020, per renúncia expressa de l'adjudicatari. Mentre es preparava la tramitació del nou expedient, es va procedir a realitzar una adjudicació directa pel termini de 3 mesos, motivada en la peculiaritat del bé objecte d'arrendament, l'explotació de què és objecte el mateix i la imprevisible renúncia de l'adjudicatari. </w:t>
      </w:r>
    </w:p>
    <w:p w14:paraId="28639F16" w14:textId="46A54F91" w:rsidR="00F14438" w:rsidRPr="00F14438" w:rsidRDefault="00F14438" w:rsidP="00D24C9B">
      <w:pPr>
        <w:numPr>
          <w:ilvl w:val="0"/>
          <w:numId w:val="121"/>
        </w:numPr>
        <w:spacing w:after="120" w:line="276" w:lineRule="auto"/>
        <w:ind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El contracte va tornar a licitar-se per mitjà de la tramitació de l'expedient núm</w:t>
      </w:r>
      <w:r w:rsidR="00B97862">
        <w:rPr>
          <w:rFonts w:ascii="Arial" w:eastAsia="Times New Roman" w:hAnsi="Arial" w:cs="Arial"/>
          <w:color w:val="000000"/>
          <w:sz w:val="21"/>
          <w:szCs w:val="21"/>
        </w:rPr>
        <w:t>.</w:t>
      </w:r>
      <w:r w:rsidRPr="00F14438">
        <w:rPr>
          <w:rFonts w:ascii="Arial" w:eastAsia="Times New Roman" w:hAnsi="Arial" w:cs="Arial"/>
          <w:color w:val="000000"/>
          <w:sz w:val="21"/>
          <w:szCs w:val="21"/>
        </w:rPr>
        <w:t xml:space="preserve"> 503016J, en relació amb el qual s'ha detectat que es va tramitar per mitjà d'un procediment obert simplificat, quan este procediment no és aplicable als contractes de concessió de servicis, de conformitat amb el que establix l'article 159.1 de la Llei 9/2017.</w:t>
      </w:r>
    </w:p>
    <w:p w14:paraId="10DAC53C" w14:textId="0B6EEB70" w:rsidR="00F14438" w:rsidRPr="00F14438" w:rsidRDefault="00F14438" w:rsidP="00D24C9B">
      <w:pPr>
        <w:numPr>
          <w:ilvl w:val="0"/>
          <w:numId w:val="121"/>
        </w:numPr>
        <w:spacing w:after="120" w:line="276" w:lineRule="auto"/>
        <w:ind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Així mateix, en l'estudi de l'</w:t>
      </w:r>
      <w:r w:rsidR="00B97862">
        <w:rPr>
          <w:rFonts w:ascii="Arial" w:eastAsia="Times New Roman" w:hAnsi="Arial" w:cs="Arial"/>
          <w:color w:val="000000"/>
          <w:sz w:val="21"/>
          <w:szCs w:val="21"/>
        </w:rPr>
        <w:t>e</w:t>
      </w:r>
      <w:r w:rsidRPr="00F14438">
        <w:rPr>
          <w:rFonts w:ascii="Arial" w:eastAsia="Times New Roman" w:hAnsi="Arial" w:cs="Arial"/>
          <w:color w:val="000000"/>
          <w:sz w:val="21"/>
          <w:szCs w:val="21"/>
        </w:rPr>
        <w:t>xpedient nú</w:t>
      </w:r>
      <w:r w:rsidR="00B97862">
        <w:rPr>
          <w:rFonts w:ascii="Arial" w:eastAsia="Times New Roman" w:hAnsi="Arial" w:cs="Arial"/>
          <w:color w:val="000000"/>
          <w:sz w:val="21"/>
          <w:szCs w:val="21"/>
        </w:rPr>
        <w:t>m.</w:t>
      </w:r>
      <w:r w:rsidRPr="00F14438">
        <w:rPr>
          <w:rFonts w:ascii="Arial" w:eastAsia="Times New Roman" w:hAnsi="Arial" w:cs="Arial"/>
          <w:color w:val="000000"/>
          <w:sz w:val="21"/>
          <w:szCs w:val="21"/>
        </w:rPr>
        <w:t xml:space="preserve"> 503016J i, en concret, de l'anàlisi dels plecs de clàusules administratives particulars que obren en el mateix, s'han detectat les següents irregularitats, que contradiuen la regulació que del procediment obert simplificat establix l'article 159 de la LCSP:</w:t>
      </w:r>
    </w:p>
    <w:p w14:paraId="33CD4682" w14:textId="77777777" w:rsidR="00F14438" w:rsidRPr="00F14438" w:rsidRDefault="00F14438" w:rsidP="00F14438">
      <w:pPr>
        <w:numPr>
          <w:ilvl w:val="0"/>
          <w:numId w:val="83"/>
        </w:numPr>
        <w:spacing w:after="120" w:line="276" w:lineRule="auto"/>
        <w:ind w:left="1418"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 xml:space="preserve">Els criteris d'adjudicació previstos en el plec la ponderació del qual depèn d'un juí de valor, suposen un seixanta per cent del total, quan l'esmentat article 159 de la LCSP establix que, d'haver-los, la seua ponderació no pot superar el vint-i-cinc per cent del total, excepte en el cas que el contracte tinga com a objecte prestacions de caràcter intel·lectual, com els servicis d'enginyeria i arquitectura, en que la seua ponderació no podrà superar el quaranta-cinc per cent del total. </w:t>
      </w:r>
    </w:p>
    <w:p w14:paraId="6516B1CB" w14:textId="77777777" w:rsidR="00F14438" w:rsidRPr="00F14438" w:rsidRDefault="00F14438" w:rsidP="00F14438">
      <w:pPr>
        <w:numPr>
          <w:ilvl w:val="0"/>
          <w:numId w:val="83"/>
        </w:numPr>
        <w:spacing w:after="120" w:line="276" w:lineRule="auto"/>
        <w:ind w:left="1418"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El PCAP establix que les proposicions es presentaran en el Registre de l'Ajuntament, però després indica que podran presentar-se en qualsevol dels llocs establerts en l'article 16.4 de la Llei 39/2015, d'1 d'octubre, del Procediment Administratiu Comú de les Administracions Públiques. Esta qüestió és contrària al que establix article 159.4 c) de la LCSP, que indica que “les proposicions hauran de presentar-se necessària i únicament en el registre indicat a l’anunci de licitació”.</w:t>
      </w:r>
    </w:p>
    <w:p w14:paraId="32AFA2A9" w14:textId="77777777" w:rsidR="00F14438" w:rsidRPr="00F14438" w:rsidRDefault="00F14438" w:rsidP="00F14438">
      <w:pPr>
        <w:numPr>
          <w:ilvl w:val="0"/>
          <w:numId w:val="83"/>
        </w:numPr>
        <w:spacing w:after="120" w:line="276" w:lineRule="auto"/>
        <w:ind w:left="1418"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 xml:space="preserve">El PCAP establix que les proposicions per a prendre part en la licitació es presentaran en tres sobres tancats, quan l'article 159.4 d) de la LCSP establix que com a màxim es presentaran en 2 sobres. </w:t>
      </w:r>
    </w:p>
    <w:p w14:paraId="16FFEA64" w14:textId="77777777" w:rsidR="00F14438" w:rsidRPr="00F14438" w:rsidRDefault="00F14438" w:rsidP="00F14438">
      <w:pPr>
        <w:numPr>
          <w:ilvl w:val="0"/>
          <w:numId w:val="83"/>
        </w:numPr>
        <w:spacing w:after="120" w:line="276" w:lineRule="auto"/>
        <w:ind w:left="1418"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 xml:space="preserve">El PCAP establix que la Taula, per a la valoració de les proposicions, podrà sol·licitar quants informes tècnics considere precisos, però l'article 159.4 e) de la LCSP determina que és obligatori l'informe tècnic quan hi ha criteris avaluables que depenen d'un juí de valor. </w:t>
      </w:r>
    </w:p>
    <w:p w14:paraId="72CFAC42" w14:textId="77777777" w:rsidR="00F14438" w:rsidRPr="00F14438" w:rsidRDefault="00F14438" w:rsidP="00F14438">
      <w:pPr>
        <w:numPr>
          <w:ilvl w:val="0"/>
          <w:numId w:val="83"/>
        </w:numPr>
        <w:spacing w:after="120" w:line="276" w:lineRule="auto"/>
        <w:ind w:left="1418"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El PCAP no fa menció de la inscripció dels licitadors en el Registre Oficial de Licitadors i Empreses Classificades, qüestió que s'establix com obligatòria per a tots els licitadors que es presenten a licitacions realitzades a través d'este procediment simplificat en l'article 159.4 a) de la LCSP.</w:t>
      </w:r>
    </w:p>
    <w:p w14:paraId="24104714" w14:textId="77777777" w:rsidR="00F14438" w:rsidRPr="00F14438" w:rsidRDefault="00F14438" w:rsidP="00D24C9B">
      <w:pPr>
        <w:numPr>
          <w:ilvl w:val="0"/>
          <w:numId w:val="121"/>
        </w:numPr>
        <w:spacing w:after="24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L'Ajuntament de la Yesa, ha manifestat en l'escrit d'al·legacions presentat a l'informe provisional d'investigació, que les irregularitats detectades en la instrucció del present expedient es corresponen amb errors administratius fruit del desconeixement de determinats preceptes de la LCSP, de la rapidesa en la tramitació dels expedients i de la situació dels servicis administratius municipals amb els que es compte. Així mateix, es manifesta que en cap cas s'ha pretès ni s'ha dut a terme cap conducta de frau.</w:t>
      </w:r>
    </w:p>
    <w:p w14:paraId="1F83A1B6" w14:textId="77777777" w:rsidR="00F14438" w:rsidRP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b/>
          <w:bCs/>
          <w:color w:val="000000"/>
          <w:sz w:val="21"/>
          <w:szCs w:val="21"/>
        </w:rPr>
        <w:t>Resultat</w:t>
      </w:r>
      <w:r w:rsidRPr="00F14438">
        <w:rPr>
          <w:rFonts w:ascii="Arial" w:eastAsia="Times New Roman" w:hAnsi="Arial" w:cs="Arial"/>
          <w:color w:val="000000"/>
          <w:sz w:val="21"/>
          <w:szCs w:val="21"/>
        </w:rPr>
        <w:t>: Es finalitza l’expedient amb les següents recomanacions:</w:t>
      </w:r>
    </w:p>
    <w:p w14:paraId="17DF759F" w14:textId="123E2C7E" w:rsidR="00F14438" w:rsidRPr="00F14438" w:rsidRDefault="00F14438" w:rsidP="00D24C9B">
      <w:pPr>
        <w:numPr>
          <w:ilvl w:val="0"/>
          <w:numId w:val="122"/>
        </w:numPr>
        <w:spacing w:after="120" w:line="276" w:lineRule="auto"/>
        <w:ind w:left="714"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Procedir a iniciar la revisió d'ofici de l'acte d'adjudicació del procediment obert simplificat, per mitjà del qual es va adjudicar en data 20 d'octubre de 2020 el contracte de concessió del servici de gestió del bar municipal a la senyora Olga Argentina Ramos (Expedient núm</w:t>
      </w:r>
      <w:r w:rsidR="00B97862">
        <w:rPr>
          <w:rFonts w:ascii="Arial" w:eastAsia="Times New Roman" w:hAnsi="Arial" w:cs="Arial"/>
          <w:color w:val="000000"/>
          <w:sz w:val="21"/>
          <w:szCs w:val="21"/>
        </w:rPr>
        <w:t>.</w:t>
      </w:r>
      <w:r w:rsidRPr="00F14438">
        <w:rPr>
          <w:rFonts w:ascii="Arial" w:eastAsia="Times New Roman" w:hAnsi="Arial" w:cs="Arial"/>
          <w:color w:val="000000"/>
          <w:sz w:val="21"/>
          <w:szCs w:val="21"/>
        </w:rPr>
        <w:t xml:space="preserve"> 503016J) . Això per existir una possible causa de nul·litat a l'haver-se utilitzat el procediment de contractació obert simplificat, el qual no està permès per la Llei 9/2017, de 8 de novembre, de Contractes del Sector Públic, per als contractes de concessió de servicis. </w:t>
      </w:r>
    </w:p>
    <w:p w14:paraId="72B01892" w14:textId="77777777" w:rsidR="00F14438" w:rsidRPr="00F14438" w:rsidRDefault="00F14438" w:rsidP="00D24C9B">
      <w:pPr>
        <w:numPr>
          <w:ilvl w:val="0"/>
          <w:numId w:val="122"/>
        </w:numPr>
        <w:spacing w:after="24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Procedir a remetre a l'Agència Valenciana Antifrau, en el termini de 2 mesos, un pla d'implementació de la recomanació anterior, en el que s'indiquen les dates aproximades de les actuacions a realitzar per l'entitat local.</w:t>
      </w:r>
    </w:p>
    <w:p w14:paraId="18640332" w14:textId="68AB81A3" w:rsidR="00E83731" w:rsidRP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b/>
          <w:bCs/>
          <w:color w:val="000000"/>
          <w:sz w:val="21"/>
          <w:szCs w:val="21"/>
        </w:rPr>
        <w:t>Fase de seguiment:</w:t>
      </w:r>
      <w:r w:rsidRPr="00F14438">
        <w:rPr>
          <w:rFonts w:ascii="Arial" w:eastAsia="Times New Roman" w:hAnsi="Arial" w:cs="Arial"/>
          <w:color w:val="000000"/>
          <w:sz w:val="21"/>
          <w:szCs w:val="21"/>
        </w:rPr>
        <w:t xml:space="preserve"> Per part de l'Ajuntament de la Yesa, s'ha proposat no prorrogar el contracte actual de concessió del servici de gestió del bar municipal al finalitzar el primer any de prestació i iniciar una nova licitació d'acord amb la normativa a la vista de les irregularitats posades de manifest. S'ha finalitzat la Fase de seguiment amb l'acceptació de les recomanacions amb l'alternativa proposada.</w:t>
      </w:r>
    </w:p>
    <w:p w14:paraId="13B5B0CD" w14:textId="77777777" w:rsidR="00F14438" w:rsidRPr="00F14438" w:rsidRDefault="00F14438" w:rsidP="000A732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54" w:name="_Toc95209083"/>
      <w:bookmarkStart w:id="255" w:name="_Toc95913875"/>
      <w:bookmarkStart w:id="256" w:name="_Toc99110758"/>
      <w:r w:rsidRPr="00F14438">
        <w:rPr>
          <w:rFonts w:ascii="Arial" w:eastAsia="Times New Roman" w:hAnsi="Arial" w:cs="Arial"/>
          <w:b/>
          <w:color w:val="9D2235"/>
          <w:sz w:val="28"/>
          <w:szCs w:val="28"/>
        </w:rPr>
        <w:t>Denominació: Conselleria d’Agricultura. Direcció General Desenvolupament Rural i Política Agrària Comuna (PAC)</w:t>
      </w:r>
      <w:bookmarkEnd w:id="254"/>
      <w:bookmarkEnd w:id="255"/>
      <w:bookmarkEnd w:id="256"/>
    </w:p>
    <w:p w14:paraId="3C4C549B" w14:textId="77777777" w:rsidR="00F14438" w:rsidRPr="00F14438" w:rsidRDefault="00F14438" w:rsidP="000E04BC">
      <w:pPr>
        <w:spacing w:after="240" w:line="276" w:lineRule="auto"/>
        <w:jc w:val="both"/>
        <w:rPr>
          <w:rFonts w:ascii="Arial" w:eastAsia="Times New Roman" w:hAnsi="Arial" w:cs="Arial"/>
          <w:color w:val="000000"/>
          <w:sz w:val="21"/>
          <w:szCs w:val="21"/>
        </w:rPr>
      </w:pPr>
      <w:r w:rsidRPr="00F14438">
        <w:rPr>
          <w:rFonts w:ascii="Arial" w:eastAsia="Times New Roman" w:hAnsi="Arial" w:cs="Arial"/>
          <w:b/>
          <w:bCs/>
          <w:color w:val="000000"/>
          <w:sz w:val="21"/>
          <w:szCs w:val="21"/>
        </w:rPr>
        <w:t>Expedient</w:t>
      </w:r>
      <w:r w:rsidRPr="00F14438">
        <w:rPr>
          <w:rFonts w:ascii="Arial" w:eastAsia="Times New Roman" w:hAnsi="Arial" w:cs="Arial"/>
          <w:color w:val="000000"/>
          <w:sz w:val="21"/>
          <w:szCs w:val="21"/>
        </w:rPr>
        <w:t>: 2020/G01_01/000088</w:t>
      </w:r>
    </w:p>
    <w:p w14:paraId="1B616F1D" w14:textId="77777777" w:rsidR="000A7329" w:rsidRPr="000A7329" w:rsidRDefault="000A7329" w:rsidP="000A7329">
      <w:pPr>
        <w:spacing w:after="240" w:line="276" w:lineRule="auto"/>
        <w:rPr>
          <w:rFonts w:ascii="Arial" w:eastAsia="Times New Roman" w:hAnsi="Arial" w:cs="Arial"/>
          <w:sz w:val="17"/>
          <w:szCs w:val="17"/>
          <w:lang w:eastAsia="es-ES"/>
        </w:rPr>
      </w:pPr>
      <w:r w:rsidRPr="000A7329">
        <w:rPr>
          <w:rFonts w:ascii="Arial" w:eastAsia="Times New Roman" w:hAnsi="Arial" w:cs="Arial"/>
          <w:b/>
          <w:bCs/>
          <w:sz w:val="21"/>
          <w:szCs w:val="21"/>
        </w:rPr>
        <w:t>Enllaç a la publicació:</w:t>
      </w:r>
      <w:r w:rsidRPr="000A7329">
        <w:rPr>
          <w:rFonts w:ascii="Arial" w:eastAsia="Times New Roman" w:hAnsi="Arial" w:cs="Arial"/>
          <w:b/>
          <w:bCs/>
          <w:sz w:val="21"/>
          <w:szCs w:val="21"/>
        </w:rPr>
        <w:br/>
      </w:r>
      <w:hyperlink r:id="rId455" w:history="1">
        <w:r w:rsidRPr="000A7329">
          <w:rPr>
            <w:rFonts w:ascii="Arial" w:eastAsia="Times New Roman" w:hAnsi="Arial" w:cs="Arial"/>
            <w:color w:val="000080"/>
            <w:sz w:val="17"/>
            <w:szCs w:val="17"/>
            <w:u w:val="single"/>
            <w:lang w:eastAsia="es-ES"/>
          </w:rPr>
          <w:t>https://www.antifraucv.es/wp-content/uploads/2021/07/20210616_CONSELLERIA_DE_AGRICULTURA.pdf</w:t>
        </w:r>
      </w:hyperlink>
    </w:p>
    <w:p w14:paraId="30039C62" w14:textId="77777777" w:rsidR="00F14438" w:rsidRP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b/>
          <w:bCs/>
          <w:color w:val="000000"/>
          <w:sz w:val="21"/>
          <w:szCs w:val="21"/>
        </w:rPr>
        <w:t>Descripció</w:t>
      </w:r>
      <w:r w:rsidRPr="00F14438">
        <w:rPr>
          <w:rFonts w:ascii="Arial" w:eastAsia="Times New Roman" w:hAnsi="Arial" w:cs="Arial"/>
          <w:color w:val="000000"/>
          <w:sz w:val="21"/>
          <w:szCs w:val="21"/>
        </w:rPr>
        <w:t xml:space="preserve">: Es denuncia en particular, que la Direcció General de Desenvolupament Rural i PAC, depenent de la Conselleria d'Agricultura podria haver concedit el pagament d'una subvenció inicialment denegada, per incompliment dels requisits establerts en les bases de la seua concessió. </w:t>
      </w:r>
    </w:p>
    <w:p w14:paraId="15932B7A" w14:textId="77777777" w:rsidR="00F14438" w:rsidRP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De l'estudi detallat de la documentació que consta en l'expedient i l'obtinguda en fonts obertes es va constatar que:</w:t>
      </w:r>
    </w:p>
    <w:p w14:paraId="49F7B2EC" w14:textId="77777777" w:rsidR="00F14438" w:rsidRPr="00F14438" w:rsidRDefault="00F14438" w:rsidP="00D24C9B">
      <w:pPr>
        <w:numPr>
          <w:ilvl w:val="0"/>
          <w:numId w:val="123"/>
        </w:numPr>
        <w:spacing w:after="12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Respecte al fet primer dels de la denúncia, resulta acreditat que la sol·licitud de pagament de l'anualitat 2012 no va ser registrada d'entrada en cap registre oficial, mentre que la sol·licitud de pagament 2013 sí que hauria sigut registrada en el registre del GAL Portmader en data 13 de setembre de 2013, encara que hauria sigut remesa a la Conselleria un mes després, tal com acredita la data del registre d'eixida.</w:t>
      </w:r>
    </w:p>
    <w:p w14:paraId="3E97EC24" w14:textId="77777777" w:rsidR="00F14438" w:rsidRPr="00F14438" w:rsidRDefault="00F14438" w:rsidP="00D24C9B">
      <w:pPr>
        <w:numPr>
          <w:ilvl w:val="0"/>
          <w:numId w:val="123"/>
        </w:numPr>
        <w:spacing w:after="12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Respecte al fet segon, de l'anàlisi dels documents digitalitzats, es constata, efectivament, que va transcórrer 1 mes, aspecte singular d'esta sol·licitud, des de la data en què la sol·licitud de pagament 2013 va ser registrada d'entrada en el GAL Portmader (13-09-2013) i fins que el dit organisme va procedir a la seua remissió a la Conselleria a través de l'OFISAM de Morella (14-10-2013), la qual cosa, en efecte, va suposar un incompliment del termini màxim de 5 dies hàbils establit per a traslladar a la Conselleria de la sol·licitud de pagament, tal com establia l'Ordre 36/2010, de 26 d'octubre de 2010, de la Conselleria d'Agricultura, Pesca i Alimentació, per la qual s'aproven les bases de les ajudes RURALTER-Leader.</w:t>
      </w:r>
    </w:p>
    <w:p w14:paraId="654AE3D6" w14:textId="77777777" w:rsidR="00F14438" w:rsidRPr="00F14438" w:rsidRDefault="00F14438" w:rsidP="00D24C9B">
      <w:pPr>
        <w:numPr>
          <w:ilvl w:val="0"/>
          <w:numId w:val="123"/>
        </w:numPr>
        <w:spacing w:after="12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 xml:space="preserve">S'han localitzat en l'Expedient fins a tres certificacions de final d'obra, suportades en tres documents físics diferents. </w:t>
      </w:r>
    </w:p>
    <w:p w14:paraId="051382E1" w14:textId="77777777" w:rsidR="00F14438" w:rsidRPr="00F14438" w:rsidRDefault="00F14438" w:rsidP="000A7329">
      <w:pPr>
        <w:spacing w:after="120" w:line="276" w:lineRule="auto"/>
        <w:ind w:left="709"/>
        <w:jc w:val="both"/>
        <w:rPr>
          <w:rFonts w:ascii="Arial" w:eastAsia="Times New Roman" w:hAnsi="Arial" w:cs="Arial"/>
          <w:color w:val="000000"/>
          <w:sz w:val="21"/>
          <w:szCs w:val="21"/>
        </w:rPr>
      </w:pPr>
      <w:r w:rsidRPr="00F14438">
        <w:rPr>
          <w:rFonts w:ascii="Arial" w:eastAsia="Times New Roman" w:hAnsi="Arial" w:cs="Arial"/>
          <w:color w:val="000000"/>
          <w:sz w:val="21"/>
          <w:szCs w:val="21"/>
        </w:rPr>
        <w:t>Sense que existisca justificació per a això, i sense que per a la Conselleria ni per a l'Advocacia de la Generalitat Valenciana tinga possibles repercussions per a la tramitació de l'expedient administratiu.</w:t>
      </w:r>
    </w:p>
    <w:p w14:paraId="5890A80F" w14:textId="77777777" w:rsidR="00F14438" w:rsidRPr="00F14438" w:rsidRDefault="00F14438" w:rsidP="00D24C9B">
      <w:pPr>
        <w:numPr>
          <w:ilvl w:val="0"/>
          <w:numId w:val="123"/>
        </w:numPr>
        <w:spacing w:after="12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 xml:space="preserve">S'han localitzat en l'Expedient fins a dos certificats d'estar al corrent d'obligacions tributàries, suportades en dos documents físics diferents. </w:t>
      </w:r>
    </w:p>
    <w:p w14:paraId="5EDC97E7" w14:textId="77777777" w:rsidR="00F14438" w:rsidRPr="00F14438" w:rsidRDefault="00F14438" w:rsidP="000A7329">
      <w:pPr>
        <w:spacing w:after="120" w:line="276" w:lineRule="auto"/>
        <w:ind w:left="709"/>
        <w:jc w:val="both"/>
        <w:rPr>
          <w:rFonts w:ascii="Arial" w:eastAsia="Times New Roman" w:hAnsi="Arial" w:cs="Arial"/>
          <w:color w:val="000000"/>
          <w:sz w:val="21"/>
          <w:szCs w:val="21"/>
        </w:rPr>
      </w:pPr>
      <w:r w:rsidRPr="00F14438">
        <w:rPr>
          <w:rFonts w:ascii="Arial" w:eastAsia="Times New Roman" w:hAnsi="Arial" w:cs="Arial"/>
          <w:color w:val="000000"/>
          <w:sz w:val="21"/>
          <w:szCs w:val="21"/>
        </w:rPr>
        <w:t>Sense que existisca justificació per a això, i sense que per a la Conselleria ni per a l'Advocacia de la Generalitat Valenciana tinga possibles repercussions per a la tramitació de l'expedient administratiu.</w:t>
      </w:r>
    </w:p>
    <w:p w14:paraId="4FBC5561" w14:textId="77777777" w:rsidR="00F14438" w:rsidRPr="00F14438" w:rsidRDefault="00F14438" w:rsidP="00D24C9B">
      <w:pPr>
        <w:numPr>
          <w:ilvl w:val="0"/>
          <w:numId w:val="123"/>
        </w:numPr>
        <w:spacing w:after="24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S'han localitzat en l'expedient i en dependències administratives fins a tres sol·licituds de pagament de l'anualitat 2012, suportades en tres documents físics diferents, sent criteri de l'Advocacia de la Generalitat considerar que les sol·licituds que obren en l'expedient de la Conselleria acreditarien una correcta estimació del recurs de reposició, sense entrar a valorar, les incongruències que resulten del visionat dels propis documents, i sense entrar a analitzar, els documents que es troben en poder dels registres físics del GAL. Havent basat la seua argumentació l'Advocacia, en una revisió formal documental sense qüestionar-se l'existència de diversos documents i la seua possible manipulació, amb les conseqüències d'això.</w:t>
      </w:r>
    </w:p>
    <w:p w14:paraId="072449A0" w14:textId="77777777" w:rsidR="00F14438" w:rsidRP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b/>
          <w:bCs/>
          <w:color w:val="000000"/>
          <w:sz w:val="21"/>
          <w:szCs w:val="21"/>
        </w:rPr>
        <w:t>Resultat</w:t>
      </w:r>
      <w:r w:rsidRPr="00F14438">
        <w:rPr>
          <w:rFonts w:ascii="Arial" w:eastAsia="Times New Roman" w:hAnsi="Arial" w:cs="Arial"/>
          <w:color w:val="000000"/>
          <w:sz w:val="21"/>
          <w:szCs w:val="21"/>
        </w:rPr>
        <w:t>: Es finalitza l’expedient amb la elevació de recomanacions:</w:t>
      </w:r>
    </w:p>
    <w:p w14:paraId="16293B5F" w14:textId="77777777" w:rsidR="00F14438" w:rsidRP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Procedir a implementar les mesures que corresponguen, amb vista a assegurar el compliment de la normativa administrativa en matèria de procediment administratiu per a la concessió de subvencions, en particular:</w:t>
      </w:r>
    </w:p>
    <w:p w14:paraId="46D7607C" w14:textId="77777777" w:rsidR="00F14438" w:rsidRPr="00F14438" w:rsidRDefault="00F14438" w:rsidP="00D24C9B">
      <w:pPr>
        <w:numPr>
          <w:ilvl w:val="0"/>
          <w:numId w:val="124"/>
        </w:numPr>
        <w:spacing w:after="120" w:line="276" w:lineRule="auto"/>
        <w:ind w:left="714" w:hanging="357"/>
        <w:jc w:val="both"/>
        <w:rPr>
          <w:rFonts w:ascii="Arial" w:eastAsia="Times New Roman" w:hAnsi="Arial" w:cs="Arial"/>
          <w:color w:val="000000"/>
          <w:sz w:val="21"/>
          <w:szCs w:val="21"/>
        </w:rPr>
      </w:pPr>
      <w:r w:rsidRPr="00F14438">
        <w:rPr>
          <w:rFonts w:ascii="Arial" w:eastAsia="Times New Roman" w:hAnsi="Arial" w:cs="Arial"/>
          <w:color w:val="000000"/>
          <w:sz w:val="21"/>
          <w:szCs w:val="21"/>
        </w:rPr>
        <w:t xml:space="preserve">Establir protocols, procediments o mecanismes de treball que permeten la tramitació de les subvencions de forma íntegrament electrònica, de manera que es garantisquen els principis inspiradors del procediment administratiu comú, evitant situacions com la investigada en el present expedient, en el que es troben diferents versions en paper d'un mateix document. </w:t>
      </w:r>
    </w:p>
    <w:p w14:paraId="4F9D5EFF" w14:textId="77777777" w:rsidR="00F14438" w:rsidRPr="00F14438" w:rsidRDefault="00F14438" w:rsidP="00D24C9B">
      <w:pPr>
        <w:numPr>
          <w:ilvl w:val="0"/>
          <w:numId w:val="124"/>
        </w:numPr>
        <w:spacing w:after="240" w:line="276" w:lineRule="auto"/>
        <w:jc w:val="both"/>
        <w:rPr>
          <w:rFonts w:ascii="Arial" w:eastAsia="Times New Roman" w:hAnsi="Arial" w:cs="Arial"/>
          <w:color w:val="000000"/>
          <w:sz w:val="21"/>
          <w:szCs w:val="21"/>
        </w:rPr>
      </w:pPr>
      <w:r w:rsidRPr="00F14438">
        <w:rPr>
          <w:rFonts w:ascii="Arial" w:eastAsia="Times New Roman" w:hAnsi="Arial" w:cs="Arial"/>
          <w:color w:val="000000"/>
          <w:sz w:val="21"/>
          <w:szCs w:val="21"/>
        </w:rPr>
        <w:t>Establir mecanismes que garantisquen el registre electrònic en tots els ens col·laboradors, com els Grups d'Acció Local, amb possibilitat de procedir a realitzar anotacions de registre d'entrada, amb les conseqüències que impliquen per a la posterior tramitació. Perquè existisca una constància electrònica de la presentació de la documentació, que permeta deixar la traçabilitat exacta de la data i hora de les anotacions del registre i dels documents presentats annexos.</w:t>
      </w:r>
    </w:p>
    <w:p w14:paraId="63523054" w14:textId="7D55EB3F" w:rsidR="00F14438" w:rsidRDefault="00F14438" w:rsidP="00F14438">
      <w:pPr>
        <w:spacing w:after="240" w:line="276" w:lineRule="auto"/>
        <w:jc w:val="both"/>
        <w:rPr>
          <w:rFonts w:ascii="Arial" w:eastAsia="Times New Roman" w:hAnsi="Arial" w:cs="Arial"/>
          <w:color w:val="000000"/>
          <w:sz w:val="21"/>
          <w:szCs w:val="21"/>
        </w:rPr>
      </w:pPr>
      <w:r w:rsidRPr="00F14438">
        <w:rPr>
          <w:rFonts w:ascii="Arial" w:eastAsia="Times New Roman" w:hAnsi="Arial" w:cs="Arial"/>
          <w:b/>
          <w:bCs/>
          <w:color w:val="000000"/>
          <w:sz w:val="21"/>
          <w:szCs w:val="21"/>
        </w:rPr>
        <w:t>Fase de seguiment:</w:t>
      </w:r>
      <w:r w:rsidRPr="00F14438">
        <w:rPr>
          <w:rFonts w:ascii="Arial" w:eastAsia="Times New Roman" w:hAnsi="Arial" w:cs="Arial"/>
          <w:color w:val="000000"/>
          <w:sz w:val="21"/>
          <w:szCs w:val="21"/>
        </w:rPr>
        <w:t xml:space="preserve"> S’ha finalitzat el seguiment amb l’acceptació de les recomanacions.</w:t>
      </w:r>
    </w:p>
    <w:p w14:paraId="642ED196" w14:textId="24DAF226" w:rsidR="00B61D27" w:rsidRDefault="00B61D27" w:rsidP="00F14438">
      <w:pPr>
        <w:spacing w:after="240" w:line="276" w:lineRule="auto"/>
        <w:jc w:val="both"/>
        <w:rPr>
          <w:rFonts w:ascii="Arial" w:eastAsia="Times New Roman" w:hAnsi="Arial" w:cs="Arial"/>
          <w:color w:val="000000"/>
          <w:sz w:val="21"/>
          <w:szCs w:val="21"/>
        </w:rPr>
      </w:pPr>
    </w:p>
    <w:p w14:paraId="7E8855CC" w14:textId="77777777" w:rsidR="00B61D27" w:rsidRPr="00F14438" w:rsidRDefault="00B61D27" w:rsidP="00F14438">
      <w:pPr>
        <w:spacing w:after="240" w:line="276" w:lineRule="auto"/>
        <w:jc w:val="both"/>
        <w:rPr>
          <w:rFonts w:ascii="Arial" w:eastAsia="Times New Roman" w:hAnsi="Arial" w:cs="Arial"/>
          <w:color w:val="000000"/>
          <w:sz w:val="21"/>
          <w:szCs w:val="21"/>
        </w:rPr>
      </w:pPr>
    </w:p>
    <w:p w14:paraId="5DDED5A3" w14:textId="77777777" w:rsidR="000A7329" w:rsidRPr="000A7329" w:rsidRDefault="000A7329" w:rsidP="000A732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57" w:name="_Toc99110759"/>
      <w:bookmarkStart w:id="258" w:name="_Toc95209084"/>
      <w:bookmarkStart w:id="259" w:name="_Toc95913876"/>
      <w:r w:rsidRPr="000A7329">
        <w:rPr>
          <w:rFonts w:ascii="Arial" w:eastAsia="Times New Roman" w:hAnsi="Arial" w:cs="Arial"/>
          <w:b/>
          <w:color w:val="9D2235"/>
          <w:sz w:val="28"/>
          <w:szCs w:val="28"/>
        </w:rPr>
        <w:t>Denominació: Construccions i Infraestructures Educatives de la Generalitat Valenciana, S.A. (CIEGSA). Irregularitats en matèria de contractació.</w:t>
      </w:r>
      <w:bookmarkEnd w:id="257"/>
      <w:r w:rsidRPr="000A7329">
        <w:rPr>
          <w:rFonts w:ascii="Arial" w:eastAsia="Times New Roman" w:hAnsi="Arial" w:cs="Arial"/>
          <w:b/>
          <w:color w:val="9D2235"/>
          <w:sz w:val="28"/>
          <w:szCs w:val="28"/>
        </w:rPr>
        <w:t xml:space="preserve"> </w:t>
      </w:r>
      <w:bookmarkEnd w:id="258"/>
      <w:bookmarkEnd w:id="259"/>
    </w:p>
    <w:p w14:paraId="48B6AEDF" w14:textId="77777777" w:rsidR="000A7329" w:rsidRPr="000A7329" w:rsidRDefault="000A7329" w:rsidP="000E04BC">
      <w:pPr>
        <w:spacing w:after="240" w:line="276" w:lineRule="auto"/>
        <w:jc w:val="both"/>
        <w:rPr>
          <w:rFonts w:ascii="Arial" w:eastAsia="Times New Roman" w:hAnsi="Arial" w:cs="Arial"/>
          <w:color w:val="000000"/>
          <w:sz w:val="21"/>
          <w:szCs w:val="21"/>
        </w:rPr>
      </w:pPr>
      <w:r w:rsidRPr="000A7329">
        <w:rPr>
          <w:rFonts w:ascii="Arial" w:eastAsia="Times New Roman" w:hAnsi="Arial" w:cs="Arial"/>
          <w:b/>
          <w:bCs/>
          <w:color w:val="000000"/>
          <w:sz w:val="21"/>
          <w:szCs w:val="21"/>
        </w:rPr>
        <w:t>Expedient:</w:t>
      </w:r>
      <w:r w:rsidRPr="000A7329">
        <w:rPr>
          <w:rFonts w:ascii="Arial" w:eastAsia="Times New Roman" w:hAnsi="Arial" w:cs="Arial"/>
          <w:color w:val="000000"/>
          <w:sz w:val="21"/>
          <w:szCs w:val="21"/>
        </w:rPr>
        <w:t xml:space="preserve"> 2020/G01_01/000023 [83/2018]</w:t>
      </w:r>
    </w:p>
    <w:p w14:paraId="4703D873" w14:textId="77777777" w:rsidR="000A7329" w:rsidRPr="000A7329" w:rsidRDefault="000A7329" w:rsidP="000A7329">
      <w:pPr>
        <w:spacing w:after="240" w:line="276" w:lineRule="auto"/>
        <w:rPr>
          <w:rFonts w:ascii="Arial" w:eastAsia="Times New Roman" w:hAnsi="Arial" w:cs="Arial"/>
          <w:sz w:val="18"/>
          <w:szCs w:val="18"/>
          <w:lang w:eastAsia="es-ES"/>
        </w:rPr>
      </w:pPr>
      <w:r w:rsidRPr="000A7329">
        <w:rPr>
          <w:rFonts w:ascii="Arial" w:eastAsia="Times New Roman" w:hAnsi="Arial" w:cs="Arial"/>
          <w:b/>
          <w:bCs/>
          <w:sz w:val="21"/>
          <w:szCs w:val="21"/>
        </w:rPr>
        <w:t>Enllaç a la publicació:</w:t>
      </w:r>
      <w:r w:rsidRPr="000A7329">
        <w:rPr>
          <w:rFonts w:ascii="Arial" w:eastAsia="Times New Roman" w:hAnsi="Arial" w:cs="Arial"/>
          <w:b/>
          <w:bCs/>
          <w:sz w:val="21"/>
          <w:szCs w:val="21"/>
        </w:rPr>
        <w:br/>
      </w:r>
      <w:hyperlink r:id="rId456" w:history="1">
        <w:r w:rsidRPr="000A7329">
          <w:rPr>
            <w:rFonts w:ascii="Arial" w:hAnsi="Arial" w:cs="Arial"/>
            <w:color w:val="000080"/>
            <w:sz w:val="18"/>
            <w:szCs w:val="18"/>
            <w:u w:val="single"/>
          </w:rPr>
          <w:t>https://www.antifraucv.es/wp-content/uploads/2021/07/20210623_CIEGSA.pdf</w:t>
        </w:r>
      </w:hyperlink>
    </w:p>
    <w:p w14:paraId="22CA79EB"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b/>
          <w:bCs/>
          <w:color w:val="000000"/>
          <w:sz w:val="21"/>
          <w:szCs w:val="21"/>
        </w:rPr>
        <w:t>Descripció:</w:t>
      </w:r>
      <w:r w:rsidRPr="000A7329">
        <w:rPr>
          <w:rFonts w:ascii="Arial" w:eastAsia="Times New Roman" w:hAnsi="Arial" w:cs="Arial"/>
          <w:color w:val="000000"/>
          <w:sz w:val="21"/>
          <w:szCs w:val="21"/>
        </w:rPr>
        <w:t xml:space="preserve"> Es denuncia la presumpta existència de conductes contràries als principis i normes reguladores, relatives a la contractació administrativa produïdes en el si de la gestió de l'activitat de CIEGSA des de l'any 2015, coincidents amb les irregularitats posades de manifest en els informes del Pla d'Auditories del Sector Públic elaborats per la Intervenció General de la Generalitat Valenciana. </w:t>
      </w:r>
    </w:p>
    <w:p w14:paraId="4CB3F653"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Després de la instrucció de l'oportú procediment d'investigació, es va evidenciar que, des de fa anys, s'estaven autoritzant modificacions i pròrrogues sense el corresponent marc contractual a què està sotmès el sector públic, vulnerant tant el principi d'igualtat com la pública concurrència.</w:t>
      </w:r>
    </w:p>
    <w:p w14:paraId="2EFDB2B5"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A través de la duració no determinada dels contractes i l'aprovació de les diferents modificacions, es desvirtua el “caràcter competitiu” de l'adjudicació inicial, en la mesura que el contracte que efectivament s'executa i el seu preu no es corresponen amb els elements objectius pels que es va licitar.</w:t>
      </w:r>
    </w:p>
    <w:p w14:paraId="55BD9A73"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b/>
          <w:bCs/>
          <w:color w:val="000000"/>
          <w:sz w:val="21"/>
          <w:szCs w:val="21"/>
        </w:rPr>
        <w:t>Resultat</w:t>
      </w:r>
      <w:r w:rsidRPr="000A7329">
        <w:rPr>
          <w:rFonts w:ascii="Arial" w:eastAsia="Times New Roman" w:hAnsi="Arial" w:cs="Arial"/>
          <w:color w:val="000000"/>
          <w:sz w:val="21"/>
          <w:szCs w:val="21"/>
        </w:rPr>
        <w:t>: Es finalitza l'Expedient, amb la recomanació a la mercantil CIEGSA de què procedisca a efectuar un Pla d'Implementació per al seu control i compliment, i obrint la Fase de seguiment.</w:t>
      </w:r>
    </w:p>
    <w:p w14:paraId="65DB1FAB"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b/>
          <w:bCs/>
          <w:color w:val="000000"/>
          <w:sz w:val="21"/>
          <w:szCs w:val="21"/>
        </w:rPr>
        <w:t>Fase de seguiment:</w:t>
      </w:r>
      <w:r w:rsidRPr="000A7329">
        <w:rPr>
          <w:rFonts w:ascii="Arial" w:eastAsia="Times New Roman" w:hAnsi="Arial" w:cs="Arial"/>
          <w:color w:val="000000"/>
          <w:sz w:val="21"/>
          <w:szCs w:val="21"/>
        </w:rPr>
        <w:t xml:space="preserve"> En tràmit. </w:t>
      </w:r>
    </w:p>
    <w:p w14:paraId="6B77C594" w14:textId="1631B039" w:rsidR="000A7329" w:rsidRPr="000A7329" w:rsidRDefault="000A7329" w:rsidP="000A732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60" w:name="_Toc99110760"/>
      <w:r w:rsidRPr="000A7329">
        <w:rPr>
          <w:rFonts w:ascii="Arial" w:eastAsia="Times New Roman" w:hAnsi="Arial" w:cs="Arial"/>
          <w:b/>
          <w:color w:val="9D2235"/>
          <w:sz w:val="28"/>
          <w:szCs w:val="28"/>
        </w:rPr>
        <w:t>Denominació: Vicepresidència i Conselleria d'Igualtat i Polítiques Inclusives</w:t>
      </w:r>
      <w:r w:rsidR="00AE24EC">
        <w:rPr>
          <w:rFonts w:ascii="Arial" w:eastAsia="Times New Roman" w:hAnsi="Arial" w:cs="Arial"/>
          <w:b/>
          <w:color w:val="9D2235"/>
          <w:sz w:val="28"/>
          <w:szCs w:val="28"/>
        </w:rPr>
        <w:t>.</w:t>
      </w:r>
      <w:r w:rsidRPr="000A7329">
        <w:rPr>
          <w:rFonts w:ascii="Arial" w:eastAsia="Times New Roman" w:hAnsi="Arial" w:cs="Arial"/>
          <w:b/>
          <w:color w:val="9D2235"/>
          <w:sz w:val="28"/>
          <w:szCs w:val="28"/>
        </w:rPr>
        <w:t xml:space="preserve"> Gestió de residències de tercera edat i majors dependents per la situació de pandèmia</w:t>
      </w:r>
      <w:bookmarkEnd w:id="260"/>
    </w:p>
    <w:p w14:paraId="6CE3B54D" w14:textId="77777777" w:rsidR="000A7329" w:rsidRPr="000A7329" w:rsidRDefault="000A7329" w:rsidP="000E04BC">
      <w:pPr>
        <w:spacing w:after="240" w:line="276" w:lineRule="auto"/>
        <w:jc w:val="both"/>
        <w:rPr>
          <w:rFonts w:ascii="Arial" w:eastAsia="Times New Roman" w:hAnsi="Arial" w:cs="Arial"/>
          <w:color w:val="000000"/>
          <w:sz w:val="21"/>
          <w:szCs w:val="21"/>
        </w:rPr>
      </w:pPr>
      <w:r w:rsidRPr="000A7329">
        <w:rPr>
          <w:rFonts w:ascii="Arial" w:eastAsia="Times New Roman" w:hAnsi="Arial" w:cs="Arial"/>
          <w:b/>
          <w:bCs/>
          <w:color w:val="000000"/>
          <w:sz w:val="21"/>
          <w:szCs w:val="21"/>
        </w:rPr>
        <w:t>Expedient</w:t>
      </w:r>
      <w:r w:rsidRPr="000A7329">
        <w:rPr>
          <w:rFonts w:ascii="Arial" w:eastAsia="Times New Roman" w:hAnsi="Arial" w:cs="Arial"/>
          <w:color w:val="000000"/>
          <w:sz w:val="21"/>
          <w:szCs w:val="21"/>
        </w:rPr>
        <w:t>: 2020/G01_01/000236</w:t>
      </w:r>
    </w:p>
    <w:p w14:paraId="22991D87" w14:textId="77777777" w:rsidR="000A7329" w:rsidRPr="000A7329" w:rsidRDefault="000A7329" w:rsidP="000A7329">
      <w:pPr>
        <w:spacing w:after="240" w:line="276" w:lineRule="auto"/>
        <w:rPr>
          <w:rFonts w:ascii="Arial" w:eastAsia="Times New Roman" w:hAnsi="Arial" w:cs="Arial"/>
          <w:sz w:val="18"/>
          <w:szCs w:val="18"/>
          <w:lang w:eastAsia="es-ES"/>
        </w:rPr>
      </w:pPr>
      <w:r w:rsidRPr="000A7329">
        <w:rPr>
          <w:rFonts w:ascii="Arial" w:eastAsia="Times New Roman" w:hAnsi="Arial" w:cs="Arial"/>
          <w:b/>
          <w:bCs/>
          <w:sz w:val="21"/>
          <w:szCs w:val="21"/>
        </w:rPr>
        <w:t>Enllaç a la publicació:</w:t>
      </w:r>
      <w:r w:rsidRPr="000A7329">
        <w:rPr>
          <w:rFonts w:ascii="Arial" w:eastAsia="Times New Roman" w:hAnsi="Arial" w:cs="Arial"/>
          <w:b/>
          <w:bCs/>
          <w:sz w:val="21"/>
          <w:szCs w:val="21"/>
        </w:rPr>
        <w:br/>
      </w:r>
      <w:hyperlink r:id="rId457" w:history="1">
        <w:r w:rsidRPr="000A7329">
          <w:rPr>
            <w:rFonts w:ascii="Arial" w:eastAsia="Times New Roman" w:hAnsi="Arial" w:cs="Arial"/>
            <w:color w:val="000080"/>
            <w:sz w:val="18"/>
            <w:szCs w:val="18"/>
            <w:u w:val="single"/>
            <w:lang w:eastAsia="es-ES"/>
          </w:rPr>
          <w:t>https://www.antifraucv.es/wp-content/uploads/2021/07/20210630_-CONSELLERIA_DE_SANITAT.pdf</w:t>
        </w:r>
      </w:hyperlink>
    </w:p>
    <w:p w14:paraId="3A34F984"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b/>
          <w:bCs/>
          <w:color w:val="000000"/>
          <w:sz w:val="21"/>
          <w:szCs w:val="21"/>
        </w:rPr>
        <w:t>Descripció</w:t>
      </w:r>
      <w:r w:rsidRPr="000A7329">
        <w:rPr>
          <w:rFonts w:ascii="Arial" w:eastAsia="Times New Roman" w:hAnsi="Arial" w:cs="Arial"/>
          <w:color w:val="000000"/>
          <w:sz w:val="21"/>
          <w:szCs w:val="21"/>
        </w:rPr>
        <w:t>: Esta Agència, ha tingut coneixement de la situació produïda en les residències de persones de tercera edat i majors dependents de la Comunitat Valenciana com a conseqüència de la pandèmia de COVID-19, algunes de les quals obtenen finançament amb fons públics al estar sotmesos a règim de concert administratiu.</w:t>
      </w:r>
    </w:p>
    <w:p w14:paraId="1D550004"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 xml:space="preserve">La situació succeïda en les residències de persones de tercera edat i majors dependents de la Comunitat Valenciana com a conseqüència de la pandèmia de COVID-19, ha produït entre altres situacions, la defunció d'un gran nombre de residents de les mateixes. </w:t>
      </w:r>
    </w:p>
    <w:p w14:paraId="60EE62BB"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 xml:space="preserve">Així mateix, es va tindre constància de l'existència denúncies prèvies contra determinats centres de residències de persones de tercera edat i majors dependents, així com la incoació de diferents procediments sancionadors per incompliment de les clàusules essencials dels contractes. </w:t>
      </w:r>
    </w:p>
    <w:p w14:paraId="344E9280"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 xml:space="preserve">El règim de finançament públic del sistema assistencial derivat de les residències de persones de tercera edat i majors dependents de la Comunitat Valenciana, implica obligatòriament l'existència d'una aplicació dels recursos públics per a garantir la qualitat de la prestació sanitària de les persones majors i dependents. </w:t>
      </w:r>
    </w:p>
    <w:p w14:paraId="455707ED"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De l'estudi detallat de la documentació que consta en l'expedient i l'obtinguda en fonts obertes es va constatar que:</w:t>
      </w:r>
    </w:p>
    <w:p w14:paraId="36D7D741"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 xml:space="preserve">La incoació d'un total de 39 Expedients sancionadors, en matèria d'infraccions per incompliment de les disposicions que contenien obligacions relatives al règim de personal i semblants. </w:t>
      </w:r>
    </w:p>
    <w:p w14:paraId="1169AF62"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 xml:space="preserve">I un total de 9 Expedients del total de 39 havien sigut incoats en l'anualitat 2020. </w:t>
      </w:r>
    </w:p>
    <w:p w14:paraId="1E7A031E"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color w:val="000000"/>
          <w:sz w:val="21"/>
          <w:szCs w:val="21"/>
        </w:rPr>
        <w:t>D'altra banda, de dits 39 Expedients, 4 corresponien a les entitats amb nombre més gran de mortaldat derivada de la pandèmia COVID-19.</w:t>
      </w:r>
    </w:p>
    <w:p w14:paraId="49D6586F" w14:textId="77777777" w:rsidR="000A7329" w:rsidRPr="000A7329" w:rsidRDefault="000A7329" w:rsidP="000A7329">
      <w:pPr>
        <w:spacing w:after="240" w:line="276" w:lineRule="auto"/>
        <w:jc w:val="both"/>
        <w:rPr>
          <w:rFonts w:ascii="Arial" w:eastAsia="Times New Roman" w:hAnsi="Arial" w:cs="Arial"/>
          <w:color w:val="000000"/>
          <w:sz w:val="21"/>
          <w:szCs w:val="21"/>
        </w:rPr>
      </w:pPr>
      <w:r w:rsidRPr="000A7329">
        <w:rPr>
          <w:rFonts w:ascii="Arial" w:eastAsia="Times New Roman" w:hAnsi="Arial" w:cs="Arial"/>
          <w:b/>
          <w:bCs/>
          <w:color w:val="000000"/>
          <w:sz w:val="21"/>
          <w:szCs w:val="21"/>
        </w:rPr>
        <w:t>Resultat</w:t>
      </w:r>
      <w:r w:rsidRPr="000A7329">
        <w:rPr>
          <w:rFonts w:ascii="Arial" w:eastAsia="Times New Roman" w:hAnsi="Arial" w:cs="Arial"/>
          <w:color w:val="000000"/>
          <w:sz w:val="21"/>
          <w:szCs w:val="21"/>
        </w:rPr>
        <w:t>: Es finalitza l’expedient amb el següent pronunciament:</w:t>
      </w:r>
    </w:p>
    <w:p w14:paraId="3F0B7F8D" w14:textId="77777777" w:rsidR="000A7329" w:rsidRPr="000A7329" w:rsidRDefault="000A7329" w:rsidP="00D24C9B">
      <w:pPr>
        <w:numPr>
          <w:ilvl w:val="0"/>
          <w:numId w:val="125"/>
        </w:numPr>
        <w:spacing w:after="120" w:line="276" w:lineRule="auto"/>
        <w:ind w:left="709"/>
        <w:jc w:val="both"/>
        <w:rPr>
          <w:rFonts w:ascii="Arial" w:eastAsia="Times New Roman" w:hAnsi="Arial" w:cs="Arial"/>
          <w:color w:val="000000"/>
          <w:sz w:val="21"/>
          <w:szCs w:val="21"/>
        </w:rPr>
      </w:pPr>
      <w:r w:rsidRPr="000A7329">
        <w:rPr>
          <w:rFonts w:ascii="Arial" w:eastAsia="Times New Roman" w:hAnsi="Arial" w:cs="Arial"/>
          <w:color w:val="000000"/>
          <w:sz w:val="21"/>
          <w:szCs w:val="21"/>
        </w:rPr>
        <w:t xml:space="preserve">Que es planifique un programa de control permanent específic, a fi de la comprovació periòdica i contínua del compliment de les obligacions, estipulacions i condicions contingudes en els plecs i contractes reguladors dels centres de residències de tercera edat, tant públics com privats, que inclouen places amb finançament públic. </w:t>
      </w:r>
    </w:p>
    <w:p w14:paraId="41BAA33B" w14:textId="77777777" w:rsidR="000A7329" w:rsidRPr="000A7329" w:rsidRDefault="000A7329" w:rsidP="00D14E49">
      <w:pPr>
        <w:spacing w:after="120" w:line="276" w:lineRule="auto"/>
        <w:ind w:left="709"/>
        <w:jc w:val="both"/>
        <w:rPr>
          <w:rFonts w:ascii="Arial" w:eastAsia="Times New Roman" w:hAnsi="Arial" w:cs="Arial"/>
          <w:color w:val="000000"/>
          <w:sz w:val="21"/>
          <w:szCs w:val="21"/>
        </w:rPr>
      </w:pPr>
      <w:r w:rsidRPr="000A7329">
        <w:rPr>
          <w:rFonts w:ascii="Arial" w:eastAsia="Times New Roman" w:hAnsi="Arial" w:cs="Arial"/>
          <w:color w:val="000000"/>
          <w:sz w:val="21"/>
          <w:szCs w:val="21"/>
        </w:rPr>
        <w:t xml:space="preserve">En concret, haurà de prioritzar-se de manera singular la verificació del compliment de les ràtios de personal sanitari i assistencial de caràcter prestacional. </w:t>
      </w:r>
    </w:p>
    <w:p w14:paraId="2E2AEB13" w14:textId="77777777" w:rsidR="000A7329" w:rsidRPr="000A7329" w:rsidRDefault="000A7329" w:rsidP="00D14E49">
      <w:pPr>
        <w:spacing w:after="120" w:line="276" w:lineRule="auto"/>
        <w:ind w:left="709"/>
        <w:jc w:val="both"/>
        <w:rPr>
          <w:rFonts w:ascii="Arial" w:eastAsia="Times New Roman" w:hAnsi="Arial" w:cs="Arial"/>
          <w:color w:val="000000"/>
          <w:sz w:val="21"/>
          <w:szCs w:val="21"/>
        </w:rPr>
      </w:pPr>
      <w:r w:rsidRPr="000A7329">
        <w:rPr>
          <w:rFonts w:ascii="Arial" w:eastAsia="Times New Roman" w:hAnsi="Arial" w:cs="Arial"/>
          <w:color w:val="000000"/>
          <w:sz w:val="21"/>
          <w:szCs w:val="21"/>
        </w:rPr>
        <w:t>El programa de control haurà de planificar les verificacions, de tal manera que tots els centres siguen objecte de supervisió específica i completa amb la periodicitat que es regule.</w:t>
      </w:r>
    </w:p>
    <w:p w14:paraId="087797D4" w14:textId="35C3BBED" w:rsidR="000A7329" w:rsidRPr="000A7329" w:rsidRDefault="000A7329" w:rsidP="00D24C9B">
      <w:pPr>
        <w:numPr>
          <w:ilvl w:val="0"/>
          <w:numId w:val="125"/>
        </w:numPr>
        <w:spacing w:after="240" w:line="276" w:lineRule="auto"/>
        <w:ind w:left="709"/>
        <w:jc w:val="both"/>
        <w:rPr>
          <w:rFonts w:ascii="Arial" w:eastAsia="Times New Roman" w:hAnsi="Arial" w:cs="Arial"/>
          <w:color w:val="000000"/>
          <w:sz w:val="21"/>
          <w:szCs w:val="21"/>
        </w:rPr>
      </w:pPr>
      <w:r w:rsidRPr="000A7329">
        <w:rPr>
          <w:rFonts w:ascii="Arial" w:eastAsia="Times New Roman" w:hAnsi="Arial" w:cs="Arial"/>
          <w:color w:val="000000"/>
          <w:sz w:val="21"/>
          <w:szCs w:val="21"/>
        </w:rPr>
        <w:t xml:space="preserve">En coordinació amb el programa de control permanent i específic de la recomanació primera, que es planifique la inclusió, en el “pla d'inspecció o actuacions d'inspecció previstes a </w:t>
      </w:r>
      <w:r w:rsidR="00D14E49" w:rsidRPr="000A7329">
        <w:rPr>
          <w:rFonts w:ascii="Arial" w:eastAsia="Times New Roman" w:hAnsi="Arial" w:cs="Arial"/>
          <w:color w:val="000000"/>
          <w:sz w:val="21"/>
          <w:szCs w:val="21"/>
        </w:rPr>
        <w:t>realitzar</w:t>
      </w:r>
      <w:r w:rsidRPr="000A7329">
        <w:rPr>
          <w:rFonts w:ascii="Arial" w:eastAsia="Times New Roman" w:hAnsi="Arial" w:cs="Arial"/>
          <w:color w:val="000000"/>
          <w:sz w:val="21"/>
          <w:szCs w:val="21"/>
        </w:rPr>
        <w:t xml:space="preserve">”, de manera anual, les actuacions de comprovació i verificació in situ dels centres de residències de tercera edat, de manera que es garantisca la comprovació material amb una freqüència màxima </w:t>
      </w:r>
      <w:r w:rsidR="00D14E49" w:rsidRPr="00D14E49">
        <w:rPr>
          <w:rFonts w:ascii="Arial" w:eastAsia="Times New Roman" w:hAnsi="Arial" w:cs="Arial"/>
          <w:color w:val="000000"/>
          <w:sz w:val="21"/>
          <w:szCs w:val="21"/>
        </w:rPr>
        <w:t>quadriennal</w:t>
      </w:r>
      <w:r w:rsidRPr="000A7329">
        <w:rPr>
          <w:rFonts w:ascii="Arial" w:eastAsia="Times New Roman" w:hAnsi="Arial" w:cs="Arial"/>
          <w:color w:val="000000"/>
          <w:sz w:val="21"/>
          <w:szCs w:val="21"/>
        </w:rPr>
        <w:t>. Tot això sense perjuí qualsevol altra acció singular o específica que procedisca.</w:t>
      </w:r>
    </w:p>
    <w:p w14:paraId="6F085729" w14:textId="4C272EBA" w:rsidR="000A7329" w:rsidRPr="000A7329" w:rsidRDefault="000A7329" w:rsidP="000A7329">
      <w:pPr>
        <w:spacing w:after="240" w:line="276" w:lineRule="auto"/>
        <w:jc w:val="both"/>
        <w:rPr>
          <w:rFonts w:ascii="Arial" w:eastAsia="Times New Roman" w:hAnsi="Arial" w:cs="Arial"/>
          <w:color w:val="000000"/>
          <w:sz w:val="21"/>
          <w:szCs w:val="21"/>
          <w:lang w:val="ca-ES"/>
        </w:rPr>
      </w:pPr>
      <w:r w:rsidRPr="000A7329">
        <w:rPr>
          <w:rFonts w:ascii="Arial" w:eastAsia="Times New Roman" w:hAnsi="Arial" w:cs="Arial"/>
          <w:b/>
          <w:bCs/>
          <w:color w:val="000000"/>
          <w:sz w:val="21"/>
          <w:szCs w:val="21"/>
        </w:rPr>
        <w:t>Fase de seguiment:</w:t>
      </w:r>
      <w:r w:rsidRPr="000A7329">
        <w:rPr>
          <w:rFonts w:ascii="Arial" w:eastAsia="Times New Roman" w:hAnsi="Arial" w:cs="Arial"/>
          <w:color w:val="000000"/>
          <w:sz w:val="21"/>
          <w:szCs w:val="21"/>
        </w:rPr>
        <w:t xml:space="preserve"> S’ha finalitzat el seguiment amb l’acceptació de les recomanacions</w:t>
      </w:r>
      <w:r w:rsidRPr="000A7329">
        <w:rPr>
          <w:rFonts w:ascii="Arial" w:eastAsia="Times New Roman" w:hAnsi="Arial" w:cs="Arial"/>
          <w:color w:val="000000"/>
          <w:sz w:val="21"/>
          <w:szCs w:val="21"/>
          <w:lang w:val="ca-ES"/>
        </w:rPr>
        <w:t>.</w:t>
      </w:r>
    </w:p>
    <w:p w14:paraId="6C08B609" w14:textId="77777777" w:rsidR="00D14E49" w:rsidRPr="00D14E49" w:rsidRDefault="00D14E49" w:rsidP="00D14E4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61" w:name="_Toc95209086"/>
      <w:bookmarkStart w:id="262" w:name="_Toc95913878"/>
      <w:bookmarkStart w:id="263" w:name="_Toc99110761"/>
      <w:r w:rsidRPr="00D14E49">
        <w:rPr>
          <w:rFonts w:ascii="Arial" w:eastAsia="Times New Roman" w:hAnsi="Arial" w:cs="Arial"/>
          <w:b/>
          <w:color w:val="9D2235"/>
          <w:sz w:val="28"/>
          <w:szCs w:val="28"/>
        </w:rPr>
        <w:t>Denominació: Ajuntament de València. Complements al sou dels regidors</w:t>
      </w:r>
      <w:bookmarkEnd w:id="261"/>
      <w:bookmarkEnd w:id="262"/>
      <w:bookmarkEnd w:id="263"/>
    </w:p>
    <w:p w14:paraId="253C64BE" w14:textId="77777777" w:rsidR="00D14E49" w:rsidRPr="00D14E49" w:rsidRDefault="00D14E49" w:rsidP="000E04BC">
      <w:pPr>
        <w:spacing w:after="240" w:line="276" w:lineRule="auto"/>
        <w:jc w:val="both"/>
        <w:rPr>
          <w:rFonts w:ascii="Arial" w:eastAsia="Times New Roman" w:hAnsi="Arial" w:cs="Arial"/>
          <w:color w:val="000000"/>
          <w:sz w:val="21"/>
          <w:szCs w:val="21"/>
        </w:rPr>
      </w:pPr>
      <w:r w:rsidRPr="00D14E49">
        <w:rPr>
          <w:rFonts w:ascii="Arial" w:eastAsia="Times New Roman" w:hAnsi="Arial" w:cs="Arial"/>
          <w:b/>
          <w:bCs/>
          <w:color w:val="000000"/>
          <w:sz w:val="21"/>
          <w:szCs w:val="21"/>
        </w:rPr>
        <w:t>Expedient</w:t>
      </w:r>
      <w:r w:rsidRPr="00D14E49">
        <w:rPr>
          <w:rFonts w:ascii="Arial" w:eastAsia="Times New Roman" w:hAnsi="Arial" w:cs="Arial"/>
          <w:color w:val="000000"/>
          <w:sz w:val="21"/>
          <w:szCs w:val="21"/>
        </w:rPr>
        <w:t>: 2020/G01_01/000225 [104/2019]</w:t>
      </w:r>
    </w:p>
    <w:p w14:paraId="75BB1288" w14:textId="77777777" w:rsidR="00D14E49" w:rsidRPr="00D14E49" w:rsidRDefault="00D14E49" w:rsidP="00D14E49">
      <w:pPr>
        <w:spacing w:after="240" w:line="276" w:lineRule="auto"/>
        <w:rPr>
          <w:rFonts w:ascii="Arial" w:eastAsia="Times New Roman" w:hAnsi="Arial" w:cs="Arial"/>
          <w:sz w:val="18"/>
          <w:szCs w:val="18"/>
          <w:lang w:eastAsia="es-ES"/>
        </w:rPr>
      </w:pPr>
      <w:r w:rsidRPr="00D14E49">
        <w:rPr>
          <w:rFonts w:ascii="Arial" w:eastAsia="Times New Roman" w:hAnsi="Arial" w:cs="Arial"/>
          <w:b/>
          <w:bCs/>
          <w:sz w:val="21"/>
          <w:szCs w:val="21"/>
        </w:rPr>
        <w:t>Enllaç a la publicació:</w:t>
      </w:r>
      <w:r w:rsidRPr="00D14E49">
        <w:rPr>
          <w:rFonts w:ascii="Arial" w:eastAsia="Times New Roman" w:hAnsi="Arial" w:cs="Arial"/>
          <w:b/>
          <w:bCs/>
          <w:sz w:val="21"/>
          <w:szCs w:val="21"/>
        </w:rPr>
        <w:br/>
      </w:r>
      <w:hyperlink r:id="rId458" w:history="1">
        <w:r w:rsidRPr="00D14E49">
          <w:rPr>
            <w:rFonts w:ascii="Arial" w:eastAsia="Times New Roman" w:hAnsi="Arial" w:cs="Arial"/>
            <w:color w:val="000080"/>
            <w:sz w:val="18"/>
            <w:szCs w:val="18"/>
            <w:u w:val="single"/>
            <w:lang w:eastAsia="es-ES"/>
          </w:rPr>
          <w:t>https://www.antifraucv.es/wp-content/uploads/2021/07/20210706-AJUNTAMENT-DE-VALENCIA.pdf</w:t>
        </w:r>
      </w:hyperlink>
    </w:p>
    <w:p w14:paraId="06092716" w14:textId="77777777" w:rsidR="00D14E49" w:rsidRPr="00D14E49" w:rsidRDefault="00D14E49" w:rsidP="00D14E49">
      <w:pPr>
        <w:spacing w:after="240" w:line="276" w:lineRule="auto"/>
        <w:jc w:val="both"/>
        <w:rPr>
          <w:rFonts w:ascii="Arial" w:eastAsia="Times New Roman" w:hAnsi="Arial" w:cs="Arial"/>
          <w:color w:val="000000"/>
          <w:sz w:val="21"/>
          <w:szCs w:val="21"/>
        </w:rPr>
      </w:pPr>
      <w:r w:rsidRPr="00D14E49">
        <w:rPr>
          <w:rFonts w:ascii="Arial" w:eastAsia="Times New Roman" w:hAnsi="Arial" w:cs="Arial"/>
          <w:b/>
          <w:bCs/>
          <w:color w:val="000000"/>
          <w:sz w:val="21"/>
          <w:szCs w:val="21"/>
        </w:rPr>
        <w:t xml:space="preserve">Descripció: </w:t>
      </w:r>
      <w:r w:rsidRPr="00D14E49">
        <w:rPr>
          <w:rFonts w:ascii="Arial" w:eastAsia="Times New Roman" w:hAnsi="Arial" w:cs="Arial"/>
          <w:color w:val="000000"/>
          <w:sz w:val="21"/>
          <w:szCs w:val="21"/>
        </w:rPr>
        <w:t xml:space="preserve">Els fets denunciats es van concretar en l'abonament a 31 regidors de la corporació del règim de dedicació exclusiva i la creació d'un complement d'especial responsabilitat als tinents d'alcalde de forma irregular. </w:t>
      </w:r>
    </w:p>
    <w:p w14:paraId="282D302A" w14:textId="77777777" w:rsidR="00D14E49" w:rsidRPr="00D14E49" w:rsidRDefault="00D14E49" w:rsidP="00D14E49">
      <w:pPr>
        <w:spacing w:after="240" w:line="276" w:lineRule="auto"/>
        <w:jc w:val="both"/>
        <w:rPr>
          <w:rFonts w:ascii="Arial" w:eastAsia="Times New Roman" w:hAnsi="Arial" w:cs="Arial"/>
          <w:color w:val="000000"/>
          <w:sz w:val="21"/>
          <w:szCs w:val="21"/>
        </w:rPr>
      </w:pPr>
      <w:r w:rsidRPr="00D14E49">
        <w:rPr>
          <w:rFonts w:ascii="Arial" w:eastAsia="Times New Roman" w:hAnsi="Arial" w:cs="Arial"/>
          <w:color w:val="000000"/>
          <w:sz w:val="21"/>
          <w:szCs w:val="21"/>
        </w:rPr>
        <w:t xml:space="preserve">Després de la instrucció de l'oportú procediment d'investigació, va quedar acreditat que a pesar de la limitació a 25 regidors del règim de dedicació exclusiva i a pesar del compliment teòric d'este requisit legal, es va pagar a 31 membres de la corporació l'import econòmic equivalent al règim de dedicació exclusiva, per a això als 8 tinents d'alcalde que tenien dedicació parcial se'ls va aprovar un complement d'especial responsabilitat sense motivació. </w:t>
      </w:r>
    </w:p>
    <w:p w14:paraId="689D856F" w14:textId="77777777" w:rsidR="00D14E49" w:rsidRPr="00D14E49" w:rsidRDefault="00D14E49" w:rsidP="00D14E49">
      <w:pPr>
        <w:spacing w:after="240" w:line="276" w:lineRule="auto"/>
        <w:jc w:val="both"/>
        <w:rPr>
          <w:rFonts w:ascii="Arial" w:eastAsia="Times New Roman" w:hAnsi="Arial" w:cs="Arial"/>
          <w:color w:val="000000"/>
          <w:sz w:val="21"/>
          <w:szCs w:val="21"/>
        </w:rPr>
      </w:pPr>
      <w:r w:rsidRPr="00D14E49">
        <w:rPr>
          <w:rFonts w:ascii="Arial" w:eastAsia="Times New Roman" w:hAnsi="Arial" w:cs="Arial"/>
          <w:color w:val="000000"/>
          <w:sz w:val="21"/>
          <w:szCs w:val="21"/>
        </w:rPr>
        <w:t>En la legislatura 2019-2023, no queda justificada la inaplicació del principi de proporcionalitat entre dedicació parcial i l'import a percebre.</w:t>
      </w:r>
    </w:p>
    <w:p w14:paraId="7E14ECC8" w14:textId="77777777" w:rsidR="00D14E49" w:rsidRPr="00D14E49" w:rsidRDefault="00D14E49" w:rsidP="00D14E49">
      <w:pPr>
        <w:spacing w:after="240" w:line="276" w:lineRule="auto"/>
        <w:jc w:val="both"/>
        <w:rPr>
          <w:rFonts w:ascii="Arial" w:eastAsia="Times New Roman" w:hAnsi="Arial" w:cs="Arial"/>
          <w:color w:val="000000"/>
          <w:sz w:val="21"/>
          <w:szCs w:val="21"/>
        </w:rPr>
      </w:pPr>
      <w:r w:rsidRPr="00D14E49">
        <w:rPr>
          <w:rFonts w:ascii="Arial" w:eastAsia="Times New Roman" w:hAnsi="Arial" w:cs="Arial"/>
          <w:b/>
          <w:bCs/>
          <w:color w:val="000000"/>
          <w:sz w:val="21"/>
          <w:szCs w:val="21"/>
        </w:rPr>
        <w:t xml:space="preserve">Resultat: </w:t>
      </w:r>
      <w:r w:rsidRPr="00D14E49">
        <w:rPr>
          <w:rFonts w:ascii="Arial" w:eastAsia="Times New Roman" w:hAnsi="Arial" w:cs="Arial"/>
          <w:color w:val="000000"/>
          <w:sz w:val="21"/>
          <w:szCs w:val="21"/>
        </w:rPr>
        <w:t>Formulació de Recomanacions de millora futura, que consisteixen en que:</w:t>
      </w:r>
    </w:p>
    <w:p w14:paraId="03CC9F5C" w14:textId="77777777" w:rsidR="00D14E49" w:rsidRPr="00D14E49" w:rsidRDefault="00D14E49" w:rsidP="00D24C9B">
      <w:pPr>
        <w:numPr>
          <w:ilvl w:val="0"/>
          <w:numId w:val="126"/>
        </w:numPr>
        <w:spacing w:after="120" w:line="276" w:lineRule="auto"/>
        <w:ind w:left="714" w:hanging="357"/>
        <w:jc w:val="both"/>
        <w:rPr>
          <w:rFonts w:ascii="Arial" w:eastAsia="Times New Roman" w:hAnsi="Arial" w:cs="Arial"/>
          <w:color w:val="000000"/>
          <w:sz w:val="21"/>
          <w:szCs w:val="21"/>
        </w:rPr>
      </w:pPr>
      <w:r w:rsidRPr="00D14E49">
        <w:rPr>
          <w:rFonts w:ascii="Arial" w:eastAsia="Times New Roman" w:hAnsi="Arial" w:cs="Arial"/>
          <w:color w:val="000000"/>
          <w:sz w:val="21"/>
          <w:szCs w:val="21"/>
        </w:rPr>
        <w:t xml:space="preserve">Se sol·licite de forma ineludible l'emissió d'informe jurídic de legalitat de la secretaria a l'empara del marc normatiu disposat en l'article 122.5 e) de la Llei 7/1985, de 2 d'abril, reguladora de les Bases del Règim Local, abans d'aprovar el règim de dedicació, retribucions i assistències dels càrrecs electes de la Corporació. </w:t>
      </w:r>
    </w:p>
    <w:p w14:paraId="5C0A32B5" w14:textId="77777777" w:rsidR="00D14E49" w:rsidRPr="00D14E49" w:rsidRDefault="00D14E49" w:rsidP="00D24C9B">
      <w:pPr>
        <w:numPr>
          <w:ilvl w:val="0"/>
          <w:numId w:val="126"/>
        </w:numPr>
        <w:spacing w:after="240" w:line="276" w:lineRule="auto"/>
        <w:jc w:val="both"/>
        <w:rPr>
          <w:rFonts w:ascii="Arial" w:eastAsia="Times New Roman" w:hAnsi="Arial" w:cs="Arial"/>
          <w:color w:val="000000"/>
          <w:sz w:val="21"/>
          <w:szCs w:val="21"/>
        </w:rPr>
      </w:pPr>
      <w:r w:rsidRPr="00D14E49">
        <w:rPr>
          <w:rFonts w:ascii="Arial" w:eastAsia="Times New Roman" w:hAnsi="Arial" w:cs="Arial"/>
          <w:color w:val="000000"/>
          <w:sz w:val="21"/>
          <w:szCs w:val="21"/>
        </w:rPr>
        <w:t>Les responsabilitats específiques dels càrrecs han d'estar fixades i determinades per endavant i, respecte al règim retributiu de les dedicacions parcials s'ha de guardar una proporcionalitat amb la dedicació retribuïda, una vegada fixades les retribucions inherents a les responsabilitats del càrrec en règim de dedicació exclusiva, havent de motivar-se de manera objectiva i acreditar-se de manera prèvia les majors responsabilitats si és el cas.</w:t>
      </w:r>
    </w:p>
    <w:p w14:paraId="0E4842FE" w14:textId="77777777" w:rsidR="00D14E49" w:rsidRPr="00D14E49" w:rsidRDefault="00D14E49" w:rsidP="00D14E49">
      <w:pPr>
        <w:spacing w:after="240" w:line="276" w:lineRule="auto"/>
        <w:jc w:val="both"/>
        <w:rPr>
          <w:rFonts w:ascii="Arial" w:eastAsia="Times New Roman" w:hAnsi="Arial" w:cs="Arial"/>
          <w:color w:val="000000"/>
          <w:sz w:val="21"/>
          <w:szCs w:val="21"/>
          <w:lang w:val="ca-ES"/>
        </w:rPr>
      </w:pPr>
      <w:r w:rsidRPr="00D14E49">
        <w:rPr>
          <w:rFonts w:ascii="Arial" w:eastAsia="Times New Roman" w:hAnsi="Arial" w:cs="Arial"/>
          <w:b/>
          <w:bCs/>
          <w:color w:val="000000"/>
          <w:sz w:val="21"/>
          <w:szCs w:val="21"/>
        </w:rPr>
        <w:t xml:space="preserve">Fase de seguiment: </w:t>
      </w:r>
      <w:r w:rsidRPr="00D14E49">
        <w:rPr>
          <w:rFonts w:ascii="Arial" w:eastAsia="Times New Roman" w:hAnsi="Arial" w:cs="Arial"/>
          <w:color w:val="000000"/>
          <w:sz w:val="21"/>
          <w:szCs w:val="21"/>
        </w:rPr>
        <w:t>S'ha completat esta fase. L'Ajuntament de València ha acceptat parcialment les recomanacions proposades, i han sigut objecte de justificació, sobre les causes de la seua inobservança, les no acceptades.</w:t>
      </w:r>
    </w:p>
    <w:p w14:paraId="4DE1201E" w14:textId="77777777" w:rsidR="00972463" w:rsidRPr="00972463" w:rsidRDefault="00972463" w:rsidP="0097246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64" w:name="_Toc99110762"/>
      <w:r w:rsidRPr="00972463">
        <w:rPr>
          <w:rFonts w:ascii="Arial" w:eastAsia="Times New Roman" w:hAnsi="Arial" w:cs="Arial"/>
          <w:b/>
          <w:color w:val="9D2235"/>
          <w:sz w:val="28"/>
          <w:szCs w:val="28"/>
        </w:rPr>
        <w:t>Denominació: Ajuntament de València. Nomenament de personal d'assessoria jurídica i acumulació de funcions de lletrat major</w:t>
      </w:r>
      <w:bookmarkEnd w:id="264"/>
    </w:p>
    <w:p w14:paraId="509A07F2" w14:textId="77777777" w:rsidR="00972463" w:rsidRPr="00972463" w:rsidRDefault="00972463" w:rsidP="000E04BC">
      <w:pPr>
        <w:spacing w:after="240" w:line="276" w:lineRule="auto"/>
        <w:jc w:val="both"/>
        <w:rPr>
          <w:rFonts w:ascii="Arial" w:eastAsia="Times New Roman" w:hAnsi="Arial" w:cs="Arial"/>
          <w:color w:val="000000"/>
          <w:sz w:val="21"/>
          <w:szCs w:val="21"/>
        </w:rPr>
      </w:pPr>
      <w:r w:rsidRPr="00972463">
        <w:rPr>
          <w:rFonts w:ascii="Arial" w:eastAsia="Times New Roman" w:hAnsi="Arial" w:cs="Arial"/>
          <w:b/>
          <w:bCs/>
          <w:color w:val="000000"/>
          <w:sz w:val="21"/>
          <w:szCs w:val="21"/>
        </w:rPr>
        <w:t>Expedient:</w:t>
      </w:r>
      <w:r w:rsidRPr="00972463">
        <w:rPr>
          <w:rFonts w:ascii="Arial" w:eastAsia="Times New Roman" w:hAnsi="Arial" w:cs="Arial"/>
          <w:color w:val="000000"/>
          <w:sz w:val="21"/>
          <w:szCs w:val="21"/>
        </w:rPr>
        <w:t xml:space="preserve"> </w:t>
      </w:r>
      <w:bookmarkStart w:id="265" w:name="_Hlk92875611"/>
      <w:r w:rsidRPr="00972463">
        <w:rPr>
          <w:rFonts w:ascii="Arial" w:eastAsia="Times New Roman" w:hAnsi="Arial" w:cs="Arial"/>
          <w:color w:val="000000"/>
          <w:sz w:val="21"/>
          <w:szCs w:val="21"/>
        </w:rPr>
        <w:t>2020/G01_01/000096 [155-2018</w:t>
      </w:r>
      <w:bookmarkEnd w:id="265"/>
      <w:r w:rsidRPr="00972463">
        <w:rPr>
          <w:rFonts w:ascii="Arial" w:eastAsia="Times New Roman" w:hAnsi="Arial" w:cs="Arial"/>
          <w:color w:val="000000"/>
          <w:sz w:val="21"/>
          <w:szCs w:val="21"/>
        </w:rPr>
        <w:t>] - Acumulats 2020/G01_01/000260 [260/220] y 2020/G01_01/000263 [263/2020]</w:t>
      </w:r>
    </w:p>
    <w:p w14:paraId="270400DA" w14:textId="77777777" w:rsidR="00972463" w:rsidRPr="00972463" w:rsidRDefault="00972463" w:rsidP="00972463">
      <w:pPr>
        <w:spacing w:after="240" w:line="276" w:lineRule="auto"/>
        <w:rPr>
          <w:rFonts w:ascii="Arial" w:eastAsia="Times New Roman" w:hAnsi="Arial" w:cs="Arial"/>
          <w:sz w:val="18"/>
          <w:szCs w:val="18"/>
          <w:lang w:eastAsia="es-ES"/>
        </w:rPr>
      </w:pPr>
      <w:r w:rsidRPr="00972463">
        <w:rPr>
          <w:rFonts w:ascii="Arial" w:eastAsia="Times New Roman" w:hAnsi="Arial" w:cs="Arial"/>
          <w:b/>
          <w:bCs/>
          <w:sz w:val="21"/>
          <w:szCs w:val="21"/>
        </w:rPr>
        <w:t>Enllaç a la publicació:</w:t>
      </w:r>
      <w:r w:rsidRPr="00972463">
        <w:rPr>
          <w:rFonts w:ascii="Arial" w:eastAsia="Times New Roman" w:hAnsi="Arial" w:cs="Arial"/>
          <w:b/>
          <w:bCs/>
          <w:sz w:val="21"/>
          <w:szCs w:val="21"/>
        </w:rPr>
        <w:br/>
      </w:r>
      <w:hyperlink r:id="rId459" w:history="1">
        <w:r w:rsidRPr="00972463">
          <w:rPr>
            <w:rFonts w:ascii="Arial" w:eastAsia="Times New Roman" w:hAnsi="Arial" w:cs="Arial"/>
            <w:color w:val="000080"/>
            <w:sz w:val="18"/>
            <w:szCs w:val="18"/>
            <w:u w:val="single"/>
            <w:lang w:eastAsia="es-ES"/>
          </w:rPr>
          <w:t>https://www.antifraucv.es/wp-content/uploads/2021/07/20210711_AJUNTAMENT-DE-VALENCIA.pdf</w:t>
        </w:r>
      </w:hyperlink>
    </w:p>
    <w:p w14:paraId="03355A14" w14:textId="77777777" w:rsidR="00972463" w:rsidRPr="00972463" w:rsidRDefault="00972463" w:rsidP="00972463">
      <w:pPr>
        <w:spacing w:after="240" w:line="276" w:lineRule="auto"/>
        <w:jc w:val="both"/>
        <w:rPr>
          <w:rFonts w:ascii="Arial" w:eastAsia="Times New Roman" w:hAnsi="Arial" w:cs="Arial"/>
          <w:color w:val="000000"/>
          <w:sz w:val="21"/>
          <w:szCs w:val="21"/>
        </w:rPr>
      </w:pPr>
      <w:r w:rsidRPr="00972463">
        <w:rPr>
          <w:rFonts w:ascii="Arial" w:eastAsia="Times New Roman" w:hAnsi="Arial" w:cs="Arial"/>
          <w:b/>
          <w:bCs/>
          <w:color w:val="000000"/>
          <w:sz w:val="21"/>
          <w:szCs w:val="21"/>
        </w:rPr>
        <w:t>Descripció:</w:t>
      </w:r>
      <w:r w:rsidRPr="00972463">
        <w:rPr>
          <w:rFonts w:ascii="Arial" w:eastAsia="Times New Roman" w:hAnsi="Arial" w:cs="Arial"/>
          <w:color w:val="000000"/>
          <w:sz w:val="21"/>
          <w:szCs w:val="21"/>
        </w:rPr>
        <w:t xml:space="preserve"> Es denuncia:</w:t>
      </w:r>
    </w:p>
    <w:p w14:paraId="30CD5874" w14:textId="77777777" w:rsidR="00972463" w:rsidRPr="00972463" w:rsidRDefault="00972463" w:rsidP="00D24C9B">
      <w:pPr>
        <w:numPr>
          <w:ilvl w:val="0"/>
          <w:numId w:val="127"/>
        </w:numPr>
        <w:spacing w:after="120" w:line="276" w:lineRule="auto"/>
        <w:ind w:left="714" w:hanging="357"/>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L'exercici de funcions en comissió de servicis com a Lletrat de l'Assessoria jurídica municipal, des de l'any 1989 fins a l'actualitat. </w:t>
      </w:r>
    </w:p>
    <w:p w14:paraId="50C733E8" w14:textId="77777777" w:rsidR="00972463" w:rsidRPr="00972463" w:rsidRDefault="00972463" w:rsidP="00D24C9B">
      <w:pPr>
        <w:numPr>
          <w:ilvl w:val="0"/>
          <w:numId w:val="127"/>
        </w:numPr>
        <w:spacing w:after="240" w:line="276" w:lineRule="auto"/>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L'atribució temporal de funcions com a lletrat major al senyor C.R.L sense complir els requisits exigits. </w:t>
      </w:r>
    </w:p>
    <w:p w14:paraId="051F2CFE" w14:textId="77777777" w:rsidR="00972463" w:rsidRPr="00972463" w:rsidRDefault="00972463" w:rsidP="00972463">
      <w:pPr>
        <w:spacing w:after="240" w:line="276" w:lineRule="auto"/>
        <w:jc w:val="both"/>
        <w:rPr>
          <w:rFonts w:ascii="Arial" w:eastAsia="Times New Roman" w:hAnsi="Arial" w:cs="Arial"/>
          <w:color w:val="000000"/>
          <w:sz w:val="21"/>
          <w:szCs w:val="21"/>
        </w:rPr>
      </w:pPr>
      <w:r w:rsidRPr="00972463">
        <w:rPr>
          <w:rFonts w:ascii="Arial" w:eastAsia="Times New Roman" w:hAnsi="Arial" w:cs="Arial"/>
          <w:color w:val="000000"/>
          <w:sz w:val="21"/>
          <w:szCs w:val="21"/>
        </w:rPr>
        <w:t>Després de la instrucció de l'oportú procediment d'investigació, es va evidenciar que:</w:t>
      </w:r>
    </w:p>
    <w:p w14:paraId="180DBA5B" w14:textId="77777777" w:rsidR="00972463" w:rsidRPr="00972463" w:rsidRDefault="00972463" w:rsidP="00D24C9B">
      <w:pPr>
        <w:numPr>
          <w:ilvl w:val="0"/>
          <w:numId w:val="128"/>
        </w:numPr>
        <w:spacing w:after="120" w:line="276" w:lineRule="auto"/>
        <w:ind w:left="709"/>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En relació amb el nomenament del lletrat del Servici Jurídic Municipal. La forma de provisió del lloc de “Lletrat/ada de l'Assessoria Jurídica Municipal (TD)”, amb número de referència 5754, és la de lliure designació. </w:t>
      </w:r>
    </w:p>
    <w:p w14:paraId="2BA3127F" w14:textId="77777777" w:rsidR="00972463" w:rsidRPr="00972463" w:rsidRDefault="00972463" w:rsidP="00972463">
      <w:pPr>
        <w:spacing w:after="120" w:line="276" w:lineRule="auto"/>
        <w:ind w:left="709"/>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No obstant això, l'Ajuntament de València ha permés que, des de 1989 a l'actualitat, el dit lloc estiga ocupat de manera temporal per mitjà d'una comissió de servicis. </w:t>
      </w:r>
    </w:p>
    <w:p w14:paraId="467787E1" w14:textId="77777777" w:rsidR="00972463" w:rsidRPr="00972463" w:rsidRDefault="00972463" w:rsidP="00972463">
      <w:pPr>
        <w:spacing w:after="120" w:line="276" w:lineRule="auto"/>
        <w:ind w:left="709"/>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La dita temporalitat excedix els terminis previstos en la normativa. </w:t>
      </w:r>
    </w:p>
    <w:p w14:paraId="31E0B6E0" w14:textId="77777777" w:rsidR="00972463" w:rsidRPr="00972463" w:rsidRDefault="00972463" w:rsidP="00972463">
      <w:pPr>
        <w:spacing w:after="120" w:line="276" w:lineRule="auto"/>
        <w:ind w:left="709"/>
        <w:jc w:val="both"/>
        <w:rPr>
          <w:rFonts w:ascii="Arial" w:eastAsia="Times New Roman" w:hAnsi="Arial" w:cs="Arial"/>
          <w:color w:val="000000"/>
          <w:sz w:val="21"/>
          <w:szCs w:val="21"/>
        </w:rPr>
      </w:pPr>
      <w:r w:rsidRPr="00972463">
        <w:rPr>
          <w:rFonts w:ascii="Arial" w:eastAsia="Times New Roman" w:hAnsi="Arial" w:cs="Arial"/>
          <w:color w:val="000000"/>
          <w:sz w:val="21"/>
          <w:szCs w:val="21"/>
        </w:rPr>
        <w:t>Així mateix, l'Ajuntament de València no ha inclòs en cap oferta pública d'ocupació, la plaça vacant ocupada de manera temporal per mitjà de comissió de servicis.</w:t>
      </w:r>
    </w:p>
    <w:p w14:paraId="381C9A9A" w14:textId="77777777" w:rsidR="00972463" w:rsidRPr="00972463" w:rsidRDefault="00972463" w:rsidP="00D24C9B">
      <w:pPr>
        <w:numPr>
          <w:ilvl w:val="0"/>
          <w:numId w:val="128"/>
        </w:numPr>
        <w:spacing w:after="120" w:line="276" w:lineRule="auto"/>
        <w:ind w:left="709"/>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En relació amb l'atribució temporal de funcions de Lletrat Major. </w:t>
      </w:r>
    </w:p>
    <w:p w14:paraId="5E257858" w14:textId="77777777" w:rsidR="00972463" w:rsidRPr="00972463" w:rsidRDefault="00972463" w:rsidP="00972463">
      <w:pPr>
        <w:spacing w:after="120" w:line="276" w:lineRule="auto"/>
        <w:ind w:left="709"/>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La Junta de Govern de l'Ajuntament de València, en la seua sessió de 16 de juny de 2017, va acordar l'atribució temporal de funcions de Lletrat Major al lloc 5754. L'Ajuntament de València comunica que, el funcionari implicat en els fets investigats renúncia a l'acumulació de tasques de Lletrat Major, continuant les seues funcions com a lletrat de l'Assessoria Jurídica Municipal. </w:t>
      </w:r>
    </w:p>
    <w:p w14:paraId="72E55B39" w14:textId="77777777" w:rsidR="00972463" w:rsidRPr="00972463" w:rsidRDefault="00972463" w:rsidP="00972463">
      <w:pPr>
        <w:spacing w:after="240" w:line="276" w:lineRule="auto"/>
        <w:ind w:left="709"/>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El 14 de maig de 2021, l'òrgan col·legiat competent accepta la renúncia. Tenint en compte que la forma de provisió del lloc 884 Lletrat/da Major és la lliure designació, l'Ajuntament de València hauria d'haver realitzat la convocatòria pública del mencionat lloc de treball en el termini que assenyala la normativa. </w:t>
      </w:r>
    </w:p>
    <w:p w14:paraId="63E99783" w14:textId="77777777" w:rsidR="00972463" w:rsidRPr="00972463" w:rsidRDefault="00972463" w:rsidP="00972463">
      <w:pPr>
        <w:spacing w:after="240" w:line="276" w:lineRule="auto"/>
        <w:jc w:val="both"/>
        <w:rPr>
          <w:rFonts w:ascii="Arial" w:eastAsia="Times New Roman" w:hAnsi="Arial" w:cs="Arial"/>
          <w:color w:val="000000"/>
          <w:sz w:val="21"/>
          <w:szCs w:val="21"/>
        </w:rPr>
      </w:pPr>
      <w:r w:rsidRPr="00972463">
        <w:rPr>
          <w:rFonts w:ascii="Arial" w:eastAsia="Times New Roman" w:hAnsi="Arial" w:cs="Arial"/>
          <w:b/>
          <w:bCs/>
          <w:color w:val="000000"/>
          <w:sz w:val="21"/>
          <w:szCs w:val="21"/>
        </w:rPr>
        <w:t>Resultat</w:t>
      </w:r>
      <w:r w:rsidRPr="00972463">
        <w:rPr>
          <w:rFonts w:ascii="Arial" w:eastAsia="Times New Roman" w:hAnsi="Arial" w:cs="Arial"/>
          <w:color w:val="000000"/>
          <w:sz w:val="21"/>
          <w:szCs w:val="21"/>
        </w:rPr>
        <w:t>: Formulació de recomanacions a l'Ajuntament de València, que consistixen en el fet que formule un Pla d'Implementació amb l'objecte que s'incloga en la pròxima Oferta d'Ocupació Pública la plaça amb número de referència 5754, amb denominació del lloc lletrat/da Assessoria Jurídica Municipal (TD) , i es proveïsca definitivament el lloc número 884 denominat lletrat major.</w:t>
      </w:r>
    </w:p>
    <w:p w14:paraId="13665588" w14:textId="5557E24C" w:rsidR="00972463" w:rsidRDefault="00972463" w:rsidP="00972463">
      <w:pPr>
        <w:spacing w:after="240" w:line="276" w:lineRule="auto"/>
        <w:jc w:val="both"/>
        <w:rPr>
          <w:rFonts w:ascii="Arial" w:eastAsia="Times New Roman" w:hAnsi="Arial" w:cs="Arial"/>
          <w:color w:val="000000"/>
          <w:sz w:val="21"/>
          <w:szCs w:val="21"/>
        </w:rPr>
      </w:pPr>
      <w:r w:rsidRPr="00972463">
        <w:rPr>
          <w:rFonts w:ascii="Arial" w:eastAsia="Times New Roman" w:hAnsi="Arial" w:cs="Arial"/>
          <w:b/>
          <w:bCs/>
          <w:color w:val="000000"/>
          <w:sz w:val="21"/>
          <w:szCs w:val="21"/>
        </w:rPr>
        <w:t>Fase de seguiment:</w:t>
      </w:r>
      <w:r w:rsidRPr="00972463">
        <w:rPr>
          <w:rFonts w:ascii="Arial" w:eastAsia="Times New Roman" w:hAnsi="Arial" w:cs="Arial"/>
          <w:color w:val="000000"/>
          <w:sz w:val="21"/>
          <w:szCs w:val="21"/>
        </w:rPr>
        <w:t xml:space="preserve"> S'ha remés per part de l'Ajuntament de València el pla d'implementació sol·licitat, acceptant les recomanacions.</w:t>
      </w:r>
    </w:p>
    <w:p w14:paraId="27915940" w14:textId="6F464DB6" w:rsidR="009F6C66" w:rsidRDefault="009F6C66" w:rsidP="00972463">
      <w:pPr>
        <w:spacing w:after="240" w:line="276" w:lineRule="auto"/>
        <w:jc w:val="both"/>
        <w:rPr>
          <w:rFonts w:ascii="Arial" w:eastAsia="Times New Roman" w:hAnsi="Arial" w:cs="Arial"/>
          <w:color w:val="000000"/>
          <w:sz w:val="21"/>
          <w:szCs w:val="21"/>
        </w:rPr>
      </w:pPr>
    </w:p>
    <w:p w14:paraId="77202970" w14:textId="77777777" w:rsidR="009F6C66" w:rsidRDefault="009F6C66" w:rsidP="00972463">
      <w:pPr>
        <w:spacing w:after="240" w:line="276" w:lineRule="auto"/>
        <w:jc w:val="both"/>
        <w:rPr>
          <w:rFonts w:ascii="Arial" w:eastAsia="Times New Roman" w:hAnsi="Arial" w:cs="Arial"/>
          <w:color w:val="000000"/>
          <w:sz w:val="21"/>
          <w:szCs w:val="21"/>
        </w:rPr>
      </w:pPr>
    </w:p>
    <w:p w14:paraId="6DD7E911" w14:textId="77777777" w:rsidR="00972463" w:rsidRPr="00972463" w:rsidRDefault="00972463" w:rsidP="0097246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66" w:name="_Toc99110763"/>
      <w:r w:rsidRPr="00972463">
        <w:rPr>
          <w:rFonts w:ascii="Arial" w:eastAsia="Times New Roman" w:hAnsi="Arial" w:cs="Arial"/>
          <w:b/>
          <w:color w:val="9D2235"/>
          <w:sz w:val="28"/>
          <w:szCs w:val="28"/>
        </w:rPr>
        <w:t>Denominació: Ajuntament de Benidorm. Tracte de favor en la tramitació de la devolució d'un vehicle retirat per la grua municipal</w:t>
      </w:r>
      <w:bookmarkEnd w:id="266"/>
    </w:p>
    <w:p w14:paraId="0F151369" w14:textId="77777777" w:rsidR="00972463" w:rsidRPr="00972463" w:rsidRDefault="00972463" w:rsidP="000E04BC">
      <w:pPr>
        <w:spacing w:after="240" w:line="276" w:lineRule="auto"/>
        <w:jc w:val="both"/>
        <w:rPr>
          <w:rFonts w:ascii="Arial" w:eastAsia="Times New Roman" w:hAnsi="Arial" w:cs="Arial"/>
          <w:color w:val="000000"/>
          <w:sz w:val="21"/>
          <w:szCs w:val="21"/>
        </w:rPr>
      </w:pPr>
      <w:r w:rsidRPr="00972463">
        <w:rPr>
          <w:rFonts w:ascii="Arial" w:eastAsia="Times New Roman" w:hAnsi="Arial" w:cs="Arial"/>
          <w:b/>
          <w:bCs/>
          <w:color w:val="000000"/>
          <w:sz w:val="21"/>
          <w:szCs w:val="21"/>
        </w:rPr>
        <w:t>Expedient</w:t>
      </w:r>
      <w:r w:rsidRPr="00972463">
        <w:rPr>
          <w:rFonts w:ascii="Arial" w:eastAsia="Times New Roman" w:hAnsi="Arial" w:cs="Arial"/>
          <w:color w:val="000000"/>
          <w:sz w:val="21"/>
          <w:szCs w:val="21"/>
        </w:rPr>
        <w:t>: 2020/G01_01/000147 [33/2019]</w:t>
      </w:r>
    </w:p>
    <w:p w14:paraId="5C563E39" w14:textId="77777777" w:rsidR="00972463" w:rsidRPr="00972463" w:rsidRDefault="00972463" w:rsidP="00972463">
      <w:pPr>
        <w:spacing w:after="240" w:line="276" w:lineRule="auto"/>
        <w:rPr>
          <w:rFonts w:ascii="Arial" w:eastAsia="Times New Roman" w:hAnsi="Arial" w:cs="Arial"/>
          <w:sz w:val="18"/>
          <w:szCs w:val="18"/>
          <w:lang w:eastAsia="es-ES"/>
        </w:rPr>
      </w:pPr>
      <w:r w:rsidRPr="00972463">
        <w:rPr>
          <w:rFonts w:ascii="Arial" w:eastAsia="Times New Roman" w:hAnsi="Arial" w:cs="Arial"/>
          <w:b/>
          <w:bCs/>
          <w:sz w:val="21"/>
          <w:szCs w:val="21"/>
        </w:rPr>
        <w:t>Enllaç a la publicació:</w:t>
      </w:r>
      <w:r w:rsidRPr="00972463">
        <w:rPr>
          <w:rFonts w:ascii="Arial" w:eastAsia="Times New Roman" w:hAnsi="Arial" w:cs="Arial"/>
          <w:b/>
          <w:bCs/>
          <w:sz w:val="21"/>
          <w:szCs w:val="21"/>
        </w:rPr>
        <w:br/>
      </w:r>
      <w:hyperlink r:id="rId460" w:history="1">
        <w:r w:rsidRPr="00972463">
          <w:rPr>
            <w:rFonts w:ascii="Arial" w:eastAsia="Times New Roman" w:hAnsi="Arial" w:cs="Arial"/>
            <w:color w:val="000080"/>
            <w:sz w:val="18"/>
            <w:szCs w:val="18"/>
            <w:u w:val="single"/>
            <w:lang w:eastAsia="es-ES"/>
          </w:rPr>
          <w:t>https://www.antifraucv.es/wp-content/uploads/2021/07/20210715_AJUNTAMENT-DE-BENIDORM.pdf</w:t>
        </w:r>
      </w:hyperlink>
    </w:p>
    <w:p w14:paraId="41495AA4" w14:textId="77777777" w:rsidR="00972463" w:rsidRPr="00972463" w:rsidRDefault="00972463" w:rsidP="00972463">
      <w:pPr>
        <w:spacing w:after="240" w:line="276" w:lineRule="auto"/>
        <w:jc w:val="both"/>
        <w:rPr>
          <w:rFonts w:ascii="Arial" w:eastAsia="Times New Roman" w:hAnsi="Arial" w:cs="Arial"/>
          <w:color w:val="000000"/>
          <w:sz w:val="21"/>
          <w:szCs w:val="21"/>
        </w:rPr>
      </w:pPr>
      <w:r w:rsidRPr="00972463">
        <w:rPr>
          <w:rFonts w:ascii="Arial" w:eastAsia="Times New Roman" w:hAnsi="Arial" w:cs="Arial"/>
          <w:b/>
          <w:bCs/>
          <w:color w:val="000000"/>
          <w:sz w:val="21"/>
          <w:szCs w:val="21"/>
        </w:rPr>
        <w:t>Descripció:</w:t>
      </w:r>
      <w:r w:rsidRPr="00972463">
        <w:rPr>
          <w:rFonts w:ascii="Arial" w:eastAsia="Times New Roman" w:hAnsi="Arial" w:cs="Arial"/>
          <w:color w:val="000000"/>
          <w:sz w:val="21"/>
          <w:szCs w:val="21"/>
        </w:rPr>
        <w:t xml:space="preserve"> S'informa de l'Agència, un presumpte tracte de favor en la tramitació de la devolució d'un vehicle retirat de la via pública el 9 d'abril de 2016, del municipi de Benidorm. </w:t>
      </w:r>
    </w:p>
    <w:p w14:paraId="36271348" w14:textId="77777777" w:rsidR="00972463" w:rsidRPr="00972463" w:rsidRDefault="00972463" w:rsidP="00972463">
      <w:pPr>
        <w:spacing w:after="240" w:line="276" w:lineRule="auto"/>
        <w:jc w:val="both"/>
        <w:rPr>
          <w:rFonts w:ascii="Arial" w:eastAsia="Times New Roman" w:hAnsi="Arial" w:cs="Arial"/>
          <w:color w:val="000000"/>
          <w:sz w:val="21"/>
          <w:szCs w:val="21"/>
        </w:rPr>
      </w:pPr>
      <w:r w:rsidRPr="00972463">
        <w:rPr>
          <w:rFonts w:ascii="Arial" w:eastAsia="Times New Roman" w:hAnsi="Arial" w:cs="Arial"/>
          <w:color w:val="000000"/>
          <w:sz w:val="21"/>
          <w:szCs w:val="21"/>
        </w:rPr>
        <w:t>Després de la instrucció de l'oportú procediment d'investigació, es va evidenciar que:</w:t>
      </w:r>
    </w:p>
    <w:p w14:paraId="141B727F" w14:textId="77777777" w:rsidR="00972463" w:rsidRPr="00972463" w:rsidRDefault="00972463" w:rsidP="00D24C9B">
      <w:pPr>
        <w:numPr>
          <w:ilvl w:val="0"/>
          <w:numId w:val="129"/>
        </w:numPr>
        <w:spacing w:after="120" w:line="276" w:lineRule="auto"/>
        <w:ind w:left="714" w:hanging="357"/>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El dia 9 d'abril de 2016 (dissabte), la policia local ordena la retirada del vehicle de la via pública a les 13:09. I a les 13:34 del mateix dia, el vehicle queda a disposició del seu titular. En només 25 minuts, el senyor F. es posa en contacte amb el regidor de mobilitat i este últim va donar l'orde d'entrega del vehicle, sense necessitat de procedir a l'abonament de la taxa. La dita actuació no respon a un procediment reglat ni preestablert de manera objectiva. </w:t>
      </w:r>
    </w:p>
    <w:p w14:paraId="7C043498" w14:textId="77777777" w:rsidR="00972463" w:rsidRPr="00972463" w:rsidRDefault="00972463" w:rsidP="00D24C9B">
      <w:pPr>
        <w:numPr>
          <w:ilvl w:val="0"/>
          <w:numId w:val="129"/>
        </w:numPr>
        <w:spacing w:after="120" w:line="276" w:lineRule="auto"/>
        <w:ind w:left="714" w:hanging="357"/>
        <w:jc w:val="both"/>
        <w:rPr>
          <w:rFonts w:ascii="Arial" w:eastAsia="Times New Roman" w:hAnsi="Arial" w:cs="Arial"/>
          <w:color w:val="000000"/>
          <w:sz w:val="21"/>
          <w:szCs w:val="21"/>
        </w:rPr>
      </w:pPr>
      <w:r w:rsidRPr="00972463">
        <w:rPr>
          <w:rFonts w:ascii="Arial" w:eastAsia="Times New Roman" w:hAnsi="Arial" w:cs="Arial"/>
          <w:color w:val="000000"/>
          <w:sz w:val="21"/>
          <w:szCs w:val="21"/>
        </w:rPr>
        <w:t>En la documentació remesa per l'Ajuntament de Benidorm, tan sols consta un document que autoritza l'entrega del vehicle amb matrícula XXX XXX. El senyor F. va tindre accés immediat al regidor competent en la matèria, obtenint un benefici al no haver d'abonar l'import previst en l'ordenança corresponent. No es té constància de l'emissió de cap decret posterior del regidor delegat que autoritze l'entrega del vehicle. No s'acorda l'exempció del pagament de la taxa conforme al supòsit previst a la Ordenança Fiscal Municipal.</w:t>
      </w:r>
    </w:p>
    <w:p w14:paraId="4862AFD7" w14:textId="77777777" w:rsidR="00972463" w:rsidRPr="00972463" w:rsidRDefault="00972463" w:rsidP="00D24C9B">
      <w:pPr>
        <w:numPr>
          <w:ilvl w:val="0"/>
          <w:numId w:val="129"/>
        </w:numPr>
        <w:spacing w:after="240" w:line="276" w:lineRule="auto"/>
        <w:jc w:val="both"/>
        <w:rPr>
          <w:rFonts w:ascii="Arial" w:eastAsia="Times New Roman" w:hAnsi="Arial" w:cs="Arial"/>
          <w:color w:val="000000"/>
          <w:sz w:val="21"/>
          <w:szCs w:val="21"/>
        </w:rPr>
      </w:pPr>
      <w:r w:rsidRPr="00972463">
        <w:rPr>
          <w:rFonts w:ascii="Arial" w:eastAsia="Times New Roman" w:hAnsi="Arial" w:cs="Arial"/>
          <w:color w:val="000000"/>
          <w:sz w:val="21"/>
          <w:szCs w:val="21"/>
        </w:rPr>
        <w:t xml:space="preserve">En la documentació que es troba en poder de l'expedient i remesa a esta Agència, no consta justificació de les raons de l'autorització a no abonar l'import de la taxa. La taxa la recapta l'empresa concessionària. </w:t>
      </w:r>
    </w:p>
    <w:p w14:paraId="0D00B86E" w14:textId="77777777" w:rsidR="00972463" w:rsidRPr="00972463" w:rsidRDefault="00972463" w:rsidP="00972463">
      <w:pPr>
        <w:spacing w:after="240" w:line="276" w:lineRule="auto"/>
        <w:jc w:val="both"/>
        <w:rPr>
          <w:rFonts w:ascii="Arial" w:eastAsia="Times New Roman" w:hAnsi="Arial" w:cs="Arial"/>
          <w:color w:val="000000"/>
          <w:sz w:val="21"/>
          <w:szCs w:val="21"/>
        </w:rPr>
      </w:pPr>
      <w:r w:rsidRPr="00972463">
        <w:rPr>
          <w:rFonts w:ascii="Arial" w:eastAsia="Times New Roman" w:hAnsi="Arial" w:cs="Arial"/>
          <w:b/>
          <w:bCs/>
          <w:color w:val="000000"/>
          <w:sz w:val="21"/>
          <w:szCs w:val="21"/>
        </w:rPr>
        <w:t>Resultat</w:t>
      </w:r>
      <w:r w:rsidRPr="00972463">
        <w:rPr>
          <w:rFonts w:ascii="Arial" w:eastAsia="Times New Roman" w:hAnsi="Arial" w:cs="Arial"/>
          <w:color w:val="000000"/>
          <w:sz w:val="21"/>
          <w:szCs w:val="21"/>
        </w:rPr>
        <w:t xml:space="preserve">: Es finalitza l'expedient, recomanant l'emissió d'una instrucció específica en què es fixe el procediment que s'ha de seguir en els supòsits en què l'Ajuntament, a través d'una autorització especial, faculte la retirada de vehicles aplicant l'exempció prevista en l'ordenança fiscal municipal. </w:t>
      </w:r>
    </w:p>
    <w:p w14:paraId="6FB007F5" w14:textId="77777777" w:rsidR="00972463" w:rsidRPr="00972463" w:rsidRDefault="00972463" w:rsidP="00972463">
      <w:pPr>
        <w:spacing w:after="240" w:line="276" w:lineRule="auto"/>
        <w:jc w:val="both"/>
        <w:rPr>
          <w:rFonts w:ascii="Arial" w:eastAsia="Times New Roman" w:hAnsi="Arial" w:cs="Arial"/>
          <w:color w:val="000000"/>
          <w:sz w:val="21"/>
          <w:szCs w:val="21"/>
        </w:rPr>
      </w:pPr>
      <w:r w:rsidRPr="00972463">
        <w:rPr>
          <w:rFonts w:ascii="Arial" w:eastAsia="Times New Roman" w:hAnsi="Arial" w:cs="Arial"/>
          <w:b/>
          <w:bCs/>
          <w:color w:val="000000"/>
          <w:sz w:val="21"/>
          <w:szCs w:val="21"/>
        </w:rPr>
        <w:t xml:space="preserve">Fase de seguiment: </w:t>
      </w:r>
      <w:r w:rsidRPr="00972463">
        <w:rPr>
          <w:rFonts w:ascii="Arial" w:eastAsia="Times New Roman" w:hAnsi="Arial" w:cs="Arial"/>
          <w:color w:val="000000"/>
          <w:sz w:val="21"/>
          <w:szCs w:val="21"/>
        </w:rPr>
        <w:t xml:space="preserve">En tràmit. </w:t>
      </w:r>
    </w:p>
    <w:p w14:paraId="542CA7B6" w14:textId="77777777" w:rsidR="00D24C9B" w:rsidRPr="00D24C9B" w:rsidRDefault="00D24C9B" w:rsidP="00D24C9B">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67" w:name="_Toc95209089"/>
      <w:bookmarkStart w:id="268" w:name="_Toc95913881"/>
      <w:bookmarkStart w:id="269" w:name="_Toc99110764"/>
      <w:r w:rsidRPr="00D24C9B">
        <w:rPr>
          <w:rFonts w:ascii="Arial" w:eastAsia="Times New Roman" w:hAnsi="Arial" w:cs="Arial"/>
          <w:b/>
          <w:color w:val="9D2235"/>
          <w:sz w:val="28"/>
          <w:szCs w:val="28"/>
        </w:rPr>
        <w:t>Denominació: Ajuntament de València. Encàrrec directe Servici d'estacionament regulat d'aparcament de vehicles (ORA)</w:t>
      </w:r>
      <w:bookmarkEnd w:id="267"/>
      <w:bookmarkEnd w:id="268"/>
      <w:bookmarkEnd w:id="269"/>
    </w:p>
    <w:p w14:paraId="502AE328" w14:textId="77777777" w:rsidR="00D24C9B" w:rsidRPr="00D24C9B" w:rsidRDefault="00D24C9B" w:rsidP="000E04BC">
      <w:pPr>
        <w:spacing w:after="240" w:line="276" w:lineRule="auto"/>
        <w:jc w:val="both"/>
        <w:rPr>
          <w:rFonts w:ascii="Arial" w:eastAsia="Times New Roman" w:hAnsi="Arial" w:cs="Arial"/>
          <w:color w:val="000000"/>
          <w:sz w:val="21"/>
          <w:szCs w:val="21"/>
        </w:rPr>
      </w:pPr>
      <w:r w:rsidRPr="00D24C9B">
        <w:rPr>
          <w:rFonts w:ascii="Arial" w:eastAsia="Times New Roman" w:hAnsi="Arial" w:cs="Arial"/>
          <w:b/>
          <w:bCs/>
          <w:color w:val="000000"/>
          <w:sz w:val="21"/>
          <w:szCs w:val="21"/>
        </w:rPr>
        <w:t>Expedient</w:t>
      </w:r>
      <w:r w:rsidRPr="00D24C9B">
        <w:rPr>
          <w:rFonts w:ascii="Arial" w:eastAsia="Times New Roman" w:hAnsi="Arial" w:cs="Arial"/>
          <w:color w:val="000000"/>
          <w:sz w:val="21"/>
          <w:szCs w:val="21"/>
        </w:rPr>
        <w:t>: 2020/G01_01/000339</w:t>
      </w:r>
    </w:p>
    <w:p w14:paraId="78D79AE7" w14:textId="77777777" w:rsidR="00D24C9B" w:rsidRPr="00D24C9B" w:rsidRDefault="00D24C9B" w:rsidP="00D24C9B">
      <w:pPr>
        <w:spacing w:after="240" w:line="276" w:lineRule="auto"/>
        <w:rPr>
          <w:rFonts w:ascii="Arial" w:eastAsia="Times New Roman" w:hAnsi="Arial" w:cs="Arial"/>
          <w:sz w:val="18"/>
          <w:szCs w:val="18"/>
          <w:lang w:val="ca-ES" w:eastAsia="es-ES"/>
        </w:rPr>
      </w:pPr>
      <w:r w:rsidRPr="00D24C9B">
        <w:rPr>
          <w:rFonts w:ascii="Arial" w:eastAsia="Times New Roman" w:hAnsi="Arial" w:cs="Arial"/>
          <w:b/>
          <w:bCs/>
          <w:sz w:val="21"/>
          <w:szCs w:val="21"/>
          <w:lang w:val="ca-ES"/>
        </w:rPr>
        <w:t>Enllaç a la publicació:</w:t>
      </w:r>
      <w:r w:rsidRPr="00D24C9B">
        <w:rPr>
          <w:rFonts w:ascii="Arial" w:eastAsia="Times New Roman" w:hAnsi="Arial" w:cs="Arial"/>
          <w:b/>
          <w:bCs/>
          <w:sz w:val="21"/>
          <w:szCs w:val="21"/>
          <w:lang w:val="ca-ES"/>
        </w:rPr>
        <w:br/>
      </w:r>
      <w:hyperlink r:id="rId461" w:history="1">
        <w:r w:rsidRPr="00D24C9B">
          <w:rPr>
            <w:rFonts w:ascii="Arial" w:eastAsia="Times New Roman" w:hAnsi="Arial" w:cs="Arial"/>
            <w:color w:val="000080"/>
            <w:sz w:val="18"/>
            <w:szCs w:val="18"/>
            <w:u w:val="single"/>
            <w:lang w:val="ca-ES" w:eastAsia="es-ES"/>
          </w:rPr>
          <w:t>https://www.antifraucv.es/wp-content/uploads/2021/07/20210729_AJUNTAMENT-DE-VALENCIA.pdf</w:t>
        </w:r>
      </w:hyperlink>
    </w:p>
    <w:p w14:paraId="37E762EC" w14:textId="77777777" w:rsidR="00D24C9B" w:rsidRPr="00D24C9B" w:rsidRDefault="00D24C9B" w:rsidP="00D24C9B">
      <w:pPr>
        <w:spacing w:after="240" w:line="276" w:lineRule="auto"/>
        <w:jc w:val="both"/>
        <w:rPr>
          <w:rFonts w:ascii="Arial" w:eastAsia="Times New Roman" w:hAnsi="Arial" w:cs="Arial"/>
          <w:color w:val="000000"/>
          <w:sz w:val="21"/>
          <w:szCs w:val="21"/>
        </w:rPr>
      </w:pPr>
      <w:r w:rsidRPr="00D24C9B">
        <w:rPr>
          <w:rFonts w:ascii="Arial" w:eastAsia="Times New Roman" w:hAnsi="Arial" w:cs="Arial"/>
          <w:b/>
          <w:bCs/>
          <w:color w:val="000000"/>
          <w:sz w:val="21"/>
          <w:szCs w:val="21"/>
        </w:rPr>
        <w:t>Descripció</w:t>
      </w:r>
      <w:r w:rsidRPr="00D24C9B">
        <w:rPr>
          <w:rFonts w:ascii="Arial" w:eastAsia="Times New Roman" w:hAnsi="Arial" w:cs="Arial"/>
          <w:color w:val="000000"/>
          <w:sz w:val="21"/>
          <w:szCs w:val="21"/>
        </w:rPr>
        <w:t xml:space="preserve">: Es van iniciar actuacions, en relació amb la possible existència de determinades irregularitats comeses, en relació amb els pagaments realitzats pel servici de gestió del servici públic de l'estacionament de vehicles en la via pública baix control horari. </w:t>
      </w:r>
    </w:p>
    <w:p w14:paraId="42CACBE1" w14:textId="77777777" w:rsidR="00D24C9B" w:rsidRPr="00D24C9B" w:rsidRDefault="00D24C9B" w:rsidP="00D24C9B">
      <w:pPr>
        <w:spacing w:after="240" w:line="276" w:lineRule="auto"/>
        <w:jc w:val="both"/>
        <w:rPr>
          <w:rFonts w:ascii="Arial" w:eastAsia="Times New Roman" w:hAnsi="Arial" w:cs="Arial"/>
          <w:color w:val="000000"/>
          <w:sz w:val="21"/>
          <w:szCs w:val="21"/>
        </w:rPr>
      </w:pPr>
      <w:r w:rsidRPr="00D24C9B">
        <w:rPr>
          <w:rFonts w:ascii="Arial" w:eastAsia="Times New Roman" w:hAnsi="Arial" w:cs="Arial"/>
          <w:color w:val="000000"/>
          <w:sz w:val="21"/>
          <w:szCs w:val="21"/>
        </w:rPr>
        <w:t xml:space="preserve">Entre els fets manifestats, resulta d'especial rellevància, l'increment aplicat en el cost del servici produït, a partir del moment en què el contracte administratiu en vigor és resolt i comença a prestar-se sense cobertura contractual, ocorrent tot això des de 2013, sense que l'Ajuntament haja procedit a licitar la contractació. </w:t>
      </w:r>
    </w:p>
    <w:p w14:paraId="78FC4FE6" w14:textId="77777777" w:rsidR="00D24C9B" w:rsidRPr="00D24C9B" w:rsidRDefault="00D24C9B" w:rsidP="00D24C9B">
      <w:pPr>
        <w:spacing w:after="240" w:line="276" w:lineRule="auto"/>
        <w:jc w:val="both"/>
        <w:rPr>
          <w:rFonts w:ascii="Arial" w:eastAsia="Times New Roman" w:hAnsi="Arial" w:cs="Arial"/>
          <w:color w:val="000000"/>
          <w:sz w:val="21"/>
          <w:szCs w:val="21"/>
        </w:rPr>
      </w:pPr>
      <w:r w:rsidRPr="00D24C9B">
        <w:rPr>
          <w:rFonts w:ascii="Arial" w:eastAsia="Times New Roman" w:hAnsi="Arial" w:cs="Arial"/>
          <w:color w:val="000000"/>
          <w:sz w:val="21"/>
          <w:szCs w:val="21"/>
        </w:rPr>
        <w:t>Després de la instrucció de l'oportú procediment d'investigació, es va evidenciar que:</w:t>
      </w:r>
    </w:p>
    <w:p w14:paraId="0292309B" w14:textId="77777777" w:rsidR="00D24C9B" w:rsidRPr="00D24C9B" w:rsidRDefault="00D24C9B" w:rsidP="00D24C9B">
      <w:pPr>
        <w:numPr>
          <w:ilvl w:val="0"/>
          <w:numId w:val="130"/>
        </w:numPr>
        <w:spacing w:after="120" w:line="276" w:lineRule="auto"/>
        <w:ind w:left="714" w:hanging="357"/>
        <w:jc w:val="both"/>
        <w:rPr>
          <w:rFonts w:ascii="Arial" w:eastAsia="Times New Roman" w:hAnsi="Arial" w:cs="Arial"/>
          <w:color w:val="000000"/>
          <w:sz w:val="21"/>
          <w:szCs w:val="21"/>
        </w:rPr>
      </w:pPr>
      <w:r w:rsidRPr="00D24C9B">
        <w:rPr>
          <w:rFonts w:ascii="Arial" w:eastAsia="Times New Roman" w:hAnsi="Arial" w:cs="Arial"/>
          <w:color w:val="000000"/>
          <w:sz w:val="21"/>
          <w:szCs w:val="21"/>
        </w:rPr>
        <w:t xml:space="preserve">Que el servici públic de l'estacionament de vehicles en la via pública, sota control horari, s'ha prestat sense cobertura contractual administrativa idònia des del 12 d'abril de 2013, fins a la recent adjudicació de 13 de novembre de 2020, la qual cosa suposa la realització de pagaments materials a favor del prestatari del servici, adjudicat inicialment en 2006, durant un període superior a set anys. </w:t>
      </w:r>
    </w:p>
    <w:p w14:paraId="3D5F5C23" w14:textId="77777777" w:rsidR="00D24C9B" w:rsidRPr="00D24C9B" w:rsidRDefault="00D24C9B" w:rsidP="00D24C9B">
      <w:pPr>
        <w:numPr>
          <w:ilvl w:val="0"/>
          <w:numId w:val="130"/>
        </w:numPr>
        <w:spacing w:after="120" w:line="276" w:lineRule="auto"/>
        <w:ind w:left="714" w:hanging="357"/>
        <w:jc w:val="both"/>
        <w:rPr>
          <w:rFonts w:ascii="Arial" w:eastAsia="Times New Roman" w:hAnsi="Arial" w:cs="Arial"/>
          <w:color w:val="000000"/>
          <w:sz w:val="21"/>
          <w:szCs w:val="21"/>
        </w:rPr>
      </w:pPr>
      <w:r w:rsidRPr="00D24C9B">
        <w:rPr>
          <w:rFonts w:ascii="Arial" w:eastAsia="Times New Roman" w:hAnsi="Arial" w:cs="Arial"/>
          <w:color w:val="000000"/>
          <w:sz w:val="21"/>
          <w:szCs w:val="21"/>
        </w:rPr>
        <w:t>Que les condicions econòmiques que s'apliquen són les mateixes que van regir el contracte subscrit el 27 de maig del 2006, de conformitat amb el contingut de l'acord adoptat per la Junta de Govern Local en sessió de data 12 d'abril de 2013, pel qual es va aprovar la continuïtat de la prestació del servici, fins a la resolució de l'expedient de contractació en tràmit per a la nova adjudicació del servici i la incorporació d'un nou adjudicatari.</w:t>
      </w:r>
    </w:p>
    <w:p w14:paraId="0E5E7C8B" w14:textId="77777777" w:rsidR="00D24C9B" w:rsidRPr="00D24C9B" w:rsidRDefault="00D24C9B" w:rsidP="00D24C9B">
      <w:pPr>
        <w:numPr>
          <w:ilvl w:val="0"/>
          <w:numId w:val="130"/>
        </w:numPr>
        <w:spacing w:after="120" w:line="276" w:lineRule="auto"/>
        <w:ind w:left="714" w:hanging="357"/>
        <w:jc w:val="both"/>
        <w:rPr>
          <w:rFonts w:ascii="Arial" w:eastAsia="Times New Roman" w:hAnsi="Arial" w:cs="Arial"/>
          <w:color w:val="000000"/>
          <w:sz w:val="21"/>
          <w:szCs w:val="21"/>
        </w:rPr>
      </w:pPr>
      <w:r w:rsidRPr="00D24C9B">
        <w:rPr>
          <w:rFonts w:ascii="Arial" w:eastAsia="Times New Roman" w:hAnsi="Arial" w:cs="Arial"/>
          <w:color w:val="000000"/>
          <w:sz w:val="21"/>
          <w:szCs w:val="21"/>
        </w:rPr>
        <w:t xml:space="preserve">Que la nova licitació havia sigut convocada per acord de la Junta de Govern Local de 13 de març de 2015, procedint-se a renunciar de la mateixa com a conseqüència de l'Acord de la Junta de Govern de data 29 de juliol de 2016, tot això de conformitat amb la moció del regidor delegat d'Infraestructures del Transport Públic de 18 de febrer de 2016, l'informe de l'Assessoria Jurídica Municipal de 15 de desembre de 2015 i l'informe de la Secció de Senyalització del Servici de Mobilitat Sostenible de 18 de maig de 2016, així com els altres fets i fonaments de dret arreplegats en el dit acord. </w:t>
      </w:r>
    </w:p>
    <w:p w14:paraId="59DC9219" w14:textId="77777777" w:rsidR="00D24C9B" w:rsidRPr="00D24C9B" w:rsidRDefault="00D24C9B" w:rsidP="00D24C9B">
      <w:pPr>
        <w:numPr>
          <w:ilvl w:val="0"/>
          <w:numId w:val="130"/>
        </w:numPr>
        <w:spacing w:after="120" w:line="276" w:lineRule="auto"/>
        <w:ind w:left="714" w:hanging="357"/>
        <w:jc w:val="both"/>
        <w:rPr>
          <w:rFonts w:ascii="Arial" w:eastAsia="Times New Roman" w:hAnsi="Arial" w:cs="Arial"/>
          <w:color w:val="000000"/>
          <w:sz w:val="21"/>
          <w:szCs w:val="21"/>
        </w:rPr>
      </w:pPr>
      <w:r w:rsidRPr="00D24C9B">
        <w:rPr>
          <w:rFonts w:ascii="Arial" w:eastAsia="Times New Roman" w:hAnsi="Arial" w:cs="Arial"/>
          <w:color w:val="000000"/>
          <w:sz w:val="21"/>
          <w:szCs w:val="21"/>
        </w:rPr>
        <w:t xml:space="preserve">La Junta de Govern Local, en sessió ordinària celebrada el dia 22 de novembre de 2019, va acordar contractar la prestació del servici d'estacionament regulat en la via pública de la ciutat de València (ORA), més de tres anys després d'acordar la renúncia al procediment previ. Prèvia la tramitació oportuna, en el si de l'Expedient 04101/2019/87-SER, la Junta de Govern Local en sessió celebrada amb data 13 de novembre de 2020, va acordar adjudicar el contracte. </w:t>
      </w:r>
    </w:p>
    <w:p w14:paraId="7DDDAC5C" w14:textId="77777777" w:rsidR="00D24C9B" w:rsidRPr="00D24C9B" w:rsidRDefault="00D24C9B" w:rsidP="00D24C9B">
      <w:pPr>
        <w:numPr>
          <w:ilvl w:val="0"/>
          <w:numId w:val="130"/>
        </w:numPr>
        <w:spacing w:after="240" w:line="276" w:lineRule="auto"/>
        <w:jc w:val="both"/>
        <w:rPr>
          <w:rFonts w:ascii="Arial" w:eastAsia="Times New Roman" w:hAnsi="Arial" w:cs="Arial"/>
          <w:color w:val="000000"/>
          <w:sz w:val="21"/>
          <w:szCs w:val="21"/>
        </w:rPr>
      </w:pPr>
      <w:r w:rsidRPr="00D24C9B">
        <w:rPr>
          <w:rFonts w:ascii="Arial" w:eastAsia="Times New Roman" w:hAnsi="Arial" w:cs="Arial"/>
          <w:color w:val="000000"/>
          <w:sz w:val="21"/>
          <w:szCs w:val="21"/>
        </w:rPr>
        <w:t>El Servici de Personal no ha procedit a exigir responsabilitats de tipus disciplinari al personal encarregat de la gestió, amb motiu que no s'han produït cap de les diferents actuacions que puguen donar lloc a la incoació d'un procediment de diligències informatives i si és procedent d'expedient disciplinari.</w:t>
      </w:r>
    </w:p>
    <w:p w14:paraId="3C2A391D" w14:textId="77777777" w:rsidR="00D24C9B" w:rsidRPr="00D24C9B" w:rsidRDefault="00D24C9B" w:rsidP="00D24C9B">
      <w:pPr>
        <w:spacing w:after="240" w:line="276" w:lineRule="auto"/>
        <w:jc w:val="both"/>
        <w:rPr>
          <w:rFonts w:ascii="Arial" w:eastAsia="Times New Roman" w:hAnsi="Arial" w:cs="Arial"/>
          <w:color w:val="000000"/>
          <w:sz w:val="21"/>
          <w:szCs w:val="21"/>
        </w:rPr>
      </w:pPr>
      <w:r w:rsidRPr="00D24C9B">
        <w:rPr>
          <w:rFonts w:ascii="Arial" w:eastAsia="Times New Roman" w:hAnsi="Arial" w:cs="Arial"/>
          <w:b/>
          <w:bCs/>
          <w:color w:val="000000"/>
          <w:sz w:val="21"/>
          <w:szCs w:val="21"/>
        </w:rPr>
        <w:t>Resultat</w:t>
      </w:r>
      <w:r w:rsidRPr="00D24C9B">
        <w:rPr>
          <w:rFonts w:ascii="Arial" w:eastAsia="Times New Roman" w:hAnsi="Arial" w:cs="Arial"/>
          <w:color w:val="000000"/>
          <w:sz w:val="21"/>
          <w:szCs w:val="21"/>
        </w:rPr>
        <w:t>: Es finalitza l’expedient amb recomanacions:</w:t>
      </w:r>
    </w:p>
    <w:p w14:paraId="3ADDD265" w14:textId="77777777" w:rsidR="00D24C9B" w:rsidRPr="00D24C9B" w:rsidRDefault="00D24C9B" w:rsidP="00D24C9B">
      <w:pPr>
        <w:numPr>
          <w:ilvl w:val="0"/>
          <w:numId w:val="131"/>
        </w:numPr>
        <w:spacing w:after="120" w:line="276" w:lineRule="auto"/>
        <w:ind w:left="709"/>
        <w:jc w:val="both"/>
        <w:rPr>
          <w:rFonts w:ascii="Arial" w:eastAsia="Times New Roman" w:hAnsi="Arial" w:cs="Arial"/>
          <w:color w:val="000000"/>
          <w:sz w:val="21"/>
          <w:szCs w:val="21"/>
        </w:rPr>
      </w:pPr>
      <w:r w:rsidRPr="00D24C9B">
        <w:rPr>
          <w:rFonts w:ascii="Arial" w:eastAsia="Times New Roman" w:hAnsi="Arial" w:cs="Arial"/>
          <w:color w:val="000000"/>
          <w:sz w:val="21"/>
          <w:szCs w:val="21"/>
        </w:rPr>
        <w:t xml:space="preserve">Que es procedisca a la implementació d'un pla integral per part de la Delegació que afecte totes les àrees o servicis dependents, amb l'objectiu de garantir la cobertura contractual de tots els servicis, concessions de servicis i subministraments de caràcter ordinari o recurrent, amb especial atenció a les grans contractacions pel seu volum de pressupostari, perquè no es produïsquen o es minimitzen les situacions com les descrites en el present expedient. </w:t>
      </w:r>
    </w:p>
    <w:p w14:paraId="457D45DD" w14:textId="77777777" w:rsidR="00D24C9B" w:rsidRPr="00D24C9B" w:rsidRDefault="00D24C9B" w:rsidP="00D24C9B">
      <w:pPr>
        <w:spacing w:after="120" w:line="276" w:lineRule="auto"/>
        <w:ind w:left="709"/>
        <w:jc w:val="both"/>
        <w:rPr>
          <w:rFonts w:ascii="Arial" w:eastAsia="Times New Roman" w:hAnsi="Arial" w:cs="Arial"/>
          <w:color w:val="000000"/>
          <w:sz w:val="21"/>
          <w:szCs w:val="21"/>
        </w:rPr>
      </w:pPr>
      <w:r w:rsidRPr="00D24C9B">
        <w:rPr>
          <w:rFonts w:ascii="Arial" w:eastAsia="Times New Roman" w:hAnsi="Arial" w:cs="Arial"/>
          <w:color w:val="000000"/>
          <w:sz w:val="21"/>
          <w:szCs w:val="21"/>
        </w:rPr>
        <w:t>Este pla haurà de detallar les accions, terminis, persones responsables de cada un dels servicis, concessions de servicis, subministraments ordinaris o recurrents, detallant les actuacions a realitzar amb antelació suficient, per a garantir la continuïtat en les prestacions amb cobertura contractual, a fi d'eliminar o minimitzar els encàrrecs de continuïtat de la prestació sense contracte en vigor, i derivat d'això el reconeixement extrajudicial de les indemnitzacions per les prestacions sense contracte.</w:t>
      </w:r>
    </w:p>
    <w:p w14:paraId="71EE07C6" w14:textId="77777777" w:rsidR="00D24C9B" w:rsidRPr="00D24C9B" w:rsidRDefault="00D24C9B" w:rsidP="00D24C9B">
      <w:pPr>
        <w:spacing w:after="120" w:line="276" w:lineRule="auto"/>
        <w:ind w:left="709"/>
        <w:jc w:val="both"/>
        <w:rPr>
          <w:rFonts w:ascii="Arial" w:eastAsia="Times New Roman" w:hAnsi="Arial" w:cs="Arial"/>
          <w:color w:val="000000"/>
          <w:sz w:val="21"/>
          <w:szCs w:val="21"/>
        </w:rPr>
      </w:pPr>
      <w:r w:rsidRPr="00D24C9B">
        <w:rPr>
          <w:rFonts w:ascii="Arial" w:eastAsia="Times New Roman" w:hAnsi="Arial" w:cs="Arial"/>
          <w:color w:val="000000"/>
          <w:sz w:val="21"/>
          <w:szCs w:val="21"/>
        </w:rPr>
        <w:t xml:space="preserve">Este pla haurà de servir i integrar-se en l'elaboració del Pla anual de contractació de l'Ajuntament. </w:t>
      </w:r>
    </w:p>
    <w:p w14:paraId="53AD24A0" w14:textId="77777777" w:rsidR="00D24C9B" w:rsidRPr="00D24C9B" w:rsidRDefault="00D24C9B" w:rsidP="00D24C9B">
      <w:pPr>
        <w:numPr>
          <w:ilvl w:val="0"/>
          <w:numId w:val="131"/>
        </w:numPr>
        <w:spacing w:after="120" w:line="276" w:lineRule="auto"/>
        <w:ind w:left="709"/>
        <w:jc w:val="both"/>
        <w:rPr>
          <w:rFonts w:ascii="Arial" w:eastAsia="Times New Roman" w:hAnsi="Arial" w:cs="Arial"/>
          <w:color w:val="000000"/>
          <w:sz w:val="21"/>
          <w:szCs w:val="21"/>
        </w:rPr>
      </w:pPr>
      <w:r w:rsidRPr="00D24C9B">
        <w:rPr>
          <w:rFonts w:ascii="Arial" w:eastAsia="Times New Roman" w:hAnsi="Arial" w:cs="Arial"/>
          <w:color w:val="000000"/>
          <w:sz w:val="21"/>
          <w:szCs w:val="21"/>
        </w:rPr>
        <w:t>Procedir a implementar les mesures previstes en la recomanació d'esta Agència de maig de 2020, sobre la via de l'enriquiment injust.</w:t>
      </w:r>
    </w:p>
    <w:p w14:paraId="53B2CBB8" w14:textId="3462E4F8" w:rsidR="0061495F" w:rsidRPr="00D24C9B" w:rsidRDefault="00D24C9B" w:rsidP="00D24C9B">
      <w:pPr>
        <w:spacing w:after="240" w:line="276" w:lineRule="auto"/>
        <w:jc w:val="both"/>
        <w:rPr>
          <w:rFonts w:ascii="Arial" w:eastAsia="Times New Roman" w:hAnsi="Arial" w:cs="Arial"/>
          <w:color w:val="000000"/>
          <w:sz w:val="21"/>
          <w:szCs w:val="21"/>
        </w:rPr>
      </w:pPr>
      <w:r w:rsidRPr="00D24C9B">
        <w:rPr>
          <w:rFonts w:ascii="Arial" w:eastAsia="Times New Roman" w:hAnsi="Arial" w:cs="Arial"/>
          <w:b/>
          <w:bCs/>
          <w:color w:val="000000"/>
          <w:sz w:val="21"/>
          <w:szCs w:val="21"/>
        </w:rPr>
        <w:t xml:space="preserve">Fase de seguiment: </w:t>
      </w:r>
      <w:r w:rsidRPr="00D24C9B">
        <w:rPr>
          <w:rFonts w:ascii="Arial" w:eastAsia="Times New Roman" w:hAnsi="Arial" w:cs="Arial"/>
          <w:color w:val="000000"/>
          <w:sz w:val="21"/>
          <w:szCs w:val="21"/>
        </w:rPr>
        <w:t>En tràmit.</w:t>
      </w:r>
    </w:p>
    <w:p w14:paraId="63949E10" w14:textId="77777777" w:rsidR="00ED4A34" w:rsidRPr="00ED4A34" w:rsidRDefault="00ED4A34" w:rsidP="0070067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70" w:name="_Toc95209090"/>
      <w:bookmarkStart w:id="271" w:name="_Toc95913882"/>
      <w:bookmarkStart w:id="272" w:name="_Toc99110765"/>
      <w:r w:rsidRPr="00ED4A34">
        <w:rPr>
          <w:rFonts w:ascii="Arial" w:eastAsia="Times New Roman" w:hAnsi="Arial" w:cs="Arial"/>
          <w:b/>
          <w:color w:val="9D2235"/>
          <w:sz w:val="28"/>
          <w:szCs w:val="28"/>
        </w:rPr>
        <w:t>Denominació: Diputació Provincial de Castelló. Remuneracions del personal de la Diputació Provincial de Castelló en Consorcis</w:t>
      </w:r>
      <w:bookmarkEnd w:id="270"/>
      <w:bookmarkEnd w:id="271"/>
      <w:bookmarkEnd w:id="272"/>
    </w:p>
    <w:p w14:paraId="5780C1AC" w14:textId="77777777" w:rsidR="00ED4A34" w:rsidRPr="00ED4A34" w:rsidRDefault="00ED4A34" w:rsidP="000E04BC">
      <w:pPr>
        <w:spacing w:after="240" w:line="276" w:lineRule="auto"/>
        <w:jc w:val="both"/>
        <w:rPr>
          <w:rFonts w:ascii="Arial" w:eastAsia="Times New Roman" w:hAnsi="Arial" w:cs="Arial"/>
          <w:color w:val="000000"/>
          <w:sz w:val="21"/>
          <w:szCs w:val="21"/>
        </w:rPr>
      </w:pPr>
      <w:r w:rsidRPr="00ED4A34">
        <w:rPr>
          <w:rFonts w:ascii="Arial" w:eastAsia="Times New Roman" w:hAnsi="Arial" w:cs="Arial"/>
          <w:b/>
          <w:bCs/>
          <w:color w:val="000000"/>
          <w:sz w:val="21"/>
          <w:szCs w:val="21"/>
        </w:rPr>
        <w:t>Expedient:</w:t>
      </w:r>
      <w:r w:rsidRPr="00ED4A34">
        <w:rPr>
          <w:rFonts w:ascii="Arial" w:eastAsia="Times New Roman" w:hAnsi="Arial" w:cs="Arial"/>
          <w:color w:val="000000"/>
          <w:sz w:val="21"/>
          <w:szCs w:val="21"/>
        </w:rPr>
        <w:t xml:space="preserve"> 2020/G01_01/000031 [123/2018]</w:t>
      </w:r>
    </w:p>
    <w:p w14:paraId="6C37C756" w14:textId="77777777" w:rsidR="00700679" w:rsidRPr="00700679" w:rsidRDefault="00700679" w:rsidP="00700679">
      <w:pPr>
        <w:spacing w:after="240" w:line="276" w:lineRule="auto"/>
        <w:rPr>
          <w:rFonts w:ascii="Arial" w:eastAsia="Times New Roman" w:hAnsi="Arial" w:cs="Arial"/>
          <w:sz w:val="21"/>
          <w:szCs w:val="21"/>
          <w:lang w:eastAsia="es-ES"/>
        </w:rPr>
      </w:pPr>
      <w:r w:rsidRPr="00700679">
        <w:rPr>
          <w:rFonts w:ascii="Arial" w:eastAsia="Times New Roman" w:hAnsi="Arial" w:cs="Arial"/>
          <w:b/>
          <w:bCs/>
          <w:sz w:val="21"/>
          <w:szCs w:val="21"/>
        </w:rPr>
        <w:t>Enllaç a la publicació:</w:t>
      </w:r>
      <w:r w:rsidRPr="00700679">
        <w:rPr>
          <w:rFonts w:ascii="Arial" w:eastAsia="Times New Roman" w:hAnsi="Arial" w:cs="Arial"/>
          <w:b/>
          <w:bCs/>
          <w:sz w:val="21"/>
          <w:szCs w:val="21"/>
        </w:rPr>
        <w:br/>
      </w:r>
      <w:hyperlink r:id="rId462" w:history="1">
        <w:r w:rsidRPr="00700679">
          <w:rPr>
            <w:rFonts w:ascii="Arial" w:eastAsia="Times New Roman" w:hAnsi="Arial" w:cs="Arial"/>
            <w:color w:val="000080"/>
            <w:sz w:val="18"/>
            <w:szCs w:val="18"/>
            <w:u w:val="single"/>
            <w:lang w:eastAsia="es-ES"/>
          </w:rPr>
          <w:t>https://www.antifraucv.es/wp-content/uploads/2021/09/20210824_DIPUTACION_DE_CASTELLON.pdf</w:t>
        </w:r>
      </w:hyperlink>
    </w:p>
    <w:p w14:paraId="799A9B1A" w14:textId="77777777" w:rsidR="00ED4A34" w:rsidRPr="00ED4A34" w:rsidRDefault="00ED4A34" w:rsidP="00ED4A34">
      <w:pPr>
        <w:spacing w:after="240" w:line="276" w:lineRule="auto"/>
        <w:jc w:val="both"/>
        <w:rPr>
          <w:rFonts w:ascii="Arial" w:eastAsia="Times New Roman" w:hAnsi="Arial" w:cs="Arial"/>
          <w:color w:val="000000"/>
          <w:sz w:val="21"/>
          <w:szCs w:val="21"/>
        </w:rPr>
      </w:pPr>
      <w:r w:rsidRPr="00ED4A34">
        <w:rPr>
          <w:rFonts w:ascii="Arial" w:eastAsia="Times New Roman" w:hAnsi="Arial" w:cs="Arial"/>
          <w:b/>
          <w:bCs/>
          <w:color w:val="000000"/>
          <w:sz w:val="21"/>
          <w:szCs w:val="21"/>
        </w:rPr>
        <w:t>Descripció:</w:t>
      </w:r>
      <w:r w:rsidRPr="00ED4A34">
        <w:rPr>
          <w:rFonts w:ascii="Arial" w:eastAsia="Times New Roman" w:hAnsi="Arial" w:cs="Arial"/>
          <w:color w:val="000000"/>
          <w:sz w:val="21"/>
          <w:szCs w:val="21"/>
        </w:rPr>
        <w:t xml:space="preserve"> Es denuncia que des de l'exercici 2009, funcionaris de la Diputació Provincial de Castelló, han exercit una segona activitat professional com a “personal col·laborador” dels Consorcis dels Plans zonals de residus I, II, III i VIII i del Consorci d'Aigües de la Plana, sense complir la normativa d'incompatibilitats. </w:t>
      </w:r>
    </w:p>
    <w:p w14:paraId="3B3D1BB3" w14:textId="77777777" w:rsidR="00ED4A34" w:rsidRPr="00ED4A34" w:rsidRDefault="00ED4A34" w:rsidP="00ED4A34">
      <w:pPr>
        <w:spacing w:after="240" w:line="276" w:lineRule="auto"/>
        <w:jc w:val="both"/>
        <w:rPr>
          <w:rFonts w:ascii="Arial" w:eastAsia="Times New Roman" w:hAnsi="Arial" w:cs="Arial"/>
          <w:color w:val="000000"/>
          <w:sz w:val="21"/>
          <w:szCs w:val="21"/>
        </w:rPr>
      </w:pPr>
      <w:r w:rsidRPr="00ED4A34">
        <w:rPr>
          <w:rFonts w:ascii="Arial" w:eastAsia="Times New Roman" w:hAnsi="Arial" w:cs="Arial"/>
          <w:color w:val="000000"/>
          <w:sz w:val="21"/>
          <w:szCs w:val="21"/>
        </w:rPr>
        <w:t xml:space="preserve">Després de la instrucció de l'oportú procediment d'investigació, es constatava, que els funcionaris relacionats en l'informe compatibilitzaven l'exercici de la seua activitat pública en la Diputació Provincial de Castelló amb l'exercici de funcions públiques en distints consorcis de residus ubicats en la província de Castelló, des de l'any 2009. </w:t>
      </w:r>
    </w:p>
    <w:p w14:paraId="325C6C95" w14:textId="77777777" w:rsidR="00ED4A34" w:rsidRPr="00ED4A34" w:rsidRDefault="00ED4A34" w:rsidP="00ED4A34">
      <w:pPr>
        <w:spacing w:after="240" w:line="276" w:lineRule="auto"/>
        <w:jc w:val="both"/>
        <w:rPr>
          <w:rFonts w:ascii="Arial" w:eastAsia="Times New Roman" w:hAnsi="Arial" w:cs="Arial"/>
          <w:color w:val="000000"/>
          <w:sz w:val="21"/>
          <w:szCs w:val="21"/>
        </w:rPr>
      </w:pPr>
      <w:r w:rsidRPr="00ED4A34">
        <w:rPr>
          <w:rFonts w:ascii="Arial" w:eastAsia="Times New Roman" w:hAnsi="Arial" w:cs="Arial"/>
          <w:color w:val="000000"/>
          <w:sz w:val="21"/>
          <w:szCs w:val="21"/>
        </w:rPr>
        <w:t xml:space="preserve">Consten, diferents acords plenaris, en els que s'autoritza als funcionaris a exercir funcions en els distints consorcis de residus a canvi d'una indemnització. </w:t>
      </w:r>
    </w:p>
    <w:p w14:paraId="1EBE5FB5" w14:textId="77777777" w:rsidR="00ED4A34" w:rsidRPr="00ED4A34" w:rsidRDefault="00ED4A34" w:rsidP="00ED4A34">
      <w:pPr>
        <w:spacing w:after="240" w:line="276" w:lineRule="auto"/>
        <w:jc w:val="both"/>
        <w:rPr>
          <w:rFonts w:ascii="Arial" w:eastAsia="Times New Roman" w:hAnsi="Arial" w:cs="Arial"/>
          <w:color w:val="000000"/>
          <w:sz w:val="21"/>
          <w:szCs w:val="21"/>
        </w:rPr>
      </w:pPr>
      <w:r w:rsidRPr="00ED4A34">
        <w:rPr>
          <w:rFonts w:ascii="Arial" w:eastAsia="Times New Roman" w:hAnsi="Arial" w:cs="Arial"/>
          <w:color w:val="000000"/>
          <w:sz w:val="21"/>
          <w:szCs w:val="21"/>
        </w:rPr>
        <w:t>S'observa l'incompliment dels requisits previstos en la Llei 53/84:</w:t>
      </w:r>
    </w:p>
    <w:p w14:paraId="086A527D" w14:textId="77777777" w:rsidR="00ED4A34" w:rsidRPr="00ED4A34" w:rsidRDefault="00ED4A34" w:rsidP="00ED4A34">
      <w:pPr>
        <w:numPr>
          <w:ilvl w:val="0"/>
          <w:numId w:val="83"/>
        </w:numPr>
        <w:spacing w:after="120" w:line="276" w:lineRule="auto"/>
        <w:ind w:left="709" w:hanging="357"/>
        <w:jc w:val="both"/>
        <w:rPr>
          <w:rFonts w:ascii="Arial" w:eastAsia="Times New Roman" w:hAnsi="Arial" w:cs="Arial"/>
          <w:color w:val="000000"/>
          <w:sz w:val="21"/>
          <w:szCs w:val="21"/>
        </w:rPr>
      </w:pPr>
      <w:r w:rsidRPr="00ED4A34">
        <w:rPr>
          <w:rFonts w:ascii="Arial" w:eastAsia="Times New Roman" w:hAnsi="Arial" w:cs="Arial"/>
          <w:color w:val="000000"/>
          <w:sz w:val="21"/>
          <w:szCs w:val="21"/>
        </w:rPr>
        <w:t xml:space="preserve">Les funcions exercides en els distints consorcis no es troben entre les funcions que la Llei 53/84 permet compatibilitzar. </w:t>
      </w:r>
    </w:p>
    <w:p w14:paraId="71EB2D92" w14:textId="77777777" w:rsidR="00ED4A34" w:rsidRPr="00ED4A34" w:rsidRDefault="00ED4A34" w:rsidP="00ED4A34">
      <w:pPr>
        <w:numPr>
          <w:ilvl w:val="0"/>
          <w:numId w:val="83"/>
        </w:numPr>
        <w:spacing w:after="120" w:line="276" w:lineRule="auto"/>
        <w:ind w:left="709" w:hanging="357"/>
        <w:jc w:val="both"/>
        <w:rPr>
          <w:rFonts w:ascii="Arial" w:eastAsia="Times New Roman" w:hAnsi="Arial" w:cs="Arial"/>
          <w:color w:val="000000"/>
          <w:sz w:val="21"/>
          <w:szCs w:val="21"/>
        </w:rPr>
      </w:pPr>
      <w:r w:rsidRPr="00ED4A34">
        <w:rPr>
          <w:rFonts w:ascii="Arial" w:eastAsia="Times New Roman" w:hAnsi="Arial" w:cs="Arial"/>
          <w:color w:val="000000"/>
          <w:sz w:val="21"/>
          <w:szCs w:val="21"/>
        </w:rPr>
        <w:t xml:space="preserve">Incompliment dels horaris en la Diputació Provincial de Castelló. </w:t>
      </w:r>
    </w:p>
    <w:p w14:paraId="664021AA" w14:textId="77777777" w:rsidR="00ED4A34" w:rsidRPr="00ED4A34" w:rsidRDefault="00ED4A34" w:rsidP="00700679">
      <w:pPr>
        <w:numPr>
          <w:ilvl w:val="0"/>
          <w:numId w:val="83"/>
        </w:numPr>
        <w:spacing w:after="240" w:line="276" w:lineRule="auto"/>
        <w:ind w:left="709" w:hanging="357"/>
        <w:jc w:val="both"/>
        <w:rPr>
          <w:rFonts w:ascii="Arial" w:eastAsia="Times New Roman" w:hAnsi="Arial" w:cs="Arial"/>
          <w:color w:val="000000"/>
          <w:sz w:val="21"/>
          <w:szCs w:val="21"/>
        </w:rPr>
      </w:pPr>
      <w:r w:rsidRPr="00ED4A34">
        <w:rPr>
          <w:rFonts w:ascii="Arial" w:eastAsia="Times New Roman" w:hAnsi="Arial" w:cs="Arial"/>
          <w:color w:val="000000"/>
          <w:sz w:val="21"/>
          <w:szCs w:val="21"/>
        </w:rPr>
        <w:t xml:space="preserve">Les quanties abonades a alguns funcionaris excedixen dels límits previstos en la llei 53/1984. </w:t>
      </w:r>
    </w:p>
    <w:p w14:paraId="455858B0" w14:textId="77777777" w:rsidR="00ED4A34" w:rsidRPr="00ED4A34" w:rsidRDefault="00ED4A34" w:rsidP="00ED4A34">
      <w:pPr>
        <w:spacing w:after="240" w:line="276" w:lineRule="auto"/>
        <w:jc w:val="both"/>
        <w:rPr>
          <w:rFonts w:ascii="Arial" w:eastAsia="Times New Roman" w:hAnsi="Arial" w:cs="Arial"/>
          <w:color w:val="000000"/>
          <w:sz w:val="21"/>
          <w:szCs w:val="21"/>
        </w:rPr>
      </w:pPr>
      <w:r w:rsidRPr="00ED4A34">
        <w:rPr>
          <w:rFonts w:ascii="Arial" w:eastAsia="Times New Roman" w:hAnsi="Arial" w:cs="Arial"/>
          <w:b/>
          <w:bCs/>
          <w:color w:val="000000"/>
          <w:sz w:val="21"/>
          <w:szCs w:val="21"/>
        </w:rPr>
        <w:t>Resultat</w:t>
      </w:r>
      <w:r w:rsidRPr="00ED4A34">
        <w:rPr>
          <w:rFonts w:ascii="Arial" w:eastAsia="Times New Roman" w:hAnsi="Arial" w:cs="Arial"/>
          <w:color w:val="000000"/>
          <w:sz w:val="21"/>
          <w:szCs w:val="21"/>
        </w:rPr>
        <w:t xml:space="preserve">: Finalització de la investigació amb recomanacions, perquè l'administració d'adscripció dotara de mitjans personals propis als consorcis C1 i C3/V1 de manera estructural i permanent, evitant l'exercici continuat d'esta segona activitat per funcionaris de la Diputació de Castelló. </w:t>
      </w:r>
    </w:p>
    <w:p w14:paraId="694F4149" w14:textId="77777777" w:rsidR="00ED4A34" w:rsidRPr="00ED4A34" w:rsidRDefault="00ED4A34" w:rsidP="00ED4A34">
      <w:pPr>
        <w:spacing w:after="240" w:line="276" w:lineRule="auto"/>
        <w:jc w:val="both"/>
        <w:rPr>
          <w:rFonts w:ascii="Arial" w:eastAsia="Times New Roman" w:hAnsi="Arial" w:cs="Arial"/>
          <w:color w:val="000000"/>
          <w:sz w:val="21"/>
          <w:szCs w:val="21"/>
        </w:rPr>
      </w:pPr>
      <w:r w:rsidRPr="00ED4A34">
        <w:rPr>
          <w:rFonts w:ascii="Arial" w:eastAsia="Times New Roman" w:hAnsi="Arial" w:cs="Arial"/>
          <w:color w:val="000000"/>
          <w:sz w:val="21"/>
          <w:szCs w:val="21"/>
        </w:rPr>
        <w:t xml:space="preserve">I en cas de ser necessària la col·laboració del personal de la Diputació Provincial de Castelló, que es realitzen les modificacions que s'estimen pertinents en la seua relació de llocs de treball. </w:t>
      </w:r>
    </w:p>
    <w:p w14:paraId="20887632" w14:textId="77777777" w:rsidR="00ED4A34" w:rsidRPr="00ED4A34" w:rsidRDefault="00ED4A34" w:rsidP="00ED4A34">
      <w:pPr>
        <w:spacing w:after="240" w:line="276" w:lineRule="auto"/>
        <w:jc w:val="both"/>
        <w:rPr>
          <w:rFonts w:ascii="Arial" w:eastAsia="Times New Roman" w:hAnsi="Arial" w:cs="Arial"/>
          <w:color w:val="000000"/>
          <w:sz w:val="21"/>
          <w:szCs w:val="21"/>
        </w:rPr>
      </w:pPr>
      <w:r w:rsidRPr="00ED4A34">
        <w:rPr>
          <w:rFonts w:ascii="Arial" w:eastAsia="Times New Roman" w:hAnsi="Arial" w:cs="Arial"/>
          <w:b/>
          <w:bCs/>
          <w:color w:val="000000"/>
          <w:sz w:val="21"/>
          <w:szCs w:val="21"/>
        </w:rPr>
        <w:t>Fase de seguiment:</w:t>
      </w:r>
      <w:r w:rsidRPr="00ED4A34">
        <w:rPr>
          <w:rFonts w:ascii="Arial" w:eastAsia="Times New Roman" w:hAnsi="Arial" w:cs="Arial"/>
          <w:color w:val="000000"/>
          <w:sz w:val="21"/>
          <w:szCs w:val="21"/>
        </w:rPr>
        <w:t xml:space="preserve"> En tràmit. </w:t>
      </w:r>
    </w:p>
    <w:p w14:paraId="4D4AADCC" w14:textId="77777777" w:rsidR="00700679" w:rsidRPr="00700679" w:rsidRDefault="00700679" w:rsidP="0070067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73" w:name="_Toc99110766"/>
      <w:r w:rsidRPr="00700679">
        <w:rPr>
          <w:rFonts w:ascii="Arial" w:eastAsia="Times New Roman" w:hAnsi="Arial" w:cs="Arial"/>
          <w:b/>
          <w:color w:val="9D2235"/>
          <w:sz w:val="28"/>
          <w:szCs w:val="28"/>
        </w:rPr>
        <w:t>Denominació: Ajuntament de La Serratella, Foment La Serratella, SL. Lloguer d'hotel municipal per 250 euros</w:t>
      </w:r>
      <w:bookmarkEnd w:id="273"/>
    </w:p>
    <w:p w14:paraId="44FA5342" w14:textId="77777777" w:rsidR="00700679" w:rsidRPr="00700679" w:rsidRDefault="00700679" w:rsidP="000E04BC">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Expedient</w:t>
      </w:r>
      <w:r w:rsidRPr="00700679">
        <w:rPr>
          <w:rFonts w:ascii="Arial" w:eastAsia="Times New Roman" w:hAnsi="Arial" w:cs="Arial"/>
          <w:color w:val="000000"/>
          <w:sz w:val="21"/>
          <w:szCs w:val="21"/>
        </w:rPr>
        <w:t>: 2020/G01_01/242 [129/2019]</w:t>
      </w:r>
    </w:p>
    <w:p w14:paraId="0FBA2D95" w14:textId="77777777" w:rsidR="00700679" w:rsidRPr="00700679" w:rsidRDefault="00700679" w:rsidP="00700679">
      <w:pPr>
        <w:spacing w:after="240" w:line="276" w:lineRule="auto"/>
        <w:rPr>
          <w:rFonts w:ascii="Arial" w:eastAsia="Times New Roman" w:hAnsi="Arial" w:cs="Arial"/>
          <w:sz w:val="17"/>
          <w:szCs w:val="17"/>
          <w:lang w:eastAsia="es-ES"/>
        </w:rPr>
      </w:pPr>
      <w:r w:rsidRPr="00700679">
        <w:rPr>
          <w:rFonts w:ascii="Arial" w:eastAsia="Times New Roman" w:hAnsi="Arial" w:cs="Arial"/>
          <w:b/>
          <w:bCs/>
          <w:sz w:val="21"/>
          <w:szCs w:val="21"/>
        </w:rPr>
        <w:t>Enllaç a la publicació:</w:t>
      </w:r>
      <w:r w:rsidRPr="00700679">
        <w:rPr>
          <w:rFonts w:ascii="Arial" w:eastAsia="Times New Roman" w:hAnsi="Arial" w:cs="Arial"/>
          <w:b/>
          <w:bCs/>
          <w:sz w:val="21"/>
          <w:szCs w:val="21"/>
        </w:rPr>
        <w:br/>
      </w:r>
      <w:hyperlink r:id="rId463" w:history="1">
        <w:r w:rsidRPr="00700679">
          <w:rPr>
            <w:rFonts w:ascii="Arial" w:eastAsia="Times New Roman" w:hAnsi="Arial" w:cs="Arial"/>
            <w:color w:val="000080"/>
            <w:sz w:val="17"/>
            <w:szCs w:val="17"/>
            <w:u w:val="single"/>
            <w:lang w:eastAsia="es-ES"/>
          </w:rPr>
          <w:t>https://www.antifraucv.es/wp-content/uploads/2021/09/20210824_AJUNTAMENT_DE_LA_SERRATELLA.pdf</w:t>
        </w:r>
      </w:hyperlink>
    </w:p>
    <w:p w14:paraId="3A1217C9"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Descripció</w:t>
      </w:r>
      <w:r w:rsidRPr="00700679">
        <w:rPr>
          <w:rFonts w:ascii="Arial" w:eastAsia="Times New Roman" w:hAnsi="Arial" w:cs="Arial"/>
          <w:color w:val="000000"/>
          <w:sz w:val="21"/>
          <w:szCs w:val="21"/>
        </w:rPr>
        <w:t xml:space="preserve">: els fets denunciats es van concretar en la creació d'una mercantil pública municipal Foment La Serratella SL, per a la gestió de l'hotel rural municipal. Esta mercantil va llogar a un particular l'hotel, per un any prorrogable, per un import mensual de 280 €. </w:t>
      </w:r>
    </w:p>
    <w:p w14:paraId="63274313"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Després de la instrucció de l'oportú procediment d'investigació, va quedar acreditada l'existència d'irregularitats en la creació de la mercantil Foment La Serratella SL, incompliment dels Estatuts de la mercantil i incompliment de la Llei de contractes del Sector Públic.</w:t>
      </w:r>
    </w:p>
    <w:p w14:paraId="74450D8F"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No obstant això, els incompliments constatats en el procediment d'investigació, relatius a la gestió de l'hotel municipal, han d'assenyalar-se diverses qüestions: el contracte de lloguer no està en vigor, s'informa la dissolució de la mercantil municipal i es manifesta la voluntat, en l'escrit presentat, de traure un nou concurs públic per a la gestió de l'hotel.</w:t>
      </w:r>
    </w:p>
    <w:p w14:paraId="1826291A" w14:textId="77777777" w:rsidR="00700679" w:rsidRPr="00700679" w:rsidRDefault="00700679" w:rsidP="00700679">
      <w:pPr>
        <w:spacing w:after="240" w:line="276" w:lineRule="auto"/>
        <w:jc w:val="both"/>
        <w:rPr>
          <w:rFonts w:ascii="Arial" w:eastAsia="Times New Roman" w:hAnsi="Arial" w:cs="Arial"/>
          <w:b/>
          <w:bCs/>
          <w:color w:val="000000"/>
          <w:sz w:val="21"/>
          <w:szCs w:val="21"/>
        </w:rPr>
      </w:pPr>
      <w:r w:rsidRPr="00700679">
        <w:rPr>
          <w:rFonts w:ascii="Arial" w:eastAsia="Times New Roman" w:hAnsi="Arial" w:cs="Arial"/>
          <w:b/>
          <w:bCs/>
          <w:color w:val="000000"/>
          <w:sz w:val="21"/>
          <w:szCs w:val="21"/>
        </w:rPr>
        <w:t>Resultat</w:t>
      </w:r>
      <w:r w:rsidRPr="00700679">
        <w:rPr>
          <w:rFonts w:ascii="Arial" w:eastAsia="Times New Roman" w:hAnsi="Arial" w:cs="Arial"/>
          <w:color w:val="000000"/>
          <w:sz w:val="21"/>
          <w:szCs w:val="21"/>
        </w:rPr>
        <w:t>: Formulació de recomanacions de millora futura en relació amb la matèria:</w:t>
      </w:r>
    </w:p>
    <w:p w14:paraId="0B03918E" w14:textId="77777777" w:rsidR="00700679" w:rsidRPr="00700679" w:rsidRDefault="00700679" w:rsidP="00687E33">
      <w:pPr>
        <w:numPr>
          <w:ilvl w:val="0"/>
          <w:numId w:val="132"/>
        </w:numPr>
        <w:spacing w:after="120" w:line="276" w:lineRule="auto"/>
        <w:ind w:left="714" w:hanging="357"/>
        <w:jc w:val="both"/>
        <w:rPr>
          <w:rFonts w:ascii="Arial" w:eastAsia="Times New Roman" w:hAnsi="Arial" w:cs="Arial"/>
          <w:color w:val="000000"/>
          <w:sz w:val="21"/>
          <w:szCs w:val="21"/>
        </w:rPr>
      </w:pPr>
      <w:r w:rsidRPr="00700679">
        <w:rPr>
          <w:rFonts w:ascii="Arial" w:eastAsia="Times New Roman" w:hAnsi="Arial" w:cs="Arial"/>
          <w:color w:val="000000"/>
          <w:sz w:val="21"/>
          <w:szCs w:val="21"/>
        </w:rPr>
        <w:t xml:space="preserve"> Que en la tramitació dels expedients administratius que tramite, demane de forma ineludible l'emissió dels informes tècnics, jurídics o econòmics que corresponguen segons la naturalesa de l'acord que es pretenga adoptar, havent d'existir constància escrita dels mateixos en l'expedient. Per a això ha d'acudir als mitjans personals propis o als recursos d'assessorament que els pot prestar la Diputació Provincial, o a la contractació dels servicis, en el supòsit que procedisca, d'acord amb el normativa de la Llei de Contractes del Sector Públic. </w:t>
      </w:r>
    </w:p>
    <w:p w14:paraId="22F3B686" w14:textId="77777777" w:rsidR="00700679" w:rsidRPr="00700679" w:rsidRDefault="00700679" w:rsidP="00687E33">
      <w:pPr>
        <w:numPr>
          <w:ilvl w:val="0"/>
          <w:numId w:val="132"/>
        </w:num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Respecte a la gestió de l'hotel municipal, realitzada la inversió amb fons públics ha de donar-se la finalitat per a la qual es van destinar els recursos. Vist allò que s'ha informat sobre la liquidació de l'empresa municipal, ha de procedir-se a la finalització completa de l'expedient de dissolució i liquidació de la mercantil, des de totes les perspectives fiscals, laborals, mercantils i registrals, i posteriorment procedir a la licitació de la gestió de les instal·lacions de l'hotel d'acord amb la Llei de Contractes 9/2017, de 8 de novembre, de Contractes del Sector Públic.</w:t>
      </w:r>
    </w:p>
    <w:p w14:paraId="7AAE0685" w14:textId="77777777" w:rsidR="00700679" w:rsidRPr="00700679" w:rsidRDefault="00700679" w:rsidP="00700679">
      <w:pPr>
        <w:spacing w:after="240" w:line="276" w:lineRule="auto"/>
        <w:jc w:val="both"/>
        <w:rPr>
          <w:rFonts w:ascii="Arial" w:eastAsia="Times New Roman" w:hAnsi="Arial" w:cs="Arial"/>
          <w:color w:val="000000"/>
          <w:sz w:val="21"/>
          <w:szCs w:val="21"/>
          <w:lang w:val="ca-ES"/>
        </w:rPr>
      </w:pPr>
      <w:r w:rsidRPr="00700679">
        <w:rPr>
          <w:rFonts w:ascii="Arial" w:eastAsia="Times New Roman" w:hAnsi="Arial" w:cs="Arial"/>
          <w:b/>
          <w:bCs/>
          <w:color w:val="000000"/>
          <w:sz w:val="21"/>
          <w:szCs w:val="21"/>
        </w:rPr>
        <w:t>Fase de seguiment:</w:t>
      </w:r>
      <w:r w:rsidRPr="00700679">
        <w:rPr>
          <w:rFonts w:ascii="Arial" w:eastAsia="Times New Roman" w:hAnsi="Arial" w:cs="Arial"/>
          <w:color w:val="000000"/>
          <w:sz w:val="21"/>
          <w:szCs w:val="21"/>
        </w:rPr>
        <w:t xml:space="preserve"> L’Ajuntament ha acceptat íntegrament les recomanacions</w:t>
      </w:r>
      <w:r w:rsidRPr="00700679">
        <w:rPr>
          <w:rFonts w:ascii="Arial" w:eastAsia="Times New Roman" w:hAnsi="Arial" w:cs="Arial"/>
          <w:color w:val="000000"/>
          <w:sz w:val="21"/>
          <w:szCs w:val="21"/>
          <w:lang w:val="ca-ES"/>
        </w:rPr>
        <w:t>.</w:t>
      </w:r>
    </w:p>
    <w:p w14:paraId="61A5E8F5" w14:textId="77777777" w:rsidR="00700679" w:rsidRPr="00700679" w:rsidRDefault="00700679" w:rsidP="0070067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74" w:name="_Toc95209092"/>
      <w:bookmarkStart w:id="275" w:name="_Toc95913884"/>
      <w:bookmarkStart w:id="276" w:name="_Toc99110767"/>
      <w:r w:rsidRPr="00700679">
        <w:rPr>
          <w:rFonts w:ascii="Arial" w:eastAsia="Times New Roman" w:hAnsi="Arial" w:cs="Arial"/>
          <w:b/>
          <w:color w:val="9D2235"/>
          <w:sz w:val="28"/>
          <w:szCs w:val="28"/>
        </w:rPr>
        <w:t>Denominació: Ajuntament de València – Junta Central Fallera. Irregularitats en matèria de contractació</w:t>
      </w:r>
      <w:bookmarkEnd w:id="274"/>
      <w:bookmarkEnd w:id="275"/>
      <w:bookmarkEnd w:id="276"/>
    </w:p>
    <w:p w14:paraId="34E6F58B" w14:textId="77777777" w:rsidR="00700679" w:rsidRPr="00700679" w:rsidRDefault="00700679" w:rsidP="000E04BC">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Expedient</w:t>
      </w:r>
      <w:r w:rsidRPr="00700679">
        <w:rPr>
          <w:rFonts w:ascii="Arial" w:eastAsia="Times New Roman" w:hAnsi="Arial" w:cs="Arial"/>
          <w:color w:val="000000"/>
          <w:sz w:val="21"/>
          <w:szCs w:val="21"/>
        </w:rPr>
        <w:t>: 2020/G01_01/000107</w:t>
      </w:r>
    </w:p>
    <w:p w14:paraId="4D29B397" w14:textId="77777777" w:rsidR="00700679" w:rsidRPr="00700679" w:rsidRDefault="00700679" w:rsidP="00700679">
      <w:pPr>
        <w:spacing w:after="240" w:line="276" w:lineRule="auto"/>
        <w:rPr>
          <w:rFonts w:ascii="Arial" w:eastAsia="Times New Roman" w:hAnsi="Arial" w:cs="Arial"/>
          <w:sz w:val="18"/>
          <w:szCs w:val="18"/>
          <w:lang w:eastAsia="es-ES"/>
        </w:rPr>
      </w:pPr>
      <w:r w:rsidRPr="00700679">
        <w:rPr>
          <w:rFonts w:ascii="Arial" w:eastAsia="Times New Roman" w:hAnsi="Arial" w:cs="Arial"/>
          <w:b/>
          <w:bCs/>
          <w:sz w:val="21"/>
          <w:szCs w:val="21"/>
        </w:rPr>
        <w:t>Enllaç a la publicació:</w:t>
      </w:r>
      <w:r w:rsidRPr="00700679">
        <w:rPr>
          <w:rFonts w:ascii="Arial" w:eastAsia="Times New Roman" w:hAnsi="Arial" w:cs="Arial"/>
          <w:b/>
          <w:bCs/>
          <w:sz w:val="21"/>
          <w:szCs w:val="21"/>
        </w:rPr>
        <w:br/>
      </w:r>
      <w:hyperlink r:id="rId464" w:history="1">
        <w:r w:rsidRPr="00700679">
          <w:rPr>
            <w:rFonts w:ascii="Arial" w:eastAsia="Times New Roman" w:hAnsi="Arial" w:cs="Arial"/>
            <w:color w:val="000080"/>
            <w:sz w:val="18"/>
            <w:szCs w:val="18"/>
            <w:u w:val="single"/>
            <w:lang w:eastAsia="es-ES"/>
          </w:rPr>
          <w:t>https://www.antifraucv.es/wp-content/uploads/2021/09/20210907_JUNTA_CENTRAL_FALLERA.pdf</w:t>
        </w:r>
      </w:hyperlink>
    </w:p>
    <w:p w14:paraId="49ACB297" w14:textId="29FA2C5C"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Descripció</w:t>
      </w:r>
      <w:r w:rsidRPr="00700679">
        <w:rPr>
          <w:rFonts w:ascii="Arial" w:eastAsia="Times New Roman" w:hAnsi="Arial" w:cs="Arial"/>
          <w:color w:val="000000"/>
          <w:sz w:val="21"/>
          <w:szCs w:val="21"/>
        </w:rPr>
        <w:t>: Es denuncia, la possible existència de suposades conductes contràries a la normativa en matèria contractual, succeïdes en la Junta Central Fallera amb motiu de la tramitació de l'Expedient de contractació del subministrament i fabricació d'estendards, banderins, brodats, medalles, estotjos, bandes per a les Falleres Majors/Corts d'Honor i plaques-premis per a Concursos diversos (Expedient núm</w:t>
      </w:r>
      <w:r w:rsidR="00B97862">
        <w:rPr>
          <w:rFonts w:ascii="Arial" w:eastAsia="Times New Roman" w:hAnsi="Arial" w:cs="Arial"/>
          <w:color w:val="000000"/>
          <w:sz w:val="21"/>
          <w:szCs w:val="21"/>
        </w:rPr>
        <w:t>.</w:t>
      </w:r>
      <w:r w:rsidRPr="00700679">
        <w:rPr>
          <w:rFonts w:ascii="Arial" w:eastAsia="Times New Roman" w:hAnsi="Arial" w:cs="Arial"/>
          <w:color w:val="000000"/>
          <w:sz w:val="21"/>
          <w:szCs w:val="21"/>
        </w:rPr>
        <w:t xml:space="preserve"> 68/2019). </w:t>
      </w:r>
    </w:p>
    <w:p w14:paraId="014C357C"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S'ha verificat en la fase d'investigació que:</w:t>
      </w:r>
    </w:p>
    <w:p w14:paraId="63AC755D" w14:textId="77777777" w:rsidR="00700679" w:rsidRPr="00700679" w:rsidRDefault="00700679" w:rsidP="00687E33">
      <w:pPr>
        <w:numPr>
          <w:ilvl w:val="0"/>
          <w:numId w:val="133"/>
        </w:numPr>
        <w:spacing w:after="120" w:line="276" w:lineRule="auto"/>
        <w:ind w:left="714" w:hanging="357"/>
        <w:jc w:val="both"/>
        <w:rPr>
          <w:rFonts w:ascii="Arial" w:eastAsia="Times New Roman" w:hAnsi="Arial" w:cs="Arial"/>
          <w:color w:val="000000"/>
          <w:sz w:val="21"/>
          <w:szCs w:val="21"/>
        </w:rPr>
      </w:pPr>
      <w:r w:rsidRPr="00700679">
        <w:rPr>
          <w:rFonts w:ascii="Arial" w:eastAsia="Times New Roman" w:hAnsi="Arial" w:cs="Arial"/>
          <w:color w:val="000000"/>
          <w:sz w:val="21"/>
          <w:szCs w:val="21"/>
        </w:rPr>
        <w:t xml:space="preserve">En el moment d'organitzar-se per part de la Junta Central Fallera les gales de la cultura, gala de la cultura infantil i exaltacions de les falleres major i infantil de València, l'esmentat organisme autònom no tenia subscrit cap contracte de subministrament per a proveir-se dels premis, bandes i guardons que s'entreguen en els esmentats actes. </w:t>
      </w:r>
    </w:p>
    <w:p w14:paraId="52D13BF6" w14:textId="77777777" w:rsidR="00700679" w:rsidRPr="00700679" w:rsidRDefault="00700679" w:rsidP="00687E33">
      <w:pPr>
        <w:numPr>
          <w:ilvl w:val="0"/>
          <w:numId w:val="133"/>
        </w:numPr>
        <w:spacing w:after="120" w:line="276" w:lineRule="auto"/>
        <w:ind w:left="714" w:hanging="357"/>
        <w:jc w:val="both"/>
        <w:rPr>
          <w:rFonts w:ascii="Arial" w:eastAsia="Times New Roman" w:hAnsi="Arial" w:cs="Arial"/>
          <w:color w:val="000000"/>
          <w:sz w:val="21"/>
          <w:szCs w:val="21"/>
        </w:rPr>
      </w:pPr>
      <w:r w:rsidRPr="00700679">
        <w:rPr>
          <w:rFonts w:ascii="Arial" w:eastAsia="Times New Roman" w:hAnsi="Arial" w:cs="Arial"/>
          <w:color w:val="000000"/>
          <w:sz w:val="21"/>
          <w:szCs w:val="21"/>
        </w:rPr>
        <w:t>Una inadequada planificació en la tramitació de l'expedient per a la contractació dels esmentats subministraments per mitjà de procediment obert, el qual es va iniciar el dia 19 de novembre de 2019, però no es va adjudicar fins al dia 14 de febrer de 2020, va provocar que es decidira per part de la Junta Central Fallera encarregar els subministraments directament a l'adjudicatari del contracte anterior.</w:t>
      </w:r>
    </w:p>
    <w:p w14:paraId="60587A1B" w14:textId="77777777" w:rsidR="00700679" w:rsidRPr="00700679" w:rsidRDefault="00700679" w:rsidP="00687E33">
      <w:pPr>
        <w:numPr>
          <w:ilvl w:val="0"/>
          <w:numId w:val="133"/>
        </w:numPr>
        <w:spacing w:after="120" w:line="276" w:lineRule="auto"/>
        <w:ind w:left="714" w:hanging="357"/>
        <w:jc w:val="both"/>
        <w:rPr>
          <w:rFonts w:ascii="Arial" w:eastAsia="Times New Roman" w:hAnsi="Arial" w:cs="Arial"/>
          <w:color w:val="000000"/>
          <w:sz w:val="21"/>
          <w:szCs w:val="21"/>
        </w:rPr>
      </w:pPr>
      <w:r w:rsidRPr="00700679">
        <w:rPr>
          <w:rFonts w:ascii="Arial" w:eastAsia="Times New Roman" w:hAnsi="Arial" w:cs="Arial"/>
          <w:color w:val="000000"/>
          <w:sz w:val="21"/>
          <w:szCs w:val="21"/>
        </w:rPr>
        <w:t xml:space="preserve">No consta que es tramitara un expedient de contractació menor que complira les premisses que establix la Llei 9/2017, de 8 de novembre, de Contractes del Sector Públic, ni que se subscriguera cap document de formalització de l'encàrrec o entrega dels esmentats subministraments. </w:t>
      </w:r>
    </w:p>
    <w:p w14:paraId="735A243C" w14:textId="77777777" w:rsidR="00700679" w:rsidRPr="00700679" w:rsidRDefault="00700679" w:rsidP="00687E33">
      <w:pPr>
        <w:numPr>
          <w:ilvl w:val="0"/>
          <w:numId w:val="133"/>
        </w:num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Durant el tràmit d'audiència concedit després de la notificació de l'informe provisional d'investigació, s'ha justificat per Junta Central Fallera, que la falta de tramitació dels corresponents Expedients de contractació es deu a la pròpia estructura organitzativa i l'escassetat de personal amb que compte Junta Central Fallera, així com a la concentració d'actes durant els mesos de gener a març.</w:t>
      </w:r>
    </w:p>
    <w:p w14:paraId="642D17C4"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Resultat</w:t>
      </w:r>
      <w:r w:rsidRPr="00700679">
        <w:rPr>
          <w:rFonts w:ascii="Arial" w:eastAsia="Times New Roman" w:hAnsi="Arial" w:cs="Arial"/>
          <w:color w:val="000000"/>
          <w:sz w:val="21"/>
          <w:szCs w:val="21"/>
        </w:rPr>
        <w:t>: Es finalitza l'expedient amb la recomanació a la Junta Central Fallera, de què procedisca a elaborar i aprovar un pla anual de contractació que arreplegue les necessitats anuals i planifique la seua tramitació, perquè junt amb la prèvia adopció de les mesures de caràcter organitzatiu que considere oportunes, evite que estos fets es repetisquen en exercicis futurs, màximament quan es tracta de subministraments que, a priori, van a contractar-se tots els exercicis en les mateixes dades, amb les mateixes característiques i per imports semblants.</w:t>
      </w:r>
    </w:p>
    <w:p w14:paraId="30F5B1B7"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Fase de seguiment:</w:t>
      </w:r>
      <w:r w:rsidRPr="00700679">
        <w:rPr>
          <w:rFonts w:ascii="Arial" w:eastAsia="Times New Roman" w:hAnsi="Arial" w:cs="Arial"/>
          <w:color w:val="000000"/>
          <w:sz w:val="21"/>
          <w:szCs w:val="21"/>
        </w:rPr>
        <w:t xml:space="preserve"> No procedeix.</w:t>
      </w:r>
    </w:p>
    <w:p w14:paraId="5D345AD0" w14:textId="77777777" w:rsidR="00700679" w:rsidRPr="00700679" w:rsidRDefault="00700679" w:rsidP="00700679">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77" w:name="_Toc95209093"/>
      <w:bookmarkStart w:id="278" w:name="_Toc95913885"/>
      <w:bookmarkStart w:id="279" w:name="_Toc99110768"/>
      <w:r w:rsidRPr="00700679">
        <w:rPr>
          <w:rFonts w:ascii="Arial" w:eastAsia="Times New Roman" w:hAnsi="Arial" w:cs="Arial"/>
          <w:b/>
          <w:color w:val="9D2235"/>
          <w:sz w:val="28"/>
          <w:szCs w:val="28"/>
        </w:rPr>
        <w:t>Denominació: Fundació per a la Investigació Institut Sanitari La Fe (IIS – La FE). Irregularitats en matèria de contractació de personal laboral</w:t>
      </w:r>
      <w:bookmarkEnd w:id="277"/>
      <w:bookmarkEnd w:id="278"/>
      <w:bookmarkEnd w:id="279"/>
    </w:p>
    <w:p w14:paraId="3C8CC603" w14:textId="77777777" w:rsidR="00700679" w:rsidRPr="00700679" w:rsidRDefault="00700679" w:rsidP="000E04BC">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Expedient</w:t>
      </w:r>
      <w:r w:rsidRPr="00700679">
        <w:rPr>
          <w:rFonts w:ascii="Arial" w:eastAsia="Times New Roman" w:hAnsi="Arial" w:cs="Arial"/>
          <w:color w:val="000000"/>
          <w:sz w:val="21"/>
          <w:szCs w:val="21"/>
        </w:rPr>
        <w:t>: 2020/G01_01/000347</w:t>
      </w:r>
    </w:p>
    <w:p w14:paraId="35B64767" w14:textId="77777777" w:rsidR="00700679" w:rsidRPr="00700679" w:rsidRDefault="00700679" w:rsidP="00700679">
      <w:pPr>
        <w:spacing w:after="240" w:line="276" w:lineRule="auto"/>
        <w:rPr>
          <w:rFonts w:ascii="Arial" w:eastAsia="Times New Roman" w:hAnsi="Arial" w:cs="Arial"/>
          <w:sz w:val="21"/>
          <w:szCs w:val="21"/>
          <w:lang w:eastAsia="es-ES"/>
        </w:rPr>
      </w:pPr>
      <w:r w:rsidRPr="00700679">
        <w:rPr>
          <w:rFonts w:ascii="Arial" w:eastAsia="Times New Roman" w:hAnsi="Arial" w:cs="Arial"/>
          <w:b/>
          <w:bCs/>
          <w:sz w:val="21"/>
          <w:szCs w:val="21"/>
        </w:rPr>
        <w:t>Enllaç a la publicació:</w:t>
      </w:r>
      <w:r w:rsidRPr="00700679">
        <w:rPr>
          <w:rFonts w:ascii="Arial" w:eastAsia="Times New Roman" w:hAnsi="Arial" w:cs="Arial"/>
          <w:b/>
          <w:bCs/>
          <w:sz w:val="21"/>
          <w:szCs w:val="21"/>
        </w:rPr>
        <w:br/>
      </w:r>
      <w:hyperlink r:id="rId465" w:history="1">
        <w:r w:rsidRPr="00700679">
          <w:rPr>
            <w:rFonts w:ascii="Arial" w:eastAsia="Times New Roman" w:hAnsi="Arial" w:cs="Arial"/>
            <w:color w:val="000080"/>
            <w:sz w:val="12"/>
            <w:szCs w:val="12"/>
            <w:u w:val="single"/>
            <w:lang w:eastAsia="es-ES"/>
          </w:rPr>
          <w:t>https://www.antifraucv.es/wp-content/uploads/2021/09/20210907_FUNDACION_PARA_LA_INVESTIGACION_INSTITUTO_SANITARIO_LA_FE.pdf</w:t>
        </w:r>
      </w:hyperlink>
    </w:p>
    <w:p w14:paraId="1C33406D"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Descripció</w:t>
      </w:r>
      <w:r w:rsidRPr="00700679">
        <w:rPr>
          <w:rFonts w:ascii="Arial" w:eastAsia="Times New Roman" w:hAnsi="Arial" w:cs="Arial"/>
          <w:color w:val="000000"/>
          <w:sz w:val="21"/>
          <w:szCs w:val="21"/>
        </w:rPr>
        <w:t xml:space="preserve">: Es van iniciar actuacions, en relació amb la possible existència de determinades irregularitats, comeses en relació amb contínues irregularitats en matèria de gestió del personal de la Fundació per a la Investigació Sanitària (IIS - La Fe). </w:t>
      </w:r>
    </w:p>
    <w:p w14:paraId="753B6026"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De l'estudi detallat de la documentació que consta en l'Expedient i l'obtinguda en fonts obertes es va constatar que:</w:t>
      </w:r>
    </w:p>
    <w:p w14:paraId="01E487BF"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 xml:space="preserve">Respecte de l'evolució de la regularització de despeses en matèria de personal de l'IISLAFE, de l'anàlisi de la informació obtinguda, així com l'aportada per l'entitat, es constaten els progressos en la consolidació dels llocs estructurals de la seua plantilla, si bé derivat de la utilització continuada en el temps de contractacions temporals per a llocs estructurals de plantilla, en frau de llei, però sense que conste que la situació atípica d'excés de temporalitat haja sigut erradicada, ni existisca una planificació temporal prevista per a regularitzar la totalitat de les contractacions temporals en frau de llei. </w:t>
      </w:r>
    </w:p>
    <w:p w14:paraId="37385A44"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D'acord amb l'autorització de la Direcció General de Pressupostos de data 9 d'abril de 2021, la RPT de la fundació consta de 41 llocs d'un total de 355 treballadors, dels quals 114 serien els estructurals fixos, d'acord amb la petició de RPT realitzada al juliol de 2020.</w:t>
      </w:r>
    </w:p>
    <w:p w14:paraId="07EBBF2C" w14:textId="77777777" w:rsidR="00700679" w:rsidRPr="00700679" w:rsidRDefault="00700679" w:rsidP="00700679">
      <w:pPr>
        <w:spacing w:after="240" w:line="276" w:lineRule="auto"/>
        <w:jc w:val="both"/>
        <w:rPr>
          <w:rFonts w:ascii="Arial" w:eastAsia="Times New Roman" w:hAnsi="Arial" w:cs="Arial"/>
          <w:b/>
          <w:bCs/>
          <w:color w:val="000000"/>
          <w:sz w:val="21"/>
          <w:szCs w:val="21"/>
        </w:rPr>
      </w:pPr>
      <w:r w:rsidRPr="00700679">
        <w:rPr>
          <w:rFonts w:ascii="Arial" w:eastAsia="Times New Roman" w:hAnsi="Arial" w:cs="Arial"/>
          <w:color w:val="000000"/>
          <w:sz w:val="21"/>
          <w:szCs w:val="21"/>
        </w:rPr>
        <w:t>En relació amb la cobertura dels llocs de treball ocupats per personal a qui se li ha atorgat la condició d'indefinit no fix, en virtut de la normativa aplicable, de conformitat amb la jurisprudència del Tribunal Suprem (Sentència de 27 de maig de 2002), “el caràcter indefinit del contracte implica des d'una perspectiva temporal que este no està sotmès, directament o indirectament a un terme. Però açò no suposa que el treballador consolide, sense superar els procediments de selecció, una condició de fixesa en plantilla que no seria compatible amb les normes legals sobre selecció de personal fix en les Administracions Públiques. En virtut d'estes normes l'organisme afectat no pot atribuir la pretesa fixesa en plantilla amb una adscripció definitiva del lloc de treball, sinó que, al contrari, està obligat a adoptar les mesures necessàries per a la provisió regular del mateix i, produïda eixa provisió en la forma legalment procedent, existirà una causa lícita per extingir el contracte”.</w:t>
      </w:r>
    </w:p>
    <w:p w14:paraId="7A11A4A4" w14:textId="77777777" w:rsidR="00700679" w:rsidRPr="00700679" w:rsidRDefault="00700679" w:rsidP="00700679">
      <w:pPr>
        <w:spacing w:after="240" w:line="276" w:lineRule="auto"/>
        <w:jc w:val="both"/>
        <w:rPr>
          <w:rFonts w:ascii="Arial" w:eastAsia="Times New Roman" w:hAnsi="Arial" w:cs="Arial"/>
          <w:i/>
          <w:iCs/>
          <w:color w:val="000000"/>
          <w:sz w:val="21"/>
          <w:szCs w:val="21"/>
        </w:rPr>
      </w:pPr>
      <w:r w:rsidRPr="00700679">
        <w:rPr>
          <w:rFonts w:ascii="Arial" w:eastAsia="Times New Roman" w:hAnsi="Arial" w:cs="Arial"/>
          <w:b/>
          <w:bCs/>
          <w:color w:val="000000"/>
          <w:sz w:val="21"/>
          <w:szCs w:val="21"/>
        </w:rPr>
        <w:t>Resultat</w:t>
      </w:r>
      <w:r w:rsidRPr="00700679">
        <w:rPr>
          <w:rFonts w:ascii="Arial" w:eastAsia="Times New Roman" w:hAnsi="Arial" w:cs="Arial"/>
          <w:color w:val="000000"/>
          <w:sz w:val="21"/>
          <w:szCs w:val="21"/>
        </w:rPr>
        <w:t>: Es finalitza l’expedient amb l’elevació de recomanacions:</w:t>
      </w:r>
    </w:p>
    <w:p w14:paraId="11E6277C" w14:textId="77777777" w:rsidR="00700679" w:rsidRPr="00700679" w:rsidRDefault="00700679" w:rsidP="00687E33">
      <w:pPr>
        <w:numPr>
          <w:ilvl w:val="0"/>
          <w:numId w:val="134"/>
        </w:numPr>
        <w:spacing w:after="120" w:line="276" w:lineRule="auto"/>
        <w:ind w:left="714" w:hanging="357"/>
        <w:jc w:val="both"/>
        <w:rPr>
          <w:rFonts w:ascii="Arial" w:eastAsia="Times New Roman" w:hAnsi="Arial" w:cs="Arial"/>
          <w:color w:val="000000"/>
          <w:sz w:val="21"/>
          <w:szCs w:val="21"/>
        </w:rPr>
      </w:pPr>
      <w:r w:rsidRPr="00700679">
        <w:rPr>
          <w:rFonts w:ascii="Arial" w:eastAsia="Times New Roman" w:hAnsi="Arial" w:cs="Arial"/>
          <w:color w:val="000000"/>
          <w:sz w:val="21"/>
          <w:szCs w:val="21"/>
        </w:rPr>
        <w:t>Que es formalitze una planificació temporal, que incloga una proposta de regularització, perquè s'incorporen en la RPT i plantilla estable totes les necessitats de personal estructural contractat en frau de llei, havent d'identificar els llocs necessaris pel seu caràcter estructural, actual situació de cobertura y/o provisió i una temporalització de les actuacions.</w:t>
      </w:r>
    </w:p>
    <w:p w14:paraId="458575EC" w14:textId="77777777" w:rsidR="00700679" w:rsidRPr="00700679" w:rsidRDefault="00700679" w:rsidP="00687E33">
      <w:pPr>
        <w:numPr>
          <w:ilvl w:val="0"/>
          <w:numId w:val="134"/>
        </w:numPr>
        <w:spacing w:after="120" w:line="276" w:lineRule="auto"/>
        <w:ind w:left="714" w:hanging="357"/>
        <w:jc w:val="both"/>
        <w:rPr>
          <w:rFonts w:ascii="Arial" w:eastAsia="Times New Roman" w:hAnsi="Arial" w:cs="Arial"/>
          <w:color w:val="000000"/>
          <w:sz w:val="21"/>
          <w:szCs w:val="21"/>
        </w:rPr>
      </w:pPr>
      <w:r w:rsidRPr="00700679">
        <w:rPr>
          <w:rFonts w:ascii="Arial" w:eastAsia="Times New Roman" w:hAnsi="Arial" w:cs="Arial"/>
          <w:color w:val="000000"/>
          <w:sz w:val="21"/>
          <w:szCs w:val="21"/>
        </w:rPr>
        <w:t>Que s'adopten les mesures oportunes i es protocol·litzen les propostes que es consideren necessàries, perquè de futur no es torne a contractar personal laboral per a prestar necessitats estructurals que poden ocasionar contractacions en frau de llei, via projectes d'investigació o actuacions singulars.</w:t>
      </w:r>
    </w:p>
    <w:p w14:paraId="2C09A937" w14:textId="77777777" w:rsidR="00700679" w:rsidRPr="00700679" w:rsidRDefault="00700679" w:rsidP="00687E33">
      <w:pPr>
        <w:numPr>
          <w:ilvl w:val="0"/>
          <w:numId w:val="134"/>
        </w:numPr>
        <w:spacing w:after="240" w:line="276" w:lineRule="auto"/>
        <w:jc w:val="both"/>
        <w:rPr>
          <w:rFonts w:ascii="Arial" w:eastAsia="Times New Roman" w:hAnsi="Arial" w:cs="Arial"/>
          <w:color w:val="000000"/>
          <w:sz w:val="21"/>
          <w:szCs w:val="21"/>
        </w:rPr>
      </w:pPr>
      <w:r w:rsidRPr="00700679">
        <w:rPr>
          <w:rFonts w:ascii="Arial" w:eastAsia="Times New Roman" w:hAnsi="Arial" w:cs="Arial"/>
          <w:color w:val="000000"/>
          <w:sz w:val="21"/>
          <w:szCs w:val="21"/>
        </w:rPr>
        <w:t>Que es formalitze una planificació temporal, que incloga una proposta de calendari per a la provisió reglamentària definitiva dels llocs de treballs incorporats en la RPT i plantilla de manera temporal, i de forma particular, que estan coberts per personal laboral indefinit no fix, havent d'identificar els llocs actuals inclosos en la RPT coberts pel dit personal i una temporalització de les actuacions a realitzar per a la provisió definitiva de forma reglamentària.</w:t>
      </w:r>
    </w:p>
    <w:p w14:paraId="09AD6B97" w14:textId="77777777" w:rsidR="00700679" w:rsidRPr="00700679" w:rsidRDefault="00700679" w:rsidP="00700679">
      <w:pPr>
        <w:spacing w:after="240" w:line="276" w:lineRule="auto"/>
        <w:jc w:val="both"/>
        <w:rPr>
          <w:rFonts w:ascii="Arial" w:eastAsia="Times New Roman" w:hAnsi="Arial" w:cs="Arial"/>
          <w:color w:val="000000"/>
          <w:sz w:val="21"/>
          <w:szCs w:val="21"/>
        </w:rPr>
      </w:pPr>
      <w:r w:rsidRPr="00700679">
        <w:rPr>
          <w:rFonts w:ascii="Arial" w:eastAsia="Times New Roman" w:hAnsi="Arial" w:cs="Arial"/>
          <w:b/>
          <w:bCs/>
          <w:color w:val="000000"/>
          <w:sz w:val="21"/>
          <w:szCs w:val="21"/>
        </w:rPr>
        <w:t>Fase de seguiment:</w:t>
      </w:r>
      <w:r w:rsidRPr="00700679">
        <w:rPr>
          <w:rFonts w:ascii="Arial" w:eastAsia="Times New Roman" w:hAnsi="Arial" w:cs="Arial"/>
          <w:color w:val="000000"/>
          <w:sz w:val="21"/>
          <w:szCs w:val="21"/>
        </w:rPr>
        <w:t xml:space="preserve"> Finalitzada per l’acceptació de les recomanacions.</w:t>
      </w:r>
    </w:p>
    <w:p w14:paraId="7D47048E" w14:textId="77777777" w:rsidR="00625AFA" w:rsidRPr="00625AFA" w:rsidRDefault="00625AFA" w:rsidP="00625AFA">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80" w:name="_Toc99110769"/>
      <w:r w:rsidRPr="00625AFA">
        <w:rPr>
          <w:rFonts w:ascii="Arial" w:eastAsia="Times New Roman" w:hAnsi="Arial" w:cs="Arial"/>
          <w:b/>
          <w:color w:val="9D2235"/>
          <w:sz w:val="28"/>
          <w:szCs w:val="28"/>
        </w:rPr>
        <w:t>Denominació: Ajuntament de Gavarda. Incompatibilitat càrrecs electes dedicació exclusiva</w:t>
      </w:r>
      <w:bookmarkEnd w:id="280"/>
    </w:p>
    <w:p w14:paraId="2886C9E0" w14:textId="545E029A" w:rsidR="00625AFA" w:rsidRPr="00625AFA" w:rsidRDefault="00625AFA" w:rsidP="000E04BC">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Expedient:</w:t>
      </w:r>
      <w:r w:rsidRPr="00625AFA">
        <w:rPr>
          <w:rFonts w:ascii="Arial" w:eastAsia="Times New Roman" w:hAnsi="Arial" w:cs="Arial"/>
          <w:color w:val="000000"/>
          <w:sz w:val="21"/>
          <w:szCs w:val="21"/>
        </w:rPr>
        <w:t xml:space="preserve"> 2020/G01_01/000282 - Acumula</w:t>
      </w:r>
      <w:r w:rsidR="007B1308">
        <w:rPr>
          <w:rFonts w:ascii="Arial" w:eastAsia="Times New Roman" w:hAnsi="Arial" w:cs="Arial"/>
          <w:color w:val="000000"/>
          <w:sz w:val="21"/>
          <w:szCs w:val="21"/>
        </w:rPr>
        <w:t>t</w:t>
      </w:r>
      <w:r w:rsidRPr="00625AFA">
        <w:rPr>
          <w:rFonts w:ascii="Arial" w:eastAsia="Times New Roman" w:hAnsi="Arial" w:cs="Arial"/>
          <w:color w:val="000000"/>
          <w:sz w:val="21"/>
          <w:szCs w:val="21"/>
        </w:rPr>
        <w:t xml:space="preserve"> 2020/G01_01/000396</w:t>
      </w:r>
    </w:p>
    <w:p w14:paraId="3440E25B" w14:textId="77777777" w:rsidR="00625AFA" w:rsidRPr="00625AFA" w:rsidRDefault="00625AFA" w:rsidP="00625AFA">
      <w:pPr>
        <w:spacing w:after="240" w:line="276" w:lineRule="auto"/>
        <w:rPr>
          <w:rFonts w:ascii="Arial" w:eastAsia="Times New Roman" w:hAnsi="Arial" w:cs="Arial"/>
          <w:sz w:val="18"/>
          <w:szCs w:val="18"/>
          <w:lang w:eastAsia="es-ES"/>
        </w:rPr>
      </w:pPr>
      <w:r w:rsidRPr="00625AFA">
        <w:rPr>
          <w:rFonts w:ascii="Arial" w:eastAsia="Times New Roman" w:hAnsi="Arial" w:cs="Arial"/>
          <w:b/>
          <w:bCs/>
          <w:sz w:val="21"/>
          <w:szCs w:val="21"/>
        </w:rPr>
        <w:t>Enllaç a la publicació:</w:t>
      </w:r>
      <w:r w:rsidRPr="00625AFA">
        <w:rPr>
          <w:rFonts w:ascii="Arial" w:eastAsia="Times New Roman" w:hAnsi="Arial" w:cs="Arial"/>
          <w:b/>
          <w:bCs/>
          <w:sz w:val="21"/>
          <w:szCs w:val="21"/>
        </w:rPr>
        <w:br/>
      </w:r>
      <w:hyperlink r:id="rId466" w:history="1">
        <w:r w:rsidRPr="00625AFA">
          <w:rPr>
            <w:rFonts w:ascii="Arial" w:eastAsia="Times New Roman" w:hAnsi="Arial" w:cs="Arial"/>
            <w:color w:val="000080"/>
            <w:sz w:val="18"/>
            <w:szCs w:val="18"/>
            <w:u w:val="single"/>
            <w:lang w:eastAsia="es-ES"/>
          </w:rPr>
          <w:t>https://www.antifraucv.es/wp-content/uploads/2021/09/20210908_AJUNTAMENT_DE_GAVARDA.pdf</w:t>
        </w:r>
      </w:hyperlink>
    </w:p>
    <w:p w14:paraId="29B0C3CB"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Descripció</w:t>
      </w:r>
      <w:r w:rsidRPr="00625AFA">
        <w:rPr>
          <w:rFonts w:ascii="Arial" w:eastAsia="Times New Roman" w:hAnsi="Arial" w:cs="Arial"/>
          <w:color w:val="000000"/>
          <w:sz w:val="21"/>
          <w:szCs w:val="21"/>
        </w:rPr>
        <w:t>: Possible causa d'incompatibilitat, per part de la persona que va ocupar el càrrec d'alcalde de l'entitat local exercit en règim de dedicació exclusiva, sense autorització per a compatibilitzar l'exercici d'activitat privada, (activitat econòmica en règim d'autònom i gerent d'una empresa).</w:t>
      </w:r>
    </w:p>
    <w:p w14:paraId="7D54068E"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L'alcalde va ser declarat en règim de dedicació exclusiva per a l'exercici del seu càrrec d'alcalde de l'Ajuntament. Durant el temps en què tenia reconeguda dedicació exclusiva, va exercir simultàniament una activitat privada no marginal. Per a tal activitat no es va informar del Ple, no va sol·licitar, ni va obtindre declaració de compatibilitat sent això preceptiu, ja que, al tindre dedicació exclusiva, es trobava subjecte a la Llei d'Incompatibilitats i al règim establit per aquesta.</w:t>
      </w:r>
    </w:p>
    <w:p w14:paraId="1B8C5E30"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Resultat</w:t>
      </w:r>
      <w:r w:rsidRPr="00625AFA">
        <w:rPr>
          <w:rFonts w:ascii="Arial" w:eastAsia="Times New Roman" w:hAnsi="Arial" w:cs="Arial"/>
          <w:color w:val="000000"/>
          <w:sz w:val="21"/>
          <w:szCs w:val="21"/>
        </w:rPr>
        <w:t>: Es finalitza l’expedient amb les següents recomanacions:</w:t>
      </w:r>
    </w:p>
    <w:p w14:paraId="730620CA"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Es recomana l'inici de la revisió d'ofici d'aquelles actuacions que incorregueren en causa de nul·litat de ple dret, corresponents als actes administratius aprovatoris de les distintes nòmines abonades al càrrec electe. Igualment, l'Ajuntament haurà d'establir els protocols o procediments, dirigits a informar els càrrecs electes municipals sobre l'obligatòria observança i compliment de la normativa en matèria d'incompatibilitats.</w:t>
      </w:r>
    </w:p>
    <w:p w14:paraId="4D24DEEB"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 xml:space="preserve">Fase de seguiment: </w:t>
      </w:r>
      <w:r w:rsidRPr="00625AFA">
        <w:rPr>
          <w:rFonts w:ascii="Arial" w:eastAsia="Times New Roman" w:hAnsi="Arial" w:cs="Arial"/>
          <w:color w:val="000000"/>
          <w:sz w:val="21"/>
          <w:szCs w:val="21"/>
        </w:rPr>
        <w:t>En tràmit.</w:t>
      </w:r>
    </w:p>
    <w:p w14:paraId="51B30B9D" w14:textId="77777777" w:rsidR="00625AFA" w:rsidRPr="00625AFA" w:rsidRDefault="00625AFA" w:rsidP="00625AFA">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81" w:name="_Toc99110770"/>
      <w:r w:rsidRPr="00625AFA">
        <w:rPr>
          <w:rFonts w:ascii="Arial" w:eastAsia="Times New Roman" w:hAnsi="Arial" w:cs="Arial"/>
          <w:b/>
          <w:color w:val="9D2235"/>
          <w:sz w:val="28"/>
          <w:szCs w:val="28"/>
        </w:rPr>
        <w:t>Denominació: Ajuntament d'Aras de los Olmos. Accés a l'ocupació pública</w:t>
      </w:r>
      <w:bookmarkEnd w:id="281"/>
    </w:p>
    <w:p w14:paraId="5CD1693D" w14:textId="77777777" w:rsidR="00625AFA" w:rsidRPr="00625AFA" w:rsidRDefault="00625AFA" w:rsidP="000E04BC">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Expedient</w:t>
      </w:r>
      <w:r w:rsidRPr="00625AFA">
        <w:rPr>
          <w:rFonts w:ascii="Arial" w:eastAsia="Times New Roman" w:hAnsi="Arial" w:cs="Arial"/>
          <w:color w:val="000000"/>
          <w:sz w:val="21"/>
          <w:szCs w:val="21"/>
        </w:rPr>
        <w:t>: 2020/G01_01/000093</w:t>
      </w:r>
    </w:p>
    <w:p w14:paraId="325ACC63" w14:textId="77777777" w:rsidR="00625AFA" w:rsidRPr="00625AFA" w:rsidRDefault="00625AFA" w:rsidP="00625AFA">
      <w:pPr>
        <w:spacing w:after="240" w:line="276" w:lineRule="auto"/>
        <w:rPr>
          <w:rFonts w:ascii="Arial" w:eastAsia="Times New Roman" w:hAnsi="Arial" w:cs="Arial"/>
          <w:sz w:val="21"/>
          <w:szCs w:val="21"/>
          <w:lang w:eastAsia="es-ES"/>
        </w:rPr>
      </w:pPr>
      <w:r w:rsidRPr="00625AFA">
        <w:rPr>
          <w:rFonts w:ascii="Arial" w:eastAsia="Times New Roman" w:hAnsi="Arial" w:cs="Arial"/>
          <w:b/>
          <w:bCs/>
          <w:sz w:val="21"/>
          <w:szCs w:val="21"/>
        </w:rPr>
        <w:t>Enllaç a la publicació:</w:t>
      </w:r>
      <w:r w:rsidRPr="00625AFA">
        <w:rPr>
          <w:rFonts w:ascii="Arial" w:eastAsia="Times New Roman" w:hAnsi="Arial" w:cs="Arial"/>
          <w:b/>
          <w:bCs/>
          <w:sz w:val="21"/>
          <w:szCs w:val="21"/>
        </w:rPr>
        <w:br/>
      </w:r>
      <w:hyperlink r:id="rId467" w:history="1">
        <w:r w:rsidRPr="00625AFA">
          <w:rPr>
            <w:rFonts w:ascii="Arial" w:eastAsia="Times New Roman" w:hAnsi="Arial" w:cs="Arial"/>
            <w:color w:val="000080"/>
            <w:sz w:val="16"/>
            <w:szCs w:val="16"/>
            <w:u w:val="single"/>
            <w:lang w:eastAsia="es-ES"/>
          </w:rPr>
          <w:t>https://www.antifraucv.es/wp-content/uploads/2021/09/20210914_AJUNTAMENT_DE_ARAS_DE_LOS_OLMOS.pdf</w:t>
        </w:r>
      </w:hyperlink>
    </w:p>
    <w:p w14:paraId="0A82E816"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Descripció</w:t>
      </w:r>
      <w:r w:rsidRPr="00625AFA">
        <w:rPr>
          <w:rFonts w:ascii="Arial" w:eastAsia="Times New Roman" w:hAnsi="Arial" w:cs="Arial"/>
          <w:color w:val="000000"/>
          <w:sz w:val="21"/>
          <w:szCs w:val="21"/>
        </w:rPr>
        <w:t xml:space="preserve">: Es denuncia, la possible existència de suposades conductes contràries a la normativa d'accés a la funció pública d'una treballadora de l'Ajuntament. </w:t>
      </w:r>
    </w:p>
    <w:p w14:paraId="5B0E4452"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S'ha verificat en la fase d'investigació que:</w:t>
      </w:r>
    </w:p>
    <w:p w14:paraId="4D5FDDB2" w14:textId="77777777" w:rsidR="00625AFA" w:rsidRPr="00625AFA" w:rsidRDefault="00625AFA" w:rsidP="00687E33">
      <w:pPr>
        <w:numPr>
          <w:ilvl w:val="0"/>
          <w:numId w:val="135"/>
        </w:numPr>
        <w:spacing w:after="120" w:line="276" w:lineRule="auto"/>
        <w:ind w:left="714" w:hanging="357"/>
        <w:jc w:val="both"/>
        <w:rPr>
          <w:rFonts w:ascii="Arial" w:eastAsia="Times New Roman" w:hAnsi="Arial" w:cs="Arial"/>
          <w:color w:val="000000"/>
          <w:sz w:val="21"/>
          <w:szCs w:val="21"/>
        </w:rPr>
      </w:pPr>
      <w:r w:rsidRPr="00625AFA">
        <w:rPr>
          <w:rFonts w:ascii="Arial" w:eastAsia="Times New Roman" w:hAnsi="Arial" w:cs="Arial"/>
          <w:color w:val="000000"/>
          <w:sz w:val="21"/>
          <w:szCs w:val="21"/>
        </w:rPr>
        <w:t>L'Ajuntament d'Aras de los Olmos, va realitzar un procés de funcionarització de personal laboral a l’empara de la normativa bàsica estatal prevista en la Disposició Transitòria Segona del Llei 7/2007, de 12 d'abril, de l'Estatut Bàsic de l'Empleat Públic, quan esta disposició no s'aplicava, ja que afecta un contracte laboral subscrit en l'exercici 2009, posteriorment a l'entrada en vigor de l'esmentada llei, que es va produir al maig de 2007.</w:t>
      </w:r>
    </w:p>
    <w:p w14:paraId="71C8E2AF" w14:textId="77777777" w:rsidR="00625AFA" w:rsidRPr="00625AFA" w:rsidRDefault="00625AFA" w:rsidP="00687E33">
      <w:pPr>
        <w:numPr>
          <w:ilvl w:val="0"/>
          <w:numId w:val="135"/>
        </w:numPr>
        <w:spacing w:after="120" w:line="276" w:lineRule="auto"/>
        <w:ind w:left="714" w:hanging="357"/>
        <w:jc w:val="both"/>
        <w:rPr>
          <w:rFonts w:ascii="Arial" w:eastAsia="Times New Roman" w:hAnsi="Arial" w:cs="Arial"/>
          <w:color w:val="000000"/>
          <w:sz w:val="21"/>
          <w:szCs w:val="21"/>
        </w:rPr>
      </w:pPr>
      <w:r w:rsidRPr="00625AFA">
        <w:rPr>
          <w:rFonts w:ascii="Arial" w:eastAsia="Times New Roman" w:hAnsi="Arial" w:cs="Arial"/>
          <w:color w:val="000000"/>
          <w:sz w:val="21"/>
          <w:szCs w:val="21"/>
        </w:rPr>
        <w:t>L'Ajuntament d'Aras de los Olmos, va realitzar un procés de funcionarització de personal laboral establint en les bases almenys un requisit ad-hoc, únicament aplicable a la candidata finalment seleccionada i que exclou la possibilitat de concurrència de tercers, “estar exercint el lloc de treball que és objecte de la present convocatòria”.</w:t>
      </w:r>
    </w:p>
    <w:p w14:paraId="42AD386E" w14:textId="77777777" w:rsidR="00625AFA" w:rsidRPr="00625AFA" w:rsidRDefault="00625AFA" w:rsidP="00687E33">
      <w:pPr>
        <w:numPr>
          <w:ilvl w:val="0"/>
          <w:numId w:val="135"/>
        </w:numPr>
        <w:spacing w:after="24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Les anteriors circumstàncies poden constituir causa de nul·litat de ple dret, de conformitat amb el que establix l'article 47.1 apartat f de la Llei 39/2015.</w:t>
      </w:r>
    </w:p>
    <w:p w14:paraId="0A5A9A52" w14:textId="6B7BF970"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Resultat</w:t>
      </w:r>
      <w:r w:rsidRPr="00625AFA">
        <w:rPr>
          <w:rFonts w:ascii="Arial" w:eastAsia="Times New Roman" w:hAnsi="Arial" w:cs="Arial"/>
          <w:color w:val="000000"/>
          <w:sz w:val="21"/>
          <w:szCs w:val="21"/>
        </w:rPr>
        <w:t>: Es finalitza l'expedient amb la recomanació a l'Ajuntament d'Aras de los Olmos de què procedisca a instar la revisió d'ofici de l'acte incurs en possible causa de nul·litat de ple dret, regulada en l'article 106 de la Llei 39/2015, d'1 d'octubre, del Procediment Administratiu Comú de les Administracions Públiques, relativa a l'aprovació de les bases i convocatòria del concurs-oposició restringit per a l'accés a la funció pública del personal laboral de l'Ajuntament d'Aras de los Olmos, a fi de la funcionarització de la plaça de tècnic d'Administració, duta a terme Mitjançant Resolució d'alcaldia del dit Ajuntament n</w:t>
      </w:r>
      <w:r w:rsidR="00BF7CAF">
        <w:rPr>
          <w:rFonts w:ascii="Arial" w:eastAsia="Times New Roman" w:hAnsi="Arial" w:cs="Arial"/>
          <w:color w:val="000000"/>
          <w:sz w:val="21"/>
          <w:szCs w:val="21"/>
        </w:rPr>
        <w:t>úm.</w:t>
      </w:r>
      <w:r w:rsidRPr="00625AFA">
        <w:rPr>
          <w:rFonts w:ascii="Arial" w:eastAsia="Times New Roman" w:hAnsi="Arial" w:cs="Arial"/>
          <w:color w:val="000000"/>
          <w:sz w:val="21"/>
          <w:szCs w:val="21"/>
        </w:rPr>
        <w:t xml:space="preserve"> 34 de data 1 d'abril de 2019.</w:t>
      </w:r>
    </w:p>
    <w:p w14:paraId="50DF04C5"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 xml:space="preserve">Fase de seguiment: </w:t>
      </w:r>
      <w:r w:rsidRPr="00625AFA">
        <w:rPr>
          <w:rFonts w:ascii="Arial" w:eastAsia="Times New Roman" w:hAnsi="Arial" w:cs="Arial"/>
          <w:color w:val="000000"/>
          <w:sz w:val="21"/>
          <w:szCs w:val="21"/>
        </w:rPr>
        <w:t>En tràmit.</w:t>
      </w:r>
    </w:p>
    <w:p w14:paraId="3914A185" w14:textId="77777777" w:rsidR="00625AFA" w:rsidRPr="00625AFA" w:rsidRDefault="00625AFA" w:rsidP="00625AFA">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82" w:name="_Toc99110771"/>
      <w:r w:rsidRPr="00625AFA">
        <w:rPr>
          <w:rFonts w:ascii="Arial" w:eastAsia="Times New Roman" w:hAnsi="Arial" w:cs="Arial"/>
          <w:b/>
          <w:color w:val="9D2235"/>
          <w:sz w:val="28"/>
          <w:szCs w:val="28"/>
        </w:rPr>
        <w:t>Denominació: Ajuntament de Castelló de Rugat. Irregularitats contractació administrativa</w:t>
      </w:r>
      <w:bookmarkEnd w:id="282"/>
    </w:p>
    <w:p w14:paraId="67852B61" w14:textId="77777777" w:rsidR="00625AFA" w:rsidRPr="00625AFA" w:rsidRDefault="00625AFA" w:rsidP="000E04BC">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Expedient</w:t>
      </w:r>
      <w:r w:rsidRPr="00625AFA">
        <w:rPr>
          <w:rFonts w:ascii="Arial" w:eastAsia="Times New Roman" w:hAnsi="Arial" w:cs="Arial"/>
          <w:color w:val="000000"/>
          <w:sz w:val="21"/>
          <w:szCs w:val="21"/>
        </w:rPr>
        <w:t>: 2020/G01_01/000314 [168/2019]</w:t>
      </w:r>
    </w:p>
    <w:p w14:paraId="1D9398D6" w14:textId="77777777" w:rsidR="00625AFA" w:rsidRPr="00625AFA" w:rsidRDefault="00625AFA" w:rsidP="00625AFA">
      <w:pPr>
        <w:spacing w:after="240" w:line="276" w:lineRule="auto"/>
        <w:rPr>
          <w:rFonts w:ascii="Arial" w:eastAsia="Times New Roman" w:hAnsi="Arial" w:cs="Arial"/>
          <w:sz w:val="21"/>
          <w:szCs w:val="21"/>
          <w:lang w:eastAsia="es-ES"/>
        </w:rPr>
      </w:pPr>
      <w:r w:rsidRPr="00625AFA">
        <w:rPr>
          <w:rFonts w:ascii="Arial" w:eastAsia="Times New Roman" w:hAnsi="Arial" w:cs="Arial"/>
          <w:b/>
          <w:bCs/>
          <w:sz w:val="21"/>
          <w:szCs w:val="21"/>
        </w:rPr>
        <w:t>Enllaç a la publicació:</w:t>
      </w:r>
      <w:r w:rsidRPr="00625AFA">
        <w:rPr>
          <w:rFonts w:ascii="Arial" w:eastAsia="Times New Roman" w:hAnsi="Arial" w:cs="Arial"/>
          <w:b/>
          <w:bCs/>
          <w:sz w:val="21"/>
          <w:szCs w:val="21"/>
        </w:rPr>
        <w:br/>
      </w:r>
      <w:hyperlink r:id="rId468" w:history="1">
        <w:r w:rsidRPr="00625AFA">
          <w:rPr>
            <w:rFonts w:ascii="Arial" w:eastAsia="Times New Roman" w:hAnsi="Arial" w:cs="Arial"/>
            <w:color w:val="000080"/>
            <w:sz w:val="16"/>
            <w:szCs w:val="16"/>
            <w:u w:val="single"/>
            <w:lang w:eastAsia="es-ES"/>
          </w:rPr>
          <w:t>https://www.antifraucv.es/wp-content/uploads/2021/09/20210914_AJUNTAMENT_DE_CASTELLO_DE_RUGAT.pdf</w:t>
        </w:r>
      </w:hyperlink>
    </w:p>
    <w:p w14:paraId="33C016E5"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Descripció</w:t>
      </w:r>
      <w:r w:rsidRPr="00625AFA">
        <w:rPr>
          <w:rFonts w:ascii="Arial" w:eastAsia="Times New Roman" w:hAnsi="Arial" w:cs="Arial"/>
          <w:color w:val="000000"/>
          <w:sz w:val="21"/>
          <w:szCs w:val="21"/>
        </w:rPr>
        <w:t xml:space="preserve">: Es denuncia la possible existència de conductes contràries a la normativa en matèria contractual succeïdes en l'Ajuntament de Castelló de Rugat, amb motiu de la contractació d'actuacions musicals durant les festes del mes d'agost de 2018. </w:t>
      </w:r>
    </w:p>
    <w:p w14:paraId="6B3B0FB4" w14:textId="77777777"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S'ha verificat en la fase d'investigació que:</w:t>
      </w:r>
    </w:p>
    <w:p w14:paraId="53D6554A" w14:textId="77777777" w:rsidR="00625AFA" w:rsidRPr="00625AFA" w:rsidRDefault="00625AFA" w:rsidP="00687E33">
      <w:pPr>
        <w:numPr>
          <w:ilvl w:val="0"/>
          <w:numId w:val="136"/>
        </w:numPr>
        <w:spacing w:after="12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L'Ajuntament de Castelló de Rugat, no va tramitar cap Expedient de contractació per a la prestació dels servicis d'actuacions següents efectuats durant les festes d'agost de 2018:</w:t>
      </w:r>
    </w:p>
    <w:p w14:paraId="6092DD1C" w14:textId="1F2A2C4F" w:rsidR="00625AFA" w:rsidRPr="00625AFA" w:rsidRDefault="00625AFA" w:rsidP="00625AFA">
      <w:pPr>
        <w:numPr>
          <w:ilvl w:val="0"/>
          <w:numId w:val="83"/>
        </w:numPr>
        <w:spacing w:after="120" w:line="276" w:lineRule="auto"/>
        <w:ind w:left="1560"/>
        <w:jc w:val="both"/>
        <w:rPr>
          <w:rFonts w:ascii="Arial" w:eastAsia="Times New Roman" w:hAnsi="Arial" w:cs="Arial"/>
          <w:color w:val="000000"/>
          <w:sz w:val="21"/>
          <w:szCs w:val="21"/>
        </w:rPr>
      </w:pPr>
      <w:r w:rsidRPr="00625AFA">
        <w:rPr>
          <w:rFonts w:ascii="Arial" w:eastAsia="Times New Roman" w:hAnsi="Arial" w:cs="Arial"/>
          <w:sz w:val="21"/>
          <w:szCs w:val="21"/>
        </w:rPr>
        <w:t xml:space="preserve">Actuació </w:t>
      </w:r>
      <w:r w:rsidR="003B7A0D" w:rsidRPr="003B7A0D">
        <w:rPr>
          <w:rFonts w:ascii="Arial" w:eastAsia="Times New Roman" w:hAnsi="Arial" w:cs="Arial"/>
          <w:sz w:val="21"/>
          <w:szCs w:val="21"/>
        </w:rPr>
        <w:t>discomòbil</w:t>
      </w:r>
      <w:r w:rsidRPr="00625AFA">
        <w:rPr>
          <w:rFonts w:ascii="Arial" w:eastAsia="Times New Roman" w:hAnsi="Arial" w:cs="Arial"/>
          <w:sz w:val="21"/>
          <w:szCs w:val="21"/>
        </w:rPr>
        <w:t xml:space="preserve"> </w:t>
      </w:r>
      <w:r w:rsidRPr="00625AFA">
        <w:rPr>
          <w:rFonts w:ascii="Arial" w:eastAsia="Times New Roman" w:hAnsi="Arial" w:cs="Arial"/>
          <w:color w:val="000000"/>
          <w:sz w:val="21"/>
          <w:szCs w:val="21"/>
        </w:rPr>
        <w:t>el dia 16 d’agost de 2018.</w:t>
      </w:r>
    </w:p>
    <w:p w14:paraId="7D396438" w14:textId="77777777" w:rsidR="00625AFA" w:rsidRPr="00625AFA" w:rsidRDefault="00625AFA" w:rsidP="00625AFA">
      <w:pPr>
        <w:numPr>
          <w:ilvl w:val="0"/>
          <w:numId w:val="83"/>
        </w:numPr>
        <w:spacing w:after="120" w:line="276" w:lineRule="auto"/>
        <w:ind w:left="1560"/>
        <w:jc w:val="both"/>
        <w:rPr>
          <w:rFonts w:ascii="Arial" w:eastAsia="Times New Roman" w:hAnsi="Arial" w:cs="Arial"/>
          <w:color w:val="000000"/>
          <w:sz w:val="21"/>
          <w:szCs w:val="21"/>
        </w:rPr>
      </w:pPr>
      <w:r w:rsidRPr="00625AFA">
        <w:rPr>
          <w:rFonts w:ascii="Arial" w:eastAsia="Times New Roman" w:hAnsi="Arial" w:cs="Arial"/>
          <w:color w:val="000000"/>
          <w:sz w:val="21"/>
          <w:szCs w:val="21"/>
        </w:rPr>
        <w:t>Actuació del dia 17 d’agost de 2018.</w:t>
      </w:r>
    </w:p>
    <w:p w14:paraId="1DC6AB83" w14:textId="77777777" w:rsidR="00625AFA" w:rsidRPr="00625AFA" w:rsidRDefault="00625AFA" w:rsidP="00625AFA">
      <w:pPr>
        <w:numPr>
          <w:ilvl w:val="0"/>
          <w:numId w:val="83"/>
        </w:numPr>
        <w:spacing w:after="120" w:line="276" w:lineRule="auto"/>
        <w:ind w:left="1560"/>
        <w:jc w:val="both"/>
        <w:rPr>
          <w:rFonts w:ascii="Arial" w:eastAsia="Times New Roman" w:hAnsi="Arial" w:cs="Arial"/>
          <w:color w:val="000000"/>
          <w:sz w:val="21"/>
          <w:szCs w:val="21"/>
        </w:rPr>
      </w:pPr>
      <w:r w:rsidRPr="00625AFA">
        <w:rPr>
          <w:rFonts w:ascii="Arial" w:eastAsia="Times New Roman" w:hAnsi="Arial" w:cs="Arial"/>
          <w:color w:val="000000"/>
          <w:sz w:val="21"/>
          <w:szCs w:val="21"/>
        </w:rPr>
        <w:t>Actuació de la orquestra el dia 18 d’agost de 2018.</w:t>
      </w:r>
    </w:p>
    <w:p w14:paraId="69AE7B1B" w14:textId="6E5F2F3C" w:rsidR="00625AFA" w:rsidRPr="00625AFA" w:rsidRDefault="00625AFA" w:rsidP="00625AFA">
      <w:pPr>
        <w:numPr>
          <w:ilvl w:val="0"/>
          <w:numId w:val="83"/>
        </w:numPr>
        <w:spacing w:after="120" w:line="276" w:lineRule="auto"/>
        <w:ind w:left="1560"/>
        <w:jc w:val="both"/>
        <w:rPr>
          <w:rFonts w:ascii="Arial" w:eastAsia="Times New Roman" w:hAnsi="Arial" w:cs="Arial"/>
          <w:color w:val="000000"/>
          <w:sz w:val="21"/>
          <w:szCs w:val="21"/>
        </w:rPr>
      </w:pPr>
      <w:r w:rsidRPr="00625AFA">
        <w:rPr>
          <w:rFonts w:ascii="Arial" w:eastAsia="Times New Roman" w:hAnsi="Arial" w:cs="Arial"/>
          <w:color w:val="000000"/>
          <w:sz w:val="21"/>
          <w:szCs w:val="21"/>
        </w:rPr>
        <w:t xml:space="preserve">Actuació de la orquestra el dia 21 </w:t>
      </w:r>
      <w:r w:rsidR="003B7A0D" w:rsidRPr="00625AFA">
        <w:rPr>
          <w:rFonts w:ascii="Arial" w:eastAsia="Times New Roman" w:hAnsi="Arial" w:cs="Arial"/>
          <w:color w:val="000000"/>
          <w:sz w:val="21"/>
          <w:szCs w:val="21"/>
        </w:rPr>
        <w:t>d’agost</w:t>
      </w:r>
      <w:r w:rsidRPr="00625AFA">
        <w:rPr>
          <w:rFonts w:ascii="Arial" w:eastAsia="Times New Roman" w:hAnsi="Arial" w:cs="Arial"/>
          <w:color w:val="000000"/>
          <w:sz w:val="21"/>
          <w:szCs w:val="21"/>
        </w:rPr>
        <w:t xml:space="preserve"> de 2018.</w:t>
      </w:r>
    </w:p>
    <w:p w14:paraId="65B5B5B0" w14:textId="31B18752" w:rsidR="00625AFA" w:rsidRPr="00625AFA" w:rsidRDefault="00625AFA" w:rsidP="00687E33">
      <w:pPr>
        <w:numPr>
          <w:ilvl w:val="0"/>
          <w:numId w:val="136"/>
        </w:numPr>
        <w:spacing w:after="12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La mercantil va presentar davant de l'Ajuntament de Castelló de Rugat la factura núm</w:t>
      </w:r>
      <w:r w:rsidR="00B97862">
        <w:rPr>
          <w:rFonts w:ascii="Arial" w:eastAsia="Times New Roman" w:hAnsi="Arial" w:cs="Arial"/>
          <w:color w:val="000000"/>
          <w:sz w:val="21"/>
          <w:szCs w:val="21"/>
        </w:rPr>
        <w:t>.</w:t>
      </w:r>
      <w:r w:rsidRPr="00625AFA">
        <w:rPr>
          <w:rFonts w:ascii="Arial" w:eastAsia="Times New Roman" w:hAnsi="Arial" w:cs="Arial"/>
          <w:color w:val="000000"/>
          <w:sz w:val="21"/>
          <w:szCs w:val="21"/>
        </w:rPr>
        <w:t xml:space="preserve"> 18-199, emesa el dia 28 d'agost de 2018, relativa als servicis anteriors, la qual ascendia a un import de 20.570,00 € (17.000,00 € de base i 3.570,00 € d'I.V.A.). </w:t>
      </w:r>
    </w:p>
    <w:p w14:paraId="07081CF3" w14:textId="77777777" w:rsidR="00625AFA" w:rsidRPr="00625AFA" w:rsidRDefault="00625AFA" w:rsidP="00687E33">
      <w:pPr>
        <w:numPr>
          <w:ilvl w:val="0"/>
          <w:numId w:val="136"/>
        </w:numPr>
        <w:spacing w:after="12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Després de l'informe emés per la Secretaria-Interventora municipal el dia 31 d'agost de 2018, en el que es posa de manifest la inexistència de contractació per a la prestació dels mencionats servicis, es va presentar una factura d'abonament de l'anterior. Posteriorment, es van presentar dos factures en substitució de la què havia sigut abonada, pels mateixos conceptes, però amb imports que no superen el límit establit per als contractes menors en la Llei 9/2017, de 8 de novembre, de contractes del sector públic. Una de les factures ascendia a 10.890,00 € (9.000,00 € de base i 1.890,00 € d'I.V.A.) i va ser presentada per la mateixa mercantil, i l'altra de les factures, va ser presentada per una mercantil vinculada i la mateixa ascendia a un import de 9.680,00 € (8.000,00 € de base i 1.680,00 € d'I.V.A.).</w:t>
      </w:r>
    </w:p>
    <w:p w14:paraId="5D4B3AFE" w14:textId="77777777" w:rsidR="00625AFA" w:rsidRPr="00625AFA" w:rsidRDefault="00625AFA" w:rsidP="00625AFA">
      <w:pPr>
        <w:spacing w:after="120" w:line="276" w:lineRule="auto"/>
        <w:ind w:left="709"/>
        <w:jc w:val="both"/>
        <w:rPr>
          <w:rFonts w:ascii="Arial" w:eastAsia="Times New Roman" w:hAnsi="Arial" w:cs="Arial"/>
          <w:color w:val="000000"/>
          <w:sz w:val="21"/>
          <w:szCs w:val="21"/>
        </w:rPr>
      </w:pPr>
      <w:r w:rsidRPr="00625AFA">
        <w:rPr>
          <w:rFonts w:ascii="Arial" w:eastAsia="Times New Roman" w:hAnsi="Arial" w:cs="Arial"/>
          <w:color w:val="000000"/>
          <w:sz w:val="21"/>
          <w:szCs w:val="21"/>
        </w:rPr>
        <w:t xml:space="preserve">La suma d'ambdós factures ascendix a l'import de la factura inicialment presentada. </w:t>
      </w:r>
    </w:p>
    <w:p w14:paraId="2A22FC44" w14:textId="77777777" w:rsidR="00625AFA" w:rsidRPr="00625AFA" w:rsidRDefault="00625AFA" w:rsidP="00625AFA">
      <w:pPr>
        <w:spacing w:after="120" w:line="276" w:lineRule="auto"/>
        <w:ind w:left="709"/>
        <w:jc w:val="both"/>
        <w:rPr>
          <w:rFonts w:ascii="Arial" w:eastAsia="Times New Roman" w:hAnsi="Arial" w:cs="Arial"/>
          <w:color w:val="000000"/>
          <w:sz w:val="21"/>
          <w:szCs w:val="21"/>
        </w:rPr>
      </w:pPr>
      <w:r w:rsidRPr="00625AFA">
        <w:rPr>
          <w:rFonts w:ascii="Arial" w:eastAsia="Times New Roman" w:hAnsi="Arial" w:cs="Arial"/>
          <w:color w:val="000000"/>
          <w:sz w:val="21"/>
          <w:szCs w:val="21"/>
        </w:rPr>
        <w:t>Per tant, es va fraccionar la contractació continguda en la factura inicial en dos factures, amb una clara voluntat de “emmascarar” la falta de tramitació del corresponent procediment de contractació i l'elusió dels requisits de publicitat i tots els relatius al procediment d'adjudicació que haguera correspost, com es va posar de manifest per la secretaria-intervenció en el seu moment, procedint a l'aprovació i pagament de les factures mencionades sense la cobertura contractual corresponent.</w:t>
      </w:r>
    </w:p>
    <w:p w14:paraId="1B3475F3" w14:textId="77777777" w:rsidR="00625AFA" w:rsidRPr="00625AFA" w:rsidRDefault="00625AFA" w:rsidP="00687E33">
      <w:pPr>
        <w:numPr>
          <w:ilvl w:val="0"/>
          <w:numId w:val="136"/>
        </w:numPr>
        <w:spacing w:after="12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La mateixa persona física que és titular real única de la primera mercantil, ostenta titularitat compartida en la segona mercantil. Havent-se tramitat dos factures, una de cada empresa, després de l'abonament de la primera factura presentada, s'ha posat en evidència després de l'alçament del vel empresarial, que hi ha una clara vinculació en la titularitat real d'ambdós empreses. Per tant, la presentació de dos factures fraccionant l'objecte inicial facturat es va realitzar amb una clara voluntat de donar aparença de legalitat a una contractació no ajustada a dret, creant la ficció de dos contractes menors.</w:t>
      </w:r>
    </w:p>
    <w:p w14:paraId="469DBC6D" w14:textId="77777777" w:rsidR="00625AFA" w:rsidRPr="00625AFA" w:rsidRDefault="00625AFA" w:rsidP="00687E33">
      <w:pPr>
        <w:numPr>
          <w:ilvl w:val="0"/>
          <w:numId w:val="136"/>
        </w:numPr>
        <w:spacing w:after="240" w:line="276" w:lineRule="auto"/>
        <w:jc w:val="both"/>
        <w:rPr>
          <w:rFonts w:ascii="Arial" w:eastAsia="Times New Roman" w:hAnsi="Arial" w:cs="Arial"/>
          <w:color w:val="000000"/>
          <w:sz w:val="21"/>
          <w:szCs w:val="21"/>
        </w:rPr>
      </w:pPr>
      <w:r w:rsidRPr="00625AFA">
        <w:rPr>
          <w:rFonts w:ascii="Arial" w:eastAsia="Times New Roman" w:hAnsi="Arial" w:cs="Arial"/>
          <w:color w:val="000000"/>
          <w:sz w:val="21"/>
          <w:szCs w:val="21"/>
        </w:rPr>
        <w:t>Addicionalment, no consta que s'hagen complit els requisits previstos per a la tramitació de contractes menors que preveu la Llei 9/2017, de 8 de novembre, de Contractes del Sector Públic.</w:t>
      </w:r>
    </w:p>
    <w:p w14:paraId="2C527093" w14:textId="7DA3104D" w:rsidR="00625AFA" w:rsidRPr="00625AFA" w:rsidRDefault="00625AFA" w:rsidP="00625AFA">
      <w:pPr>
        <w:spacing w:after="240" w:line="276" w:lineRule="auto"/>
        <w:jc w:val="both"/>
        <w:rPr>
          <w:rFonts w:ascii="Arial" w:eastAsia="Times New Roman" w:hAnsi="Arial" w:cs="Arial"/>
          <w:color w:val="000000"/>
          <w:sz w:val="21"/>
          <w:szCs w:val="21"/>
        </w:rPr>
      </w:pPr>
      <w:r w:rsidRPr="00625AFA">
        <w:rPr>
          <w:rFonts w:ascii="Arial" w:eastAsia="Times New Roman" w:hAnsi="Arial" w:cs="Arial"/>
          <w:b/>
          <w:bCs/>
          <w:color w:val="000000"/>
          <w:sz w:val="21"/>
          <w:szCs w:val="21"/>
        </w:rPr>
        <w:t>Resultat</w:t>
      </w:r>
      <w:r w:rsidRPr="00625AFA">
        <w:rPr>
          <w:rFonts w:ascii="Arial" w:eastAsia="Times New Roman" w:hAnsi="Arial" w:cs="Arial"/>
          <w:color w:val="000000"/>
          <w:sz w:val="21"/>
          <w:szCs w:val="21"/>
        </w:rPr>
        <w:t xml:space="preserve">: Es finalitza l'expedient amb la recomanació que per l'Ajuntament de Castelló de Rugat es procedisca a instar la revisió d'ofici dels actes incursos en possible causa de nul·litat de ple dret, regulada en l'article 106 de la Llei 39/2015, d'1 d'octubre, del Procediment Administratiu Comú de les Administracions Públiques, relativa als actes administratius </w:t>
      </w:r>
      <w:r w:rsidR="003B7A0D" w:rsidRPr="00625AFA">
        <w:rPr>
          <w:rFonts w:ascii="Arial" w:eastAsia="Times New Roman" w:hAnsi="Arial" w:cs="Arial"/>
          <w:color w:val="000000"/>
          <w:sz w:val="21"/>
          <w:szCs w:val="21"/>
        </w:rPr>
        <w:t>aprovatoris</w:t>
      </w:r>
      <w:r w:rsidRPr="00625AFA">
        <w:rPr>
          <w:rFonts w:ascii="Arial" w:eastAsia="Times New Roman" w:hAnsi="Arial" w:cs="Arial"/>
          <w:color w:val="000000"/>
          <w:sz w:val="21"/>
          <w:szCs w:val="21"/>
        </w:rPr>
        <w:t xml:space="preserve"> de les factures objecte de la investigació. </w:t>
      </w:r>
    </w:p>
    <w:p w14:paraId="71B57C1C" w14:textId="77777777" w:rsidR="00625AFA" w:rsidRPr="00625AFA" w:rsidRDefault="00625AFA" w:rsidP="00625AFA">
      <w:pPr>
        <w:spacing w:after="240" w:line="276" w:lineRule="auto"/>
        <w:jc w:val="both"/>
        <w:rPr>
          <w:rFonts w:ascii="Arial" w:eastAsia="Times New Roman" w:hAnsi="Arial" w:cs="Arial"/>
          <w:color w:val="000000"/>
          <w:sz w:val="21"/>
          <w:szCs w:val="21"/>
          <w:lang w:val="ca-ES"/>
        </w:rPr>
      </w:pPr>
      <w:r w:rsidRPr="00625AFA">
        <w:rPr>
          <w:rFonts w:ascii="Arial" w:eastAsia="Times New Roman" w:hAnsi="Arial" w:cs="Arial"/>
          <w:b/>
          <w:bCs/>
          <w:color w:val="000000"/>
          <w:sz w:val="21"/>
          <w:szCs w:val="21"/>
        </w:rPr>
        <w:t xml:space="preserve">Fase de seguiment: </w:t>
      </w:r>
      <w:r w:rsidRPr="00625AFA">
        <w:rPr>
          <w:rFonts w:ascii="Arial" w:eastAsia="Times New Roman" w:hAnsi="Arial" w:cs="Arial"/>
          <w:color w:val="000000"/>
          <w:sz w:val="21"/>
          <w:szCs w:val="21"/>
        </w:rPr>
        <w:t>En tràmit</w:t>
      </w:r>
      <w:r w:rsidRPr="00625AFA">
        <w:rPr>
          <w:rFonts w:ascii="Arial" w:eastAsia="Times New Roman" w:hAnsi="Arial" w:cs="Arial"/>
          <w:color w:val="000000"/>
          <w:sz w:val="21"/>
          <w:szCs w:val="21"/>
          <w:lang w:val="ca-ES"/>
        </w:rPr>
        <w:t>.</w:t>
      </w:r>
    </w:p>
    <w:p w14:paraId="5FF2A653" w14:textId="1F5F9FFC" w:rsidR="00510D22" w:rsidRPr="00510D22" w:rsidRDefault="00510D22" w:rsidP="00510D22">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83" w:name="_Toc95209097"/>
      <w:bookmarkStart w:id="284" w:name="_Toc95913889"/>
      <w:bookmarkStart w:id="285" w:name="_Toc99110772"/>
      <w:r w:rsidRPr="00510D22">
        <w:rPr>
          <w:rFonts w:ascii="Arial" w:eastAsia="Times New Roman" w:hAnsi="Arial" w:cs="Arial"/>
          <w:b/>
          <w:color w:val="9D2235"/>
          <w:sz w:val="28"/>
          <w:szCs w:val="28"/>
        </w:rPr>
        <w:t xml:space="preserve">Denominació: </w:t>
      </w:r>
      <w:bookmarkEnd w:id="283"/>
      <w:bookmarkEnd w:id="284"/>
      <w:r w:rsidRPr="00510D22">
        <w:rPr>
          <w:rFonts w:ascii="Arial" w:eastAsia="Times New Roman" w:hAnsi="Arial" w:cs="Arial"/>
          <w:b/>
          <w:color w:val="9D2235"/>
          <w:sz w:val="28"/>
          <w:szCs w:val="28"/>
        </w:rPr>
        <w:t>Institut Valencià d'Art Modern (</w:t>
      </w:r>
      <w:r w:rsidR="00AE24EC">
        <w:rPr>
          <w:rFonts w:ascii="Arial" w:eastAsia="Times New Roman" w:hAnsi="Arial" w:cs="Arial"/>
          <w:b/>
          <w:color w:val="9D2235"/>
          <w:sz w:val="28"/>
          <w:szCs w:val="28"/>
        </w:rPr>
        <w:t>IVAM</w:t>
      </w:r>
      <w:r w:rsidRPr="00510D22">
        <w:rPr>
          <w:rFonts w:ascii="Arial" w:eastAsia="Times New Roman" w:hAnsi="Arial" w:cs="Arial"/>
          <w:b/>
          <w:color w:val="9D2235"/>
          <w:sz w:val="28"/>
          <w:szCs w:val="28"/>
        </w:rPr>
        <w:t>). Irregularitats en el procés de selecció del gerent</w:t>
      </w:r>
      <w:bookmarkEnd w:id="285"/>
      <w:r w:rsidRPr="00510D22">
        <w:rPr>
          <w:rFonts w:ascii="Arial" w:eastAsia="Times New Roman" w:hAnsi="Arial" w:cs="Arial"/>
          <w:b/>
          <w:color w:val="9D2235"/>
          <w:sz w:val="28"/>
          <w:szCs w:val="28"/>
        </w:rPr>
        <w:t xml:space="preserve"> </w:t>
      </w:r>
    </w:p>
    <w:p w14:paraId="7AE3B104" w14:textId="77777777" w:rsidR="00510D22" w:rsidRPr="00510D22" w:rsidRDefault="00510D22" w:rsidP="000E04BC">
      <w:pPr>
        <w:spacing w:after="240" w:line="276" w:lineRule="auto"/>
        <w:jc w:val="both"/>
        <w:rPr>
          <w:rFonts w:ascii="Arial" w:eastAsia="Times New Roman" w:hAnsi="Arial" w:cs="Arial"/>
          <w:color w:val="000000"/>
          <w:sz w:val="21"/>
          <w:szCs w:val="21"/>
        </w:rPr>
      </w:pPr>
      <w:r w:rsidRPr="00510D22">
        <w:rPr>
          <w:rFonts w:ascii="Arial" w:eastAsia="Times New Roman" w:hAnsi="Arial" w:cs="Arial"/>
          <w:b/>
          <w:bCs/>
          <w:color w:val="000000"/>
          <w:sz w:val="21"/>
          <w:szCs w:val="21"/>
        </w:rPr>
        <w:t xml:space="preserve">Expedient: </w:t>
      </w:r>
      <w:r w:rsidRPr="00510D22">
        <w:rPr>
          <w:rFonts w:ascii="Arial" w:eastAsia="Times New Roman" w:hAnsi="Arial" w:cs="Arial"/>
          <w:color w:val="000000"/>
          <w:sz w:val="21"/>
          <w:szCs w:val="21"/>
        </w:rPr>
        <w:t>2020/G01_01/ 238 [126/2019]</w:t>
      </w:r>
    </w:p>
    <w:p w14:paraId="378E420F" w14:textId="77777777" w:rsidR="00510D22" w:rsidRPr="00510D22" w:rsidRDefault="00510D22" w:rsidP="00510D22">
      <w:pPr>
        <w:spacing w:after="240" w:line="276" w:lineRule="auto"/>
        <w:rPr>
          <w:rFonts w:ascii="Arial" w:eastAsia="Times New Roman" w:hAnsi="Arial" w:cs="Arial"/>
          <w:sz w:val="18"/>
          <w:szCs w:val="18"/>
          <w:lang w:eastAsia="es-ES"/>
        </w:rPr>
      </w:pPr>
      <w:r w:rsidRPr="00510D22">
        <w:rPr>
          <w:rFonts w:ascii="Arial" w:eastAsia="Times New Roman" w:hAnsi="Arial" w:cs="Arial"/>
          <w:b/>
          <w:bCs/>
          <w:sz w:val="21"/>
          <w:szCs w:val="21"/>
        </w:rPr>
        <w:t>Enllaç a la publicació:</w:t>
      </w:r>
      <w:r w:rsidRPr="00510D22">
        <w:rPr>
          <w:rFonts w:ascii="Arial" w:eastAsia="Times New Roman" w:hAnsi="Arial" w:cs="Arial"/>
          <w:b/>
          <w:bCs/>
          <w:sz w:val="21"/>
          <w:szCs w:val="21"/>
        </w:rPr>
        <w:br/>
      </w:r>
      <w:hyperlink r:id="rId469" w:history="1">
        <w:r w:rsidRPr="00510D22">
          <w:rPr>
            <w:rFonts w:ascii="Arial" w:eastAsia="Times New Roman" w:hAnsi="Arial" w:cs="Arial"/>
            <w:color w:val="000080"/>
            <w:sz w:val="18"/>
            <w:szCs w:val="18"/>
            <w:u w:val="single"/>
            <w:lang w:eastAsia="es-ES"/>
          </w:rPr>
          <w:t>https://www.antifraucv.es/wp-content/uploads/2021/10/20211001_IVAM.pdf</w:t>
        </w:r>
      </w:hyperlink>
    </w:p>
    <w:p w14:paraId="161D90CA" w14:textId="77777777" w:rsidR="00510D22" w:rsidRPr="00510D22" w:rsidRDefault="00510D22" w:rsidP="00510D22">
      <w:pPr>
        <w:spacing w:after="240" w:line="276" w:lineRule="auto"/>
        <w:jc w:val="both"/>
        <w:rPr>
          <w:rFonts w:ascii="Arial" w:eastAsia="Times New Roman" w:hAnsi="Arial" w:cs="Arial"/>
          <w:color w:val="000000"/>
          <w:sz w:val="21"/>
          <w:szCs w:val="21"/>
        </w:rPr>
      </w:pPr>
      <w:r w:rsidRPr="00510D22">
        <w:rPr>
          <w:rFonts w:ascii="Arial" w:eastAsia="Times New Roman" w:hAnsi="Arial" w:cs="Arial"/>
          <w:b/>
          <w:bCs/>
          <w:color w:val="000000"/>
          <w:sz w:val="21"/>
          <w:szCs w:val="21"/>
        </w:rPr>
        <w:t xml:space="preserve">Descripció: </w:t>
      </w:r>
      <w:r w:rsidRPr="00510D22">
        <w:rPr>
          <w:rFonts w:ascii="Arial" w:eastAsia="Times New Roman" w:hAnsi="Arial" w:cs="Arial"/>
          <w:color w:val="000000"/>
          <w:sz w:val="21"/>
          <w:szCs w:val="21"/>
        </w:rPr>
        <w:t>Després de la instrucció de l'oportú procediment d'investigació, va quedar acreditat l'existència d'irregularitats en el procés de selecció del gerent de l'IVAM, que es van concretar en la modificació de la base sexta de la convocatòria sense utilitzar els procediments de revisió contemplats LPCAP i que no es justificara prou els motius que van conduir al nomenament del candidat seleccionat. L'IVAM, comunica que ja ha establit el procediment que s'ha de seguir per a la convalidació de les actuacions realitzades en el procediment de selecció de la gerència de l'IVAM, amb base a l'Informe de l'Advocacia de la Generalitat de data 30 d'agost de 2021, la convalidació de l'acte haurà de fer-se pel Consell.</w:t>
      </w:r>
    </w:p>
    <w:p w14:paraId="0748474A" w14:textId="77777777" w:rsidR="00510D22" w:rsidRPr="00510D22" w:rsidRDefault="00510D22" w:rsidP="00510D22">
      <w:pPr>
        <w:spacing w:after="240" w:line="276" w:lineRule="auto"/>
        <w:jc w:val="both"/>
        <w:rPr>
          <w:rFonts w:ascii="Arial" w:eastAsia="Times New Roman" w:hAnsi="Arial" w:cs="Arial"/>
          <w:color w:val="000000"/>
          <w:sz w:val="21"/>
          <w:szCs w:val="21"/>
        </w:rPr>
      </w:pPr>
      <w:r w:rsidRPr="00510D22">
        <w:rPr>
          <w:rFonts w:ascii="Arial" w:eastAsia="Times New Roman" w:hAnsi="Arial" w:cs="Arial"/>
          <w:b/>
          <w:bCs/>
          <w:color w:val="000000"/>
          <w:sz w:val="21"/>
          <w:szCs w:val="21"/>
        </w:rPr>
        <w:t>Resultat</w:t>
      </w:r>
      <w:r w:rsidRPr="00510D22">
        <w:rPr>
          <w:rFonts w:ascii="Arial" w:eastAsia="Times New Roman" w:hAnsi="Arial" w:cs="Arial"/>
          <w:color w:val="000000"/>
          <w:sz w:val="21"/>
          <w:szCs w:val="21"/>
        </w:rPr>
        <w:t>: S'ha formulat a l'IVAM la recomanació que es procedisca a tramitar l'expedient per a convalidar les actuacions realitzades en el procediment de selecció de la gerència de l'IVAM.</w:t>
      </w:r>
    </w:p>
    <w:p w14:paraId="7AE3944E" w14:textId="77777777" w:rsidR="00510D22" w:rsidRPr="00510D22" w:rsidRDefault="00510D22" w:rsidP="00510D22">
      <w:pPr>
        <w:spacing w:after="240" w:line="276" w:lineRule="auto"/>
        <w:jc w:val="both"/>
        <w:rPr>
          <w:rFonts w:ascii="Arial" w:eastAsia="Times New Roman" w:hAnsi="Arial" w:cs="Arial"/>
          <w:color w:val="000000"/>
          <w:sz w:val="21"/>
          <w:szCs w:val="21"/>
        </w:rPr>
      </w:pPr>
      <w:r w:rsidRPr="00510D22">
        <w:rPr>
          <w:rFonts w:ascii="Arial" w:eastAsia="Times New Roman" w:hAnsi="Arial" w:cs="Arial"/>
          <w:b/>
          <w:bCs/>
          <w:color w:val="000000"/>
          <w:sz w:val="21"/>
          <w:szCs w:val="21"/>
        </w:rPr>
        <w:t xml:space="preserve">Fase de seguiment: </w:t>
      </w:r>
      <w:r w:rsidRPr="00510D22">
        <w:rPr>
          <w:rFonts w:ascii="Arial" w:eastAsia="Times New Roman" w:hAnsi="Arial" w:cs="Arial"/>
          <w:color w:val="000000"/>
          <w:sz w:val="21"/>
          <w:szCs w:val="21"/>
        </w:rPr>
        <w:t>En tràmit.</w:t>
      </w:r>
    </w:p>
    <w:p w14:paraId="39000CF4" w14:textId="77777777" w:rsidR="00510D22" w:rsidRPr="00510D22" w:rsidRDefault="00510D22" w:rsidP="00510D22">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86" w:name="_Toc95209098"/>
      <w:bookmarkStart w:id="287" w:name="_Toc95913890"/>
      <w:bookmarkStart w:id="288" w:name="_Toc99110773"/>
      <w:r w:rsidRPr="00510D22">
        <w:rPr>
          <w:rFonts w:ascii="Arial" w:eastAsia="Times New Roman" w:hAnsi="Arial" w:cs="Arial"/>
          <w:b/>
          <w:color w:val="9D2235"/>
          <w:sz w:val="28"/>
          <w:szCs w:val="28"/>
        </w:rPr>
        <w:t>Denominació: Ajuntament de Turís. Comissions de serv</w:t>
      </w:r>
      <w:bookmarkEnd w:id="286"/>
      <w:bookmarkEnd w:id="287"/>
      <w:r w:rsidRPr="00510D22">
        <w:rPr>
          <w:rFonts w:ascii="Arial" w:eastAsia="Times New Roman" w:hAnsi="Arial" w:cs="Arial"/>
          <w:b/>
          <w:color w:val="9D2235"/>
          <w:sz w:val="28"/>
          <w:szCs w:val="28"/>
        </w:rPr>
        <w:t>ei.</w:t>
      </w:r>
      <w:bookmarkEnd w:id="288"/>
    </w:p>
    <w:p w14:paraId="51FDB5EB" w14:textId="77777777" w:rsidR="00510D22" w:rsidRPr="00510D22" w:rsidRDefault="00510D22" w:rsidP="000E04BC">
      <w:pPr>
        <w:spacing w:after="240" w:line="276" w:lineRule="auto"/>
        <w:jc w:val="both"/>
        <w:rPr>
          <w:rFonts w:ascii="Arial" w:eastAsia="Times New Roman" w:hAnsi="Arial" w:cs="Arial"/>
          <w:color w:val="000000"/>
          <w:sz w:val="21"/>
          <w:szCs w:val="21"/>
        </w:rPr>
      </w:pPr>
      <w:r w:rsidRPr="00510D22">
        <w:rPr>
          <w:rFonts w:ascii="Arial" w:eastAsia="Times New Roman" w:hAnsi="Arial" w:cs="Arial"/>
          <w:b/>
          <w:bCs/>
          <w:color w:val="000000"/>
          <w:sz w:val="21"/>
          <w:szCs w:val="21"/>
        </w:rPr>
        <w:t>Expedient</w:t>
      </w:r>
      <w:r w:rsidRPr="00510D22">
        <w:rPr>
          <w:rFonts w:ascii="Arial" w:eastAsia="Times New Roman" w:hAnsi="Arial" w:cs="Arial"/>
          <w:color w:val="000000"/>
          <w:sz w:val="21"/>
          <w:szCs w:val="21"/>
        </w:rPr>
        <w:t>: 2021/G01_02/000022 [22/2021]</w:t>
      </w:r>
    </w:p>
    <w:p w14:paraId="34293F3E" w14:textId="77777777" w:rsidR="00510D22" w:rsidRPr="00510D22" w:rsidRDefault="00510D22" w:rsidP="00510D22">
      <w:pPr>
        <w:spacing w:after="240" w:line="276" w:lineRule="auto"/>
        <w:rPr>
          <w:rFonts w:ascii="Arial" w:eastAsia="Times New Roman" w:hAnsi="Arial" w:cs="Arial"/>
          <w:sz w:val="21"/>
          <w:szCs w:val="21"/>
          <w:lang w:eastAsia="es-ES"/>
        </w:rPr>
      </w:pPr>
      <w:r w:rsidRPr="00510D22">
        <w:rPr>
          <w:rFonts w:ascii="Arial" w:eastAsia="Times New Roman" w:hAnsi="Arial" w:cs="Arial"/>
          <w:b/>
          <w:bCs/>
          <w:sz w:val="21"/>
          <w:szCs w:val="21"/>
        </w:rPr>
        <w:t>Enllaç a la publicació:</w:t>
      </w:r>
      <w:r w:rsidRPr="00510D22">
        <w:rPr>
          <w:rFonts w:ascii="Arial" w:eastAsia="Times New Roman" w:hAnsi="Arial" w:cs="Arial"/>
          <w:b/>
          <w:bCs/>
          <w:sz w:val="21"/>
          <w:szCs w:val="21"/>
        </w:rPr>
        <w:br/>
      </w:r>
      <w:hyperlink r:id="rId470" w:history="1">
        <w:r w:rsidRPr="00510D22">
          <w:rPr>
            <w:rFonts w:ascii="Arial" w:eastAsia="Times New Roman" w:hAnsi="Arial" w:cs="Arial"/>
            <w:color w:val="000080"/>
            <w:sz w:val="18"/>
            <w:szCs w:val="18"/>
            <w:u w:val="single"/>
            <w:lang w:eastAsia="es-ES"/>
          </w:rPr>
          <w:t>https://www.antifraucv.es/wp-content/uploads/2021/10/20211006_AJUNTAMENT_DE_TURIS.pdf</w:t>
        </w:r>
      </w:hyperlink>
    </w:p>
    <w:p w14:paraId="5B99C89C" w14:textId="77777777" w:rsidR="00510D22" w:rsidRPr="00510D22" w:rsidRDefault="00510D22" w:rsidP="00510D22">
      <w:pPr>
        <w:spacing w:after="240" w:line="276" w:lineRule="auto"/>
        <w:jc w:val="both"/>
        <w:rPr>
          <w:rFonts w:ascii="Arial" w:eastAsia="Times New Roman" w:hAnsi="Arial" w:cs="Arial"/>
          <w:color w:val="000000"/>
          <w:sz w:val="21"/>
          <w:szCs w:val="21"/>
        </w:rPr>
      </w:pPr>
      <w:r w:rsidRPr="00510D22">
        <w:rPr>
          <w:rFonts w:ascii="Arial" w:eastAsia="Times New Roman" w:hAnsi="Arial" w:cs="Arial"/>
          <w:b/>
          <w:bCs/>
          <w:color w:val="000000"/>
          <w:sz w:val="21"/>
          <w:szCs w:val="21"/>
        </w:rPr>
        <w:t>Descripció</w:t>
      </w:r>
      <w:r w:rsidRPr="00510D22">
        <w:rPr>
          <w:rFonts w:ascii="Arial" w:eastAsia="Times New Roman" w:hAnsi="Arial" w:cs="Arial"/>
          <w:color w:val="000000"/>
          <w:sz w:val="21"/>
          <w:szCs w:val="21"/>
        </w:rPr>
        <w:t xml:space="preserve">: Es denuncien presumptes conductes contràries a la normativa vigent en matèria de selecció de personal de la policia local, succeïdes en l'Ajuntament de Turís. </w:t>
      </w:r>
    </w:p>
    <w:p w14:paraId="35B1F731" w14:textId="77777777" w:rsidR="00510D22" w:rsidRPr="00510D22" w:rsidRDefault="00510D22" w:rsidP="00510D22">
      <w:pPr>
        <w:spacing w:after="240" w:line="276" w:lineRule="auto"/>
        <w:jc w:val="both"/>
        <w:rPr>
          <w:rFonts w:ascii="Arial" w:eastAsia="Times New Roman" w:hAnsi="Arial" w:cs="Arial"/>
          <w:color w:val="000000"/>
          <w:sz w:val="21"/>
          <w:szCs w:val="21"/>
        </w:rPr>
      </w:pPr>
      <w:r w:rsidRPr="00510D22">
        <w:rPr>
          <w:rFonts w:ascii="Arial" w:eastAsia="Times New Roman" w:hAnsi="Arial" w:cs="Arial"/>
          <w:color w:val="000000"/>
          <w:sz w:val="21"/>
          <w:szCs w:val="21"/>
        </w:rPr>
        <w:t>S'ha verificat en la fase d'investigació que:</w:t>
      </w:r>
    </w:p>
    <w:p w14:paraId="0764E992" w14:textId="77777777" w:rsidR="00510D22" w:rsidRPr="00510D22" w:rsidRDefault="00510D22" w:rsidP="00687E33">
      <w:pPr>
        <w:numPr>
          <w:ilvl w:val="0"/>
          <w:numId w:val="137"/>
        </w:numPr>
        <w:spacing w:after="120" w:line="276" w:lineRule="auto"/>
        <w:ind w:left="714" w:hanging="357"/>
        <w:jc w:val="both"/>
        <w:rPr>
          <w:rFonts w:ascii="Arial" w:eastAsia="Times New Roman" w:hAnsi="Arial" w:cs="Arial"/>
          <w:color w:val="000000"/>
          <w:sz w:val="21"/>
          <w:szCs w:val="21"/>
        </w:rPr>
      </w:pPr>
      <w:r w:rsidRPr="00510D22">
        <w:rPr>
          <w:rFonts w:ascii="Arial" w:eastAsia="Times New Roman" w:hAnsi="Arial" w:cs="Arial"/>
          <w:color w:val="000000"/>
          <w:sz w:val="21"/>
          <w:szCs w:val="21"/>
        </w:rPr>
        <w:t>Un funcionari va prestar els seus servicis en l'Ajuntament de Turís en règim de comissió de servicis, en el lloc número 14 de la relació de llocs de treball de l'esmentat Ajuntament (Oficial nº1 de la Policia Local de l'Ajuntament de Turís) , des del dia 13 de desembre de 2018 al 12 de desembre de 2020, sent este termini de dos anys el màxim previst en la llei 17/2017, de 13 de desembre, de coordinació de policies locals de la Comunitat Valenciana.</w:t>
      </w:r>
    </w:p>
    <w:p w14:paraId="4561468D" w14:textId="77777777" w:rsidR="00510D22" w:rsidRPr="00510D22" w:rsidRDefault="00510D22" w:rsidP="00687E33">
      <w:pPr>
        <w:numPr>
          <w:ilvl w:val="0"/>
          <w:numId w:val="137"/>
        </w:numPr>
        <w:spacing w:after="120" w:line="276" w:lineRule="auto"/>
        <w:ind w:left="714" w:hanging="357"/>
        <w:jc w:val="both"/>
        <w:rPr>
          <w:rFonts w:ascii="Arial" w:eastAsia="Times New Roman" w:hAnsi="Arial" w:cs="Arial"/>
          <w:color w:val="000000"/>
          <w:sz w:val="21"/>
          <w:szCs w:val="21"/>
        </w:rPr>
      </w:pPr>
      <w:r w:rsidRPr="00510D22">
        <w:rPr>
          <w:rFonts w:ascii="Arial" w:eastAsia="Times New Roman" w:hAnsi="Arial" w:cs="Arial"/>
          <w:color w:val="000000"/>
          <w:sz w:val="21"/>
          <w:szCs w:val="21"/>
        </w:rPr>
        <w:t>Mentre s'ocupava el dit lloc, l'Ajuntament de Turís va convocar el procés selectiu per a proveir per mitjà de comissió de servicis la plaça d'oficial de policia local amb funcions de direcció, corresponent al lloc número 14 de la relació de llocs de treball de l'esmentat Ajuntament.</w:t>
      </w:r>
    </w:p>
    <w:p w14:paraId="3FDC781F" w14:textId="77F8867D" w:rsidR="00510D22" w:rsidRPr="00510D22" w:rsidRDefault="00510D22" w:rsidP="00687E33">
      <w:pPr>
        <w:numPr>
          <w:ilvl w:val="0"/>
          <w:numId w:val="137"/>
        </w:numPr>
        <w:spacing w:after="240" w:line="276" w:lineRule="auto"/>
        <w:jc w:val="both"/>
        <w:rPr>
          <w:rFonts w:ascii="Arial" w:eastAsia="Times New Roman" w:hAnsi="Arial" w:cs="Arial"/>
          <w:color w:val="000000"/>
          <w:sz w:val="21"/>
          <w:szCs w:val="21"/>
        </w:rPr>
      </w:pPr>
      <w:r w:rsidRPr="00510D22">
        <w:rPr>
          <w:rFonts w:ascii="Arial" w:eastAsia="Times New Roman" w:hAnsi="Arial" w:cs="Arial"/>
          <w:color w:val="000000"/>
          <w:sz w:val="21"/>
          <w:szCs w:val="21"/>
        </w:rPr>
        <w:t>En el desenrotllament del procés selectiu, per a proveir per mitjà de comissió de servicis la plaça d'oficial de policia local amb funcions de direcció de l'Ajuntament de Turís, convocat Mitjançant Resolució de l'alcaldia núm</w:t>
      </w:r>
      <w:r w:rsidR="00BF7CAF">
        <w:rPr>
          <w:rFonts w:ascii="Arial" w:eastAsia="Times New Roman" w:hAnsi="Arial" w:cs="Arial"/>
          <w:color w:val="000000"/>
          <w:sz w:val="21"/>
          <w:szCs w:val="21"/>
        </w:rPr>
        <w:t>.</w:t>
      </w:r>
      <w:r w:rsidRPr="00510D22">
        <w:rPr>
          <w:rFonts w:ascii="Arial" w:eastAsia="Times New Roman" w:hAnsi="Arial" w:cs="Arial"/>
          <w:color w:val="000000"/>
          <w:sz w:val="21"/>
          <w:szCs w:val="21"/>
        </w:rPr>
        <w:t xml:space="preserve"> 2020-0718, de 25 de novembre, es va realitzar una entrevista als aspirants, la qual va ser determinant perquè el mateix funcionari obtinguera la puntuació més alta en el procés selectiu de referència.</w:t>
      </w:r>
    </w:p>
    <w:p w14:paraId="07F9227E" w14:textId="77777777" w:rsidR="00510D22" w:rsidRPr="00510D22" w:rsidRDefault="00510D22" w:rsidP="00510D22">
      <w:pPr>
        <w:spacing w:after="240" w:line="276" w:lineRule="auto"/>
        <w:jc w:val="both"/>
        <w:rPr>
          <w:rFonts w:ascii="Arial" w:eastAsia="Times New Roman" w:hAnsi="Arial" w:cs="Arial"/>
          <w:color w:val="000000"/>
          <w:sz w:val="21"/>
          <w:szCs w:val="21"/>
        </w:rPr>
      </w:pPr>
      <w:r w:rsidRPr="00510D22">
        <w:rPr>
          <w:rFonts w:ascii="Arial" w:eastAsia="Times New Roman" w:hAnsi="Arial" w:cs="Arial"/>
          <w:b/>
          <w:bCs/>
          <w:color w:val="000000"/>
          <w:sz w:val="21"/>
          <w:szCs w:val="21"/>
        </w:rPr>
        <w:t>Resultat</w:t>
      </w:r>
      <w:r w:rsidRPr="00510D22">
        <w:rPr>
          <w:rFonts w:ascii="Arial" w:eastAsia="Times New Roman" w:hAnsi="Arial" w:cs="Arial"/>
          <w:color w:val="000000"/>
          <w:sz w:val="21"/>
          <w:szCs w:val="21"/>
        </w:rPr>
        <w:t>: Es finalitza l’expedient amb les següents recomanacions:</w:t>
      </w:r>
    </w:p>
    <w:p w14:paraId="7BACFE75" w14:textId="77777777" w:rsidR="00510D22" w:rsidRPr="00510D22" w:rsidRDefault="00510D22" w:rsidP="00687E33">
      <w:pPr>
        <w:numPr>
          <w:ilvl w:val="0"/>
          <w:numId w:val="138"/>
        </w:numPr>
        <w:spacing w:after="120" w:line="276" w:lineRule="auto"/>
        <w:ind w:left="714" w:hanging="357"/>
        <w:jc w:val="both"/>
        <w:rPr>
          <w:rFonts w:ascii="Arial" w:eastAsia="Times New Roman" w:hAnsi="Arial" w:cs="Arial"/>
          <w:color w:val="000000"/>
          <w:sz w:val="21"/>
          <w:szCs w:val="21"/>
          <w:lang w:val="ca-ES"/>
        </w:rPr>
      </w:pPr>
      <w:r w:rsidRPr="00510D22">
        <w:rPr>
          <w:rFonts w:ascii="Arial" w:eastAsia="Times New Roman" w:hAnsi="Arial" w:cs="Arial"/>
          <w:color w:val="000000"/>
          <w:sz w:val="21"/>
          <w:szCs w:val="21"/>
          <w:lang w:val="ca-ES"/>
        </w:rPr>
        <w:t>Procedir a la convocatòria del lloc número 14 de la relació de llocs de treball de l'esmentat Ajuntament (Oficial nº1 de la Policia Local de l'Ajuntament de Turís) , per a la seua provisió definitiva, atés que el dit lloc es troba ocupat per mitjà del règim de comissió de servicis pel mateix funcionari que ja va esgotar el termini màxim de dos anys previst en la normativa vigent.</w:t>
      </w:r>
    </w:p>
    <w:p w14:paraId="36AAC1AB" w14:textId="77777777" w:rsidR="00510D22" w:rsidRPr="00510D22" w:rsidRDefault="00510D22" w:rsidP="00687E33">
      <w:pPr>
        <w:numPr>
          <w:ilvl w:val="0"/>
          <w:numId w:val="138"/>
        </w:numPr>
        <w:spacing w:after="240" w:line="276" w:lineRule="auto"/>
        <w:jc w:val="both"/>
        <w:rPr>
          <w:rFonts w:ascii="Arial" w:eastAsia="Times New Roman" w:hAnsi="Arial" w:cs="Arial"/>
          <w:color w:val="000000"/>
          <w:sz w:val="21"/>
          <w:szCs w:val="21"/>
          <w:lang w:val="ca-ES"/>
        </w:rPr>
      </w:pPr>
      <w:r w:rsidRPr="00510D22">
        <w:rPr>
          <w:rFonts w:ascii="Arial" w:eastAsia="Times New Roman" w:hAnsi="Arial" w:cs="Arial"/>
          <w:color w:val="000000"/>
          <w:sz w:val="21"/>
          <w:szCs w:val="21"/>
          <w:lang w:val="ca-ES"/>
        </w:rPr>
        <w:t>Procedir, en futurs processos selectius, a documentar les entrevistes que si és el cas es realitzen i els criteris seguits per a determinar la puntuació atorgada a les mateixes, sent esta qüestió especialment rellevant quan l'entrevista es realitza a posteriori de la valoració de mèrits i altres proves de caràcter objectiu.</w:t>
      </w:r>
    </w:p>
    <w:p w14:paraId="4FD49E01" w14:textId="77777777" w:rsidR="00510D22" w:rsidRPr="00510D22" w:rsidRDefault="00510D22" w:rsidP="00510D22">
      <w:pPr>
        <w:spacing w:after="240" w:line="276" w:lineRule="auto"/>
        <w:jc w:val="both"/>
        <w:rPr>
          <w:rFonts w:ascii="Arial" w:eastAsia="Times New Roman" w:hAnsi="Arial" w:cs="Arial"/>
          <w:color w:val="000000"/>
          <w:sz w:val="21"/>
          <w:szCs w:val="21"/>
          <w:lang w:val="ca-ES"/>
        </w:rPr>
      </w:pPr>
      <w:r w:rsidRPr="00510D22">
        <w:rPr>
          <w:rFonts w:ascii="Arial" w:eastAsia="Times New Roman" w:hAnsi="Arial" w:cs="Arial"/>
          <w:b/>
          <w:bCs/>
          <w:color w:val="000000"/>
          <w:sz w:val="21"/>
          <w:szCs w:val="21"/>
          <w:lang w:val="ca-ES"/>
        </w:rPr>
        <w:t>Fase de seguiment:</w:t>
      </w:r>
      <w:r w:rsidRPr="00510D22">
        <w:rPr>
          <w:rFonts w:ascii="Arial" w:eastAsia="Times New Roman" w:hAnsi="Arial" w:cs="Arial"/>
          <w:i/>
          <w:iCs/>
          <w:color w:val="000000"/>
          <w:sz w:val="21"/>
          <w:szCs w:val="21"/>
          <w:lang w:val="ca-ES"/>
        </w:rPr>
        <w:t xml:space="preserve"> </w:t>
      </w:r>
      <w:r w:rsidRPr="00510D22">
        <w:rPr>
          <w:rFonts w:ascii="Arial" w:eastAsia="Times New Roman" w:hAnsi="Arial" w:cs="Arial"/>
          <w:color w:val="000000"/>
          <w:sz w:val="21"/>
          <w:szCs w:val="21"/>
          <w:lang w:val="ca-ES"/>
        </w:rPr>
        <w:t>En tràmit.</w:t>
      </w:r>
    </w:p>
    <w:p w14:paraId="410DA991" w14:textId="77777777" w:rsidR="00EF579C" w:rsidRPr="00EF579C" w:rsidRDefault="00EF579C" w:rsidP="00EF579C">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89" w:name="_Toc95209099"/>
      <w:bookmarkStart w:id="290" w:name="_Toc95913891"/>
      <w:bookmarkStart w:id="291" w:name="_Toc99110774"/>
      <w:r w:rsidRPr="00EF579C">
        <w:rPr>
          <w:rFonts w:ascii="Arial" w:eastAsia="Times New Roman" w:hAnsi="Arial" w:cs="Arial"/>
          <w:b/>
          <w:color w:val="9D2235"/>
          <w:sz w:val="28"/>
          <w:szCs w:val="28"/>
        </w:rPr>
        <w:t>Denominació: Ajuntament d’Orba. Irregularitats contractuals</w:t>
      </w:r>
      <w:bookmarkEnd w:id="289"/>
      <w:bookmarkEnd w:id="290"/>
      <w:bookmarkEnd w:id="291"/>
    </w:p>
    <w:p w14:paraId="442EF492" w14:textId="77777777" w:rsidR="00EF579C" w:rsidRPr="00EF579C" w:rsidRDefault="00EF579C" w:rsidP="000E04BC">
      <w:pPr>
        <w:spacing w:after="240" w:line="276" w:lineRule="auto"/>
        <w:jc w:val="both"/>
        <w:rPr>
          <w:rFonts w:ascii="Arial" w:eastAsia="Times New Roman" w:hAnsi="Arial" w:cs="Arial"/>
          <w:color w:val="000000"/>
          <w:sz w:val="21"/>
          <w:szCs w:val="21"/>
        </w:rPr>
      </w:pPr>
      <w:r w:rsidRPr="00EF579C">
        <w:rPr>
          <w:rFonts w:ascii="Arial" w:eastAsia="Times New Roman" w:hAnsi="Arial" w:cs="Arial"/>
          <w:b/>
          <w:bCs/>
          <w:color w:val="000000"/>
          <w:sz w:val="21"/>
          <w:szCs w:val="21"/>
        </w:rPr>
        <w:t>Expedient</w:t>
      </w:r>
      <w:r w:rsidRPr="00EF579C">
        <w:rPr>
          <w:rFonts w:ascii="Arial" w:eastAsia="Times New Roman" w:hAnsi="Arial" w:cs="Arial"/>
          <w:color w:val="000000"/>
          <w:sz w:val="21"/>
          <w:szCs w:val="21"/>
        </w:rPr>
        <w:t>: 2020/G01_01/000305</w:t>
      </w:r>
    </w:p>
    <w:p w14:paraId="281433EB" w14:textId="77777777" w:rsidR="00EF579C" w:rsidRPr="00EF579C" w:rsidRDefault="00EF579C" w:rsidP="00EF579C">
      <w:pPr>
        <w:spacing w:after="240" w:line="276" w:lineRule="auto"/>
        <w:rPr>
          <w:rFonts w:ascii="Arial" w:eastAsia="Times New Roman" w:hAnsi="Arial" w:cs="Arial"/>
          <w:sz w:val="21"/>
          <w:szCs w:val="21"/>
          <w:lang w:eastAsia="es-ES"/>
        </w:rPr>
      </w:pPr>
      <w:r w:rsidRPr="00EF579C">
        <w:rPr>
          <w:rFonts w:ascii="Arial" w:eastAsia="Times New Roman" w:hAnsi="Arial" w:cs="Arial"/>
          <w:b/>
          <w:bCs/>
          <w:sz w:val="21"/>
          <w:szCs w:val="21"/>
        </w:rPr>
        <w:t>Enllaç a la publicació:</w:t>
      </w:r>
      <w:r w:rsidRPr="00EF579C">
        <w:rPr>
          <w:rFonts w:ascii="Arial" w:eastAsia="Times New Roman" w:hAnsi="Arial" w:cs="Arial"/>
          <w:b/>
          <w:bCs/>
          <w:sz w:val="21"/>
          <w:szCs w:val="21"/>
        </w:rPr>
        <w:br/>
      </w:r>
      <w:hyperlink r:id="rId471" w:history="1">
        <w:r w:rsidRPr="00EF579C">
          <w:rPr>
            <w:rFonts w:ascii="Arial" w:eastAsia="Times New Roman" w:hAnsi="Arial" w:cs="Arial"/>
            <w:color w:val="000080"/>
            <w:sz w:val="18"/>
            <w:szCs w:val="18"/>
            <w:u w:val="single"/>
            <w:lang w:eastAsia="es-ES"/>
          </w:rPr>
          <w:t>https://www.antifraucv.es/wp-content/uploads/2021/10/20211014_AJUNTAMENT_DE_ORBA.pdf</w:t>
        </w:r>
      </w:hyperlink>
    </w:p>
    <w:p w14:paraId="5C419CBB" w14:textId="77777777" w:rsidR="00EF579C" w:rsidRPr="00EF579C" w:rsidRDefault="00EF579C" w:rsidP="00EF579C">
      <w:pPr>
        <w:spacing w:after="240" w:line="276" w:lineRule="auto"/>
        <w:jc w:val="both"/>
        <w:rPr>
          <w:rFonts w:ascii="Arial" w:eastAsia="Times New Roman" w:hAnsi="Arial" w:cs="Arial"/>
          <w:color w:val="000000"/>
          <w:sz w:val="21"/>
          <w:szCs w:val="21"/>
        </w:rPr>
      </w:pPr>
      <w:r w:rsidRPr="00EF579C">
        <w:rPr>
          <w:rFonts w:ascii="Arial" w:eastAsia="Times New Roman" w:hAnsi="Arial" w:cs="Arial"/>
          <w:b/>
          <w:bCs/>
          <w:color w:val="000000"/>
          <w:sz w:val="21"/>
          <w:szCs w:val="21"/>
        </w:rPr>
        <w:t>Descripció</w:t>
      </w:r>
      <w:r w:rsidRPr="00EF579C">
        <w:rPr>
          <w:rFonts w:ascii="Arial" w:eastAsia="Times New Roman" w:hAnsi="Arial" w:cs="Arial"/>
          <w:color w:val="000000"/>
          <w:sz w:val="21"/>
          <w:szCs w:val="21"/>
        </w:rPr>
        <w:t xml:space="preserve">: Es denuncia la possible existència de conductes contràries als principis i normes reguladores relatives a la contractació administrativa, succeïdes en l'Ajuntament d'Orba. </w:t>
      </w:r>
    </w:p>
    <w:p w14:paraId="5C268DCB" w14:textId="77777777" w:rsidR="00EF579C" w:rsidRPr="00EF579C" w:rsidRDefault="00EF579C" w:rsidP="00EF579C">
      <w:pPr>
        <w:spacing w:after="240" w:line="276" w:lineRule="auto"/>
        <w:jc w:val="both"/>
        <w:rPr>
          <w:rFonts w:ascii="Arial" w:eastAsia="Times New Roman" w:hAnsi="Arial" w:cs="Arial"/>
          <w:color w:val="000000"/>
          <w:sz w:val="21"/>
          <w:szCs w:val="21"/>
        </w:rPr>
      </w:pPr>
      <w:r w:rsidRPr="00EF579C">
        <w:rPr>
          <w:rFonts w:ascii="Arial" w:eastAsia="Times New Roman" w:hAnsi="Arial" w:cs="Arial"/>
          <w:color w:val="000000"/>
          <w:sz w:val="21"/>
          <w:szCs w:val="21"/>
        </w:rPr>
        <w:t>S'ha verificat en la fase d'investigació que:</w:t>
      </w:r>
    </w:p>
    <w:p w14:paraId="4E1A991C" w14:textId="77777777" w:rsidR="00EF579C" w:rsidRPr="00EF579C" w:rsidRDefault="00EF579C" w:rsidP="00687E33">
      <w:pPr>
        <w:numPr>
          <w:ilvl w:val="0"/>
          <w:numId w:val="140"/>
        </w:numPr>
        <w:spacing w:after="120" w:line="276" w:lineRule="auto"/>
        <w:ind w:left="709"/>
        <w:jc w:val="both"/>
        <w:rPr>
          <w:rFonts w:ascii="Arial" w:eastAsia="Times New Roman" w:hAnsi="Arial" w:cs="Arial"/>
          <w:color w:val="000000"/>
          <w:sz w:val="21"/>
          <w:szCs w:val="21"/>
        </w:rPr>
      </w:pPr>
      <w:bookmarkStart w:id="292" w:name="_Hlk90555965"/>
      <w:r w:rsidRPr="00EF579C">
        <w:rPr>
          <w:rFonts w:ascii="Arial" w:eastAsia="Times New Roman" w:hAnsi="Arial" w:cs="Arial"/>
          <w:color w:val="000000"/>
          <w:sz w:val="21"/>
          <w:szCs w:val="21"/>
        </w:rPr>
        <w:t xml:space="preserve">En relació amb els expedients de tramitació de contractes, efectuats amb una mercantil per a la prestació del servici de gestió comptable i pressupostària i assistència jurídic-administrativa, l'Ajuntament d'Orba, ha exposat i motivat el caràcter “assistencial” i no funcionarial del servici contractat. En l'expedient remés a esta Agència, no consta l'informe de l'òrgan de contractació justificant de manera motivada la necessitat del contracte i que no s'està alterant el seu objecte a fi d'evitar l'aplicació dels llindars descrits en l'article 118 de la Llei 9/2017. S'ha adoptat l'acord de pròrroga del contracte després del venciment del mateix. </w:t>
      </w:r>
    </w:p>
    <w:p w14:paraId="155F1BF2" w14:textId="77777777"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Per tant, al no haver-se produït la pròrroga expressa del contracte prèviament al venciment o compliment d'este, es va produir la seua extinció, no procedint la pròrroga amb caràcter posterior a la dita extinció.</w:t>
      </w:r>
    </w:p>
    <w:p w14:paraId="6510B1A7" w14:textId="77777777" w:rsidR="00EF579C" w:rsidRPr="00EF579C" w:rsidRDefault="00EF579C" w:rsidP="00687E33">
      <w:pPr>
        <w:numPr>
          <w:ilvl w:val="0"/>
          <w:numId w:val="140"/>
        </w:num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 xml:space="preserve">En el contracte menor adjudicat a la mercantil per a procedir a la modificació de la relació de llocs de treball, no consta data de finalització, indicant-se que finalitzarà quan s'aprove la relació de llocs de treball. El dit contracte va ser adjudicat el dia 28 de setembre de 2020, per la qual cosa hauria de finalitzar abans del dia 28 de setembre de 2021 al tractar-se d'un contracte menor. Per tant, en cas de no haver sigut executat, haurà de procedir-se a la liquidació del contracte, a l'estar vençut per compliment del termini màxim legal de vigència dels contractes menors. </w:t>
      </w:r>
    </w:p>
    <w:p w14:paraId="4C7C3CCB" w14:textId="77777777"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No es justifica degudament per l'òrgan de contractació la celebració del contracte menor, a l'efecte del que establix l'article 118 de la Llei 9/2017.</w:t>
      </w:r>
    </w:p>
    <w:p w14:paraId="6F07A3A3" w14:textId="778B2F6E" w:rsidR="00EF579C" w:rsidRPr="00EF579C" w:rsidRDefault="00EF579C" w:rsidP="00687E33">
      <w:pPr>
        <w:numPr>
          <w:ilvl w:val="0"/>
          <w:numId w:val="138"/>
        </w:num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El 20 de setembre de 2019, es va adjudicar el contracte de coordinació i gestió d'escoles esportives del municipi d'Orba a una mercantil, per mitjà de la tramitació d'un procediment obert (Expedient núm</w:t>
      </w:r>
      <w:r w:rsidR="00B97862">
        <w:rPr>
          <w:rFonts w:ascii="Arial" w:eastAsia="Times New Roman" w:hAnsi="Arial" w:cs="Arial"/>
          <w:color w:val="000000"/>
          <w:sz w:val="21"/>
          <w:szCs w:val="21"/>
        </w:rPr>
        <w:t>.</w:t>
      </w:r>
      <w:r w:rsidRPr="00EF579C">
        <w:rPr>
          <w:rFonts w:ascii="Arial" w:eastAsia="Times New Roman" w:hAnsi="Arial" w:cs="Arial"/>
          <w:color w:val="000000"/>
          <w:sz w:val="21"/>
          <w:szCs w:val="21"/>
        </w:rPr>
        <w:t xml:space="preserve"> 375/2019) per un termini d'un any, prorrogable un altre més. Prèviament a la finalització del primer any de prestació del servici el dia 20 de setembre de 2020, no es va procedir a la pròrroga d'este, però el servici va continuar prestant-se. S'observa que l'acord de pròrroga es produïx més de 6 mesos després del venciment del contracte. </w:t>
      </w:r>
    </w:p>
    <w:p w14:paraId="7170631A" w14:textId="77777777"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 xml:space="preserve">Per tant, al no haver-se produït la pròrroga expressa del contracte prèviament al venciment o compliment d'este, es va produir la seua extinció, no procedint la pròrroga amb caràcter posterior a la dita extinció. </w:t>
      </w:r>
    </w:p>
    <w:p w14:paraId="5A003999" w14:textId="77777777" w:rsidR="00EF579C" w:rsidRPr="00EF579C" w:rsidRDefault="00EF579C" w:rsidP="00687E33">
      <w:pPr>
        <w:numPr>
          <w:ilvl w:val="0"/>
          <w:numId w:val="138"/>
        </w:num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S'ha comprovat en la Plataforma de Contractació del Sector Públic, la publicació de la contractació per procediment obert del servici de gestió i coordinació de les escoles esportives de la localitat d'Orba, el qual consta adjudicat el dia 5 de setembre de 2021 i formalitzat el dia 22 de setembre de 2021.</w:t>
      </w:r>
    </w:p>
    <w:p w14:paraId="2551E598" w14:textId="3522AFBC" w:rsidR="00EF579C" w:rsidRPr="00EF579C" w:rsidRDefault="00EF579C" w:rsidP="00687E33">
      <w:pPr>
        <w:numPr>
          <w:ilvl w:val="0"/>
          <w:numId w:val="138"/>
        </w:num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En data 11 de febrer de 2020, es va adjudicar a la mateixa mercantil el contracte menor del servici de manteniment i gestió de les instal·lacions esportives (Expedient núm</w:t>
      </w:r>
      <w:r w:rsidR="00B97862">
        <w:rPr>
          <w:rFonts w:ascii="Arial" w:eastAsia="Times New Roman" w:hAnsi="Arial" w:cs="Arial"/>
          <w:color w:val="000000"/>
          <w:sz w:val="21"/>
          <w:szCs w:val="21"/>
        </w:rPr>
        <w:t>.</w:t>
      </w:r>
      <w:r w:rsidRPr="00EF579C">
        <w:rPr>
          <w:rFonts w:ascii="Arial" w:eastAsia="Times New Roman" w:hAnsi="Arial" w:cs="Arial"/>
          <w:color w:val="000000"/>
          <w:sz w:val="21"/>
          <w:szCs w:val="21"/>
        </w:rPr>
        <w:t xml:space="preserve"> 80/2020), per un import total de 8.034,00 per un termini de 4 mesos. No es justifica degudament per l'òrgan de contractació la celebració del contracte menor, a l'efecte del que establix l'article 118 de la Llei 9/2017. </w:t>
      </w:r>
    </w:p>
    <w:p w14:paraId="5B6D4759" w14:textId="765F93D8"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A major abundància, prèviament a la celebració d'este contracte, el dia 11 de gener de 2019 es va adjudicar el contracte de gestió i manteniment d'instal·lacions esportives del municipi d'Orba a la mateixa mercantil, per mitjà de la tramitació d'un procediment obert simplificat (Expedient núm</w:t>
      </w:r>
      <w:r w:rsidR="00B97862">
        <w:rPr>
          <w:rFonts w:ascii="Arial" w:eastAsia="Times New Roman" w:hAnsi="Arial" w:cs="Arial"/>
          <w:color w:val="000000"/>
          <w:sz w:val="21"/>
          <w:szCs w:val="21"/>
        </w:rPr>
        <w:t>.</w:t>
      </w:r>
      <w:r w:rsidRPr="00EF579C">
        <w:rPr>
          <w:rFonts w:ascii="Arial" w:eastAsia="Times New Roman" w:hAnsi="Arial" w:cs="Arial"/>
          <w:color w:val="000000"/>
          <w:sz w:val="21"/>
          <w:szCs w:val="21"/>
        </w:rPr>
        <w:t xml:space="preserve"> 517/2018).</w:t>
      </w:r>
    </w:p>
    <w:p w14:paraId="0A57170C" w14:textId="77777777"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 xml:space="preserve">Per tant, es posa de manifest, que el servici de gestió i manteniment d'instal·lacions esportives constituïx una necessitat permanent en l'Ajuntament d'Orba i al mateix temps previsible, per la qual cosa hauria d'haver-se procedit a tramitar l'expedient de contractació corresponent i no acudir a la contractació menor. </w:t>
      </w:r>
    </w:p>
    <w:p w14:paraId="4A1BE88C" w14:textId="33DECAF3"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Novament, en data 4 de juny de 2020, es va adjudicar a la mateixa mercantil el contracte menor del servici de manteniment i gestió de les instal·lacions esportives (Expedient núm</w:t>
      </w:r>
      <w:r w:rsidR="00B97862">
        <w:rPr>
          <w:rFonts w:ascii="Arial" w:eastAsia="Times New Roman" w:hAnsi="Arial" w:cs="Arial"/>
          <w:color w:val="000000"/>
          <w:sz w:val="21"/>
          <w:szCs w:val="21"/>
        </w:rPr>
        <w:t>.</w:t>
      </w:r>
      <w:r w:rsidRPr="00EF579C">
        <w:rPr>
          <w:rFonts w:ascii="Arial" w:eastAsia="Times New Roman" w:hAnsi="Arial" w:cs="Arial"/>
          <w:color w:val="000000"/>
          <w:sz w:val="21"/>
          <w:szCs w:val="21"/>
        </w:rPr>
        <w:t xml:space="preserve"> 358/2020) , per un import total de 14.746,00 € i 3.097,00 € d'IVA (17.843,00 €, en total), justificant-se la no tramitació d'un procediment de contractació per la suspensió dels terminis administratius, derivada de la normativa aprovada per l'Estat Espanyol com a conseqüència de l'emergència sanitària provocada pel COVID-19.</w:t>
      </w:r>
    </w:p>
    <w:p w14:paraId="2BB51DC0" w14:textId="77777777"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 xml:space="preserve">La suma dels dos contractes menors ascendix a un import de 22.780,00 €, la qual cosa supera els 15.000,00 € que establix per als contractes menors de servicis l'article 118 de la LCSP. </w:t>
      </w:r>
    </w:p>
    <w:p w14:paraId="5E430EE3" w14:textId="77777777"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S'ha comprovat en la Plataforma de Contractació del Sector Públic, la publicació de la contractació per procediment obert del servici de gestió de les instal·lacions i activitats esportives de la localitat d'Orba, el qual consta adjudicat el dia 5 de setembre de 2021 i formalitzat el dia 22 de setembre de 2021.</w:t>
      </w:r>
    </w:p>
    <w:p w14:paraId="4D9F06E3" w14:textId="1BC4A20F" w:rsidR="00EF579C" w:rsidRPr="00EF579C" w:rsidRDefault="00EF579C" w:rsidP="00687E33">
      <w:pPr>
        <w:numPr>
          <w:ilvl w:val="0"/>
          <w:numId w:val="138"/>
        </w:num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En data 4 de juny de 2020 es va adjudicar a la mateixa mercantil , el contracte menor del servici d'atenció, vigilància (socorrisme) , manteniment i neteja del recinte de la piscina per al període estival de l'any 2020 (Expedient núm</w:t>
      </w:r>
      <w:r w:rsidR="00B97862">
        <w:rPr>
          <w:rFonts w:ascii="Arial" w:eastAsia="Times New Roman" w:hAnsi="Arial" w:cs="Arial"/>
          <w:color w:val="000000"/>
          <w:sz w:val="21"/>
          <w:szCs w:val="21"/>
        </w:rPr>
        <w:t>.</w:t>
      </w:r>
      <w:r w:rsidRPr="00EF579C">
        <w:rPr>
          <w:rFonts w:ascii="Arial" w:eastAsia="Times New Roman" w:hAnsi="Arial" w:cs="Arial"/>
          <w:color w:val="000000"/>
          <w:sz w:val="21"/>
          <w:szCs w:val="21"/>
        </w:rPr>
        <w:t xml:space="preserve"> 357/2020). </w:t>
      </w:r>
    </w:p>
    <w:p w14:paraId="42688900" w14:textId="77777777"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El contracte es va adjudicar per un import de 14.750 € i 3.098 € d'IVA (17.848 €, en total), per un termini que comprèn els dies 15 de juny a 31 d'agost de 2020, justificant-se la no tramitació d'un procediment de contractació per la suspensió dels terminis administratius, derivada de la normativa aprovada per l'Estat Espanyol com a conseqüència de l'emergència sanitària provocada pel COVID-19.</w:t>
      </w:r>
    </w:p>
    <w:p w14:paraId="3F5CA369" w14:textId="77777777" w:rsidR="00EF579C" w:rsidRPr="00EF579C" w:rsidRDefault="00EF579C" w:rsidP="00EF579C">
      <w:pPr>
        <w:spacing w:after="24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En el cas que ens ocupa, el servici d'atenció, vigilància (socorrisme), manteniment i neteja del recinte de la piscina per al període estival, ha de tindre a priori caràcter recurrent, al ser necessari cada any durant el període estival, per la qual cosa procediria realitzar un estudi i planificació de les necessitats del servici, a l'efecte de procedir a licitar el servici per a aconseguir una prestació del mateix el més eficient possible i que garantisca la lliure concurrència dels licitadors. La contractació menor any rere any incompliria en cas de produir-se la LCSP, així com els diferents pronunciaments de la jurisprudència i doctrina sobre contractes menors per a cobrir necessitats continues.</w:t>
      </w:r>
    </w:p>
    <w:bookmarkEnd w:id="292"/>
    <w:p w14:paraId="5FF5C7E3" w14:textId="77777777" w:rsidR="00EF579C" w:rsidRPr="00EF579C" w:rsidRDefault="00EF579C" w:rsidP="00EF579C">
      <w:pPr>
        <w:spacing w:after="240" w:line="276" w:lineRule="auto"/>
        <w:jc w:val="both"/>
        <w:rPr>
          <w:rFonts w:ascii="Arial" w:eastAsia="Times New Roman" w:hAnsi="Arial" w:cs="Arial"/>
          <w:color w:val="000000"/>
          <w:sz w:val="21"/>
          <w:szCs w:val="21"/>
        </w:rPr>
      </w:pPr>
      <w:r w:rsidRPr="00EF579C">
        <w:rPr>
          <w:rFonts w:ascii="Arial" w:eastAsia="Times New Roman" w:hAnsi="Arial" w:cs="Arial"/>
          <w:b/>
          <w:bCs/>
          <w:color w:val="000000"/>
          <w:sz w:val="21"/>
          <w:szCs w:val="21"/>
        </w:rPr>
        <w:t>Resultat</w:t>
      </w:r>
      <w:r w:rsidRPr="00EF579C">
        <w:rPr>
          <w:rFonts w:ascii="Arial" w:eastAsia="Times New Roman" w:hAnsi="Arial" w:cs="Arial"/>
          <w:color w:val="000000"/>
          <w:sz w:val="21"/>
          <w:szCs w:val="21"/>
        </w:rPr>
        <w:t>: Es finalitza l’expedient amb les següents recomanacions:</w:t>
      </w:r>
    </w:p>
    <w:p w14:paraId="73023A03" w14:textId="1543AE06" w:rsidR="00EF579C" w:rsidRPr="00EF579C" w:rsidRDefault="00EF579C" w:rsidP="00687E33">
      <w:pPr>
        <w:numPr>
          <w:ilvl w:val="0"/>
          <w:numId w:val="139"/>
        </w:numPr>
        <w:spacing w:after="120" w:line="276" w:lineRule="auto"/>
        <w:jc w:val="both"/>
        <w:rPr>
          <w:rFonts w:ascii="Arial" w:eastAsia="Times New Roman" w:hAnsi="Arial" w:cs="Arial"/>
          <w:color w:val="000000"/>
          <w:sz w:val="21"/>
          <w:szCs w:val="21"/>
        </w:rPr>
      </w:pPr>
      <w:r w:rsidRPr="00EF579C">
        <w:rPr>
          <w:rFonts w:ascii="Arial" w:eastAsia="Times New Roman" w:hAnsi="Arial" w:cs="Arial"/>
          <w:color w:val="000000"/>
          <w:sz w:val="21"/>
          <w:szCs w:val="21"/>
        </w:rPr>
        <w:t>En relació amb el contracte menor subscrit, relatiu al servici de gestió comptable i pressupostària (Expedient núm</w:t>
      </w:r>
      <w:r w:rsidR="00B97862">
        <w:rPr>
          <w:rFonts w:ascii="Arial" w:eastAsia="Times New Roman" w:hAnsi="Arial" w:cs="Arial"/>
          <w:color w:val="000000"/>
          <w:sz w:val="21"/>
          <w:szCs w:val="21"/>
        </w:rPr>
        <w:t>.</w:t>
      </w:r>
      <w:r w:rsidRPr="00EF579C">
        <w:rPr>
          <w:rFonts w:ascii="Arial" w:eastAsia="Times New Roman" w:hAnsi="Arial" w:cs="Arial"/>
          <w:color w:val="000000"/>
          <w:sz w:val="21"/>
          <w:szCs w:val="21"/>
        </w:rPr>
        <w:t xml:space="preserve"> 665/2019) , al no constar en el citat expedient remés a esta Agència, l'informe de l'òrgan de contractació justificant de manera motivada la necessitat del contracte i que no s'està alterant el seu objecte a fi d'evitar l'aplicació dels llindars descrits en l'article 118 de la Llei 9/2017, i resultant que la dita emissió constituïx un vici d'anul·labilitat, procedix recomanar el seu convalidació per mitjà de la incorporació de l'informe corresponent.</w:t>
      </w:r>
    </w:p>
    <w:p w14:paraId="37786A2B" w14:textId="77777777" w:rsidR="00EF579C" w:rsidRPr="00EF579C" w:rsidRDefault="00EF579C" w:rsidP="00687E33">
      <w:pPr>
        <w:numPr>
          <w:ilvl w:val="0"/>
          <w:numId w:val="139"/>
        </w:numPr>
        <w:spacing w:after="120" w:line="276" w:lineRule="auto"/>
        <w:jc w:val="both"/>
        <w:rPr>
          <w:rFonts w:ascii="Arial" w:eastAsia="Times New Roman" w:hAnsi="Arial" w:cs="Arial"/>
          <w:color w:val="000000"/>
          <w:sz w:val="21"/>
          <w:szCs w:val="21"/>
        </w:rPr>
      </w:pPr>
      <w:r w:rsidRPr="00EF579C">
        <w:rPr>
          <w:rFonts w:ascii="Arial" w:eastAsia="Times New Roman" w:hAnsi="Arial" w:cs="Arial"/>
          <w:color w:val="000000"/>
          <w:sz w:val="21"/>
          <w:szCs w:val="21"/>
        </w:rPr>
        <w:t>En relació amb el contracte menor subscrit amb la mateixa mercantil, relatiu al servici d'assistència jurídic-administrativa, al no constar en el citat expedient remés a esta Agència, l'informe de l'òrgan de contractació justificant de manera motivada la necessitat del contracte i que no s'està alterant el seu objecte a fi d'evitar l'aplicació dels llindars descrits en l'article 118 de la Llei 9/2017, i resultant que la dita emissió constituïx un vici d'anul·labilitat, procedix recomanar el seu convalidació per mitjà de la incorporació de l'informe corresponent.</w:t>
      </w:r>
    </w:p>
    <w:p w14:paraId="218DCED0" w14:textId="77777777" w:rsidR="00EF579C" w:rsidRPr="00EF579C" w:rsidRDefault="00EF579C" w:rsidP="00687E33">
      <w:pPr>
        <w:numPr>
          <w:ilvl w:val="0"/>
          <w:numId w:val="139"/>
        </w:numPr>
        <w:spacing w:after="120" w:line="276" w:lineRule="auto"/>
        <w:jc w:val="both"/>
        <w:rPr>
          <w:rFonts w:ascii="Arial" w:eastAsia="Times New Roman" w:hAnsi="Arial" w:cs="Arial"/>
          <w:color w:val="000000"/>
          <w:sz w:val="21"/>
          <w:szCs w:val="21"/>
        </w:rPr>
      </w:pPr>
      <w:r w:rsidRPr="00EF579C">
        <w:rPr>
          <w:rFonts w:ascii="Arial" w:eastAsia="Times New Roman" w:hAnsi="Arial" w:cs="Arial"/>
          <w:color w:val="000000"/>
          <w:sz w:val="21"/>
          <w:szCs w:val="21"/>
        </w:rPr>
        <w:t xml:space="preserve">En relació amb el contracte menor subscrit amb la mateixa mercantil, relatiu a l'assistència en l'Expedient de modificació de la relació de llocs de treball, al no constar en el citat Expedient remés a esta Agència, l'informe de l'òrgan de contractació justificant de manera motivada la necessitat del contracte i que no s'està alterant el seu objecte a fi d'evitar l'aplicació dels llindars descrits en l'article 118 de la Llei 9/2017, i resultant que la dita emissió constituïx un vici d'anul·labilitat, procedix recomanar el seu convalidació per mitjà de la incorporació de l'informe corresponent. </w:t>
      </w:r>
    </w:p>
    <w:p w14:paraId="5843B736" w14:textId="77777777" w:rsidR="00EF579C" w:rsidRPr="00EF579C" w:rsidRDefault="00EF579C" w:rsidP="00EF579C">
      <w:pPr>
        <w:spacing w:after="120" w:line="276" w:lineRule="auto"/>
        <w:ind w:left="709"/>
        <w:jc w:val="both"/>
        <w:rPr>
          <w:rFonts w:ascii="Arial" w:eastAsia="Times New Roman" w:hAnsi="Arial" w:cs="Arial"/>
          <w:color w:val="000000"/>
          <w:sz w:val="21"/>
          <w:szCs w:val="21"/>
        </w:rPr>
      </w:pPr>
      <w:r w:rsidRPr="00EF579C">
        <w:rPr>
          <w:rFonts w:ascii="Arial" w:eastAsia="Times New Roman" w:hAnsi="Arial" w:cs="Arial"/>
          <w:color w:val="000000"/>
          <w:sz w:val="21"/>
          <w:szCs w:val="21"/>
        </w:rPr>
        <w:t>Addicionalment, en cas de no haver sigut executat el contracte, haurà de procedir-se a la liquidació del mateix, a l'estar vençut per compliment del termini màxim legal d'un any de vigència establit per als contractes menors.</w:t>
      </w:r>
    </w:p>
    <w:p w14:paraId="38D86E8E" w14:textId="77777777" w:rsidR="00EF579C" w:rsidRPr="00EF579C" w:rsidRDefault="00EF579C" w:rsidP="00687E33">
      <w:pPr>
        <w:numPr>
          <w:ilvl w:val="0"/>
          <w:numId w:val="139"/>
        </w:numPr>
        <w:spacing w:after="120" w:line="276" w:lineRule="auto"/>
        <w:jc w:val="both"/>
        <w:rPr>
          <w:rFonts w:ascii="Arial" w:eastAsia="Times New Roman" w:hAnsi="Arial" w:cs="Arial"/>
          <w:color w:val="000000"/>
          <w:sz w:val="21"/>
          <w:szCs w:val="21"/>
        </w:rPr>
      </w:pPr>
      <w:r w:rsidRPr="00EF579C">
        <w:rPr>
          <w:rFonts w:ascii="Arial" w:eastAsia="Times New Roman" w:hAnsi="Arial" w:cs="Arial"/>
          <w:color w:val="000000"/>
          <w:sz w:val="21"/>
          <w:szCs w:val="21"/>
        </w:rPr>
        <w:t>En relació amb el contracte anterior, en el cas que després de la finalització del mateix (1 any des de la seua adjudicació) existisquen treballs pendents de realitzar, es recomana tramitar l'expedient de licitació corresponent a través de procediment obert.</w:t>
      </w:r>
    </w:p>
    <w:p w14:paraId="6216128E" w14:textId="77777777" w:rsidR="00EF579C" w:rsidRPr="00EF579C" w:rsidRDefault="00EF579C" w:rsidP="00687E33">
      <w:pPr>
        <w:numPr>
          <w:ilvl w:val="0"/>
          <w:numId w:val="139"/>
        </w:numPr>
        <w:spacing w:after="240" w:line="276" w:lineRule="auto"/>
        <w:jc w:val="both"/>
        <w:rPr>
          <w:rFonts w:ascii="Arial" w:eastAsia="Times New Roman" w:hAnsi="Arial" w:cs="Arial"/>
          <w:color w:val="000000"/>
          <w:sz w:val="21"/>
          <w:szCs w:val="21"/>
        </w:rPr>
      </w:pPr>
      <w:r w:rsidRPr="00EF579C">
        <w:rPr>
          <w:rFonts w:ascii="Arial" w:eastAsia="Times New Roman" w:hAnsi="Arial" w:cs="Arial"/>
          <w:color w:val="000000"/>
          <w:sz w:val="21"/>
          <w:szCs w:val="21"/>
        </w:rPr>
        <w:t>Finalment, es recomana realitzar una adequada planificació de la contractació administrativa de manera anual, per a reduir al màxim la utilització de la figura del contracte menor i evitar-la en tot cas per a donar cobertura a necessitats permanents, tal com ocorre en el servici d'atenció, vigilància (socorrisme), manteniment i neteja del recinte de la piscina per al període estival.</w:t>
      </w:r>
    </w:p>
    <w:p w14:paraId="03D2AAAE" w14:textId="4DA2B407" w:rsidR="00EF579C" w:rsidRPr="00EF579C" w:rsidRDefault="00EF579C" w:rsidP="00EF579C">
      <w:pPr>
        <w:spacing w:after="240" w:line="276" w:lineRule="auto"/>
        <w:jc w:val="both"/>
        <w:rPr>
          <w:rFonts w:ascii="Arial" w:eastAsia="Times New Roman" w:hAnsi="Arial" w:cs="Arial"/>
          <w:color w:val="000000"/>
          <w:sz w:val="21"/>
          <w:szCs w:val="21"/>
        </w:rPr>
      </w:pPr>
      <w:r w:rsidRPr="00EF579C">
        <w:rPr>
          <w:rFonts w:ascii="Arial" w:eastAsia="Times New Roman" w:hAnsi="Arial" w:cs="Arial"/>
          <w:b/>
          <w:bCs/>
          <w:color w:val="000000"/>
          <w:sz w:val="21"/>
          <w:szCs w:val="21"/>
        </w:rPr>
        <w:t>Seguiment:</w:t>
      </w:r>
      <w:r w:rsidRPr="00EF579C">
        <w:rPr>
          <w:rFonts w:ascii="Arial" w:eastAsia="Times New Roman" w:hAnsi="Arial" w:cs="Arial"/>
          <w:i/>
          <w:iCs/>
          <w:color w:val="000000"/>
          <w:sz w:val="21"/>
          <w:szCs w:val="21"/>
        </w:rPr>
        <w:t xml:space="preserve"> </w:t>
      </w:r>
      <w:r w:rsidRPr="00EF579C">
        <w:rPr>
          <w:rFonts w:ascii="Arial" w:eastAsia="Times New Roman" w:hAnsi="Arial" w:cs="Arial"/>
          <w:color w:val="000000"/>
          <w:sz w:val="21"/>
          <w:szCs w:val="21"/>
        </w:rPr>
        <w:t>S'han complit les recomanacions efectuades, quedant pendent la remissió de la resolució que s'adopte, en relació amb la continuació de la prestació del servici relatiu a l'assistència en l'Expedient de modificació de la relació de llocs de treball.</w:t>
      </w:r>
    </w:p>
    <w:p w14:paraId="1B9D91C9" w14:textId="77777777" w:rsidR="00687E33" w:rsidRPr="00687E33" w:rsidRDefault="00687E33" w:rsidP="00687E3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93" w:name="_Toc95209100"/>
      <w:bookmarkStart w:id="294" w:name="_Toc95913892"/>
      <w:bookmarkStart w:id="295" w:name="_Toc99110775"/>
      <w:r w:rsidRPr="00687E33">
        <w:rPr>
          <w:rFonts w:ascii="Arial" w:eastAsia="Times New Roman" w:hAnsi="Arial" w:cs="Arial"/>
          <w:b/>
          <w:color w:val="9D2235"/>
          <w:sz w:val="28"/>
          <w:szCs w:val="28"/>
        </w:rPr>
        <w:t>Denominació: Ajuntament de Sueca. Irregularitats en matèria de contractació</w:t>
      </w:r>
      <w:bookmarkEnd w:id="293"/>
      <w:bookmarkEnd w:id="294"/>
      <w:bookmarkEnd w:id="295"/>
    </w:p>
    <w:p w14:paraId="06EE983A" w14:textId="77777777" w:rsidR="00687E33" w:rsidRPr="00687E33" w:rsidRDefault="00687E33" w:rsidP="000E04BC">
      <w:pPr>
        <w:spacing w:after="240" w:line="276" w:lineRule="auto"/>
        <w:jc w:val="both"/>
        <w:rPr>
          <w:rFonts w:ascii="Arial" w:eastAsia="Times New Roman" w:hAnsi="Arial" w:cs="Arial"/>
          <w:color w:val="000000"/>
          <w:sz w:val="21"/>
          <w:szCs w:val="21"/>
        </w:rPr>
      </w:pPr>
      <w:r w:rsidRPr="00687E33">
        <w:rPr>
          <w:rFonts w:ascii="Arial" w:eastAsia="Times New Roman" w:hAnsi="Arial" w:cs="Arial"/>
          <w:b/>
          <w:bCs/>
          <w:color w:val="000000"/>
          <w:sz w:val="21"/>
          <w:szCs w:val="21"/>
        </w:rPr>
        <w:t>Expedient</w:t>
      </w:r>
      <w:r w:rsidRPr="00687E33">
        <w:rPr>
          <w:rFonts w:ascii="Arial" w:eastAsia="Times New Roman" w:hAnsi="Arial" w:cs="Arial"/>
          <w:color w:val="000000"/>
          <w:sz w:val="21"/>
          <w:szCs w:val="21"/>
        </w:rPr>
        <w:t>: 2020/G01_01/000370</w:t>
      </w:r>
    </w:p>
    <w:p w14:paraId="42F278AE" w14:textId="77777777" w:rsidR="00687E33" w:rsidRPr="00687E33" w:rsidRDefault="00687E33" w:rsidP="00687E33">
      <w:pPr>
        <w:spacing w:after="240" w:line="276" w:lineRule="auto"/>
        <w:rPr>
          <w:rFonts w:ascii="Arial" w:eastAsia="Times New Roman" w:hAnsi="Arial" w:cs="Arial"/>
          <w:sz w:val="21"/>
          <w:szCs w:val="21"/>
          <w:lang w:eastAsia="es-ES"/>
        </w:rPr>
      </w:pPr>
      <w:r w:rsidRPr="00687E33">
        <w:rPr>
          <w:rFonts w:ascii="Arial" w:eastAsia="Times New Roman" w:hAnsi="Arial" w:cs="Arial"/>
          <w:b/>
          <w:bCs/>
          <w:sz w:val="21"/>
          <w:szCs w:val="21"/>
        </w:rPr>
        <w:t>Enllaç a la publicació:</w:t>
      </w:r>
      <w:r w:rsidRPr="00687E33">
        <w:rPr>
          <w:rFonts w:ascii="Arial" w:eastAsia="Times New Roman" w:hAnsi="Arial" w:cs="Arial"/>
          <w:b/>
          <w:bCs/>
          <w:sz w:val="21"/>
          <w:szCs w:val="21"/>
        </w:rPr>
        <w:br/>
      </w:r>
      <w:hyperlink r:id="rId472" w:history="1">
        <w:r w:rsidRPr="00687E33">
          <w:rPr>
            <w:rFonts w:ascii="Arial" w:eastAsia="Times New Roman" w:hAnsi="Arial" w:cs="Arial"/>
            <w:color w:val="000080"/>
            <w:sz w:val="18"/>
            <w:szCs w:val="18"/>
            <w:u w:val="single"/>
            <w:lang w:eastAsia="es-ES"/>
          </w:rPr>
          <w:t>https://www.antifraucv.es/wp-content/uploads/2021/10/20211018_AJUNTAMENT_DE_SUECA.pdf</w:t>
        </w:r>
      </w:hyperlink>
    </w:p>
    <w:p w14:paraId="1CBCEA83"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b/>
          <w:bCs/>
          <w:color w:val="000000"/>
          <w:sz w:val="21"/>
          <w:szCs w:val="21"/>
        </w:rPr>
        <w:t>Descripció</w:t>
      </w:r>
      <w:r w:rsidRPr="00687E33">
        <w:rPr>
          <w:rFonts w:ascii="Arial" w:eastAsia="Times New Roman" w:hAnsi="Arial" w:cs="Arial"/>
          <w:color w:val="000000"/>
          <w:sz w:val="21"/>
          <w:szCs w:val="21"/>
        </w:rPr>
        <w:t xml:space="preserve">: Es van iniciar actuacions en relació amb la possible existència, de determinades irregularitats comeses en relació amb un presumpte fraccionament de contractes. </w:t>
      </w:r>
    </w:p>
    <w:p w14:paraId="167D53FF"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 xml:space="preserve">Entre els fets manifestats, resulta d'especial rellevància, el fet de l'existència de 45 factures abonades a un mateix contractista en el període d'un any natural, que sumarien la quantia total de 41.016,87 €, per contractes de subministrament. </w:t>
      </w:r>
    </w:p>
    <w:p w14:paraId="610C1E26"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De l'estudi detallat de la documentació que consta en l'expedient i l'obtinguda en fonts obertes, es va constatar que:</w:t>
      </w:r>
    </w:p>
    <w:p w14:paraId="28ED80B5"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S'han tramitat pagaments amb origen contractual sense ajustar-se al que disposa la Llei 9/2017, de 8 de novembre, de Contractes del Sector Públic. Les factures havien sigut objecte del corresponent inconvenient emés per la Intervenció municipal. En alguns expedients, es va constatar la inexistència dels informes exigits per l'art. 118 de la Llei de Contractes, basant-se en el contingut d'una nota interna elaborada per l'alcaldia-presidència, elevada després de les Bases d'Execució Pressupostària. En alguns expedients, els informes tècnics advertien de l'existència de fraccionament indegut de contractes o duplicitats.</w:t>
      </w:r>
    </w:p>
    <w:p w14:paraId="3A6F5E9F"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S'ha incomplit el límit establit en l'art. 118.3 (límit de l'import agregat d'obligacions reconegudes a un únic contractista dins d'un mateix exercici per mateixa naturalesa de prestació) , en la seua redacció vigent fins al 5 de febrer de 2020, havent-se produït una situació efectiva de col·lusió del mercat.</w:t>
      </w:r>
    </w:p>
    <w:p w14:paraId="5D8DBC72" w14:textId="77777777" w:rsidR="00687E33" w:rsidRPr="00687E33" w:rsidRDefault="00687E33" w:rsidP="00687E33">
      <w:pPr>
        <w:spacing w:after="240" w:line="276" w:lineRule="auto"/>
        <w:jc w:val="both"/>
        <w:rPr>
          <w:rFonts w:ascii="Arial" w:eastAsia="Times New Roman" w:hAnsi="Arial" w:cs="Arial"/>
          <w:i/>
          <w:iCs/>
          <w:color w:val="000000"/>
          <w:sz w:val="21"/>
          <w:szCs w:val="21"/>
        </w:rPr>
      </w:pPr>
      <w:r w:rsidRPr="00687E33">
        <w:rPr>
          <w:rFonts w:ascii="Arial" w:eastAsia="Times New Roman" w:hAnsi="Arial" w:cs="Arial"/>
          <w:b/>
          <w:bCs/>
          <w:color w:val="000000"/>
          <w:sz w:val="21"/>
          <w:szCs w:val="21"/>
        </w:rPr>
        <w:t>Resultat</w:t>
      </w:r>
      <w:r w:rsidRPr="00687E33">
        <w:rPr>
          <w:rFonts w:ascii="Arial" w:eastAsia="Times New Roman" w:hAnsi="Arial" w:cs="Arial"/>
          <w:color w:val="000000"/>
          <w:sz w:val="21"/>
          <w:szCs w:val="21"/>
        </w:rPr>
        <w:t>: Es finalitza l’expedient amb recomanacions:</w:t>
      </w:r>
    </w:p>
    <w:p w14:paraId="21835495" w14:textId="77777777" w:rsidR="00687E33" w:rsidRPr="00687E33" w:rsidRDefault="00687E33" w:rsidP="00687E33">
      <w:pPr>
        <w:numPr>
          <w:ilvl w:val="0"/>
          <w:numId w:val="141"/>
        </w:numPr>
        <w:spacing w:after="120" w:line="276" w:lineRule="auto"/>
        <w:ind w:left="714" w:hanging="357"/>
        <w:jc w:val="both"/>
        <w:rPr>
          <w:rFonts w:ascii="Arial" w:eastAsia="Times New Roman" w:hAnsi="Arial" w:cs="Arial"/>
          <w:color w:val="000000"/>
          <w:sz w:val="21"/>
          <w:szCs w:val="21"/>
        </w:rPr>
      </w:pPr>
      <w:r w:rsidRPr="00687E33">
        <w:rPr>
          <w:rFonts w:ascii="Arial" w:eastAsia="Times New Roman" w:hAnsi="Arial" w:cs="Arial"/>
          <w:color w:val="000000"/>
          <w:sz w:val="21"/>
          <w:szCs w:val="21"/>
        </w:rPr>
        <w:t>Que s'inicien els procediments de revisió d'ofici procedents, en relació amb els actes administratius dictats aprovatoris de les factures, en els que s'han detectat informes d'inconvenient de legalitat i informes tècnics que advertixen de l'existència de fraccionament indegut de contractes o duplicitats. Haurà d'informar-se específicament sobre el cost de mercat i valorar les quantitats que, si és el cas, procedisca reclamar al proveïdor.</w:t>
      </w:r>
    </w:p>
    <w:p w14:paraId="1C13DEF5" w14:textId="77777777" w:rsidR="00687E33" w:rsidRPr="00687E33" w:rsidRDefault="00687E33" w:rsidP="00687E33">
      <w:pPr>
        <w:numPr>
          <w:ilvl w:val="0"/>
          <w:numId w:val="141"/>
        </w:numPr>
        <w:spacing w:after="120" w:line="276" w:lineRule="auto"/>
        <w:ind w:left="714" w:hanging="357"/>
        <w:jc w:val="both"/>
        <w:rPr>
          <w:rFonts w:ascii="Arial" w:eastAsia="Times New Roman" w:hAnsi="Arial" w:cs="Arial"/>
          <w:color w:val="000000"/>
          <w:sz w:val="21"/>
          <w:szCs w:val="21"/>
        </w:rPr>
      </w:pPr>
      <w:r w:rsidRPr="00687E33">
        <w:rPr>
          <w:rFonts w:ascii="Arial" w:eastAsia="Times New Roman" w:hAnsi="Arial" w:cs="Arial"/>
          <w:color w:val="000000"/>
          <w:sz w:val="21"/>
          <w:szCs w:val="21"/>
        </w:rPr>
        <w:t>Que es procedisca a deixar sense efecte les disposicions normatives contingudes en la Nota Interior contràries a la Llei de Contractes del Sector Públic, per a determinades despeses per raó de la quantia, establint el límit en 2.000 EUR per proposta, sense tindre en compte l'objecte, el caràcter recurrent, l'import acumulat per proveïdor o altres circumstàncies addicionals.</w:t>
      </w:r>
    </w:p>
    <w:p w14:paraId="2A4B307D" w14:textId="77777777" w:rsidR="00687E33" w:rsidRPr="00687E33" w:rsidRDefault="00687E33" w:rsidP="00687E33">
      <w:pPr>
        <w:numPr>
          <w:ilvl w:val="0"/>
          <w:numId w:val="141"/>
        </w:numPr>
        <w:spacing w:after="24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Que es procedisca a la modificació de les Bases d'Execució del Pressupost contràries al que establix la Llei de Contractes del Sector Públic, per a determinades despeses per raó de la quantia, establint el límit en 2.000 € per proposta, sense tindre en compte l'objecte, el caràcter recurrent, l'import acumulat per proveïdor o altres circumstàncies addicionals.</w:t>
      </w:r>
    </w:p>
    <w:p w14:paraId="218FE28F"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b/>
          <w:bCs/>
          <w:color w:val="000000"/>
          <w:sz w:val="21"/>
          <w:szCs w:val="21"/>
        </w:rPr>
        <w:t xml:space="preserve">Fase de seguiment: </w:t>
      </w:r>
      <w:r w:rsidRPr="00687E33">
        <w:rPr>
          <w:rFonts w:ascii="Arial" w:eastAsia="Times New Roman" w:hAnsi="Arial" w:cs="Arial"/>
          <w:color w:val="000000"/>
          <w:sz w:val="21"/>
          <w:szCs w:val="21"/>
        </w:rPr>
        <w:t>En tràmit.</w:t>
      </w:r>
    </w:p>
    <w:p w14:paraId="720F285D" w14:textId="77777777" w:rsidR="00687E33" w:rsidRPr="00687E33" w:rsidRDefault="00687E33" w:rsidP="00687E3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96" w:name="_Toc95209101"/>
      <w:bookmarkStart w:id="297" w:name="_Toc95913893"/>
      <w:bookmarkStart w:id="298" w:name="_Toc99110776"/>
      <w:r w:rsidRPr="00687E33">
        <w:rPr>
          <w:rFonts w:ascii="Arial" w:eastAsia="Times New Roman" w:hAnsi="Arial" w:cs="Arial"/>
          <w:b/>
          <w:color w:val="9D2235"/>
          <w:sz w:val="28"/>
          <w:szCs w:val="28"/>
        </w:rPr>
        <w:t>Denominació: Consorci de Museus. Irregularitats en matèria de personal i contractació pública</w:t>
      </w:r>
      <w:bookmarkEnd w:id="296"/>
      <w:bookmarkEnd w:id="297"/>
      <w:bookmarkEnd w:id="298"/>
    </w:p>
    <w:p w14:paraId="4A8C7A89" w14:textId="77777777" w:rsidR="00687E33" w:rsidRPr="00687E33" w:rsidRDefault="00687E33" w:rsidP="005272C3">
      <w:pPr>
        <w:spacing w:after="240" w:line="276" w:lineRule="auto"/>
        <w:jc w:val="both"/>
        <w:rPr>
          <w:rFonts w:ascii="Arial" w:eastAsia="Times New Roman" w:hAnsi="Arial" w:cs="Arial"/>
          <w:color w:val="000000"/>
          <w:sz w:val="21"/>
          <w:szCs w:val="21"/>
        </w:rPr>
      </w:pPr>
      <w:r w:rsidRPr="00687E33">
        <w:rPr>
          <w:rFonts w:ascii="Arial" w:eastAsia="Times New Roman" w:hAnsi="Arial" w:cs="Arial"/>
          <w:b/>
          <w:bCs/>
          <w:color w:val="000000"/>
          <w:sz w:val="21"/>
          <w:szCs w:val="21"/>
        </w:rPr>
        <w:t>Expedient:</w:t>
      </w:r>
      <w:r w:rsidRPr="00687E33">
        <w:rPr>
          <w:rFonts w:ascii="Arial" w:eastAsia="Times New Roman" w:hAnsi="Arial" w:cs="Arial"/>
          <w:color w:val="000000"/>
          <w:sz w:val="21"/>
          <w:szCs w:val="21"/>
        </w:rPr>
        <w:t xml:space="preserve"> 2020/G01_01/000187 [114/2018]</w:t>
      </w:r>
    </w:p>
    <w:p w14:paraId="1680EE68" w14:textId="77777777" w:rsidR="00687E33" w:rsidRPr="00687E33" w:rsidRDefault="00687E33" w:rsidP="00687E33">
      <w:pPr>
        <w:spacing w:after="240" w:line="276" w:lineRule="auto"/>
        <w:rPr>
          <w:rFonts w:ascii="Arial" w:eastAsia="Times New Roman" w:hAnsi="Arial" w:cs="Arial"/>
          <w:sz w:val="17"/>
          <w:szCs w:val="17"/>
          <w:lang w:eastAsia="es-ES"/>
        </w:rPr>
      </w:pPr>
      <w:r w:rsidRPr="00687E33">
        <w:rPr>
          <w:rFonts w:ascii="Arial" w:eastAsia="Times New Roman" w:hAnsi="Arial" w:cs="Arial"/>
          <w:b/>
          <w:bCs/>
          <w:sz w:val="21"/>
          <w:szCs w:val="21"/>
        </w:rPr>
        <w:t>Enllaç a la publicació:</w:t>
      </w:r>
      <w:r w:rsidRPr="00687E33">
        <w:rPr>
          <w:rFonts w:ascii="Arial" w:eastAsia="Times New Roman" w:hAnsi="Arial" w:cs="Arial"/>
          <w:b/>
          <w:bCs/>
          <w:sz w:val="21"/>
          <w:szCs w:val="21"/>
        </w:rPr>
        <w:br/>
      </w:r>
      <w:hyperlink r:id="rId473" w:history="1">
        <w:r w:rsidRPr="00687E33">
          <w:rPr>
            <w:rFonts w:ascii="Arial" w:eastAsia="Times New Roman" w:hAnsi="Arial" w:cs="Arial"/>
            <w:color w:val="000080"/>
            <w:sz w:val="17"/>
            <w:szCs w:val="17"/>
            <w:u w:val="single"/>
            <w:lang w:eastAsia="es-ES"/>
          </w:rPr>
          <w:t>https://www.antifraucv.es/wp-content/uploads/2021/10/20211020_CONSORCIO_DE_MUSEOS_DE_LA_CV.pdf</w:t>
        </w:r>
      </w:hyperlink>
    </w:p>
    <w:p w14:paraId="2ED47BAC"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b/>
          <w:bCs/>
          <w:color w:val="000000"/>
          <w:sz w:val="21"/>
          <w:szCs w:val="21"/>
        </w:rPr>
        <w:t>Descripció:</w:t>
      </w:r>
      <w:r w:rsidRPr="00687E33">
        <w:rPr>
          <w:rFonts w:ascii="Arial" w:eastAsia="Times New Roman" w:hAnsi="Arial" w:cs="Arial"/>
          <w:color w:val="000000"/>
          <w:sz w:val="21"/>
          <w:szCs w:val="21"/>
        </w:rPr>
        <w:t xml:space="preserve"> S'alerta sobre la presumpta existència de conductes contràries als principis i normes reguladores en matèria de personal i contractació administrativa produïdes, en el si de la gestió de l'activitat del Consorci de Museus de la Comunitat Valenciana. </w:t>
      </w:r>
    </w:p>
    <w:p w14:paraId="28994C54"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Després de la instrucció de l'oportú procediment d'investigació, s'han constatat les següents irregularitats:</w:t>
      </w:r>
    </w:p>
    <w:p w14:paraId="1C11FA00" w14:textId="77777777" w:rsidR="00687E33" w:rsidRPr="00687E33" w:rsidRDefault="00687E33" w:rsidP="00687E33">
      <w:pPr>
        <w:numPr>
          <w:ilvl w:val="0"/>
          <w:numId w:val="142"/>
        </w:numPr>
        <w:spacing w:after="12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Exposició Vicente Rodes Aries.</w:t>
      </w:r>
    </w:p>
    <w:p w14:paraId="78B0906A" w14:textId="77777777" w:rsidR="00687E33" w:rsidRPr="00687E33" w:rsidRDefault="00687E33" w:rsidP="00687E33">
      <w:pPr>
        <w:spacing w:after="120" w:line="276" w:lineRule="auto"/>
        <w:ind w:left="709"/>
        <w:jc w:val="both"/>
        <w:rPr>
          <w:rFonts w:ascii="Arial" w:eastAsia="Times New Roman" w:hAnsi="Arial" w:cs="Arial"/>
          <w:color w:val="000000"/>
          <w:sz w:val="21"/>
          <w:szCs w:val="21"/>
        </w:rPr>
      </w:pPr>
      <w:r w:rsidRPr="00687E33">
        <w:rPr>
          <w:rFonts w:ascii="Arial" w:eastAsia="Times New Roman" w:hAnsi="Arial" w:cs="Arial"/>
          <w:color w:val="000000"/>
          <w:sz w:val="21"/>
          <w:szCs w:val="21"/>
        </w:rPr>
        <w:t>S'han produït dèficits en l'adequat compliment de l'ordenament jurídic administratiu i els seus principis generals reguladors de l'actuació administrativa pública en matèria de contractació.</w:t>
      </w:r>
    </w:p>
    <w:p w14:paraId="28A1181D" w14:textId="77777777" w:rsidR="00687E33" w:rsidRPr="00687E33" w:rsidRDefault="00687E33" w:rsidP="00687E33">
      <w:pPr>
        <w:numPr>
          <w:ilvl w:val="0"/>
          <w:numId w:val="142"/>
        </w:numPr>
        <w:spacing w:after="12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Adscripció temporal funcionària de carrera.</w:t>
      </w:r>
    </w:p>
    <w:p w14:paraId="4726CFB3" w14:textId="77777777" w:rsidR="00687E33" w:rsidRPr="00687E33" w:rsidRDefault="00687E33" w:rsidP="00687E33">
      <w:pPr>
        <w:spacing w:after="120" w:line="276" w:lineRule="auto"/>
        <w:ind w:left="709"/>
        <w:jc w:val="both"/>
        <w:rPr>
          <w:rFonts w:ascii="Arial" w:eastAsia="Times New Roman" w:hAnsi="Arial" w:cs="Arial"/>
          <w:color w:val="000000"/>
          <w:sz w:val="21"/>
          <w:szCs w:val="21"/>
        </w:rPr>
      </w:pPr>
      <w:r w:rsidRPr="00687E33">
        <w:rPr>
          <w:rFonts w:ascii="Arial" w:eastAsia="Times New Roman" w:hAnsi="Arial" w:cs="Arial"/>
          <w:color w:val="000000"/>
          <w:sz w:val="21"/>
          <w:szCs w:val="21"/>
        </w:rPr>
        <w:t xml:space="preserve">Consta l'acord de 9 de maig de 2017 del Consorci i de la subsecretària de la Conselleria d'Educació, Investigació, Cultura i Esport, pel qual s'acorda adscriure temporalment una funcionària de carrera perquè col·labore en les funcions del Consorci per insuficiència de personal. La dita adscripció té efectes a partir de l'endemà a la notificació de l'acord pel període d'un any, prorrogable per un més si persistixen les necessitats que motiven l'acord. No obstant això, s'observa que es continua prestant funcions en el mencionat consorci. </w:t>
      </w:r>
    </w:p>
    <w:p w14:paraId="36FAE496" w14:textId="77777777" w:rsidR="00687E33" w:rsidRPr="00687E33" w:rsidRDefault="00687E33" w:rsidP="00687E33">
      <w:pPr>
        <w:numPr>
          <w:ilvl w:val="0"/>
          <w:numId w:val="142"/>
        </w:numPr>
        <w:spacing w:after="12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Procés selectiu per a la constitució d'una bossa, per a cobrir el lloc de Tècnic Coordinador d'Exposicions (convocatòria DOGV núm. 8074 de 30/06/2017).</w:t>
      </w:r>
    </w:p>
    <w:p w14:paraId="5220312C" w14:textId="77777777" w:rsidR="00687E33" w:rsidRPr="00687E33" w:rsidRDefault="00687E33" w:rsidP="00687E33">
      <w:pPr>
        <w:spacing w:after="120" w:line="276" w:lineRule="auto"/>
        <w:ind w:left="709"/>
        <w:jc w:val="both"/>
        <w:rPr>
          <w:rFonts w:ascii="Arial" w:eastAsia="Times New Roman" w:hAnsi="Arial" w:cs="Arial"/>
          <w:color w:val="000000"/>
          <w:sz w:val="21"/>
          <w:szCs w:val="21"/>
        </w:rPr>
      </w:pPr>
      <w:r w:rsidRPr="00687E33">
        <w:rPr>
          <w:rFonts w:ascii="Arial" w:eastAsia="Times New Roman" w:hAnsi="Arial" w:cs="Arial"/>
          <w:color w:val="000000"/>
          <w:sz w:val="21"/>
          <w:szCs w:val="21"/>
        </w:rPr>
        <w:t xml:space="preserve">Possibles causes d'abstenció, per relació d'amistat, d'una persona membre del tribunal amb persones que es presenten al procés, sense que s'haja pogut acreditar documentalment la relació d'amistat. </w:t>
      </w:r>
    </w:p>
    <w:p w14:paraId="380B474B" w14:textId="77777777" w:rsidR="00687E33" w:rsidRPr="00687E33" w:rsidRDefault="00687E33" w:rsidP="00687E33">
      <w:pPr>
        <w:spacing w:after="240" w:line="276" w:lineRule="auto"/>
        <w:ind w:left="709"/>
        <w:jc w:val="both"/>
        <w:rPr>
          <w:rFonts w:ascii="Arial" w:eastAsia="Times New Roman" w:hAnsi="Arial" w:cs="Arial"/>
          <w:color w:val="000000"/>
          <w:sz w:val="21"/>
          <w:szCs w:val="21"/>
          <w:u w:val="single"/>
        </w:rPr>
      </w:pPr>
      <w:r w:rsidRPr="00687E33">
        <w:rPr>
          <w:rFonts w:ascii="Arial" w:eastAsia="Times New Roman" w:hAnsi="Arial" w:cs="Arial"/>
          <w:color w:val="000000"/>
          <w:sz w:val="21"/>
          <w:szCs w:val="21"/>
          <w:u w:val="single"/>
        </w:rPr>
        <w:t xml:space="preserve">S'ha superat el període màxim de duració prevista en la normativa. </w:t>
      </w:r>
    </w:p>
    <w:p w14:paraId="23BAC7B6"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b/>
          <w:bCs/>
          <w:color w:val="000000"/>
          <w:sz w:val="21"/>
          <w:szCs w:val="21"/>
        </w:rPr>
        <w:t xml:space="preserve">Resultat: </w:t>
      </w:r>
      <w:r w:rsidRPr="00687E33">
        <w:rPr>
          <w:rFonts w:ascii="Arial" w:eastAsia="Times New Roman" w:hAnsi="Arial" w:cs="Arial"/>
          <w:color w:val="000000"/>
          <w:sz w:val="21"/>
          <w:szCs w:val="21"/>
        </w:rPr>
        <w:t>Finalització de la investigació amb recomanacions:</w:t>
      </w:r>
    </w:p>
    <w:p w14:paraId="4F8C6530" w14:textId="77777777" w:rsidR="00687E33" w:rsidRPr="00687E33" w:rsidRDefault="00687E33" w:rsidP="00687E33">
      <w:pPr>
        <w:numPr>
          <w:ilvl w:val="0"/>
          <w:numId w:val="143"/>
        </w:numPr>
        <w:spacing w:after="120" w:line="276" w:lineRule="auto"/>
        <w:ind w:left="714" w:hanging="357"/>
        <w:jc w:val="both"/>
        <w:rPr>
          <w:rFonts w:ascii="Arial" w:eastAsia="Times New Roman" w:hAnsi="Arial" w:cs="Arial"/>
          <w:color w:val="000000"/>
          <w:sz w:val="21"/>
          <w:szCs w:val="21"/>
        </w:rPr>
      </w:pPr>
      <w:r w:rsidRPr="00687E33">
        <w:rPr>
          <w:rFonts w:ascii="Arial" w:eastAsia="Times New Roman" w:hAnsi="Arial" w:cs="Arial"/>
          <w:color w:val="000000"/>
          <w:sz w:val="21"/>
          <w:szCs w:val="21"/>
        </w:rPr>
        <w:t>Sobre conflictes d'interés: Es recomana la redacció d'una circular y/o instrucció de bones pràctiques, aplicable als processos selectius que duga a terme el consorci, en el que s'incloga la presentació d'una declaració responsable d'absència de conflictes d'interés, en el que es manifeste que no existixen fets o circumstàncies, passats o presents, o que puguen sorgir en un futur previsible, que siga motiu d'abstenció conforme a l'article 23 de la Llei 40/2015, d'1 d'octubre, de Règim Jurídic del Sector Públic, per la que pogueren posar en dubte la imparcialitat i independència per causa d'interés financer, econòmic o personal.</w:t>
      </w:r>
    </w:p>
    <w:p w14:paraId="5812B4A2" w14:textId="77777777" w:rsidR="00687E33" w:rsidRPr="00687E33" w:rsidRDefault="00687E33" w:rsidP="00687E33">
      <w:pPr>
        <w:numPr>
          <w:ilvl w:val="0"/>
          <w:numId w:val="143"/>
        </w:numPr>
        <w:spacing w:after="240" w:line="276" w:lineRule="auto"/>
        <w:jc w:val="both"/>
        <w:rPr>
          <w:rFonts w:ascii="Arial" w:eastAsia="Times New Roman" w:hAnsi="Arial" w:cs="Arial"/>
          <w:color w:val="000000"/>
          <w:sz w:val="21"/>
          <w:szCs w:val="21"/>
        </w:rPr>
      </w:pPr>
      <w:r w:rsidRPr="00687E33">
        <w:rPr>
          <w:rFonts w:ascii="Arial" w:eastAsia="Times New Roman" w:hAnsi="Arial" w:cs="Arial"/>
          <w:color w:val="000000"/>
          <w:sz w:val="21"/>
          <w:szCs w:val="21"/>
        </w:rPr>
        <w:t xml:space="preserve">Sobre contractació: La implementació d'un pla anual de contractació, amb l'objectiu final d'atorgar una cobertura contractual adequada a tots els servicis, subministraments, i la resta de contractes que es requerisquen per part del Consorci de Museus de la Comunitat Valenciana. </w:t>
      </w:r>
    </w:p>
    <w:p w14:paraId="60A88EA8" w14:textId="77777777" w:rsidR="00687E33" w:rsidRPr="00687E33" w:rsidRDefault="00687E33" w:rsidP="00687E33">
      <w:pPr>
        <w:spacing w:after="240" w:line="276" w:lineRule="auto"/>
        <w:jc w:val="both"/>
        <w:rPr>
          <w:rFonts w:ascii="Arial" w:eastAsia="Times New Roman" w:hAnsi="Arial" w:cs="Arial"/>
          <w:color w:val="000000"/>
          <w:sz w:val="21"/>
          <w:szCs w:val="21"/>
        </w:rPr>
      </w:pPr>
      <w:r w:rsidRPr="00687E33">
        <w:rPr>
          <w:rFonts w:ascii="Arial" w:eastAsia="Times New Roman" w:hAnsi="Arial" w:cs="Arial"/>
          <w:b/>
          <w:bCs/>
          <w:color w:val="000000"/>
          <w:sz w:val="21"/>
          <w:szCs w:val="21"/>
        </w:rPr>
        <w:t xml:space="preserve">Fase de seguiment: </w:t>
      </w:r>
      <w:r w:rsidRPr="00687E33">
        <w:rPr>
          <w:rFonts w:ascii="Arial" w:eastAsia="Times New Roman" w:hAnsi="Arial" w:cs="Arial"/>
          <w:color w:val="000000"/>
          <w:sz w:val="21"/>
          <w:szCs w:val="21"/>
        </w:rPr>
        <w:t>En tràmit.</w:t>
      </w:r>
    </w:p>
    <w:p w14:paraId="0A9DDE51" w14:textId="65D43160" w:rsidR="00973A7A" w:rsidRPr="00973A7A" w:rsidRDefault="00973A7A" w:rsidP="00973A7A">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99" w:name="_Toc99110777"/>
      <w:r w:rsidRPr="00973A7A">
        <w:rPr>
          <w:rFonts w:ascii="Arial" w:eastAsia="Times New Roman" w:hAnsi="Arial" w:cs="Arial"/>
          <w:b/>
          <w:color w:val="9D2235"/>
          <w:sz w:val="28"/>
          <w:szCs w:val="28"/>
        </w:rPr>
        <w:t>Denominació: Relacions Internacionals de la Universitat d'Alacant S.A. Irregularitats en la contractació per “Taller Digital d'Establiment de Textos Literaris i Científics, S.A”</w:t>
      </w:r>
      <w:bookmarkEnd w:id="299"/>
    </w:p>
    <w:p w14:paraId="65667A21" w14:textId="77777777" w:rsidR="00973A7A" w:rsidRPr="00973A7A" w:rsidRDefault="00973A7A" w:rsidP="005272C3">
      <w:pPr>
        <w:spacing w:after="240" w:line="276" w:lineRule="auto"/>
        <w:jc w:val="both"/>
        <w:rPr>
          <w:rFonts w:ascii="Arial" w:eastAsia="Times New Roman" w:hAnsi="Arial" w:cs="Arial"/>
          <w:color w:val="000000"/>
          <w:sz w:val="21"/>
          <w:szCs w:val="21"/>
        </w:rPr>
      </w:pPr>
      <w:r w:rsidRPr="00973A7A">
        <w:rPr>
          <w:rFonts w:ascii="Arial" w:eastAsia="Times New Roman" w:hAnsi="Arial" w:cs="Arial"/>
          <w:b/>
          <w:bCs/>
          <w:color w:val="000000"/>
          <w:sz w:val="21"/>
          <w:szCs w:val="21"/>
        </w:rPr>
        <w:t>Expedient:</w:t>
      </w:r>
      <w:r w:rsidRPr="00973A7A">
        <w:rPr>
          <w:rFonts w:ascii="Arial" w:eastAsia="Times New Roman" w:hAnsi="Arial" w:cs="Arial"/>
          <w:color w:val="000000"/>
          <w:sz w:val="21"/>
          <w:szCs w:val="21"/>
        </w:rPr>
        <w:t xml:space="preserve"> 2020/G01_01/00113 [84/2018]</w:t>
      </w:r>
    </w:p>
    <w:p w14:paraId="145A301D" w14:textId="77777777" w:rsidR="00973A7A" w:rsidRPr="00973A7A" w:rsidRDefault="00973A7A" w:rsidP="00973A7A">
      <w:pPr>
        <w:spacing w:after="240" w:line="276" w:lineRule="auto"/>
        <w:rPr>
          <w:rFonts w:ascii="Arial" w:eastAsia="Times New Roman" w:hAnsi="Arial" w:cs="Arial"/>
          <w:sz w:val="18"/>
          <w:szCs w:val="18"/>
          <w:lang w:eastAsia="es-ES"/>
        </w:rPr>
      </w:pPr>
      <w:r w:rsidRPr="00973A7A">
        <w:rPr>
          <w:rFonts w:ascii="Arial" w:eastAsia="Times New Roman" w:hAnsi="Arial" w:cs="Arial"/>
          <w:b/>
          <w:bCs/>
          <w:sz w:val="21"/>
          <w:szCs w:val="21"/>
        </w:rPr>
        <w:t>Enllaç a la publicació:</w:t>
      </w:r>
      <w:r w:rsidRPr="00973A7A">
        <w:rPr>
          <w:rFonts w:ascii="Arial" w:eastAsia="Times New Roman" w:hAnsi="Arial" w:cs="Arial"/>
          <w:b/>
          <w:bCs/>
          <w:sz w:val="21"/>
          <w:szCs w:val="21"/>
        </w:rPr>
        <w:br/>
      </w:r>
      <w:hyperlink r:id="rId474" w:history="1">
        <w:r w:rsidRPr="00973A7A">
          <w:rPr>
            <w:rFonts w:ascii="Arial" w:eastAsia="Times New Roman" w:hAnsi="Arial" w:cs="Arial"/>
            <w:color w:val="000080"/>
            <w:sz w:val="18"/>
            <w:szCs w:val="18"/>
            <w:u w:val="single"/>
            <w:lang w:eastAsia="es-ES"/>
          </w:rPr>
          <w:t>https://www.antifraucv.es/wp-content/uploads/2021/10/20211021_UNIVERSITAT_DE_ALICANTE.pdf</w:t>
        </w:r>
      </w:hyperlink>
    </w:p>
    <w:p w14:paraId="60AEDB4A" w14:textId="77777777" w:rsidR="00973A7A" w:rsidRPr="00973A7A" w:rsidRDefault="00973A7A" w:rsidP="00973A7A">
      <w:pPr>
        <w:spacing w:after="240" w:line="276" w:lineRule="auto"/>
        <w:jc w:val="both"/>
        <w:rPr>
          <w:rFonts w:ascii="Arial" w:eastAsia="Times New Roman" w:hAnsi="Arial" w:cs="Arial"/>
          <w:color w:val="000000"/>
          <w:sz w:val="21"/>
          <w:szCs w:val="21"/>
        </w:rPr>
      </w:pPr>
      <w:r w:rsidRPr="00973A7A">
        <w:rPr>
          <w:rFonts w:ascii="Arial" w:eastAsia="Times New Roman" w:hAnsi="Arial" w:cs="Arial"/>
          <w:b/>
          <w:bCs/>
          <w:color w:val="000000"/>
          <w:sz w:val="21"/>
          <w:szCs w:val="21"/>
        </w:rPr>
        <w:t>Descripció:</w:t>
      </w:r>
      <w:r w:rsidRPr="00973A7A">
        <w:rPr>
          <w:rFonts w:ascii="Arial" w:eastAsia="Times New Roman" w:hAnsi="Arial" w:cs="Arial"/>
          <w:color w:val="000000"/>
          <w:sz w:val="21"/>
          <w:szCs w:val="21"/>
        </w:rPr>
        <w:t xml:space="preserve"> Els fets denunciats es concretaren en:</w:t>
      </w:r>
    </w:p>
    <w:p w14:paraId="2F1F8C9C" w14:textId="77777777" w:rsidR="00973A7A" w:rsidRPr="00973A7A" w:rsidRDefault="00973A7A" w:rsidP="009100C6">
      <w:pPr>
        <w:numPr>
          <w:ilvl w:val="0"/>
          <w:numId w:val="144"/>
        </w:numPr>
        <w:spacing w:after="120" w:line="276" w:lineRule="auto"/>
        <w:ind w:left="71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 xml:space="preserve">Que la persona que ocupava el lloc de Responsable Tècnic/a de Literatura Infantil en l'empresa “Taller Digital d'Establiments de Textos Literaris i Científics S.A.”, va suspendre tots els exàmens de la borsa de treball convocada per la societat “Relacions Internacionals de la Universitat d'Alacant S.A.”. </w:t>
      </w:r>
    </w:p>
    <w:p w14:paraId="686217A2" w14:textId="77777777" w:rsidR="00973A7A" w:rsidRPr="00973A7A" w:rsidRDefault="00973A7A" w:rsidP="009100C6">
      <w:pPr>
        <w:numPr>
          <w:ilvl w:val="0"/>
          <w:numId w:val="144"/>
        </w:numPr>
        <w:spacing w:after="240" w:line="276" w:lineRule="auto"/>
        <w:jc w:val="both"/>
        <w:rPr>
          <w:rFonts w:ascii="Arial" w:eastAsia="Times New Roman" w:hAnsi="Arial" w:cs="Arial"/>
          <w:color w:val="000000"/>
          <w:sz w:val="21"/>
          <w:szCs w:val="21"/>
        </w:rPr>
      </w:pPr>
      <w:r w:rsidRPr="00973A7A">
        <w:rPr>
          <w:rFonts w:ascii="Arial" w:eastAsia="Times New Roman" w:hAnsi="Arial" w:cs="Arial"/>
          <w:color w:val="000000"/>
          <w:sz w:val="21"/>
          <w:szCs w:val="21"/>
        </w:rPr>
        <w:t>La persona que ocupa el lloc de Responsable Tècnic/a d'Hemeroteca en l'empresa “Taller Digital d'Establiments de Textos Literaris i Científics S.A.”, no es va presentar a cap convocatòria per al lloc.</w:t>
      </w:r>
    </w:p>
    <w:p w14:paraId="16318F53" w14:textId="77777777" w:rsidR="00973A7A" w:rsidRPr="00973A7A" w:rsidRDefault="00973A7A" w:rsidP="00973A7A">
      <w:pPr>
        <w:spacing w:after="240" w:line="276" w:lineRule="auto"/>
        <w:jc w:val="both"/>
        <w:rPr>
          <w:rFonts w:ascii="Arial" w:eastAsia="Times New Roman" w:hAnsi="Arial" w:cs="Arial"/>
          <w:color w:val="000000"/>
          <w:sz w:val="21"/>
          <w:szCs w:val="21"/>
        </w:rPr>
      </w:pPr>
      <w:r w:rsidRPr="00973A7A">
        <w:rPr>
          <w:rFonts w:ascii="Arial" w:eastAsia="Times New Roman" w:hAnsi="Arial" w:cs="Arial"/>
          <w:color w:val="000000"/>
          <w:sz w:val="21"/>
          <w:szCs w:val="21"/>
        </w:rPr>
        <w:t xml:space="preserve">Després de la instrucció de l'oportú procediment d'investigació, es va evidenciar: </w:t>
      </w:r>
    </w:p>
    <w:p w14:paraId="06542518" w14:textId="77777777" w:rsidR="00973A7A" w:rsidRPr="00973A7A" w:rsidRDefault="00973A7A" w:rsidP="009100C6">
      <w:pPr>
        <w:numPr>
          <w:ilvl w:val="0"/>
          <w:numId w:val="145"/>
        </w:numPr>
        <w:spacing w:after="120" w:line="276" w:lineRule="auto"/>
        <w:ind w:left="71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u w:val="single"/>
        </w:rPr>
        <w:t>Respecte a la mercantil “Relaciones Internacionals de la Universitat d'Alacant S.A.”</w:t>
      </w:r>
      <w:r w:rsidRPr="00973A7A">
        <w:rPr>
          <w:rFonts w:ascii="Arial" w:eastAsia="Times New Roman" w:hAnsi="Arial" w:cs="Arial"/>
          <w:color w:val="000000"/>
          <w:sz w:val="21"/>
          <w:szCs w:val="21"/>
        </w:rPr>
        <w:t xml:space="preserve">: </w:t>
      </w:r>
      <w:r w:rsidRPr="00973A7A">
        <w:rPr>
          <w:rFonts w:ascii="Arial" w:eastAsia="Times New Roman" w:hAnsi="Arial" w:cs="Arial"/>
          <w:b/>
          <w:bCs/>
          <w:color w:val="000000"/>
          <w:sz w:val="21"/>
          <w:szCs w:val="21"/>
        </w:rPr>
        <w:t>a)</w:t>
      </w:r>
      <w:r w:rsidRPr="00973A7A">
        <w:rPr>
          <w:rFonts w:ascii="Arial" w:eastAsia="Times New Roman" w:hAnsi="Arial" w:cs="Arial"/>
          <w:color w:val="000000"/>
          <w:sz w:val="21"/>
          <w:szCs w:val="21"/>
        </w:rPr>
        <w:t xml:space="preserve"> Que dos treballadores estaven contractades per l'empresa “Relaciones Internacionals de la Universitat d'Alacant S.A.”; des del 2/08/1999, previ a l'aprovació del conveni col·lectiu, amb contracte laboral temporal sense determinar la categoria professional, a partir del 1/10/2001 (acreditat respecte a una treballadora) amb un contracte laboral temporal a temps complet inclòs en la categoria professional 6B, </w:t>
      </w:r>
      <w:r w:rsidRPr="00973A7A">
        <w:rPr>
          <w:rFonts w:ascii="Arial" w:eastAsia="Times New Roman" w:hAnsi="Arial" w:cs="Arial"/>
          <w:b/>
          <w:bCs/>
          <w:color w:val="000000"/>
          <w:sz w:val="21"/>
          <w:szCs w:val="21"/>
        </w:rPr>
        <w:t>b)</w:t>
      </w:r>
      <w:r w:rsidRPr="00973A7A">
        <w:rPr>
          <w:rFonts w:ascii="Arial" w:eastAsia="Times New Roman" w:hAnsi="Arial" w:cs="Arial"/>
          <w:color w:val="000000"/>
          <w:sz w:val="21"/>
          <w:szCs w:val="21"/>
        </w:rPr>
        <w:t xml:space="preserve"> No consta acreditat el procediment de selecció per a l'acc2eso a l'ocupació pública del personal laboral de les treballadores i </w:t>
      </w:r>
      <w:r w:rsidRPr="00973A7A">
        <w:rPr>
          <w:rFonts w:ascii="Arial" w:eastAsia="Times New Roman" w:hAnsi="Arial" w:cs="Arial"/>
          <w:b/>
          <w:bCs/>
          <w:color w:val="000000"/>
          <w:sz w:val="21"/>
          <w:szCs w:val="21"/>
        </w:rPr>
        <w:t>c)</w:t>
      </w:r>
      <w:r w:rsidRPr="00973A7A">
        <w:rPr>
          <w:rFonts w:ascii="Arial" w:eastAsia="Times New Roman" w:hAnsi="Arial" w:cs="Arial"/>
          <w:color w:val="000000"/>
          <w:sz w:val="21"/>
          <w:szCs w:val="21"/>
        </w:rPr>
        <w:t xml:space="preserve"> No consta acreditada, respecte l'altra treballadora, la data del contracte laboral a temps complet en el lloc del grup professional 6B, la data del contracte i si el lloc estava adscrit al projecte de la Biblioteca Virtual Miguel Hernández.</w:t>
      </w:r>
    </w:p>
    <w:p w14:paraId="651FB733" w14:textId="77777777" w:rsidR="00973A7A" w:rsidRPr="00973A7A" w:rsidRDefault="00973A7A" w:rsidP="009100C6">
      <w:pPr>
        <w:numPr>
          <w:ilvl w:val="0"/>
          <w:numId w:val="145"/>
        </w:numPr>
        <w:spacing w:after="120" w:line="276" w:lineRule="auto"/>
        <w:ind w:left="71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u w:val="single"/>
        </w:rPr>
        <w:t xml:space="preserve">Respecte a l'entitat “Taller Digital d'Establiment de Textos Literaris i Científics S.A.U”: </w:t>
      </w:r>
      <w:r w:rsidRPr="00973A7A">
        <w:rPr>
          <w:rFonts w:ascii="Arial" w:eastAsia="Times New Roman" w:hAnsi="Arial" w:cs="Arial"/>
          <w:b/>
          <w:bCs/>
          <w:color w:val="000000"/>
          <w:sz w:val="21"/>
          <w:szCs w:val="21"/>
        </w:rPr>
        <w:t>a)</w:t>
      </w:r>
      <w:r w:rsidRPr="00973A7A">
        <w:rPr>
          <w:rFonts w:ascii="Arial" w:eastAsia="Times New Roman" w:hAnsi="Arial" w:cs="Arial"/>
          <w:color w:val="000000"/>
          <w:sz w:val="21"/>
          <w:szCs w:val="21"/>
        </w:rPr>
        <w:t xml:space="preserve"> En la subrogació del personal procedent de l'entitat “Relacions Internacionals de la Universitat d'Alacant SA” a “Taller Digital d'Establiment de Textos Literaris i Científics S.A.U”, per l'escissió parcial de la societat “Relacions Internacionals de la Universitat d'Alacant S.A.”, ambdós treballadores han mantingut la mateixa categoria professional, </w:t>
      </w:r>
      <w:r w:rsidRPr="00973A7A">
        <w:rPr>
          <w:rFonts w:ascii="Arial" w:eastAsia="Times New Roman" w:hAnsi="Arial" w:cs="Arial"/>
          <w:b/>
          <w:bCs/>
          <w:color w:val="000000"/>
          <w:sz w:val="21"/>
          <w:szCs w:val="21"/>
        </w:rPr>
        <w:t>b)</w:t>
      </w:r>
      <w:r w:rsidRPr="00973A7A">
        <w:rPr>
          <w:rFonts w:ascii="Arial" w:eastAsia="Times New Roman" w:hAnsi="Arial" w:cs="Arial"/>
          <w:color w:val="000000"/>
          <w:sz w:val="21"/>
          <w:szCs w:val="21"/>
        </w:rPr>
        <w:t xml:space="preserve"> Respecte a l'Expedient de Regulació d'Ocupació (ERE) instruït amb motiu de la reestructuració de la plantilla de la societat “Taller Digital d'Establiment de Textos Literaris i Científics S.A.U” (TDSA) , ha quedat acreditada la seua tramitació davant de l'Autoritat Laboral competent.</w:t>
      </w:r>
    </w:p>
    <w:p w14:paraId="0CC4032F" w14:textId="77777777" w:rsidR="00973A7A" w:rsidRPr="00973A7A" w:rsidRDefault="00973A7A" w:rsidP="009100C6">
      <w:pPr>
        <w:numPr>
          <w:ilvl w:val="0"/>
          <w:numId w:val="145"/>
        </w:numPr>
        <w:spacing w:after="240" w:line="276" w:lineRule="auto"/>
        <w:jc w:val="both"/>
        <w:rPr>
          <w:rFonts w:ascii="Arial" w:eastAsia="Times New Roman" w:hAnsi="Arial" w:cs="Arial"/>
          <w:b/>
          <w:bCs/>
          <w:color w:val="000000"/>
          <w:sz w:val="21"/>
          <w:szCs w:val="21"/>
        </w:rPr>
      </w:pPr>
      <w:r w:rsidRPr="00973A7A">
        <w:rPr>
          <w:rFonts w:ascii="Arial" w:eastAsia="Times New Roman" w:hAnsi="Arial" w:cs="Arial"/>
          <w:color w:val="000000"/>
          <w:sz w:val="21"/>
          <w:szCs w:val="21"/>
          <w:u w:val="single"/>
        </w:rPr>
        <w:t xml:space="preserve">Respecte a l'extinció de la mercantil “Taller Digital d'Establiment de Textos Literaris i Científics S.A.” i cessió de tot el personal a la Universitat d'Alacant: </w:t>
      </w:r>
      <w:r w:rsidRPr="00973A7A">
        <w:rPr>
          <w:rFonts w:ascii="Arial" w:eastAsia="Times New Roman" w:hAnsi="Arial" w:cs="Arial"/>
          <w:color w:val="000000"/>
          <w:sz w:val="21"/>
          <w:szCs w:val="21"/>
        </w:rPr>
        <w:t>Tenint la mercantil “Taller Digital d'Establiment de Textos Literaris i Científics, S.A.”; el caràcter d'entitat del sector públic instrumental de la Generalitat Valenciana, tot el personal d'esta es va integrar com a personal laboral de la “Universitat d'Alacant S.A.” (entitat cessionària) en les condicions i termes que disposa la normativa aplicable al sector públic instrumental de la Generalitat Valenciana i, per referència, segons l'article 44 de l'Estatut dels Treballadors.</w:t>
      </w:r>
    </w:p>
    <w:p w14:paraId="56BAEBE1" w14:textId="77777777" w:rsidR="00973A7A" w:rsidRPr="00973A7A" w:rsidRDefault="00973A7A" w:rsidP="00973A7A">
      <w:pPr>
        <w:spacing w:after="240" w:line="276" w:lineRule="auto"/>
        <w:jc w:val="both"/>
        <w:rPr>
          <w:rFonts w:ascii="Arial" w:eastAsia="Times New Roman" w:hAnsi="Arial" w:cs="Arial"/>
          <w:i/>
          <w:iCs/>
          <w:color w:val="000000"/>
          <w:sz w:val="21"/>
          <w:szCs w:val="21"/>
        </w:rPr>
      </w:pPr>
      <w:r w:rsidRPr="00973A7A">
        <w:rPr>
          <w:rFonts w:ascii="Arial" w:eastAsia="Times New Roman" w:hAnsi="Arial" w:cs="Arial"/>
          <w:b/>
          <w:bCs/>
          <w:color w:val="000000"/>
          <w:sz w:val="21"/>
          <w:szCs w:val="21"/>
        </w:rPr>
        <w:t>Resultat:</w:t>
      </w:r>
      <w:r w:rsidRPr="00973A7A">
        <w:rPr>
          <w:rFonts w:ascii="Arial" w:eastAsia="Times New Roman" w:hAnsi="Arial" w:cs="Arial"/>
          <w:color w:val="000000"/>
          <w:sz w:val="21"/>
          <w:szCs w:val="21"/>
        </w:rPr>
        <w:t xml:space="preserve"> Finalització de la investigació amb arxiu sense recomanacions.</w:t>
      </w:r>
    </w:p>
    <w:p w14:paraId="5BF7ED5B" w14:textId="77777777" w:rsidR="00973A7A" w:rsidRPr="00973A7A" w:rsidRDefault="00973A7A" w:rsidP="00973A7A">
      <w:pPr>
        <w:spacing w:after="240" w:line="276" w:lineRule="auto"/>
        <w:jc w:val="both"/>
        <w:rPr>
          <w:rFonts w:ascii="Arial" w:eastAsia="Times New Roman" w:hAnsi="Arial" w:cs="Arial"/>
          <w:color w:val="000000"/>
          <w:sz w:val="21"/>
          <w:szCs w:val="21"/>
        </w:rPr>
      </w:pPr>
      <w:r w:rsidRPr="00973A7A">
        <w:rPr>
          <w:rFonts w:ascii="Arial" w:eastAsia="Times New Roman" w:hAnsi="Arial" w:cs="Arial"/>
          <w:b/>
          <w:bCs/>
          <w:color w:val="000000"/>
          <w:sz w:val="21"/>
          <w:szCs w:val="21"/>
        </w:rPr>
        <w:t xml:space="preserve">Fase de seguiment: </w:t>
      </w:r>
      <w:r w:rsidRPr="00973A7A">
        <w:rPr>
          <w:rFonts w:ascii="Arial" w:eastAsia="Times New Roman" w:hAnsi="Arial" w:cs="Arial"/>
          <w:color w:val="000000"/>
          <w:sz w:val="21"/>
          <w:szCs w:val="21"/>
        </w:rPr>
        <w:t>No procedeix.</w:t>
      </w:r>
    </w:p>
    <w:p w14:paraId="0DE8BCF0" w14:textId="77777777" w:rsidR="00973A7A" w:rsidRPr="00973A7A" w:rsidRDefault="00973A7A" w:rsidP="00973A7A">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00" w:name="_Toc99110778"/>
      <w:r w:rsidRPr="00973A7A">
        <w:rPr>
          <w:rFonts w:ascii="Arial" w:eastAsia="Times New Roman" w:hAnsi="Arial" w:cs="Arial"/>
          <w:b/>
          <w:color w:val="9D2235"/>
          <w:sz w:val="28"/>
          <w:szCs w:val="28"/>
        </w:rPr>
        <w:t>Denominació: Ajuntament de Pedralba. Irregularitats en matèria de retribucions de càrrecs electes, productivitats d'empleats/ades públics/ques, contractació administrativa i accés a la funció pública</w:t>
      </w:r>
      <w:bookmarkEnd w:id="300"/>
    </w:p>
    <w:p w14:paraId="34A4F085" w14:textId="77777777" w:rsidR="00973A7A" w:rsidRPr="00973A7A" w:rsidRDefault="00973A7A" w:rsidP="005272C3">
      <w:pPr>
        <w:spacing w:after="240" w:line="276" w:lineRule="auto"/>
        <w:jc w:val="both"/>
        <w:rPr>
          <w:rFonts w:ascii="Arial" w:eastAsia="Times New Roman" w:hAnsi="Arial" w:cs="Arial"/>
          <w:color w:val="000000"/>
          <w:sz w:val="21"/>
          <w:szCs w:val="21"/>
        </w:rPr>
      </w:pPr>
      <w:r w:rsidRPr="00973A7A">
        <w:rPr>
          <w:rFonts w:ascii="Arial" w:eastAsia="Times New Roman" w:hAnsi="Arial" w:cs="Arial"/>
          <w:b/>
          <w:bCs/>
          <w:color w:val="000000"/>
          <w:sz w:val="21"/>
          <w:szCs w:val="21"/>
        </w:rPr>
        <w:t>Expedient:</w:t>
      </w:r>
      <w:r w:rsidRPr="00973A7A">
        <w:rPr>
          <w:rFonts w:ascii="Arial" w:eastAsia="Times New Roman" w:hAnsi="Arial" w:cs="Arial"/>
          <w:color w:val="000000"/>
          <w:sz w:val="21"/>
          <w:szCs w:val="21"/>
        </w:rPr>
        <w:t xml:space="preserve"> 2020/G01_02/000035</w:t>
      </w:r>
    </w:p>
    <w:p w14:paraId="1A420F06" w14:textId="77777777" w:rsidR="00973A7A" w:rsidRPr="00973A7A" w:rsidRDefault="00973A7A" w:rsidP="00973A7A">
      <w:pPr>
        <w:spacing w:after="240" w:line="276" w:lineRule="auto"/>
        <w:rPr>
          <w:rFonts w:ascii="Arial" w:eastAsia="Times New Roman" w:hAnsi="Arial" w:cs="Arial"/>
          <w:sz w:val="21"/>
          <w:szCs w:val="21"/>
          <w:lang w:eastAsia="es-ES"/>
        </w:rPr>
      </w:pPr>
      <w:r w:rsidRPr="00973A7A">
        <w:rPr>
          <w:rFonts w:ascii="Arial" w:eastAsia="Times New Roman" w:hAnsi="Arial" w:cs="Arial"/>
          <w:b/>
          <w:bCs/>
          <w:sz w:val="21"/>
          <w:szCs w:val="21"/>
        </w:rPr>
        <w:t>Enllaç a la publicació:</w:t>
      </w:r>
      <w:r w:rsidRPr="00973A7A">
        <w:rPr>
          <w:rFonts w:ascii="Arial" w:eastAsia="Times New Roman" w:hAnsi="Arial" w:cs="Arial"/>
          <w:b/>
          <w:bCs/>
          <w:sz w:val="21"/>
          <w:szCs w:val="21"/>
        </w:rPr>
        <w:br/>
      </w:r>
      <w:hyperlink r:id="rId475" w:history="1">
        <w:r w:rsidRPr="00973A7A">
          <w:rPr>
            <w:rFonts w:ascii="Arial" w:eastAsia="Times New Roman" w:hAnsi="Arial" w:cs="Arial"/>
            <w:color w:val="000080"/>
            <w:sz w:val="18"/>
            <w:szCs w:val="18"/>
            <w:u w:val="single"/>
            <w:lang w:eastAsia="es-ES"/>
          </w:rPr>
          <w:t>https://www.antifraucv.es/wp-content/uploads/2021/10/20211026_AJUNTAMENT_DE_PEDRALBA.pdf</w:t>
        </w:r>
      </w:hyperlink>
    </w:p>
    <w:p w14:paraId="7DBDCF50" w14:textId="77777777" w:rsidR="00973A7A" w:rsidRPr="00973A7A" w:rsidRDefault="00973A7A" w:rsidP="00973A7A">
      <w:pPr>
        <w:spacing w:after="240" w:line="276" w:lineRule="auto"/>
        <w:jc w:val="both"/>
        <w:rPr>
          <w:rFonts w:ascii="Arial" w:eastAsia="Times New Roman" w:hAnsi="Arial" w:cs="Arial"/>
          <w:color w:val="000000"/>
          <w:sz w:val="21"/>
          <w:szCs w:val="21"/>
        </w:rPr>
      </w:pPr>
      <w:r w:rsidRPr="00973A7A">
        <w:rPr>
          <w:rFonts w:ascii="Arial" w:eastAsia="Times New Roman" w:hAnsi="Arial" w:cs="Arial"/>
          <w:b/>
          <w:bCs/>
          <w:color w:val="000000"/>
          <w:sz w:val="21"/>
          <w:szCs w:val="21"/>
        </w:rPr>
        <w:t>Descripció:</w:t>
      </w:r>
      <w:r w:rsidRPr="00973A7A">
        <w:rPr>
          <w:rFonts w:ascii="Arial" w:eastAsia="Times New Roman" w:hAnsi="Arial" w:cs="Arial"/>
          <w:color w:val="000000"/>
          <w:sz w:val="21"/>
          <w:szCs w:val="21"/>
        </w:rPr>
        <w:t xml:space="preserve"> S'alerta sobre distintes irregularitats en l'Ajuntament de Pedralba, sobre diverses matèries (retribucions de càrrecs electes, productivitats d'empleats/des públics/ques, contractació administrativa i accés a la funció pública). </w:t>
      </w:r>
    </w:p>
    <w:p w14:paraId="75C72C4A" w14:textId="77777777" w:rsidR="00973A7A" w:rsidRPr="00973A7A" w:rsidRDefault="00973A7A" w:rsidP="00973A7A">
      <w:pPr>
        <w:spacing w:after="240" w:line="276" w:lineRule="auto"/>
        <w:jc w:val="both"/>
        <w:rPr>
          <w:rFonts w:ascii="Arial" w:eastAsia="Times New Roman" w:hAnsi="Arial" w:cs="Arial"/>
          <w:color w:val="000000"/>
          <w:sz w:val="21"/>
          <w:szCs w:val="21"/>
        </w:rPr>
      </w:pPr>
      <w:r w:rsidRPr="00973A7A">
        <w:rPr>
          <w:rFonts w:ascii="Arial" w:eastAsia="Times New Roman" w:hAnsi="Arial" w:cs="Arial"/>
          <w:color w:val="000000"/>
          <w:sz w:val="21"/>
          <w:szCs w:val="21"/>
        </w:rPr>
        <w:t>Després de la instrucció de l'oportú procediment d'investigació, es conclou que han sigut constatades les següents irregularitats:</w:t>
      </w:r>
    </w:p>
    <w:p w14:paraId="74FB1960" w14:textId="77777777" w:rsidR="00973A7A" w:rsidRPr="00973A7A" w:rsidRDefault="00973A7A" w:rsidP="009100C6">
      <w:pPr>
        <w:numPr>
          <w:ilvl w:val="0"/>
          <w:numId w:val="147"/>
        </w:numPr>
        <w:spacing w:after="120" w:line="276" w:lineRule="auto"/>
        <w:ind w:left="71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Percepció de retribucions fixes i periòdiques en favor de càrrecs electes fora del règim de la dedicació exclusiva o parcial, sense alta en la seguretat social, havent-les simultaniejat, així mateix, amb la percepció pels mateixos càrrecs electes, d'indemnitzacions per assistència a òrgans col·legiats (1.780,00 €).</w:t>
      </w:r>
    </w:p>
    <w:p w14:paraId="600979E0" w14:textId="77777777" w:rsidR="00973A7A" w:rsidRPr="00973A7A" w:rsidRDefault="00973A7A" w:rsidP="009100C6">
      <w:pPr>
        <w:numPr>
          <w:ilvl w:val="0"/>
          <w:numId w:val="147"/>
        </w:numPr>
        <w:spacing w:after="120" w:line="276" w:lineRule="auto"/>
        <w:ind w:left="71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El pagament de productivitats a personal funcionari i laboral de forma irregular, al no tindre motivació i sense que s'hagen establit criteris objectius per a l'establiment de les dites productivitats (24.296,11 €).</w:t>
      </w:r>
    </w:p>
    <w:p w14:paraId="669565E8" w14:textId="77777777" w:rsidR="00973A7A" w:rsidRPr="00973A7A" w:rsidRDefault="00973A7A" w:rsidP="009100C6">
      <w:pPr>
        <w:numPr>
          <w:ilvl w:val="0"/>
          <w:numId w:val="147"/>
        </w:numPr>
        <w:spacing w:after="120" w:line="276" w:lineRule="auto"/>
        <w:ind w:left="71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Adjudicació de fet de les instal·lacions municipals per a la seua explotació sense concurs públic (pistes de pàdel i tenis).</w:t>
      </w:r>
    </w:p>
    <w:p w14:paraId="0C7365D4" w14:textId="77777777" w:rsidR="00973A7A" w:rsidRPr="00973A7A" w:rsidRDefault="00973A7A" w:rsidP="009100C6">
      <w:pPr>
        <w:numPr>
          <w:ilvl w:val="0"/>
          <w:numId w:val="147"/>
        </w:numPr>
        <w:spacing w:after="240" w:line="276" w:lineRule="auto"/>
        <w:jc w:val="both"/>
        <w:rPr>
          <w:rFonts w:ascii="Arial" w:eastAsia="Times New Roman" w:hAnsi="Arial" w:cs="Arial"/>
          <w:color w:val="000000"/>
          <w:sz w:val="21"/>
          <w:szCs w:val="21"/>
        </w:rPr>
      </w:pPr>
      <w:r w:rsidRPr="00973A7A">
        <w:rPr>
          <w:rFonts w:ascii="Arial" w:eastAsia="Times New Roman" w:hAnsi="Arial" w:cs="Arial"/>
          <w:color w:val="000000"/>
          <w:sz w:val="21"/>
          <w:szCs w:val="21"/>
        </w:rPr>
        <w:t>Contractació de personal sense procés selectiu.</w:t>
      </w:r>
    </w:p>
    <w:p w14:paraId="421622BF" w14:textId="77777777" w:rsidR="00973A7A" w:rsidRPr="00973A7A" w:rsidRDefault="00973A7A" w:rsidP="00973A7A">
      <w:pPr>
        <w:spacing w:after="240" w:line="276" w:lineRule="auto"/>
        <w:jc w:val="both"/>
        <w:rPr>
          <w:rFonts w:ascii="Arial" w:eastAsia="Times New Roman" w:hAnsi="Arial" w:cs="Arial"/>
          <w:color w:val="000000"/>
          <w:sz w:val="21"/>
          <w:szCs w:val="21"/>
        </w:rPr>
      </w:pPr>
      <w:r w:rsidRPr="00973A7A">
        <w:rPr>
          <w:rFonts w:ascii="Arial" w:eastAsia="Times New Roman" w:hAnsi="Arial" w:cs="Arial"/>
          <w:b/>
          <w:bCs/>
          <w:color w:val="000000"/>
          <w:sz w:val="21"/>
          <w:szCs w:val="21"/>
        </w:rPr>
        <w:t xml:space="preserve">Resultat: </w:t>
      </w:r>
      <w:r w:rsidRPr="00973A7A">
        <w:rPr>
          <w:rFonts w:ascii="Arial" w:eastAsia="Times New Roman" w:hAnsi="Arial" w:cs="Arial"/>
          <w:color w:val="000000"/>
          <w:sz w:val="21"/>
          <w:szCs w:val="21"/>
        </w:rPr>
        <w:t>Finalització de la investigació amb recomanacions:</w:t>
      </w:r>
    </w:p>
    <w:p w14:paraId="663FE415" w14:textId="77777777" w:rsidR="00973A7A" w:rsidRPr="00973A7A" w:rsidRDefault="00973A7A" w:rsidP="009100C6">
      <w:pPr>
        <w:numPr>
          <w:ilvl w:val="0"/>
          <w:numId w:val="146"/>
        </w:numPr>
        <w:spacing w:after="120" w:line="276" w:lineRule="auto"/>
        <w:ind w:left="709"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En relació amb la percepció de contraprestacions econòmiques per part dels membres de la Corporació [3 / 6 mesos]:</w:t>
      </w:r>
    </w:p>
    <w:p w14:paraId="3C1DECA5" w14:textId="77777777" w:rsidR="00973A7A" w:rsidRPr="00973A7A" w:rsidRDefault="00973A7A" w:rsidP="00973A7A">
      <w:pPr>
        <w:numPr>
          <w:ilvl w:val="0"/>
          <w:numId w:val="83"/>
        </w:numPr>
        <w:spacing w:after="120" w:line="276" w:lineRule="auto"/>
        <w:ind w:left="113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Tramitar procediment de revisió d'ofici de l'acord plenari, pel qual es van establir les assignacions als membres de la corporació que no exercisquen el càrrec en règim de dedicació exclusiva ni parcial, al no tindre randa legal en cap dels apartats del citat art. 75 de la Llei 7/8, deixant sense efecte tals assignacions, o, si és el cas, transformar-les en dedicacions parcials, amb alta en el règim general de la seguretat social, incompatibles amb la percepció d'indemnitzacions per la concurrència efectiva a les sessions dels òrgans col·legiats i resta de condicions aplicables a la mateixa.</w:t>
      </w:r>
    </w:p>
    <w:p w14:paraId="630C48CF" w14:textId="116E75E8" w:rsidR="00973A7A" w:rsidRPr="00973A7A" w:rsidRDefault="00973A7A" w:rsidP="00973A7A">
      <w:pPr>
        <w:numPr>
          <w:ilvl w:val="0"/>
          <w:numId w:val="83"/>
        </w:numPr>
        <w:spacing w:after="120" w:line="276" w:lineRule="auto"/>
        <w:ind w:left="113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En relació amb les retribucions ja reconegudes, regularitzar les obligacions amb la seguretat social per les assignacions percebudes (estimació de 39.829,74 €)</w:t>
      </w:r>
      <w:r w:rsidR="005E38EB">
        <w:rPr>
          <w:rFonts w:ascii="Arial" w:eastAsia="Times New Roman" w:hAnsi="Arial" w:cs="Arial"/>
          <w:color w:val="000000"/>
          <w:sz w:val="21"/>
          <w:szCs w:val="21"/>
        </w:rPr>
        <w:t>,</w:t>
      </w:r>
      <w:r w:rsidRPr="00973A7A">
        <w:rPr>
          <w:rFonts w:ascii="Arial" w:eastAsia="Times New Roman" w:hAnsi="Arial" w:cs="Arial"/>
          <w:color w:val="000000"/>
          <w:sz w:val="21"/>
          <w:szCs w:val="21"/>
        </w:rPr>
        <w:t xml:space="preserve"> instant la devolució de les quantitats que procedisca indegudament pagades, en concepte d'indemnitzacions per la concurrència efectiva a les sessions dels òrgans col·legiats (1.780,00 €).</w:t>
      </w:r>
    </w:p>
    <w:p w14:paraId="6952295A" w14:textId="77777777" w:rsidR="00973A7A" w:rsidRPr="00973A7A" w:rsidRDefault="00973A7A" w:rsidP="00973A7A">
      <w:pPr>
        <w:numPr>
          <w:ilvl w:val="0"/>
          <w:numId w:val="83"/>
        </w:numPr>
        <w:spacing w:after="120" w:line="276" w:lineRule="auto"/>
        <w:ind w:left="1134"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Publicació en fonts obertes municipals de totes les retribucions percebudes pels càrrecs electes.</w:t>
      </w:r>
    </w:p>
    <w:p w14:paraId="10096114" w14:textId="77777777" w:rsidR="00973A7A" w:rsidRPr="00973A7A" w:rsidRDefault="00973A7A" w:rsidP="009100C6">
      <w:pPr>
        <w:numPr>
          <w:ilvl w:val="0"/>
          <w:numId w:val="146"/>
        </w:numPr>
        <w:spacing w:after="120" w:line="276" w:lineRule="auto"/>
        <w:ind w:left="709"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En relació amb la percepció de productivitats [3 / 6 mesos]: L'aprovació d'un Reglament de Productivitats i establiment d'un Pla per a la seua Implementació, si és el cas, la regularització de les productivitats recurrents a través de la RPT, acreditació dels increments retributius no justificats o regularització, si és el cas.</w:t>
      </w:r>
    </w:p>
    <w:p w14:paraId="52DDE7A6" w14:textId="77777777" w:rsidR="00973A7A" w:rsidRPr="00973A7A" w:rsidRDefault="00973A7A" w:rsidP="009100C6">
      <w:pPr>
        <w:numPr>
          <w:ilvl w:val="0"/>
          <w:numId w:val="146"/>
        </w:numPr>
        <w:spacing w:after="120" w:line="276" w:lineRule="auto"/>
        <w:ind w:left="709"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En relació amb l'adjudicació de fet d'instal·lacions municipals sense concurs públic (pistes de tenis i pàdel) [20 dies]: Acreditació de la formalització de les noves contractacions tramitades.</w:t>
      </w:r>
    </w:p>
    <w:p w14:paraId="260CABAA" w14:textId="77777777" w:rsidR="00973A7A" w:rsidRPr="00973A7A" w:rsidRDefault="00973A7A" w:rsidP="009100C6">
      <w:pPr>
        <w:numPr>
          <w:ilvl w:val="0"/>
          <w:numId w:val="146"/>
        </w:numPr>
        <w:spacing w:after="120" w:line="276" w:lineRule="auto"/>
        <w:ind w:left="709"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En relació amb l'adjudicació de fet d'instal·lacions municipals sense concurs públic (gimnàs, bar del poliesportiu i piscina) [3 mesos]: Implementació d'un pla d'actuacions, amb l'objectiu final d'atorgar cobertura contractual a estos servicis, així com d'atorgar la cobertura fiscal (aprovació de la taxa de l'entrada a la piscina municipal i l'ordenança fiscal reguladora de la mateixa, en cas de gestió directa municipal de la mateixa).</w:t>
      </w:r>
    </w:p>
    <w:p w14:paraId="4F2262DC" w14:textId="77777777" w:rsidR="00973A7A" w:rsidRPr="00973A7A" w:rsidRDefault="00973A7A" w:rsidP="009100C6">
      <w:pPr>
        <w:numPr>
          <w:ilvl w:val="0"/>
          <w:numId w:val="146"/>
        </w:numPr>
        <w:spacing w:after="120" w:line="276" w:lineRule="auto"/>
        <w:ind w:left="709"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En relació amb la prestació de servicis de neteja viària sense contractació licitada [sense seguiment]: En cas d'utilització del contracte menor, per tractar-se de necessitats no periòdiques ni repetitives, hauran de seguir-se els requisits legals.</w:t>
      </w:r>
    </w:p>
    <w:p w14:paraId="75378469" w14:textId="77777777" w:rsidR="00973A7A" w:rsidRPr="00973A7A" w:rsidRDefault="00973A7A" w:rsidP="009100C6">
      <w:pPr>
        <w:numPr>
          <w:ilvl w:val="0"/>
          <w:numId w:val="146"/>
        </w:numPr>
        <w:spacing w:after="120" w:line="276" w:lineRule="auto"/>
        <w:ind w:left="709" w:hanging="357"/>
        <w:jc w:val="both"/>
        <w:rPr>
          <w:rFonts w:ascii="Arial" w:eastAsia="Times New Roman" w:hAnsi="Arial" w:cs="Arial"/>
          <w:color w:val="000000"/>
          <w:sz w:val="21"/>
          <w:szCs w:val="21"/>
        </w:rPr>
      </w:pPr>
      <w:r w:rsidRPr="00973A7A">
        <w:rPr>
          <w:rFonts w:ascii="Arial" w:eastAsia="Times New Roman" w:hAnsi="Arial" w:cs="Arial"/>
          <w:color w:val="000000"/>
          <w:sz w:val="21"/>
          <w:szCs w:val="21"/>
        </w:rPr>
        <w:t>En relació amb la contractació de personal sense procés selectiu [3 mesos]: Implementació d'un pla d'actuacions, amb l'objectiu final d'atorgar cobertura a les contractacions de personal objecte de la investigació i esmenar totes les irregularitats constatades.</w:t>
      </w:r>
    </w:p>
    <w:p w14:paraId="6DDF9EF6" w14:textId="77777777" w:rsidR="00973A7A" w:rsidRPr="00973A7A" w:rsidRDefault="00973A7A" w:rsidP="009100C6">
      <w:pPr>
        <w:numPr>
          <w:ilvl w:val="0"/>
          <w:numId w:val="146"/>
        </w:numPr>
        <w:spacing w:after="240" w:line="276" w:lineRule="auto"/>
        <w:ind w:left="709"/>
        <w:jc w:val="both"/>
        <w:rPr>
          <w:rFonts w:ascii="Arial" w:eastAsia="Times New Roman" w:hAnsi="Arial" w:cs="Arial"/>
          <w:b/>
          <w:color w:val="000000"/>
          <w:sz w:val="21"/>
          <w:szCs w:val="21"/>
        </w:rPr>
      </w:pPr>
      <w:r w:rsidRPr="00973A7A">
        <w:rPr>
          <w:rFonts w:ascii="Arial" w:eastAsia="Times New Roman" w:hAnsi="Arial" w:cs="Arial"/>
          <w:color w:val="000000"/>
          <w:sz w:val="21"/>
          <w:szCs w:val="21"/>
        </w:rPr>
        <w:t>En relació amb qüestions economicofinanceres i de control de les despeses [sense seguiment]: Tots els expedients que comporten despesa hauran d'incloure els informes preceptius previs de fiscalització o intervenció, excepte en els casos expressament exclosos en la normativa aplicable. Això, sense que puga ser tractada la funció interventora preceptiva prèvia com un tràmit formal o una mera qüestió procedimental, sinó un tràmit essencial en la tramitació de la despesa, tal com establix la normativa aplicable.</w:t>
      </w:r>
    </w:p>
    <w:p w14:paraId="36E23615" w14:textId="77777777" w:rsidR="00973A7A" w:rsidRPr="00973A7A" w:rsidRDefault="00973A7A" w:rsidP="00973A7A">
      <w:pPr>
        <w:spacing w:after="240" w:line="276" w:lineRule="auto"/>
        <w:jc w:val="both"/>
        <w:rPr>
          <w:rFonts w:ascii="Arial" w:eastAsia="Times New Roman" w:hAnsi="Arial" w:cs="Arial"/>
          <w:color w:val="000000"/>
          <w:sz w:val="21"/>
          <w:szCs w:val="21"/>
        </w:rPr>
      </w:pPr>
      <w:r w:rsidRPr="00973A7A">
        <w:rPr>
          <w:rFonts w:ascii="Arial" w:eastAsia="Times New Roman" w:hAnsi="Arial" w:cs="Arial"/>
          <w:b/>
          <w:bCs/>
          <w:color w:val="000000"/>
          <w:sz w:val="21"/>
          <w:szCs w:val="21"/>
        </w:rPr>
        <w:t xml:space="preserve">Fase de seguiment: </w:t>
      </w:r>
      <w:r w:rsidRPr="00973A7A">
        <w:rPr>
          <w:rFonts w:ascii="Arial" w:eastAsia="Times New Roman" w:hAnsi="Arial" w:cs="Arial"/>
          <w:color w:val="000000"/>
          <w:sz w:val="21"/>
          <w:szCs w:val="21"/>
        </w:rPr>
        <w:t>En tràmit.</w:t>
      </w:r>
    </w:p>
    <w:p w14:paraId="7DA815BE" w14:textId="77777777" w:rsidR="00551363" w:rsidRPr="00551363" w:rsidRDefault="00551363" w:rsidP="0055136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01" w:name="_Toc95209104"/>
      <w:bookmarkStart w:id="302" w:name="_Toc95913896"/>
      <w:bookmarkStart w:id="303" w:name="_Toc99110779"/>
      <w:r w:rsidRPr="00551363">
        <w:rPr>
          <w:rFonts w:ascii="Arial" w:eastAsia="Times New Roman" w:hAnsi="Arial" w:cs="Arial"/>
          <w:b/>
          <w:color w:val="9D2235"/>
          <w:sz w:val="28"/>
          <w:szCs w:val="28"/>
        </w:rPr>
        <w:t>Denominació: Ajuntament de Canet d’en Berenguer. Conflictes d’interés</w:t>
      </w:r>
      <w:bookmarkEnd w:id="301"/>
      <w:bookmarkEnd w:id="302"/>
      <w:bookmarkEnd w:id="303"/>
    </w:p>
    <w:p w14:paraId="34571C53" w14:textId="6DA29106" w:rsidR="00551363" w:rsidRPr="00551363" w:rsidRDefault="00551363" w:rsidP="005272C3">
      <w:pPr>
        <w:spacing w:after="240" w:line="276" w:lineRule="auto"/>
        <w:jc w:val="both"/>
        <w:rPr>
          <w:rFonts w:ascii="Arial" w:eastAsia="Times New Roman" w:hAnsi="Arial" w:cs="Arial"/>
          <w:color w:val="000000"/>
          <w:sz w:val="21"/>
          <w:szCs w:val="21"/>
        </w:rPr>
      </w:pPr>
      <w:r w:rsidRPr="00551363">
        <w:rPr>
          <w:rFonts w:ascii="Arial" w:eastAsia="Times New Roman" w:hAnsi="Arial" w:cs="Arial"/>
          <w:b/>
          <w:bCs/>
          <w:color w:val="000000"/>
          <w:sz w:val="21"/>
          <w:szCs w:val="21"/>
        </w:rPr>
        <w:t>Expedient:</w:t>
      </w:r>
      <w:r w:rsidRPr="00551363">
        <w:rPr>
          <w:rFonts w:ascii="Arial" w:eastAsia="Times New Roman" w:hAnsi="Arial" w:cs="Arial"/>
          <w:color w:val="000000"/>
          <w:sz w:val="21"/>
          <w:szCs w:val="21"/>
        </w:rPr>
        <w:t xml:space="preserve"> 2021/G01_02/000021 - Acumula</w:t>
      </w:r>
      <w:r w:rsidR="005272C3">
        <w:rPr>
          <w:rFonts w:ascii="Arial" w:eastAsia="Times New Roman" w:hAnsi="Arial" w:cs="Arial"/>
          <w:color w:val="000000"/>
          <w:sz w:val="21"/>
          <w:szCs w:val="21"/>
        </w:rPr>
        <w:t>t</w:t>
      </w:r>
      <w:r w:rsidRPr="00551363">
        <w:rPr>
          <w:rFonts w:ascii="Arial" w:eastAsia="Times New Roman" w:hAnsi="Arial" w:cs="Arial"/>
          <w:color w:val="000000"/>
          <w:sz w:val="21"/>
          <w:szCs w:val="21"/>
        </w:rPr>
        <w:t xml:space="preserve"> 2021/G01_02/000046</w:t>
      </w:r>
    </w:p>
    <w:p w14:paraId="7C32B9F7" w14:textId="77777777" w:rsidR="00551363" w:rsidRPr="00551363" w:rsidRDefault="00551363" w:rsidP="00551363">
      <w:pPr>
        <w:spacing w:after="240" w:line="276" w:lineRule="auto"/>
        <w:rPr>
          <w:rFonts w:ascii="Arial" w:eastAsia="Times New Roman" w:hAnsi="Arial" w:cs="Arial"/>
          <w:sz w:val="15"/>
          <w:szCs w:val="15"/>
          <w:lang w:eastAsia="es-ES"/>
        </w:rPr>
      </w:pPr>
      <w:r w:rsidRPr="00551363">
        <w:rPr>
          <w:rFonts w:ascii="Arial" w:eastAsia="Times New Roman" w:hAnsi="Arial" w:cs="Arial"/>
          <w:b/>
          <w:bCs/>
          <w:sz w:val="21"/>
          <w:szCs w:val="21"/>
        </w:rPr>
        <w:t>Enllaç a la publicació:</w:t>
      </w:r>
      <w:r w:rsidRPr="00551363">
        <w:rPr>
          <w:rFonts w:ascii="Arial" w:eastAsia="Times New Roman" w:hAnsi="Arial" w:cs="Arial"/>
          <w:b/>
          <w:bCs/>
          <w:sz w:val="21"/>
          <w:szCs w:val="21"/>
        </w:rPr>
        <w:br/>
      </w:r>
      <w:hyperlink r:id="rId476" w:history="1">
        <w:r w:rsidRPr="00551363">
          <w:rPr>
            <w:rFonts w:ascii="Arial" w:eastAsia="Times New Roman" w:hAnsi="Arial" w:cs="Arial"/>
            <w:color w:val="000080"/>
            <w:sz w:val="15"/>
            <w:szCs w:val="15"/>
            <w:u w:val="single"/>
            <w:lang w:eastAsia="es-ES"/>
          </w:rPr>
          <w:t>https://www.antifraucv.es/wp-content/uploads/2021/11/202117011-AJUNTAMENT-DE-CANET-DEN-BERENGUER.pdf</w:t>
        </w:r>
      </w:hyperlink>
    </w:p>
    <w:p w14:paraId="7F916B38" w14:textId="77777777" w:rsidR="00551363" w:rsidRP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b/>
          <w:bCs/>
          <w:color w:val="000000"/>
          <w:sz w:val="21"/>
          <w:szCs w:val="21"/>
        </w:rPr>
        <w:t>Descripció</w:t>
      </w:r>
      <w:r w:rsidRPr="00551363">
        <w:rPr>
          <w:rFonts w:ascii="Arial" w:eastAsia="Times New Roman" w:hAnsi="Arial" w:cs="Arial"/>
          <w:color w:val="000000"/>
          <w:sz w:val="21"/>
          <w:szCs w:val="21"/>
        </w:rPr>
        <w:t xml:space="preserve">: S'analitza la comissió de presumptes irregularitats en l'adjudicació de contractes administratius a persones que mantenen afinitat familiar i política amb càrrecs públics d'eixa administració local, podent incórrer en supòsits de conflicte d'interés. </w:t>
      </w:r>
    </w:p>
    <w:p w14:paraId="08CB3E4E" w14:textId="77777777" w:rsidR="00551363" w:rsidRP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color w:val="000000"/>
          <w:sz w:val="21"/>
          <w:szCs w:val="21"/>
        </w:rPr>
        <w:t>En relació amb els expedients de contractació analitzats, no s'aprecia conflicte d'interés al no concórrer cap dels supòsits de prohibició de contractar que determina la normativa contractual.</w:t>
      </w:r>
    </w:p>
    <w:p w14:paraId="7821ECA8" w14:textId="77777777" w:rsidR="00551363" w:rsidRP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color w:val="000000"/>
          <w:sz w:val="21"/>
          <w:szCs w:val="21"/>
        </w:rPr>
        <w:t>En els expedients de contractes menors remesos no consta informe de necessitat de la contractació, no s'aporten els informes preceptius justificant de manera motivada la necessitat del contracte i que no s'està alterant el seu objecte (art 118.1 de la LCSP) , fent amb això al·lusió a evitar el seu fraccionament. Igualment, en l'exercici 2019, per a la factura L01460826-FACT-2020-56, no s'aporta documentació administrativa, per la qual cosa no va ser tramitat expedient de contractació previ al seu pagament.</w:t>
      </w:r>
    </w:p>
    <w:p w14:paraId="4880DD52" w14:textId="77777777" w:rsidR="00551363" w:rsidRP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b/>
          <w:bCs/>
          <w:color w:val="000000"/>
          <w:sz w:val="21"/>
          <w:szCs w:val="21"/>
        </w:rPr>
        <w:t>Resultat</w:t>
      </w:r>
      <w:r w:rsidRPr="00551363">
        <w:rPr>
          <w:rFonts w:ascii="Arial" w:eastAsia="Times New Roman" w:hAnsi="Arial" w:cs="Arial"/>
          <w:color w:val="000000"/>
          <w:sz w:val="21"/>
          <w:szCs w:val="21"/>
        </w:rPr>
        <w:t>: Es finalitza l’expedient amb les següents recomanacions:</w:t>
      </w:r>
    </w:p>
    <w:p w14:paraId="12B76909" w14:textId="77777777" w:rsidR="00551363" w:rsidRPr="00551363" w:rsidRDefault="00551363" w:rsidP="009100C6">
      <w:pPr>
        <w:numPr>
          <w:ilvl w:val="0"/>
          <w:numId w:val="148"/>
        </w:numPr>
        <w:spacing w:after="120" w:line="276" w:lineRule="auto"/>
        <w:ind w:left="709" w:hanging="357"/>
        <w:jc w:val="both"/>
        <w:rPr>
          <w:rFonts w:ascii="Arial" w:eastAsia="Times New Roman" w:hAnsi="Arial" w:cs="Arial"/>
          <w:color w:val="000000"/>
          <w:sz w:val="21"/>
          <w:szCs w:val="21"/>
        </w:rPr>
      </w:pPr>
      <w:r w:rsidRPr="00551363">
        <w:rPr>
          <w:rFonts w:ascii="Arial" w:eastAsia="Times New Roman" w:hAnsi="Arial" w:cs="Arial"/>
          <w:color w:val="000000"/>
          <w:sz w:val="21"/>
          <w:szCs w:val="21"/>
        </w:rPr>
        <w:t>L'omissió dels informes preceptius de l'òrgan de contractació, justificant de manera motivada la necessitat del contracte i que no s'està alterant el seu objecte, a fi d'evitar l'aplicació dels llindars descrits en l'article 118 de la Llei 9/2017, suposa un vici d'anul·labilitat, per la qual cosa procediria el seu convalidació per mitjà de la incorporació dels informes corresponents.</w:t>
      </w:r>
    </w:p>
    <w:p w14:paraId="2145345F" w14:textId="77777777" w:rsidR="00551363" w:rsidRPr="00551363" w:rsidRDefault="00551363" w:rsidP="009100C6">
      <w:pPr>
        <w:numPr>
          <w:ilvl w:val="0"/>
          <w:numId w:val="148"/>
        </w:numPr>
        <w:spacing w:after="240" w:line="276" w:lineRule="auto"/>
        <w:ind w:left="709"/>
        <w:jc w:val="both"/>
        <w:rPr>
          <w:rFonts w:ascii="Arial" w:eastAsia="Times New Roman" w:hAnsi="Arial" w:cs="Arial"/>
          <w:b/>
          <w:bCs/>
          <w:color w:val="000000"/>
          <w:sz w:val="21"/>
          <w:szCs w:val="21"/>
        </w:rPr>
      </w:pPr>
      <w:r w:rsidRPr="00551363">
        <w:rPr>
          <w:rFonts w:ascii="Arial" w:eastAsia="Times New Roman" w:hAnsi="Arial" w:cs="Arial"/>
          <w:color w:val="000000"/>
          <w:sz w:val="21"/>
          <w:szCs w:val="21"/>
        </w:rPr>
        <w:t>Es procedisca a implementar mesures, amb vista a assegurar el compliment del procediment administratiu en matèria de contractació i l'establiment de protocols o tràmits interns de gestió que permeten aconseguir el compliment dels fins generals de la contractació pública i realitzar una adequada planificació.</w:t>
      </w:r>
    </w:p>
    <w:p w14:paraId="76F6D987" w14:textId="59373849" w:rsid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b/>
          <w:bCs/>
          <w:color w:val="000000"/>
          <w:sz w:val="21"/>
          <w:szCs w:val="21"/>
        </w:rPr>
        <w:t xml:space="preserve">Seguiment: </w:t>
      </w:r>
      <w:r w:rsidRPr="00551363">
        <w:rPr>
          <w:rFonts w:ascii="Arial" w:eastAsia="Times New Roman" w:hAnsi="Arial" w:cs="Arial"/>
          <w:color w:val="000000"/>
          <w:sz w:val="21"/>
          <w:szCs w:val="21"/>
        </w:rPr>
        <w:t>En tràmit.</w:t>
      </w:r>
    </w:p>
    <w:p w14:paraId="1E04CC54" w14:textId="77777777" w:rsidR="00551363" w:rsidRPr="00551363" w:rsidRDefault="00551363" w:rsidP="0055136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04" w:name="_Toc99110780"/>
      <w:r w:rsidRPr="00551363">
        <w:rPr>
          <w:rFonts w:ascii="Arial" w:eastAsia="Times New Roman" w:hAnsi="Arial" w:cs="Arial"/>
          <w:b/>
          <w:color w:val="9D2235"/>
          <w:sz w:val="28"/>
          <w:szCs w:val="28"/>
        </w:rPr>
        <w:t>Denominació: Ajuntament d'Elx. Contractació obres nou mercat central</w:t>
      </w:r>
      <w:bookmarkEnd w:id="304"/>
    </w:p>
    <w:p w14:paraId="391F7EB8" w14:textId="77777777" w:rsidR="00551363" w:rsidRPr="00551363" w:rsidRDefault="00551363" w:rsidP="005272C3">
      <w:pPr>
        <w:spacing w:after="240" w:line="276" w:lineRule="auto"/>
        <w:jc w:val="both"/>
        <w:rPr>
          <w:rFonts w:ascii="Arial" w:eastAsia="Times New Roman" w:hAnsi="Arial" w:cs="Arial"/>
          <w:color w:val="000000"/>
          <w:sz w:val="21"/>
          <w:szCs w:val="21"/>
        </w:rPr>
      </w:pPr>
      <w:r w:rsidRPr="00551363">
        <w:rPr>
          <w:rFonts w:ascii="Arial" w:eastAsia="Times New Roman" w:hAnsi="Arial" w:cs="Arial"/>
          <w:b/>
          <w:bCs/>
          <w:color w:val="000000"/>
          <w:sz w:val="21"/>
          <w:szCs w:val="21"/>
        </w:rPr>
        <w:t>Expedient:</w:t>
      </w:r>
      <w:r w:rsidRPr="00551363">
        <w:rPr>
          <w:rFonts w:ascii="Arial" w:eastAsia="Times New Roman" w:hAnsi="Arial" w:cs="Arial"/>
          <w:color w:val="000000"/>
          <w:sz w:val="21"/>
          <w:szCs w:val="21"/>
        </w:rPr>
        <w:t xml:space="preserve"> 2020/G01_02/000260 [163/2018]</w:t>
      </w:r>
    </w:p>
    <w:p w14:paraId="3F4E5999" w14:textId="77777777" w:rsidR="00551363" w:rsidRPr="00551363" w:rsidRDefault="00551363" w:rsidP="00551363">
      <w:pPr>
        <w:spacing w:after="240" w:line="276" w:lineRule="auto"/>
        <w:rPr>
          <w:rFonts w:ascii="Arial" w:eastAsia="Times New Roman" w:hAnsi="Arial" w:cs="Arial"/>
          <w:sz w:val="18"/>
          <w:szCs w:val="18"/>
          <w:lang w:eastAsia="es-ES"/>
        </w:rPr>
      </w:pPr>
      <w:r w:rsidRPr="00551363">
        <w:rPr>
          <w:rFonts w:ascii="Arial" w:eastAsia="Times New Roman" w:hAnsi="Arial" w:cs="Arial"/>
          <w:b/>
          <w:bCs/>
          <w:sz w:val="21"/>
          <w:szCs w:val="21"/>
        </w:rPr>
        <w:t>Enllaç a la publicació:</w:t>
      </w:r>
      <w:r w:rsidRPr="00551363">
        <w:rPr>
          <w:rFonts w:ascii="Arial" w:eastAsia="Times New Roman" w:hAnsi="Arial" w:cs="Arial"/>
          <w:b/>
          <w:bCs/>
          <w:sz w:val="21"/>
          <w:szCs w:val="21"/>
        </w:rPr>
        <w:br/>
      </w:r>
      <w:hyperlink r:id="rId477" w:history="1">
        <w:r w:rsidRPr="00551363">
          <w:rPr>
            <w:rFonts w:ascii="Arial" w:eastAsia="Times New Roman" w:hAnsi="Arial" w:cs="Arial"/>
            <w:color w:val="000080"/>
            <w:sz w:val="18"/>
            <w:szCs w:val="18"/>
            <w:u w:val="single"/>
            <w:lang w:eastAsia="es-ES"/>
          </w:rPr>
          <w:t>https://www.antifraucv.es/wp-content/uploads/2021/11/202111019-AJUNTAMENT_DE_ELCHE.pdf</w:t>
        </w:r>
      </w:hyperlink>
    </w:p>
    <w:p w14:paraId="130EA73A" w14:textId="77777777" w:rsidR="00551363" w:rsidRP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b/>
          <w:bCs/>
          <w:color w:val="000000"/>
          <w:sz w:val="21"/>
          <w:szCs w:val="21"/>
        </w:rPr>
        <w:t>Descripció:</w:t>
      </w:r>
      <w:r w:rsidRPr="00551363">
        <w:rPr>
          <w:rFonts w:ascii="Arial" w:eastAsia="Times New Roman" w:hAnsi="Arial" w:cs="Arial"/>
          <w:color w:val="000000"/>
          <w:sz w:val="21"/>
          <w:szCs w:val="21"/>
        </w:rPr>
        <w:t xml:space="preserve"> Es denuncia la presumpta existència de determinades irregularitats, en relació amb el desplegament i execució del contracte de concessió d'obra pública per al Nou Mercat Central d'Elx. </w:t>
      </w:r>
    </w:p>
    <w:p w14:paraId="34320C7A" w14:textId="77777777" w:rsidR="00551363" w:rsidRP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color w:val="000000"/>
          <w:sz w:val="21"/>
          <w:szCs w:val="21"/>
        </w:rPr>
        <w:t>Després de la instrucció de l'oportú procediment d'investigació, es va evidenciar:</w:t>
      </w:r>
    </w:p>
    <w:p w14:paraId="7F1564D4" w14:textId="77777777" w:rsidR="00551363" w:rsidRPr="00551363" w:rsidRDefault="00551363" w:rsidP="009100C6">
      <w:pPr>
        <w:numPr>
          <w:ilvl w:val="0"/>
          <w:numId w:val="149"/>
        </w:numPr>
        <w:spacing w:after="120" w:line="276" w:lineRule="auto"/>
        <w:ind w:hanging="357"/>
        <w:jc w:val="both"/>
        <w:rPr>
          <w:rFonts w:ascii="Arial" w:eastAsia="Times New Roman" w:hAnsi="Arial" w:cs="Arial"/>
          <w:color w:val="000000"/>
          <w:sz w:val="21"/>
          <w:szCs w:val="21"/>
        </w:rPr>
      </w:pPr>
      <w:r w:rsidRPr="00551363">
        <w:rPr>
          <w:rFonts w:ascii="Arial" w:eastAsia="Times New Roman" w:hAnsi="Arial" w:cs="Arial"/>
          <w:color w:val="000000"/>
          <w:sz w:val="21"/>
          <w:szCs w:val="21"/>
        </w:rPr>
        <w:t>L'execució del contracte de concessió d'obra pública per al Nou Mercat Central d'Elx:</w:t>
      </w:r>
    </w:p>
    <w:p w14:paraId="72CA2847" w14:textId="77777777" w:rsidR="00551363" w:rsidRPr="00551363" w:rsidRDefault="00551363" w:rsidP="00551363">
      <w:pPr>
        <w:numPr>
          <w:ilvl w:val="0"/>
          <w:numId w:val="83"/>
        </w:numPr>
        <w:spacing w:after="120" w:line="276" w:lineRule="auto"/>
        <w:ind w:left="1134" w:hanging="357"/>
        <w:jc w:val="both"/>
        <w:rPr>
          <w:rFonts w:ascii="Arial" w:eastAsia="Times New Roman" w:hAnsi="Arial" w:cs="Arial"/>
          <w:color w:val="000000"/>
          <w:sz w:val="21"/>
          <w:szCs w:val="21"/>
        </w:rPr>
      </w:pPr>
      <w:r w:rsidRPr="00551363">
        <w:rPr>
          <w:rFonts w:ascii="Arial" w:eastAsia="Times New Roman" w:hAnsi="Arial" w:cs="Arial"/>
          <w:color w:val="000000"/>
          <w:sz w:val="21"/>
          <w:szCs w:val="21"/>
        </w:rPr>
        <w:t xml:space="preserve">Afectat per la declaració del Misteri d'Elx com a patrimoni immaterial de la humanitat per la UNESCO. </w:t>
      </w:r>
    </w:p>
    <w:p w14:paraId="50781105" w14:textId="77777777" w:rsidR="00551363" w:rsidRPr="00551363" w:rsidRDefault="00551363" w:rsidP="00551363">
      <w:pPr>
        <w:numPr>
          <w:ilvl w:val="0"/>
          <w:numId w:val="83"/>
        </w:numPr>
        <w:spacing w:after="120" w:line="276" w:lineRule="auto"/>
        <w:ind w:left="1134" w:hanging="357"/>
        <w:jc w:val="both"/>
        <w:rPr>
          <w:rFonts w:ascii="Arial" w:eastAsia="Times New Roman" w:hAnsi="Arial" w:cs="Arial"/>
          <w:color w:val="000000"/>
          <w:sz w:val="21"/>
          <w:szCs w:val="21"/>
        </w:rPr>
      </w:pPr>
      <w:r w:rsidRPr="00551363">
        <w:rPr>
          <w:rFonts w:ascii="Arial" w:eastAsia="Times New Roman" w:hAnsi="Arial" w:cs="Arial"/>
          <w:color w:val="000000"/>
          <w:sz w:val="21"/>
          <w:szCs w:val="21"/>
        </w:rPr>
        <w:t xml:space="preserve">Durant les excavacions es troben restes d'un refugi de la Guerra Civil (GC). Durant l'execució, es modifica la Llei 4/1998, del patrimoni cultural valencià a fi que les restes de la GC siguen declarats Béns d'Interés Cultural i s'inscriguen en l'Inventari General del Patrimoni Cultural Valencià. </w:t>
      </w:r>
    </w:p>
    <w:p w14:paraId="2931D5F1" w14:textId="77777777" w:rsidR="00551363" w:rsidRPr="00551363" w:rsidRDefault="00551363" w:rsidP="009100C6">
      <w:pPr>
        <w:numPr>
          <w:ilvl w:val="0"/>
          <w:numId w:val="149"/>
        </w:numPr>
        <w:spacing w:after="120" w:line="276" w:lineRule="auto"/>
        <w:ind w:hanging="357"/>
        <w:jc w:val="both"/>
        <w:rPr>
          <w:rFonts w:ascii="Arial" w:eastAsia="Times New Roman" w:hAnsi="Arial" w:cs="Arial"/>
          <w:color w:val="000000"/>
          <w:sz w:val="21"/>
          <w:szCs w:val="21"/>
        </w:rPr>
      </w:pPr>
      <w:r w:rsidRPr="00551363">
        <w:rPr>
          <w:rFonts w:ascii="Arial" w:eastAsia="Times New Roman" w:hAnsi="Arial" w:cs="Arial"/>
          <w:color w:val="000000"/>
          <w:sz w:val="21"/>
          <w:szCs w:val="21"/>
        </w:rPr>
        <w:t>L'Ajuntament, ha resolt el contracte d'acord amb les recomanacions dictades per distints estaments i conforme al criteri marcat pel CJCCV respecte a la procedència de la resolució del contracte, sense perjuí que l'Ajuntament es separe del criteri del CJCCV en relació amb la indemnització a la mercantil adjudicatària de la concessió. No pot deduir-se que hi ha indici de frau o corrupció en esta actuació.</w:t>
      </w:r>
    </w:p>
    <w:p w14:paraId="77E95251" w14:textId="77777777" w:rsidR="00551363" w:rsidRPr="00551363" w:rsidRDefault="00551363" w:rsidP="009100C6">
      <w:pPr>
        <w:numPr>
          <w:ilvl w:val="0"/>
          <w:numId w:val="149"/>
        </w:numPr>
        <w:spacing w:after="120" w:line="276" w:lineRule="auto"/>
        <w:ind w:hanging="357"/>
        <w:jc w:val="both"/>
        <w:rPr>
          <w:rFonts w:ascii="Arial" w:eastAsia="Times New Roman" w:hAnsi="Arial" w:cs="Arial"/>
          <w:color w:val="000000"/>
          <w:sz w:val="21"/>
          <w:szCs w:val="21"/>
        </w:rPr>
      </w:pPr>
      <w:r w:rsidRPr="00551363">
        <w:rPr>
          <w:rFonts w:ascii="Arial" w:eastAsia="Times New Roman" w:hAnsi="Arial" w:cs="Arial"/>
          <w:color w:val="000000"/>
          <w:sz w:val="21"/>
          <w:szCs w:val="21"/>
        </w:rPr>
        <w:t>El mercat provisional es construïx en zona verda. D'acord amb els informes emesos pels tècnics, la ubicació i superfície del mercat provisional complixen amb els requisits exigits en la normativa del PGOU. S'ha acreditat l'existència de 8 alternatives per a la ubicació del mercat provisional i que l'alternativa triada es va informar pels tècnics municipals. S'ha iniciat la tramitació de la modificació del PGOU per a adequar la qualificació urbanística del sòl ocupat pel Mercat Provisional per a, amb posterioritat, obtindre els títols habilitants per a exercir l'activitat i amb això, regularitzar la situació.</w:t>
      </w:r>
    </w:p>
    <w:p w14:paraId="4D07F07A" w14:textId="77777777" w:rsidR="00551363" w:rsidRPr="00551363" w:rsidRDefault="00551363" w:rsidP="009100C6">
      <w:pPr>
        <w:numPr>
          <w:ilvl w:val="0"/>
          <w:numId w:val="149"/>
        </w:numPr>
        <w:spacing w:after="240" w:line="276" w:lineRule="auto"/>
        <w:jc w:val="both"/>
        <w:rPr>
          <w:rFonts w:ascii="Arial" w:eastAsia="Times New Roman" w:hAnsi="Arial" w:cs="Arial"/>
          <w:color w:val="000000"/>
          <w:sz w:val="21"/>
          <w:szCs w:val="21"/>
        </w:rPr>
      </w:pPr>
      <w:r w:rsidRPr="00551363">
        <w:rPr>
          <w:rFonts w:ascii="Arial" w:eastAsia="Times New Roman" w:hAnsi="Arial" w:cs="Arial"/>
          <w:color w:val="000000"/>
          <w:sz w:val="21"/>
          <w:szCs w:val="21"/>
        </w:rPr>
        <w:t>La realització d'obres i instal·lacions que no s'ajusten al Projecte Bàsic i d'Execució del Mercat Provisional aprovat per la JGL el 18 de març de 2015. Concretament, s'incrementa en 20m2 la superfície de la solera que servix d'accés a l'edifici i a més s'ha cobert amb suports metàl·lics. Tot això servix de terrassa a la cafeteria i ocupa una superfície aproximada de 30m2. Es comunica la suspensió de l'orde de restauració de la legalitat, a l'iniciar-se els tràmits per a la modificació del PGOU.</w:t>
      </w:r>
    </w:p>
    <w:p w14:paraId="44A14652" w14:textId="77777777" w:rsidR="00551363" w:rsidRP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b/>
          <w:bCs/>
          <w:color w:val="000000"/>
          <w:sz w:val="21"/>
          <w:szCs w:val="21"/>
        </w:rPr>
        <w:t>Resultat</w:t>
      </w:r>
      <w:r w:rsidRPr="00551363">
        <w:rPr>
          <w:rFonts w:ascii="Arial" w:eastAsia="Times New Roman" w:hAnsi="Arial" w:cs="Arial"/>
          <w:color w:val="000000"/>
          <w:sz w:val="21"/>
          <w:szCs w:val="21"/>
        </w:rPr>
        <w:t>: Finalització de la investigació amb recomanacions perquè es concloga la tramitació de la modificació del PGOU o, en cas contrari, procedir a la restauració de la legalitat urbanística respecte a les obres executades fora d'ordenació.</w:t>
      </w:r>
    </w:p>
    <w:p w14:paraId="7A1394FF" w14:textId="0F1A56C2" w:rsidR="00551363" w:rsidRDefault="00551363" w:rsidP="00551363">
      <w:pPr>
        <w:spacing w:after="240" w:line="276" w:lineRule="auto"/>
        <w:jc w:val="both"/>
        <w:rPr>
          <w:rFonts w:ascii="Arial" w:eastAsia="Times New Roman" w:hAnsi="Arial" w:cs="Arial"/>
          <w:color w:val="000000"/>
          <w:sz w:val="21"/>
          <w:szCs w:val="21"/>
        </w:rPr>
      </w:pPr>
      <w:r w:rsidRPr="00551363">
        <w:rPr>
          <w:rFonts w:ascii="Arial" w:eastAsia="Times New Roman" w:hAnsi="Arial" w:cs="Arial"/>
          <w:b/>
          <w:bCs/>
          <w:color w:val="000000"/>
          <w:sz w:val="21"/>
          <w:szCs w:val="21"/>
        </w:rPr>
        <w:t xml:space="preserve">Fase de seguiment: </w:t>
      </w:r>
      <w:r w:rsidRPr="00551363">
        <w:rPr>
          <w:rFonts w:ascii="Arial" w:eastAsia="Times New Roman" w:hAnsi="Arial" w:cs="Arial"/>
          <w:color w:val="000000"/>
          <w:sz w:val="21"/>
          <w:szCs w:val="21"/>
        </w:rPr>
        <w:t>En tràmit.</w:t>
      </w:r>
    </w:p>
    <w:p w14:paraId="007F10FE" w14:textId="03B97E27" w:rsidR="009F6C66" w:rsidRDefault="009F6C66" w:rsidP="00551363">
      <w:pPr>
        <w:spacing w:after="240" w:line="276" w:lineRule="auto"/>
        <w:jc w:val="both"/>
        <w:rPr>
          <w:rFonts w:ascii="Arial" w:eastAsia="Times New Roman" w:hAnsi="Arial" w:cs="Arial"/>
          <w:color w:val="000000"/>
          <w:sz w:val="21"/>
          <w:szCs w:val="21"/>
        </w:rPr>
      </w:pPr>
    </w:p>
    <w:p w14:paraId="7E295340" w14:textId="77777777" w:rsidR="009F6C66" w:rsidRDefault="009F6C66" w:rsidP="00551363">
      <w:pPr>
        <w:spacing w:after="240" w:line="276" w:lineRule="auto"/>
        <w:jc w:val="both"/>
        <w:rPr>
          <w:rFonts w:ascii="Arial" w:eastAsia="Times New Roman" w:hAnsi="Arial" w:cs="Arial"/>
          <w:color w:val="000000"/>
          <w:sz w:val="21"/>
          <w:szCs w:val="21"/>
        </w:rPr>
      </w:pPr>
    </w:p>
    <w:p w14:paraId="5F52256D" w14:textId="77777777" w:rsidR="00F20676" w:rsidRPr="00F20676" w:rsidRDefault="00F20676" w:rsidP="00F20676">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05" w:name="_Toc99110781"/>
      <w:r w:rsidRPr="00F20676">
        <w:rPr>
          <w:rFonts w:ascii="Arial" w:eastAsia="Times New Roman" w:hAnsi="Arial" w:cs="Arial"/>
          <w:b/>
          <w:color w:val="9D2235"/>
          <w:sz w:val="28"/>
          <w:szCs w:val="28"/>
        </w:rPr>
        <w:t>Denominació: Ajuntament de Borriana. Irregularitats en matèria urbanística i contractació pública</w:t>
      </w:r>
      <w:bookmarkEnd w:id="305"/>
    </w:p>
    <w:p w14:paraId="6D729F3C" w14:textId="77777777" w:rsidR="00F20676" w:rsidRPr="00F20676" w:rsidRDefault="00F20676" w:rsidP="005272C3">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Expedient:</w:t>
      </w:r>
      <w:r w:rsidRPr="00F20676">
        <w:rPr>
          <w:rFonts w:ascii="Arial" w:eastAsia="Times New Roman" w:hAnsi="Arial" w:cs="Arial"/>
          <w:color w:val="000000"/>
          <w:sz w:val="21"/>
          <w:szCs w:val="21"/>
        </w:rPr>
        <w:t xml:space="preserve"> 2020/G01_01/000357</w:t>
      </w:r>
    </w:p>
    <w:p w14:paraId="3A994C65" w14:textId="77777777" w:rsidR="00F20676" w:rsidRPr="00F20676" w:rsidRDefault="00F20676" w:rsidP="00F20676">
      <w:pPr>
        <w:spacing w:after="240" w:line="276" w:lineRule="auto"/>
        <w:rPr>
          <w:rFonts w:ascii="Arial" w:eastAsia="Times New Roman" w:hAnsi="Arial" w:cs="Arial"/>
          <w:sz w:val="21"/>
          <w:szCs w:val="21"/>
          <w:lang w:eastAsia="es-ES"/>
        </w:rPr>
      </w:pPr>
      <w:r w:rsidRPr="00F20676">
        <w:rPr>
          <w:rFonts w:ascii="Arial" w:eastAsia="Times New Roman" w:hAnsi="Arial" w:cs="Arial"/>
          <w:b/>
          <w:bCs/>
          <w:sz w:val="21"/>
          <w:szCs w:val="21"/>
        </w:rPr>
        <w:t>Enllaç a la publicació:</w:t>
      </w:r>
      <w:r w:rsidRPr="00F20676">
        <w:rPr>
          <w:rFonts w:ascii="Arial" w:eastAsia="Times New Roman" w:hAnsi="Arial" w:cs="Arial"/>
          <w:b/>
          <w:bCs/>
          <w:sz w:val="21"/>
          <w:szCs w:val="21"/>
        </w:rPr>
        <w:br/>
      </w:r>
      <w:hyperlink r:id="rId478" w:history="1">
        <w:r w:rsidRPr="00F20676">
          <w:rPr>
            <w:rFonts w:ascii="Arial" w:eastAsia="Times New Roman" w:hAnsi="Arial" w:cs="Arial"/>
            <w:color w:val="000080"/>
            <w:sz w:val="18"/>
            <w:szCs w:val="18"/>
            <w:u w:val="single"/>
            <w:lang w:eastAsia="es-ES"/>
          </w:rPr>
          <w:t>https://www.antifraucv.es/wp-content/uploads/2021/11/202111030-AJUNTAMENT_DE_BURRIANA.pdf</w:t>
        </w:r>
      </w:hyperlink>
    </w:p>
    <w:p w14:paraId="647096B5"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Descripció:</w:t>
      </w:r>
      <w:r w:rsidRPr="00F20676">
        <w:rPr>
          <w:rFonts w:ascii="Arial" w:eastAsia="Times New Roman" w:hAnsi="Arial" w:cs="Arial"/>
          <w:color w:val="000000"/>
          <w:sz w:val="21"/>
          <w:szCs w:val="21"/>
        </w:rPr>
        <w:t xml:space="preserve"> S'alerta sobre la presumpta existència d'irregularitats administratives en l'execució d'un conveni urbanístic i la falta de reclamació de penalitats, per part de l'Ajuntament de Borriana, a l'agent urbanitzador adjudicatari de l'execució del Programa d'Actuació Integrada per al desenrotllament Sector SUR-T-1 “Sant Gregori”.</w:t>
      </w:r>
    </w:p>
    <w:p w14:paraId="4E529A49"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color w:val="000000"/>
          <w:sz w:val="21"/>
          <w:szCs w:val="21"/>
        </w:rPr>
        <w:t>Després de la instrucció de l'oportú procediment d'investigació, s'han constatat les següents irregularitats:</w:t>
      </w:r>
    </w:p>
    <w:p w14:paraId="51F5B803" w14:textId="77777777" w:rsidR="00F20676" w:rsidRPr="00F20676" w:rsidRDefault="00F20676" w:rsidP="009100C6">
      <w:pPr>
        <w:numPr>
          <w:ilvl w:val="0"/>
          <w:numId w:val="150"/>
        </w:numPr>
        <w:spacing w:after="120" w:line="276" w:lineRule="auto"/>
        <w:ind w:left="714"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L'incompliment per part de l'entitat denunciada, de la imposició de les penalitats a l'agent urbanitzador (estimades en 21.052.095,45 €), arreplegades com obligatòries en el conveni urbanístic, a l'incórrer en mora dels terminis d'execució del programa.</w:t>
      </w:r>
    </w:p>
    <w:p w14:paraId="5AA12E98" w14:textId="77777777" w:rsidR="00F20676" w:rsidRPr="00F20676" w:rsidRDefault="00F20676" w:rsidP="009100C6">
      <w:pPr>
        <w:numPr>
          <w:ilvl w:val="0"/>
          <w:numId w:val="150"/>
        </w:numPr>
        <w:spacing w:after="240" w:line="276" w:lineRule="auto"/>
        <w:jc w:val="both"/>
        <w:rPr>
          <w:rFonts w:ascii="Arial" w:eastAsia="Times New Roman" w:hAnsi="Arial" w:cs="Arial"/>
          <w:color w:val="000000"/>
          <w:sz w:val="21"/>
          <w:szCs w:val="21"/>
        </w:rPr>
      </w:pPr>
      <w:r w:rsidRPr="00F20676">
        <w:rPr>
          <w:rFonts w:ascii="Arial" w:eastAsia="Times New Roman" w:hAnsi="Arial" w:cs="Arial"/>
          <w:color w:val="000000"/>
          <w:sz w:val="21"/>
          <w:szCs w:val="21"/>
        </w:rPr>
        <w:t>Irregularitats en la contractació d'assessoraments jurídics externs (contractes menors sense motivació de la necessitat, si determinació d'objecte, falta de publicació).</w:t>
      </w:r>
    </w:p>
    <w:p w14:paraId="74855F72" w14:textId="79076401"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 xml:space="preserve">Resultat: </w:t>
      </w:r>
      <w:r w:rsidRPr="00F20676">
        <w:rPr>
          <w:rFonts w:ascii="Arial" w:eastAsia="Times New Roman" w:hAnsi="Arial" w:cs="Arial"/>
          <w:color w:val="000000"/>
          <w:sz w:val="21"/>
          <w:szCs w:val="21"/>
        </w:rPr>
        <w:t>Finalització de la investigació amb recomanacions:</w:t>
      </w:r>
    </w:p>
    <w:p w14:paraId="3BAB9DA3" w14:textId="77777777" w:rsidR="00F20676" w:rsidRPr="00F20676" w:rsidRDefault="00F20676" w:rsidP="009100C6">
      <w:pPr>
        <w:numPr>
          <w:ilvl w:val="0"/>
          <w:numId w:val="151"/>
        </w:numPr>
        <w:spacing w:after="120" w:line="276" w:lineRule="auto"/>
        <w:ind w:left="709" w:hanging="357"/>
        <w:jc w:val="both"/>
        <w:rPr>
          <w:rFonts w:ascii="Arial" w:eastAsia="Times New Roman" w:hAnsi="Arial" w:cs="Arial"/>
          <w:color w:val="000000"/>
          <w:sz w:val="21"/>
          <w:szCs w:val="21"/>
        </w:rPr>
      </w:pPr>
      <w:r w:rsidRPr="00F20676">
        <w:rPr>
          <w:rFonts w:ascii="Arial" w:eastAsia="Times New Roman" w:hAnsi="Arial" w:cs="Arial"/>
          <w:bCs/>
          <w:color w:val="000000"/>
          <w:sz w:val="21"/>
          <w:szCs w:val="21"/>
        </w:rPr>
        <w:t>En relació amb l'incompliment del conveni urbanístic per part de l'agent urbanitzador i la procedència de la imposició de penalitats [3/6 mesos]: Reclamació a l'agent urbanitzador de les penalitats per incompliment dels terminis establerts en el conveni (Estimació: 21.052.095,45 € més altres no quantificades per falta de dades</w:t>
      </w:r>
      <w:r w:rsidRPr="00F20676">
        <w:rPr>
          <w:rFonts w:ascii="Arial" w:eastAsia="Times New Roman" w:hAnsi="Arial" w:cs="Arial"/>
          <w:color w:val="000000"/>
          <w:sz w:val="21"/>
          <w:szCs w:val="21"/>
        </w:rPr>
        <w:t>).</w:t>
      </w:r>
    </w:p>
    <w:p w14:paraId="41CB4E8E" w14:textId="77777777" w:rsidR="00F20676" w:rsidRPr="00F20676" w:rsidRDefault="00F20676" w:rsidP="009100C6">
      <w:pPr>
        <w:numPr>
          <w:ilvl w:val="0"/>
          <w:numId w:val="151"/>
        </w:numPr>
        <w:spacing w:after="120" w:line="276" w:lineRule="auto"/>
        <w:ind w:left="709" w:hanging="357"/>
        <w:jc w:val="both"/>
        <w:rPr>
          <w:rFonts w:ascii="Arial" w:eastAsia="Times New Roman" w:hAnsi="Arial" w:cs="Arial"/>
          <w:b/>
          <w:bCs/>
          <w:color w:val="000000"/>
          <w:sz w:val="21"/>
          <w:szCs w:val="21"/>
        </w:rPr>
      </w:pPr>
      <w:r w:rsidRPr="00F20676">
        <w:rPr>
          <w:rFonts w:ascii="Arial" w:eastAsia="Times New Roman" w:hAnsi="Arial" w:cs="Arial"/>
          <w:color w:val="000000"/>
          <w:sz w:val="21"/>
          <w:szCs w:val="21"/>
        </w:rPr>
        <w:t>En relació amb la contractació d'informes d'assessors jurídics externs [recomanacions de bones pràctiques antifrau i de lluita contra la corrupció sense seguiment]: Com a regla general, que la tramitació dels procediments administratius i l'emissió d'informes es duga a terme pels empleats públics amb funcions atribuïdes per a això, evitant que es duguen a terme contractacions menors per a realització d'informes d'assessors externs, sobre aquelles matèries ja informades de forma concloent per part dels funcionaris municipals en exercici de les seues funcions.</w:t>
      </w:r>
    </w:p>
    <w:p w14:paraId="2F917D58" w14:textId="77777777" w:rsidR="00F20676" w:rsidRPr="00F20676" w:rsidRDefault="00F20676" w:rsidP="00F20676">
      <w:pPr>
        <w:spacing w:after="240" w:line="276" w:lineRule="auto"/>
        <w:ind w:left="709"/>
        <w:jc w:val="both"/>
        <w:rPr>
          <w:rFonts w:ascii="Arial" w:eastAsia="Times New Roman" w:hAnsi="Arial" w:cs="Arial"/>
          <w:color w:val="000000"/>
          <w:sz w:val="21"/>
          <w:szCs w:val="21"/>
        </w:rPr>
      </w:pPr>
      <w:r w:rsidRPr="00F20676">
        <w:rPr>
          <w:rFonts w:ascii="Arial" w:eastAsia="Times New Roman" w:hAnsi="Arial" w:cs="Arial"/>
          <w:color w:val="000000"/>
          <w:sz w:val="21"/>
          <w:szCs w:val="21"/>
        </w:rPr>
        <w:t>En cas d'haver de realitzar-se este tipus de contractacions, per motius justificats, se seguisquen tots els requisits establerts en la normativa aplicable segons el tipus de contractació (acreditació de la necessitat de la contractació, concreció del seu objecte, principi de servici realitzat en la realització de la despesa pública, conformació de les factures per empleat públic i responsable polític, publicació de les contractacions).</w:t>
      </w:r>
    </w:p>
    <w:p w14:paraId="7B82780D" w14:textId="77777777" w:rsidR="00F20676" w:rsidRPr="00F20676" w:rsidRDefault="00F20676" w:rsidP="00F20676">
      <w:pPr>
        <w:spacing w:after="240" w:line="276" w:lineRule="auto"/>
        <w:jc w:val="both"/>
        <w:rPr>
          <w:rFonts w:ascii="Arial" w:eastAsia="Times New Roman" w:hAnsi="Arial" w:cs="Arial"/>
          <w:color w:val="000000"/>
          <w:sz w:val="21"/>
          <w:szCs w:val="21"/>
          <w:lang w:val="ca-ES"/>
        </w:rPr>
      </w:pPr>
      <w:r w:rsidRPr="00F20676">
        <w:rPr>
          <w:rFonts w:ascii="Arial" w:eastAsia="Times New Roman" w:hAnsi="Arial" w:cs="Arial"/>
          <w:b/>
          <w:bCs/>
          <w:color w:val="000000"/>
          <w:sz w:val="21"/>
          <w:szCs w:val="21"/>
        </w:rPr>
        <w:t xml:space="preserve">Seguiment: </w:t>
      </w:r>
      <w:r w:rsidRPr="00F20676">
        <w:rPr>
          <w:rFonts w:ascii="Arial" w:eastAsia="Times New Roman" w:hAnsi="Arial" w:cs="Arial"/>
          <w:color w:val="000000"/>
          <w:sz w:val="21"/>
          <w:szCs w:val="21"/>
        </w:rPr>
        <w:t>En tràmit.</w:t>
      </w:r>
    </w:p>
    <w:p w14:paraId="441902AC" w14:textId="77777777" w:rsidR="00F20676" w:rsidRPr="00F20676" w:rsidRDefault="00F20676" w:rsidP="00F20676">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06" w:name="_Toc95209107"/>
      <w:bookmarkStart w:id="307" w:name="_Toc95913899"/>
      <w:bookmarkStart w:id="308" w:name="_Toc99110782"/>
      <w:r w:rsidRPr="00F20676">
        <w:rPr>
          <w:rFonts w:ascii="Arial" w:eastAsia="Times New Roman" w:hAnsi="Arial" w:cs="Arial"/>
          <w:b/>
          <w:color w:val="9D2235"/>
          <w:sz w:val="28"/>
          <w:szCs w:val="28"/>
        </w:rPr>
        <w:t>Denominació: Presidència de la Generalitat Valenciana. Contracte de patrocini</w:t>
      </w:r>
      <w:bookmarkEnd w:id="306"/>
      <w:bookmarkEnd w:id="307"/>
      <w:bookmarkEnd w:id="308"/>
    </w:p>
    <w:p w14:paraId="0E8867E4" w14:textId="77777777" w:rsidR="00F20676" w:rsidRPr="00F20676" w:rsidRDefault="00F20676" w:rsidP="005272C3">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 xml:space="preserve">Expedient: </w:t>
      </w:r>
      <w:r w:rsidRPr="00F20676">
        <w:rPr>
          <w:rFonts w:ascii="Arial" w:eastAsia="Times New Roman" w:hAnsi="Arial" w:cs="Arial"/>
          <w:color w:val="000000"/>
          <w:sz w:val="21"/>
          <w:szCs w:val="21"/>
        </w:rPr>
        <w:t>2020/G01_01/000067</w:t>
      </w:r>
    </w:p>
    <w:p w14:paraId="06D7F856" w14:textId="77777777" w:rsidR="00F20676" w:rsidRPr="00F20676" w:rsidRDefault="00F20676" w:rsidP="00F20676">
      <w:pPr>
        <w:spacing w:after="240" w:line="276" w:lineRule="auto"/>
        <w:rPr>
          <w:rFonts w:ascii="Arial" w:eastAsia="Times New Roman" w:hAnsi="Arial" w:cs="Arial"/>
          <w:sz w:val="17"/>
          <w:szCs w:val="17"/>
          <w:lang w:eastAsia="es-ES"/>
        </w:rPr>
      </w:pPr>
      <w:r w:rsidRPr="00F20676">
        <w:rPr>
          <w:rFonts w:ascii="Arial" w:eastAsia="Times New Roman" w:hAnsi="Arial" w:cs="Arial"/>
          <w:b/>
          <w:bCs/>
          <w:sz w:val="21"/>
          <w:szCs w:val="21"/>
        </w:rPr>
        <w:t>Enllaç a la publicació:</w:t>
      </w:r>
      <w:r w:rsidRPr="00F20676">
        <w:rPr>
          <w:rFonts w:ascii="Arial" w:eastAsia="Times New Roman" w:hAnsi="Arial" w:cs="Arial"/>
          <w:b/>
          <w:bCs/>
          <w:sz w:val="21"/>
          <w:szCs w:val="21"/>
        </w:rPr>
        <w:br/>
      </w:r>
      <w:hyperlink r:id="rId479" w:history="1">
        <w:r w:rsidRPr="00F20676">
          <w:rPr>
            <w:rFonts w:ascii="Arial" w:eastAsia="Times New Roman" w:hAnsi="Arial" w:cs="Arial"/>
            <w:color w:val="000080"/>
            <w:sz w:val="17"/>
            <w:szCs w:val="17"/>
            <w:u w:val="single"/>
            <w:lang w:eastAsia="es-ES"/>
          </w:rPr>
          <w:t>https://www.antifraucv.es/wp-content/uploads/2021/11/202111030-CONSELLERIA_DE_PRESIDENCIA.pdf</w:t>
        </w:r>
      </w:hyperlink>
    </w:p>
    <w:p w14:paraId="64489D40"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Descripció</w:t>
      </w:r>
      <w:r w:rsidRPr="00F20676">
        <w:rPr>
          <w:rFonts w:ascii="Arial" w:eastAsia="Times New Roman" w:hAnsi="Arial" w:cs="Arial"/>
          <w:color w:val="000000"/>
          <w:sz w:val="21"/>
          <w:szCs w:val="21"/>
        </w:rPr>
        <w:t xml:space="preserve">: Els fets denunciats es van concretar en les irregularitats en el patrocini publicitari del Congrés “benestar i societat”, patrocinat per la Conselleria de Presidència. </w:t>
      </w:r>
    </w:p>
    <w:p w14:paraId="50C58BEC"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color w:val="000000"/>
          <w:sz w:val="21"/>
          <w:szCs w:val="21"/>
        </w:rPr>
        <w:t xml:space="preserve">Després de la instrucció l'oportú procediment d'investigació, van quedar acreditades l'existència de diverses irregularitats: </w:t>
      </w:r>
    </w:p>
    <w:p w14:paraId="4595B73F" w14:textId="4A5606CB" w:rsidR="00F20676" w:rsidRPr="00F20676" w:rsidRDefault="00F20676" w:rsidP="009100C6">
      <w:pPr>
        <w:numPr>
          <w:ilvl w:val="0"/>
          <w:numId w:val="152"/>
        </w:numPr>
        <w:spacing w:after="120" w:line="276" w:lineRule="auto"/>
        <w:ind w:left="714"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No es van observar les indicacions de l'informe jurídic emés per l'Advocacia de la Generalitat Valenciana: no es va realitzar una qualificació jurídicament adequada del contracte; l'objecte del contracte no estava prou determinat; no va quedar acreditada adequada i suficient la necessitat que es pretenia cobrir per mitjà del referit contracte; no va ser jurídicament correcta la utilització del procediment de contractació negociat sense publicitat; no es va aconseguir millora després de la presumpta negociació; no va quedar acreditat el preu base de licitació ni el sistema de càlcul que permetia determinar-ho amb garantia que es tractara d'un preu de mercat i no d'un preu abusiu; no s'arreplegava el desglossament de costos directes i indirectes; no s'arreplegaven les raons que justificaven l'equivalència de les prestacions, és a dir, la relació d'equilibri entre el preu i el retorn publicitari del patrocini; i tampoc va quedar demostrat que es realitzara la avaluació de l’impacte publicitari del Congrés.</w:t>
      </w:r>
    </w:p>
    <w:p w14:paraId="1BA3D5EA" w14:textId="77777777" w:rsidR="00F20676" w:rsidRPr="00F20676" w:rsidRDefault="00F20676" w:rsidP="009100C6">
      <w:pPr>
        <w:numPr>
          <w:ilvl w:val="0"/>
          <w:numId w:val="152"/>
        </w:numPr>
        <w:spacing w:after="240" w:line="276" w:lineRule="auto"/>
        <w:jc w:val="both"/>
        <w:rPr>
          <w:rFonts w:ascii="Arial" w:eastAsia="Times New Roman" w:hAnsi="Arial" w:cs="Arial"/>
          <w:color w:val="000000"/>
          <w:sz w:val="21"/>
          <w:szCs w:val="21"/>
        </w:rPr>
      </w:pPr>
      <w:r w:rsidRPr="00F20676">
        <w:rPr>
          <w:rFonts w:ascii="Arial" w:eastAsia="Times New Roman" w:hAnsi="Arial" w:cs="Arial"/>
          <w:color w:val="000000"/>
          <w:sz w:val="21"/>
          <w:szCs w:val="21"/>
        </w:rPr>
        <w:t xml:space="preserve">Respecte al PCAP de 26 de desembre de 2019, a pesar que disposava la seua clàusula 5.3 que respecte al preu del contracte seria el que resultara de l'adjudicació i que es pagaria en funció de la prestació realment executada, no es va incloure en les obligacions de l'adjudicatari, de manera que es fera possible esta previsió, com recomanava l'Advocacia. Així mateix, no va quedar acreditat el compliment de la clàusula 10.2.C, 3r del PCAP, de 26 de desembre de 2019, respecte a la documentació tècnica; i, a més, en els documents presentats pel licitador no s'incloïa el públic objectiu i missatges associats, impacte econòmic en destí, definició del patrocini, abast i les contraprestacions certes que rebria Presidència. </w:t>
      </w:r>
    </w:p>
    <w:p w14:paraId="7752264E"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Resultat</w:t>
      </w:r>
      <w:r w:rsidRPr="00F20676">
        <w:rPr>
          <w:rFonts w:ascii="Arial" w:eastAsia="Times New Roman" w:hAnsi="Arial" w:cs="Arial"/>
          <w:color w:val="000000"/>
          <w:sz w:val="21"/>
          <w:szCs w:val="21"/>
        </w:rPr>
        <w:t>: Es finalitza amb la recomanació de què procedisca a la revisió d'ofici dels actes incursos en causa de nul·litat de ple dret o anul·labilitat, així com a elaborar una instrucció o circular sobre la utilització del contracte de patrocini en la Generalitat Valenciana, en la que s'introduïsquen els criteris de la Sindicatura De Comptes, i la doctrina més recent i jurisprudència.</w:t>
      </w:r>
    </w:p>
    <w:p w14:paraId="2594764C"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 xml:space="preserve">Fase de seguiment: </w:t>
      </w:r>
      <w:r w:rsidRPr="00F20676">
        <w:rPr>
          <w:rFonts w:ascii="Arial" w:eastAsia="Times New Roman" w:hAnsi="Arial" w:cs="Arial"/>
          <w:color w:val="000000"/>
          <w:sz w:val="21"/>
          <w:szCs w:val="21"/>
        </w:rPr>
        <w:t>En tràmit.</w:t>
      </w:r>
    </w:p>
    <w:p w14:paraId="204D1C7F" w14:textId="77777777" w:rsidR="00F20676" w:rsidRPr="00F20676" w:rsidRDefault="00F20676" w:rsidP="00F20676">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09" w:name="_Toc99110783"/>
      <w:r w:rsidRPr="00F20676">
        <w:rPr>
          <w:rFonts w:ascii="Arial" w:eastAsia="Times New Roman" w:hAnsi="Arial" w:cs="Arial"/>
          <w:b/>
          <w:color w:val="9D2235"/>
          <w:sz w:val="28"/>
          <w:szCs w:val="28"/>
        </w:rPr>
        <w:t>Denominació: Ajuntament de València. Servici de grua municipal</w:t>
      </w:r>
      <w:bookmarkEnd w:id="309"/>
    </w:p>
    <w:p w14:paraId="494AFBD8" w14:textId="77777777" w:rsidR="00F20676" w:rsidRPr="00F20676" w:rsidRDefault="00F20676" w:rsidP="005272C3">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Expedient</w:t>
      </w:r>
      <w:r w:rsidRPr="00F20676">
        <w:rPr>
          <w:rFonts w:ascii="Arial" w:eastAsia="Times New Roman" w:hAnsi="Arial" w:cs="Arial"/>
          <w:color w:val="000000"/>
          <w:sz w:val="21"/>
          <w:szCs w:val="21"/>
        </w:rPr>
        <w:t>: 2020/G01_01/000311</w:t>
      </w:r>
    </w:p>
    <w:p w14:paraId="7ACF2BDC" w14:textId="77777777" w:rsidR="00F20676" w:rsidRPr="00F20676" w:rsidRDefault="00F20676" w:rsidP="00F20676">
      <w:pPr>
        <w:spacing w:after="240" w:line="276" w:lineRule="auto"/>
        <w:rPr>
          <w:rFonts w:ascii="Arial" w:eastAsia="Times New Roman" w:hAnsi="Arial" w:cs="Arial"/>
          <w:sz w:val="18"/>
          <w:szCs w:val="18"/>
          <w:lang w:eastAsia="es-ES"/>
        </w:rPr>
      </w:pPr>
      <w:r w:rsidRPr="00F20676">
        <w:rPr>
          <w:rFonts w:ascii="Arial" w:eastAsia="Times New Roman" w:hAnsi="Arial" w:cs="Arial"/>
          <w:b/>
          <w:bCs/>
          <w:sz w:val="21"/>
          <w:szCs w:val="21"/>
        </w:rPr>
        <w:t>Enllaç a la publicació:</w:t>
      </w:r>
      <w:r w:rsidRPr="00F20676">
        <w:rPr>
          <w:rFonts w:ascii="Arial" w:eastAsia="Times New Roman" w:hAnsi="Arial" w:cs="Arial"/>
          <w:b/>
          <w:bCs/>
          <w:sz w:val="21"/>
          <w:szCs w:val="21"/>
        </w:rPr>
        <w:br/>
      </w:r>
      <w:hyperlink r:id="rId480" w:history="1">
        <w:r w:rsidRPr="00F20676">
          <w:rPr>
            <w:rFonts w:ascii="Arial" w:eastAsia="Times New Roman" w:hAnsi="Arial" w:cs="Arial"/>
            <w:color w:val="000080"/>
            <w:sz w:val="18"/>
            <w:szCs w:val="18"/>
            <w:u w:val="single"/>
            <w:lang w:eastAsia="es-ES"/>
          </w:rPr>
          <w:t>https://www.antifraucv.es/wp-content/uploads/2021/11/202111030-AJUNTAMENT_VALENCIA_.pdf</w:t>
        </w:r>
      </w:hyperlink>
    </w:p>
    <w:p w14:paraId="5C09FE9F"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Descripció</w:t>
      </w:r>
      <w:r w:rsidRPr="00F20676">
        <w:rPr>
          <w:rFonts w:ascii="Arial" w:eastAsia="Times New Roman" w:hAnsi="Arial" w:cs="Arial"/>
          <w:color w:val="000000"/>
          <w:sz w:val="21"/>
          <w:szCs w:val="21"/>
        </w:rPr>
        <w:t xml:space="preserve">: Es van iniciar actuacions en relació amb determinades irregularitats comeses, en relació amb els pagaments realitzats pel servici de grua municipal de l'Ajuntament de València. Entre els fets manifestats, resulta d'especial rellevància, l'increment aplicat en el cost del servici produït a partir del moment en què el contracte administratiu en vigor és resolt i comença a prestar-se sense cobertura contractual. </w:t>
      </w:r>
    </w:p>
    <w:p w14:paraId="067A006B"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color w:val="000000"/>
          <w:sz w:val="21"/>
          <w:szCs w:val="21"/>
        </w:rPr>
        <w:t>De l'estudi detallat de la documentació que consta en l'Expedient i l'obtinguda en fonts obertes es va constatar que:</w:t>
      </w:r>
    </w:p>
    <w:p w14:paraId="116EB681" w14:textId="77777777" w:rsidR="00F20676" w:rsidRPr="00F20676" w:rsidRDefault="00F20676" w:rsidP="009100C6">
      <w:pPr>
        <w:numPr>
          <w:ilvl w:val="0"/>
          <w:numId w:val="153"/>
        </w:numPr>
        <w:spacing w:after="120" w:line="276" w:lineRule="auto"/>
        <w:ind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En 2014, l'Ajuntament de València va subscriure contracte amb una U.T.E. per a la gestió del servici de grua municipal. El dit contracte establia la retribució mensual de la U.T.E. en proporció al número de retirades de vehicles del mes. L'adjudicatària va presentar nombroses sol·licituds de reordenació/reequilibri econòmic contractual, sent desestimades totes elles. En 2017 l'Ajuntament va canviar de criteri, acordant la resolució per l'art. 223.g) del TRLCSP, que referix com a causa “la impossibilitat d'executar el contracte en els termes inicialment pactats o la possibilitat de producció d'una lesió greu a l'interés públic de continuar-se executant la prestació en eixos termes”, i al no ser possible modificar el contracte, concedint una indemnització a l'adjudicatari i establint un règim transitori per a la prestació del servici, que encara perviu fins a l'actualitat, superant en l'actualitat els quatre anys de vigència del règim transitori.</w:t>
      </w:r>
    </w:p>
    <w:p w14:paraId="5F5C3E17" w14:textId="77777777" w:rsidR="00F20676" w:rsidRPr="00F20676" w:rsidRDefault="00F20676" w:rsidP="009100C6">
      <w:pPr>
        <w:numPr>
          <w:ilvl w:val="0"/>
          <w:numId w:val="153"/>
        </w:numPr>
        <w:spacing w:after="120" w:line="276" w:lineRule="auto"/>
        <w:ind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Respecte al règim econòmic del període transitori del contracte:</w:t>
      </w:r>
    </w:p>
    <w:p w14:paraId="70C6E047" w14:textId="77777777" w:rsidR="00F20676" w:rsidRPr="00F20676" w:rsidRDefault="00F20676" w:rsidP="00F20676">
      <w:pPr>
        <w:numPr>
          <w:ilvl w:val="0"/>
          <w:numId w:val="83"/>
        </w:numPr>
        <w:spacing w:after="120" w:line="276" w:lineRule="auto"/>
        <w:ind w:left="1134"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S'ha modificat substancialment, en la pràctica, el sistema retributiu pactat originàriament en el contracte, passant d'una retribució vinculada al nombre de servicis prestats a una retribució a un tant alçat o “iguala”, totalment independent del nombre de servicis prestats. Eliminant tot risc operacional al contractista, de fet, a pesar de la reducció del nombre de servicis les retribucions no s'han alterat.</w:t>
      </w:r>
    </w:p>
    <w:p w14:paraId="18970186" w14:textId="77777777" w:rsidR="00F20676" w:rsidRPr="00F20676" w:rsidRDefault="00F20676" w:rsidP="00F20676">
      <w:pPr>
        <w:numPr>
          <w:ilvl w:val="0"/>
          <w:numId w:val="83"/>
        </w:numPr>
        <w:spacing w:after="120" w:line="276" w:lineRule="auto"/>
        <w:ind w:left="1134"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La fixació de la suma de la retribució a un tant alçat es conté en diversos informes de la Policia Local de València, un dels quals està firmat de forma manuscrita, i conté una data que no es correspon amb la data d'incorporació a la plataforma de tramitació electrònica d'expedients, sent l'únic informe del servici en tot l'expedient que revist de dites característiques.</w:t>
      </w:r>
    </w:p>
    <w:p w14:paraId="742243B9" w14:textId="77777777" w:rsidR="00F20676" w:rsidRPr="00F20676" w:rsidRDefault="00F20676" w:rsidP="00F20676">
      <w:pPr>
        <w:numPr>
          <w:ilvl w:val="0"/>
          <w:numId w:val="83"/>
        </w:numPr>
        <w:spacing w:after="120" w:line="276" w:lineRule="auto"/>
        <w:ind w:left="1134"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El preu per al període transitori va ser establit en 300.000 € més IVA al mes, de manera discrecional, la qual cosa va motivar que el Servici de Contractació municipal sol·licitara l'aportació de l'estudi econòmic explicatiu de la contraprestació econòmica i la concreció per a la seua percepció per la U.T.E.</w:t>
      </w:r>
    </w:p>
    <w:p w14:paraId="618D0C70" w14:textId="77777777" w:rsidR="00F20676" w:rsidRPr="00F20676" w:rsidRDefault="00F20676" w:rsidP="00F20676">
      <w:pPr>
        <w:numPr>
          <w:ilvl w:val="0"/>
          <w:numId w:val="83"/>
        </w:numPr>
        <w:spacing w:after="120" w:line="276" w:lineRule="auto"/>
        <w:ind w:left="1134"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Emés informe explicatiu per la Policia Local de València, es constata que, no motiva documentalment l'adequació del preu del contracte proposat, a l'argumentar-se l'informe de forma insuficient.</w:t>
      </w:r>
    </w:p>
    <w:p w14:paraId="7B2304D1" w14:textId="77777777" w:rsidR="00F20676" w:rsidRPr="00F20676" w:rsidRDefault="00F20676" w:rsidP="009100C6">
      <w:pPr>
        <w:numPr>
          <w:ilvl w:val="0"/>
          <w:numId w:val="153"/>
        </w:numPr>
        <w:spacing w:after="120" w:line="276" w:lineRule="auto"/>
        <w:ind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Respecte a la duració estimada del període transitori i la insuficiència econòmica dels avals per a la cobertura del mateix, s'ha constatat que el període transitori ha excedit, amb molt l'estimació de 12 mesos que contemplaven els informes de Policia Local, sent que actualment el període transitori, iniciat al novembre de 2017, consta de més de 48 mesos, per la qual cosa l'aval fixat com a garantia, i calculat per a 12 mesos, resulta insuficient, sense que s'haja procedit per l'Ajuntament a acordar una actualització de les dites garanties.</w:t>
      </w:r>
    </w:p>
    <w:p w14:paraId="097CC7DB" w14:textId="77777777" w:rsidR="00F20676" w:rsidRPr="00F20676" w:rsidRDefault="00F20676" w:rsidP="009100C6">
      <w:pPr>
        <w:numPr>
          <w:ilvl w:val="0"/>
          <w:numId w:val="153"/>
        </w:numPr>
        <w:spacing w:after="120" w:line="276" w:lineRule="auto"/>
        <w:ind w:hanging="357"/>
        <w:jc w:val="both"/>
        <w:rPr>
          <w:rFonts w:ascii="Arial" w:eastAsia="Times New Roman" w:hAnsi="Arial" w:cs="Arial"/>
          <w:color w:val="000000"/>
          <w:sz w:val="21"/>
          <w:szCs w:val="21"/>
        </w:rPr>
      </w:pPr>
      <w:r w:rsidRPr="00F20676">
        <w:rPr>
          <w:rFonts w:ascii="Arial" w:eastAsia="Times New Roman" w:hAnsi="Arial" w:cs="Arial"/>
          <w:color w:val="000000"/>
          <w:sz w:val="21"/>
          <w:szCs w:val="21"/>
        </w:rPr>
        <w:t>Es constata una ruptura de l'equilibri econòmic de la prestació, passant de ser desfavorable per a l'adjudicatària en el període de contracte en vigor, segons reclamava l'empresa, on el risc operacional era de l'empresa adjudicatària a una situació actual, desfavorable per a l'Ajuntament, on el prestador del servici sense cobertura contractual no té transferit el risc de la prestació, tenint garantit els ingressos mensuals, de manera que el cost unitari del servici real ha experimentat un increment significatiu, mentre que els mitjans afectes el servici es troben infrautilitzats i s'ha procedit a una minoració gradual de costos globals, elevant-se d'esta manera els beneficis per a la prestadora durant este període “transitori”; que dura des de l'any 2017. La diferència total final que s'obté en concepte de benefici real en comparació amb l'esperat pel contractista és de +614.501,85 €, conforme als càlculs motivats de la investigació.</w:t>
      </w:r>
    </w:p>
    <w:p w14:paraId="130BCED7" w14:textId="77777777" w:rsidR="00F20676" w:rsidRPr="00F20676" w:rsidRDefault="00F20676" w:rsidP="009100C6">
      <w:pPr>
        <w:numPr>
          <w:ilvl w:val="0"/>
          <w:numId w:val="153"/>
        </w:numPr>
        <w:spacing w:after="240" w:line="276" w:lineRule="auto"/>
        <w:jc w:val="both"/>
        <w:rPr>
          <w:rFonts w:ascii="Arial" w:eastAsia="Times New Roman" w:hAnsi="Arial" w:cs="Arial"/>
          <w:color w:val="000000"/>
          <w:sz w:val="21"/>
          <w:szCs w:val="21"/>
        </w:rPr>
      </w:pPr>
      <w:r w:rsidRPr="00F20676">
        <w:rPr>
          <w:rFonts w:ascii="Arial" w:eastAsia="Times New Roman" w:hAnsi="Arial" w:cs="Arial"/>
          <w:color w:val="000000"/>
          <w:sz w:val="21"/>
          <w:szCs w:val="21"/>
        </w:rPr>
        <w:t>No s'estan realitzant seguiments periòdics de la prestació del servici en termes econòmics, ajustant si és el cas els imports a abonar a l'empresa pels servicis realment prestats i els costos reals que assumix per a això, a pesar que la minoració d'algunes despeses fixes, com els de personal, com es reflectixen de l'anàlisi de la comptabilitat de l'empresa prestadora del servici.</w:t>
      </w:r>
    </w:p>
    <w:p w14:paraId="470ABD03" w14:textId="77777777" w:rsidR="00F20676" w:rsidRPr="00F20676" w:rsidRDefault="00F20676" w:rsidP="00F20676">
      <w:pPr>
        <w:spacing w:after="240" w:line="276" w:lineRule="auto"/>
        <w:jc w:val="both"/>
        <w:rPr>
          <w:rFonts w:ascii="Arial" w:eastAsia="Times New Roman" w:hAnsi="Arial" w:cs="Arial"/>
          <w:color w:val="000000"/>
          <w:sz w:val="21"/>
          <w:szCs w:val="21"/>
        </w:rPr>
      </w:pPr>
      <w:r w:rsidRPr="00F20676">
        <w:rPr>
          <w:rFonts w:ascii="Arial" w:eastAsia="Times New Roman" w:hAnsi="Arial" w:cs="Arial"/>
          <w:b/>
          <w:bCs/>
          <w:color w:val="000000"/>
          <w:sz w:val="21"/>
          <w:szCs w:val="21"/>
        </w:rPr>
        <w:t>Resultat</w:t>
      </w:r>
      <w:r w:rsidRPr="00F20676">
        <w:rPr>
          <w:rFonts w:ascii="Arial" w:eastAsia="Times New Roman" w:hAnsi="Arial" w:cs="Arial"/>
          <w:color w:val="000000"/>
          <w:sz w:val="21"/>
          <w:szCs w:val="21"/>
        </w:rPr>
        <w:t>: Es finalitza l’expedient amb recomanacions:</w:t>
      </w:r>
    </w:p>
    <w:p w14:paraId="0201EAB2" w14:textId="77777777" w:rsidR="00F20676" w:rsidRPr="00F20676" w:rsidRDefault="00F20676" w:rsidP="009100C6">
      <w:pPr>
        <w:numPr>
          <w:ilvl w:val="0"/>
          <w:numId w:val="154"/>
        </w:numPr>
        <w:spacing w:after="120" w:line="276" w:lineRule="auto"/>
        <w:ind w:left="709"/>
        <w:jc w:val="both"/>
        <w:rPr>
          <w:rFonts w:ascii="Arial" w:eastAsia="Times New Roman" w:hAnsi="Arial" w:cs="Arial"/>
          <w:color w:val="000000"/>
          <w:sz w:val="21"/>
          <w:szCs w:val="21"/>
        </w:rPr>
      </w:pPr>
      <w:r w:rsidRPr="00F20676">
        <w:rPr>
          <w:rFonts w:ascii="Arial" w:eastAsia="Times New Roman" w:hAnsi="Arial" w:cs="Arial"/>
          <w:color w:val="000000"/>
          <w:sz w:val="21"/>
          <w:szCs w:val="21"/>
        </w:rPr>
        <w:t>Es procedisca a adoptar les mesures necessàries per a regularitzar la situació jurídica de la prestació del servici, ja siga realitzant i finalitzant la licitació pública amb l'adjudicació a l'oferta més avantatjosa, ja siga adoptant les decisions de gestió que garantisquen la terminació de l'actual situació de prestació del servici sense cobertura contractual.</w:t>
      </w:r>
    </w:p>
    <w:p w14:paraId="1E955089" w14:textId="77777777" w:rsidR="00F20676" w:rsidRPr="00F20676" w:rsidRDefault="00F20676" w:rsidP="009100C6">
      <w:pPr>
        <w:numPr>
          <w:ilvl w:val="0"/>
          <w:numId w:val="154"/>
        </w:numPr>
        <w:spacing w:after="120" w:line="276" w:lineRule="auto"/>
        <w:ind w:left="709"/>
        <w:jc w:val="both"/>
        <w:rPr>
          <w:rFonts w:ascii="Arial" w:eastAsia="Times New Roman" w:hAnsi="Arial" w:cs="Arial"/>
          <w:color w:val="000000"/>
          <w:sz w:val="21"/>
          <w:szCs w:val="21"/>
        </w:rPr>
      </w:pPr>
      <w:r w:rsidRPr="00F20676">
        <w:rPr>
          <w:rFonts w:ascii="Arial" w:eastAsia="Times New Roman" w:hAnsi="Arial" w:cs="Arial"/>
          <w:color w:val="000000"/>
          <w:sz w:val="21"/>
          <w:szCs w:val="21"/>
        </w:rPr>
        <w:t>Es procedisca a revisar les condicions econòmiques establides per a la prestació del servici per part de la UTE, des de l'1 de novembre de 2017, dia següent a què produirà efectes la resolució del contracte i fins que es formalitze el nou contracte, donada la realitat econòmica de la prestació acreditada en la comptabilitat de la UTE, tant de minoració de costos directes de la prestació del servici, com de beneficis reals superiors als previstos per la pròpia UTE en la licitació inicial resolta.</w:t>
      </w:r>
    </w:p>
    <w:p w14:paraId="613F4F24" w14:textId="77777777" w:rsidR="00F20676" w:rsidRPr="00F20676" w:rsidRDefault="00F20676" w:rsidP="00F20676">
      <w:pPr>
        <w:spacing w:after="120" w:line="276" w:lineRule="auto"/>
        <w:ind w:left="709"/>
        <w:jc w:val="both"/>
        <w:rPr>
          <w:rFonts w:ascii="Arial" w:eastAsia="Times New Roman" w:hAnsi="Arial" w:cs="Arial"/>
          <w:color w:val="000000"/>
          <w:sz w:val="21"/>
          <w:szCs w:val="21"/>
        </w:rPr>
      </w:pPr>
      <w:r w:rsidRPr="00F20676">
        <w:rPr>
          <w:rFonts w:ascii="Arial" w:eastAsia="Times New Roman" w:hAnsi="Arial" w:cs="Arial"/>
          <w:color w:val="000000"/>
          <w:sz w:val="21"/>
          <w:szCs w:val="21"/>
        </w:rPr>
        <w:t>Establir procediments de revisió periòdica del règim econòmic de la prestació del servici mentre dure l'actual situació, que permeten fixar amb la periodicitat màxima semestral el preu a què efectivament ha de retribuir-se per l'Ajuntament la prestació del servici en l'actual situació, en funció dels costos reals del servici, benefici empresarial i necessitats reals de prestació.</w:t>
      </w:r>
    </w:p>
    <w:p w14:paraId="54CC11D6" w14:textId="77777777" w:rsidR="00F20676" w:rsidRPr="00F20676" w:rsidRDefault="00F20676" w:rsidP="009100C6">
      <w:pPr>
        <w:numPr>
          <w:ilvl w:val="0"/>
          <w:numId w:val="154"/>
        </w:numPr>
        <w:spacing w:after="120" w:line="276" w:lineRule="auto"/>
        <w:ind w:left="709"/>
        <w:jc w:val="both"/>
        <w:rPr>
          <w:rFonts w:ascii="Arial" w:eastAsia="Times New Roman" w:hAnsi="Arial" w:cs="Arial"/>
          <w:color w:val="000000"/>
          <w:sz w:val="21"/>
          <w:szCs w:val="21"/>
        </w:rPr>
      </w:pPr>
      <w:r w:rsidRPr="00F20676">
        <w:rPr>
          <w:rFonts w:ascii="Arial" w:eastAsia="Times New Roman" w:hAnsi="Arial" w:cs="Arial"/>
          <w:color w:val="000000"/>
          <w:sz w:val="21"/>
          <w:szCs w:val="21"/>
        </w:rPr>
        <w:t>Es procedisca, prèvia la tramitació oportuna, a actualitzar l'import de l'aval o garantia depositada per la mercantil prestadora del servici, que clarament ha superat el període transitori previst de 12 mesos, situant-se en l'actualitat en 48 mesos, per la qual cosa es considera adequat procedir al reajustament de la garantia per la realitat del risc cobert.</w:t>
      </w:r>
    </w:p>
    <w:p w14:paraId="33D51EF4" w14:textId="77777777" w:rsidR="00F20676" w:rsidRPr="00F20676" w:rsidRDefault="00F20676" w:rsidP="009100C6">
      <w:pPr>
        <w:numPr>
          <w:ilvl w:val="0"/>
          <w:numId w:val="154"/>
        </w:numPr>
        <w:spacing w:after="240" w:line="276" w:lineRule="auto"/>
        <w:ind w:left="709"/>
        <w:jc w:val="both"/>
        <w:rPr>
          <w:rFonts w:ascii="Arial" w:eastAsia="Times New Roman" w:hAnsi="Arial" w:cs="Arial"/>
          <w:color w:val="000000"/>
          <w:sz w:val="21"/>
          <w:szCs w:val="21"/>
        </w:rPr>
      </w:pPr>
      <w:r w:rsidRPr="00F20676">
        <w:rPr>
          <w:rFonts w:ascii="Arial" w:eastAsia="Times New Roman" w:hAnsi="Arial" w:cs="Arial"/>
          <w:color w:val="000000"/>
          <w:sz w:val="21"/>
          <w:szCs w:val="21"/>
        </w:rPr>
        <w:t>Que es valore l'inici de la revisió d'ofici dels acords aprovatoris de les indemnitzacions abonades a la UTE, atés que s'ha acreditat que el prestador del servici sense cobertura contractual i que no té transferit el risc de la prestació, ha obtingut uns beneficis acumulats derivats de les compensacions del període “transitori”; que dura des de l'any 2017, en termes acumulats superiors en +614.501,85 €, d'acord amb els càlculs motivats en el present informe, benefici real en comparació amb l'esperat pel contractista en la seua proposició inicial.</w:t>
      </w:r>
    </w:p>
    <w:p w14:paraId="121132D0" w14:textId="77777777" w:rsidR="00F20676" w:rsidRPr="00F20676" w:rsidRDefault="00F20676" w:rsidP="00F20676">
      <w:pPr>
        <w:spacing w:after="240" w:line="276" w:lineRule="auto"/>
        <w:jc w:val="both"/>
        <w:rPr>
          <w:rFonts w:ascii="Arial" w:eastAsia="Times New Roman" w:hAnsi="Arial" w:cs="Arial"/>
          <w:color w:val="000000"/>
          <w:sz w:val="21"/>
          <w:szCs w:val="21"/>
          <w:lang w:val="ca-ES"/>
        </w:rPr>
      </w:pPr>
      <w:r w:rsidRPr="00F20676">
        <w:rPr>
          <w:rFonts w:ascii="Arial" w:eastAsia="Times New Roman" w:hAnsi="Arial" w:cs="Arial"/>
          <w:b/>
          <w:bCs/>
          <w:color w:val="000000"/>
          <w:sz w:val="21"/>
          <w:szCs w:val="21"/>
        </w:rPr>
        <w:t xml:space="preserve">Fase de seguiment: </w:t>
      </w:r>
      <w:r w:rsidRPr="00F20676">
        <w:rPr>
          <w:rFonts w:ascii="Arial" w:eastAsia="Times New Roman" w:hAnsi="Arial" w:cs="Arial"/>
          <w:color w:val="000000"/>
          <w:sz w:val="21"/>
          <w:szCs w:val="21"/>
        </w:rPr>
        <w:t>En tràmit.</w:t>
      </w:r>
    </w:p>
    <w:p w14:paraId="18E97571" w14:textId="29EA122D" w:rsidR="00427E81" w:rsidRPr="00427E81" w:rsidRDefault="00427E81" w:rsidP="00427E81">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10" w:name="_Toc99110784"/>
      <w:r w:rsidRPr="00427E81">
        <w:rPr>
          <w:rFonts w:ascii="Arial" w:eastAsia="Times New Roman" w:hAnsi="Arial" w:cs="Arial"/>
          <w:b/>
          <w:color w:val="9D2235"/>
          <w:sz w:val="28"/>
          <w:szCs w:val="28"/>
        </w:rPr>
        <w:t>Denominació: Ajuntament de Callosa de Segura. Despeses realitzades sense procediment en matèria de contractació i concessió de llicència urbanística que no empara les obres executades</w:t>
      </w:r>
      <w:bookmarkEnd w:id="310"/>
    </w:p>
    <w:p w14:paraId="4F4B2A45" w14:textId="77777777" w:rsidR="00427E81" w:rsidRPr="00427E81" w:rsidRDefault="00427E81" w:rsidP="005272C3">
      <w:pPr>
        <w:spacing w:after="240" w:line="276" w:lineRule="auto"/>
        <w:jc w:val="both"/>
        <w:rPr>
          <w:rFonts w:ascii="Arial" w:eastAsia="Times New Roman" w:hAnsi="Arial" w:cs="Arial"/>
          <w:color w:val="000000"/>
          <w:sz w:val="21"/>
          <w:szCs w:val="21"/>
        </w:rPr>
      </w:pPr>
      <w:r w:rsidRPr="00427E81">
        <w:rPr>
          <w:rFonts w:ascii="Arial" w:eastAsia="Times New Roman" w:hAnsi="Arial" w:cs="Arial"/>
          <w:b/>
          <w:bCs/>
          <w:color w:val="000000"/>
          <w:sz w:val="21"/>
          <w:szCs w:val="21"/>
        </w:rPr>
        <w:t>Expedient:</w:t>
      </w:r>
      <w:r w:rsidRPr="00427E81">
        <w:rPr>
          <w:rFonts w:ascii="Arial" w:eastAsia="Times New Roman" w:hAnsi="Arial" w:cs="Arial"/>
          <w:color w:val="000000"/>
          <w:sz w:val="21"/>
          <w:szCs w:val="21"/>
        </w:rPr>
        <w:t xml:space="preserve"> 2020/G01_02/0000002</w:t>
      </w:r>
    </w:p>
    <w:p w14:paraId="4D118F48" w14:textId="77777777" w:rsidR="009100C6" w:rsidRPr="009100C6" w:rsidRDefault="009100C6" w:rsidP="009100C6">
      <w:pPr>
        <w:spacing w:after="240" w:line="276" w:lineRule="auto"/>
        <w:rPr>
          <w:rFonts w:ascii="Arial" w:eastAsia="Times New Roman" w:hAnsi="Arial" w:cs="Arial"/>
          <w:sz w:val="16"/>
          <w:szCs w:val="16"/>
          <w:lang w:eastAsia="es-ES"/>
        </w:rPr>
      </w:pPr>
      <w:r w:rsidRPr="009100C6">
        <w:rPr>
          <w:rFonts w:ascii="Arial" w:eastAsia="Times New Roman" w:hAnsi="Arial" w:cs="Arial"/>
          <w:b/>
          <w:bCs/>
          <w:sz w:val="21"/>
          <w:szCs w:val="21"/>
        </w:rPr>
        <w:t>Enllaç a la publicació:</w:t>
      </w:r>
      <w:r w:rsidRPr="009100C6">
        <w:rPr>
          <w:rFonts w:ascii="Arial" w:eastAsia="Times New Roman" w:hAnsi="Arial" w:cs="Arial"/>
          <w:b/>
          <w:bCs/>
          <w:sz w:val="21"/>
          <w:szCs w:val="21"/>
        </w:rPr>
        <w:br/>
      </w:r>
      <w:hyperlink r:id="rId481" w:history="1">
        <w:r w:rsidRPr="009100C6">
          <w:rPr>
            <w:rFonts w:ascii="Arial" w:eastAsia="Times New Roman" w:hAnsi="Arial" w:cs="Arial"/>
            <w:color w:val="000080"/>
            <w:sz w:val="16"/>
            <w:szCs w:val="16"/>
            <w:u w:val="single"/>
            <w:lang w:eastAsia="es-ES"/>
          </w:rPr>
          <w:t>https://www.antifraucv.es/wp-content/uploads/2022/01/20211202_AJUNTAMENT-CALLOSA-DE-SEGURA.pdf</w:t>
        </w:r>
      </w:hyperlink>
    </w:p>
    <w:p w14:paraId="7A885707" w14:textId="77777777" w:rsidR="00427E81" w:rsidRPr="00427E81" w:rsidRDefault="00427E81" w:rsidP="00427E81">
      <w:pPr>
        <w:spacing w:after="240" w:line="276" w:lineRule="auto"/>
        <w:jc w:val="both"/>
        <w:rPr>
          <w:rFonts w:ascii="Arial" w:eastAsia="Times New Roman" w:hAnsi="Arial" w:cs="Arial"/>
          <w:color w:val="000000"/>
          <w:sz w:val="21"/>
          <w:szCs w:val="21"/>
        </w:rPr>
      </w:pPr>
      <w:r w:rsidRPr="00427E81">
        <w:rPr>
          <w:rFonts w:ascii="Arial" w:eastAsia="Times New Roman" w:hAnsi="Arial" w:cs="Arial"/>
          <w:b/>
          <w:bCs/>
          <w:color w:val="000000"/>
          <w:sz w:val="21"/>
          <w:szCs w:val="21"/>
        </w:rPr>
        <w:t>Descripció:</w:t>
      </w:r>
      <w:r w:rsidRPr="00427E81">
        <w:rPr>
          <w:rFonts w:ascii="Arial" w:eastAsia="Times New Roman" w:hAnsi="Arial" w:cs="Arial"/>
          <w:color w:val="000000"/>
          <w:sz w:val="21"/>
          <w:szCs w:val="21"/>
        </w:rPr>
        <w:t xml:space="preserve"> Els fets denunciats es concretaren en:</w:t>
      </w:r>
    </w:p>
    <w:p w14:paraId="5B7F977C" w14:textId="77777777" w:rsidR="00427E81" w:rsidRPr="00427E81" w:rsidRDefault="00427E81" w:rsidP="009100C6">
      <w:pPr>
        <w:numPr>
          <w:ilvl w:val="0"/>
          <w:numId w:val="155"/>
        </w:numPr>
        <w:spacing w:after="120" w:line="276" w:lineRule="auto"/>
        <w:ind w:left="714" w:hanging="357"/>
        <w:jc w:val="both"/>
        <w:rPr>
          <w:rFonts w:ascii="Arial" w:eastAsia="Times New Roman" w:hAnsi="Arial" w:cs="Arial"/>
          <w:color w:val="000000"/>
          <w:sz w:val="21"/>
          <w:szCs w:val="21"/>
        </w:rPr>
      </w:pPr>
      <w:r w:rsidRPr="00427E81">
        <w:rPr>
          <w:rFonts w:ascii="Arial" w:eastAsia="Times New Roman" w:hAnsi="Arial" w:cs="Arial"/>
          <w:color w:val="000000"/>
          <w:sz w:val="21"/>
          <w:szCs w:val="21"/>
        </w:rPr>
        <w:t>L'Ajuntament de Callosa, durant el període 2006-2015, va abonar successives factures pel servici d'anàlisi de l'aigua en determinades zones del municipi, a favor del cònjuge de la funcionària que durant el període 2000-2020 ha exercit de forma accidental els llocs de secretaria i intervenció. No tramitant-se la licitació del servici per a la seua adjudicació i</w:t>
      </w:r>
    </w:p>
    <w:p w14:paraId="48E35846" w14:textId="77777777" w:rsidR="00427E81" w:rsidRPr="00427E81" w:rsidRDefault="00427E81" w:rsidP="009100C6">
      <w:pPr>
        <w:numPr>
          <w:ilvl w:val="0"/>
          <w:numId w:val="155"/>
        </w:numPr>
        <w:spacing w:after="240" w:line="276" w:lineRule="auto"/>
        <w:jc w:val="both"/>
        <w:rPr>
          <w:rFonts w:ascii="Arial" w:eastAsia="Times New Roman" w:hAnsi="Arial" w:cs="Arial"/>
          <w:color w:val="000000"/>
          <w:sz w:val="21"/>
          <w:szCs w:val="21"/>
        </w:rPr>
      </w:pPr>
      <w:r w:rsidRPr="00427E81">
        <w:rPr>
          <w:rFonts w:ascii="Arial" w:eastAsia="Times New Roman" w:hAnsi="Arial" w:cs="Arial"/>
          <w:color w:val="000000"/>
          <w:sz w:val="21"/>
          <w:szCs w:val="21"/>
        </w:rPr>
        <w:t>L'Ajuntament de Callosa de Segura va concedir una llicència urbanística, en relació amb unes obres que es pretenien executar en l'immoble siti en el municipi, que no empara les obres realment executades i el promotor de les quals era familiar de la Secretària-Interventora de l'Ajuntament en aquell moment.</w:t>
      </w:r>
    </w:p>
    <w:p w14:paraId="54BE424E" w14:textId="77777777" w:rsidR="00427E81" w:rsidRPr="00427E81" w:rsidRDefault="00427E81" w:rsidP="00427E81">
      <w:pPr>
        <w:spacing w:after="240" w:line="276" w:lineRule="auto"/>
        <w:jc w:val="both"/>
        <w:rPr>
          <w:rFonts w:ascii="Arial" w:eastAsia="Times New Roman" w:hAnsi="Arial" w:cs="Arial"/>
          <w:color w:val="000000"/>
          <w:sz w:val="21"/>
          <w:szCs w:val="21"/>
        </w:rPr>
      </w:pPr>
      <w:r w:rsidRPr="00427E81">
        <w:rPr>
          <w:rFonts w:ascii="Arial" w:eastAsia="Times New Roman" w:hAnsi="Arial" w:cs="Arial"/>
          <w:color w:val="000000"/>
          <w:sz w:val="21"/>
          <w:szCs w:val="21"/>
        </w:rPr>
        <w:t xml:space="preserve">Després de la instrucció de l'oportú procediment d'investigació, es va evidenciar que: </w:t>
      </w:r>
    </w:p>
    <w:p w14:paraId="2202921D" w14:textId="77777777" w:rsidR="00427E81" w:rsidRPr="00427E81" w:rsidRDefault="00427E81" w:rsidP="009100C6">
      <w:pPr>
        <w:numPr>
          <w:ilvl w:val="0"/>
          <w:numId w:val="158"/>
        </w:numPr>
        <w:spacing w:after="120" w:line="276" w:lineRule="auto"/>
        <w:ind w:hanging="357"/>
        <w:jc w:val="both"/>
        <w:rPr>
          <w:rFonts w:ascii="Arial" w:eastAsia="Times New Roman" w:hAnsi="Arial" w:cs="Arial"/>
          <w:color w:val="000000"/>
          <w:sz w:val="21"/>
          <w:szCs w:val="21"/>
        </w:rPr>
      </w:pPr>
      <w:r w:rsidRPr="00427E81">
        <w:rPr>
          <w:rFonts w:ascii="Arial" w:eastAsia="Times New Roman" w:hAnsi="Arial" w:cs="Arial"/>
          <w:color w:val="000000"/>
          <w:sz w:val="21"/>
          <w:szCs w:val="21"/>
        </w:rPr>
        <w:t>Quant a les despeses sufragades pel servici d'analítiques per al control de la qualitat de l'aigua en aixeta del consumidor, de legionel·la en diverses instal·lacions municipals, i de l'aigua residual en l'Estació Depuradora d'Aigües Residuals:</w:t>
      </w:r>
    </w:p>
    <w:p w14:paraId="57AC2BF7" w14:textId="77777777" w:rsidR="00427E81" w:rsidRPr="00427E81" w:rsidRDefault="00427E81" w:rsidP="009100C6">
      <w:pPr>
        <w:numPr>
          <w:ilvl w:val="0"/>
          <w:numId w:val="156"/>
        </w:numPr>
        <w:spacing w:after="120" w:line="276" w:lineRule="auto"/>
        <w:ind w:left="1276" w:hanging="425"/>
        <w:jc w:val="both"/>
        <w:rPr>
          <w:rFonts w:ascii="Arial" w:eastAsia="Times New Roman" w:hAnsi="Arial" w:cs="Arial"/>
          <w:color w:val="000000"/>
          <w:sz w:val="21"/>
          <w:szCs w:val="21"/>
        </w:rPr>
      </w:pPr>
      <w:r w:rsidRPr="00427E81">
        <w:rPr>
          <w:rFonts w:ascii="Arial" w:eastAsia="Times New Roman" w:hAnsi="Arial" w:cs="Arial"/>
          <w:color w:val="000000"/>
          <w:sz w:val="21"/>
          <w:szCs w:val="21"/>
        </w:rPr>
        <w:t>L'Ajuntament de Callosa de Segura, durant el període 2003-2014, va abonar a una mateixa persona la quantia de 187.885 € (548 factures), per la realització de distintes classes d'analítiques sense que l'administració municipal, en compliment de la normativa contractual, instruïra l'oportú i preceptiu expedient de contractació que protegira la prestació del servici, havent de tindre en compte que la periodicitat del servici era recurrent.</w:t>
      </w:r>
    </w:p>
    <w:p w14:paraId="031F7CE0" w14:textId="77777777" w:rsidR="00427E81" w:rsidRPr="00427E81" w:rsidRDefault="00427E81" w:rsidP="009100C6">
      <w:pPr>
        <w:numPr>
          <w:ilvl w:val="0"/>
          <w:numId w:val="156"/>
        </w:numPr>
        <w:spacing w:after="120" w:line="276" w:lineRule="auto"/>
        <w:ind w:left="1276" w:hanging="425"/>
        <w:jc w:val="both"/>
        <w:rPr>
          <w:rFonts w:ascii="Arial" w:eastAsia="Times New Roman" w:hAnsi="Arial" w:cs="Arial"/>
          <w:color w:val="000000"/>
          <w:sz w:val="21"/>
          <w:szCs w:val="21"/>
        </w:rPr>
      </w:pPr>
      <w:r w:rsidRPr="00427E81">
        <w:rPr>
          <w:rFonts w:ascii="Arial" w:eastAsia="Times New Roman" w:hAnsi="Arial" w:cs="Arial"/>
          <w:color w:val="000000"/>
          <w:sz w:val="21"/>
          <w:szCs w:val="21"/>
        </w:rPr>
        <w:t>L'Ajuntament de Callosa de Segura, va abonar durant 9 anys, el servici d'analítiques d'aigua sense la instrucció de cap expedient per al reconeixement de l'obligació i pagament, coneixent que la persona a qui se li abonaven, no disposava ni la capacitat ni habilitació professional necessària per a realitzar les anàlisis d'aigua i legionel·la, veient que el preu unitari de les analítiques anava incrementant-se durant els anys i que es realitzaven analítiques amb periodicitat major a la freqüència mínima exigida en la legislació i analítiques no exigides per la legislació, sense mediar cap justificació.</w:t>
      </w:r>
    </w:p>
    <w:p w14:paraId="6A063E31" w14:textId="77777777" w:rsidR="00427E81" w:rsidRPr="00427E81" w:rsidRDefault="00427E81" w:rsidP="009100C6">
      <w:pPr>
        <w:numPr>
          <w:ilvl w:val="0"/>
          <w:numId w:val="156"/>
        </w:numPr>
        <w:spacing w:after="120" w:line="276" w:lineRule="auto"/>
        <w:ind w:left="1276" w:hanging="425"/>
        <w:jc w:val="both"/>
        <w:rPr>
          <w:rFonts w:ascii="Arial" w:eastAsia="Times New Roman" w:hAnsi="Arial" w:cs="Arial"/>
          <w:color w:val="000000"/>
          <w:sz w:val="21"/>
          <w:szCs w:val="21"/>
        </w:rPr>
      </w:pPr>
      <w:r w:rsidRPr="00427E81">
        <w:rPr>
          <w:rFonts w:ascii="Arial" w:eastAsia="Times New Roman" w:hAnsi="Arial" w:cs="Arial"/>
          <w:color w:val="000000"/>
          <w:sz w:val="21"/>
          <w:szCs w:val="21"/>
        </w:rPr>
        <w:t xml:space="preserve">Concurrència d'una situació de conflicte d'interessos i causa d'abstenció, l'actuació o omissió de la Secretària i Interventora accidental de l'Ajuntament de Callosa de Segura, en qui concorre motiu d'abstenció per relació de parentiu respecte de les despeses sufragades per l'Ajuntament en concepte del servici d'anàlisi de l'aigua, sense la instrucció d'expedient de contractació i dels oportuns expedients per al reconeixement i pagament de les factures, ha sigut rellevant; situació irregular que ha tingut una clara permanència en el temps, evidenciant que la persona que ostentava els llocs de secretaria i intervenció de l'Ajuntament, garants de la legalitat de l'actuació administrativa, no ha actuat quan venia obligada a actuar. </w:t>
      </w:r>
    </w:p>
    <w:p w14:paraId="0C8CCD13" w14:textId="77777777" w:rsidR="00427E81" w:rsidRPr="00427E81" w:rsidRDefault="00427E81" w:rsidP="009100C6">
      <w:pPr>
        <w:numPr>
          <w:ilvl w:val="0"/>
          <w:numId w:val="158"/>
        </w:numPr>
        <w:spacing w:after="120" w:line="276" w:lineRule="auto"/>
        <w:ind w:hanging="357"/>
        <w:jc w:val="both"/>
        <w:rPr>
          <w:rFonts w:ascii="Arial" w:eastAsia="Times New Roman" w:hAnsi="Arial" w:cs="Arial"/>
          <w:color w:val="000000"/>
          <w:sz w:val="21"/>
          <w:szCs w:val="21"/>
        </w:rPr>
      </w:pPr>
      <w:r w:rsidRPr="00427E81">
        <w:rPr>
          <w:rFonts w:ascii="Arial" w:eastAsia="Times New Roman" w:hAnsi="Arial" w:cs="Arial"/>
          <w:color w:val="000000"/>
          <w:sz w:val="21"/>
          <w:szCs w:val="21"/>
        </w:rPr>
        <w:t xml:space="preserve">Quant a les obres executades en l'immoble siti en el municipi: </w:t>
      </w:r>
      <w:r w:rsidRPr="00427E81">
        <w:rPr>
          <w:rFonts w:ascii="Arial" w:eastAsia="Times New Roman" w:hAnsi="Arial" w:cs="Arial"/>
          <w:b/>
          <w:bCs/>
          <w:color w:val="000000"/>
          <w:sz w:val="21"/>
          <w:szCs w:val="21"/>
        </w:rPr>
        <w:t>a)</w:t>
      </w:r>
      <w:r w:rsidRPr="00427E81">
        <w:rPr>
          <w:rFonts w:ascii="Arial" w:eastAsia="Times New Roman" w:hAnsi="Arial" w:cs="Arial"/>
          <w:color w:val="000000"/>
          <w:sz w:val="21"/>
          <w:szCs w:val="21"/>
        </w:rPr>
        <w:t xml:space="preserve"> les obres realment executades, no s'ajusten a les determinacions de la llicència que l'ajuntament va concedir a l'interessat i </w:t>
      </w:r>
      <w:r w:rsidRPr="00427E81">
        <w:rPr>
          <w:rFonts w:ascii="Arial" w:eastAsia="Times New Roman" w:hAnsi="Arial" w:cs="Arial"/>
          <w:b/>
          <w:bCs/>
          <w:color w:val="000000"/>
          <w:sz w:val="21"/>
          <w:szCs w:val="21"/>
        </w:rPr>
        <w:t>b)</w:t>
      </w:r>
      <w:r w:rsidRPr="00427E81">
        <w:rPr>
          <w:rFonts w:ascii="Arial" w:eastAsia="Times New Roman" w:hAnsi="Arial" w:cs="Arial"/>
          <w:color w:val="000000"/>
          <w:sz w:val="21"/>
          <w:szCs w:val="21"/>
        </w:rPr>
        <w:t xml:space="preserve"> concurrència de causa d'abstenció sent el promotor de les obres, familiar en primer grau, i no obrant en l'expedient el preceptiu informe jurídic, la Secretària i Interventora accidental hauria d'haver-se abstingut de subscriure el Decret d'alcaldia en virtut del qual es concedix la llicència d'obres.</w:t>
      </w:r>
    </w:p>
    <w:p w14:paraId="10A41245" w14:textId="77777777" w:rsidR="00427E81" w:rsidRPr="00427E81" w:rsidRDefault="00427E81" w:rsidP="009100C6">
      <w:pPr>
        <w:numPr>
          <w:ilvl w:val="0"/>
          <w:numId w:val="158"/>
        </w:numPr>
        <w:spacing w:after="120" w:line="276" w:lineRule="auto"/>
        <w:ind w:hanging="357"/>
        <w:jc w:val="both"/>
        <w:rPr>
          <w:rFonts w:ascii="Arial" w:eastAsia="Times New Roman" w:hAnsi="Arial" w:cs="Arial"/>
          <w:color w:val="000000"/>
          <w:sz w:val="21"/>
          <w:szCs w:val="21"/>
        </w:rPr>
      </w:pPr>
      <w:r w:rsidRPr="00427E81">
        <w:rPr>
          <w:rFonts w:ascii="Arial" w:eastAsia="Times New Roman" w:hAnsi="Arial" w:cs="Arial"/>
          <w:color w:val="000000"/>
          <w:sz w:val="21"/>
          <w:szCs w:val="21"/>
        </w:rPr>
        <w:t xml:space="preserve">Quant a la provisió accidental dels llocs de secretaria i intervenció de l'Ajuntament de Callosa de Segura, reservats a funcionaris amb habilitació de caràcter nacional, durant un dilatat període de temps: </w:t>
      </w:r>
    </w:p>
    <w:p w14:paraId="015D95AC" w14:textId="77777777" w:rsidR="00427E81" w:rsidRPr="00427E81" w:rsidRDefault="00427E81" w:rsidP="009100C6">
      <w:pPr>
        <w:numPr>
          <w:ilvl w:val="0"/>
          <w:numId w:val="157"/>
        </w:numPr>
        <w:spacing w:after="120" w:line="276" w:lineRule="auto"/>
        <w:ind w:left="1276" w:hanging="425"/>
        <w:jc w:val="both"/>
        <w:rPr>
          <w:rFonts w:ascii="Arial" w:eastAsia="Times New Roman" w:hAnsi="Arial" w:cs="Arial"/>
          <w:color w:val="000000"/>
          <w:sz w:val="21"/>
          <w:szCs w:val="21"/>
        </w:rPr>
      </w:pPr>
      <w:r w:rsidRPr="00427E81">
        <w:rPr>
          <w:rFonts w:ascii="Arial" w:eastAsia="Times New Roman" w:hAnsi="Arial" w:cs="Arial"/>
          <w:color w:val="000000"/>
          <w:sz w:val="21"/>
          <w:szCs w:val="21"/>
        </w:rPr>
        <w:t>L'Ajuntament de Callosa de Segura ha mantingut durant més de 19 anys un nomenament accidental del lloc de secretaria, i més de 12 anys un nomenament accidental del lloc d'intervenció en la mateixa funcionària de la corporació, ambdós llocs són reservats a la provisió per funcionari d'habilitació nacional.</w:t>
      </w:r>
    </w:p>
    <w:p w14:paraId="7E438839" w14:textId="77777777" w:rsidR="00427E81" w:rsidRPr="00427E81" w:rsidRDefault="00427E81" w:rsidP="009100C6">
      <w:pPr>
        <w:numPr>
          <w:ilvl w:val="0"/>
          <w:numId w:val="157"/>
        </w:numPr>
        <w:spacing w:after="240" w:line="276" w:lineRule="auto"/>
        <w:ind w:left="1276" w:hanging="425"/>
        <w:jc w:val="both"/>
        <w:rPr>
          <w:rFonts w:ascii="Arial" w:eastAsia="Times New Roman" w:hAnsi="Arial" w:cs="Arial"/>
          <w:color w:val="000000"/>
          <w:sz w:val="21"/>
          <w:szCs w:val="21"/>
        </w:rPr>
      </w:pPr>
      <w:r w:rsidRPr="00427E81">
        <w:rPr>
          <w:rFonts w:ascii="Arial" w:eastAsia="Times New Roman" w:hAnsi="Arial" w:cs="Arial"/>
          <w:color w:val="000000"/>
          <w:sz w:val="21"/>
          <w:szCs w:val="21"/>
        </w:rPr>
        <w:t>La Direcció General d'Administració Local no va resoldre la situació anterior.</w:t>
      </w:r>
    </w:p>
    <w:p w14:paraId="7FCE015E" w14:textId="77777777" w:rsidR="00427E81" w:rsidRPr="00427E81" w:rsidRDefault="00427E81" w:rsidP="00427E81">
      <w:pPr>
        <w:spacing w:after="240" w:line="276" w:lineRule="auto"/>
        <w:jc w:val="both"/>
        <w:rPr>
          <w:rFonts w:ascii="Arial" w:eastAsia="Times New Roman" w:hAnsi="Arial" w:cs="Arial"/>
          <w:color w:val="000000"/>
          <w:sz w:val="21"/>
          <w:szCs w:val="21"/>
        </w:rPr>
      </w:pPr>
      <w:r w:rsidRPr="00427E81">
        <w:rPr>
          <w:rFonts w:ascii="Arial" w:eastAsia="Times New Roman" w:hAnsi="Arial" w:cs="Arial"/>
          <w:b/>
          <w:bCs/>
          <w:color w:val="000000"/>
          <w:sz w:val="21"/>
          <w:szCs w:val="21"/>
        </w:rPr>
        <w:t>Resultat:</w:t>
      </w:r>
      <w:r w:rsidRPr="00427E81">
        <w:rPr>
          <w:rFonts w:ascii="Arial" w:eastAsia="Times New Roman" w:hAnsi="Arial" w:cs="Arial"/>
          <w:color w:val="000000"/>
          <w:sz w:val="21"/>
          <w:szCs w:val="21"/>
        </w:rPr>
        <w:t xml:space="preserve"> Finalització de la investigació amb recomanacions:</w:t>
      </w:r>
    </w:p>
    <w:p w14:paraId="1D1778E6" w14:textId="77777777" w:rsidR="00427E81" w:rsidRPr="00427E81" w:rsidRDefault="00427E81" w:rsidP="009100C6">
      <w:pPr>
        <w:numPr>
          <w:ilvl w:val="0"/>
          <w:numId w:val="159"/>
        </w:numPr>
        <w:spacing w:after="12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 xml:space="preserve">En relació amb les despeses sufragades pel servici </w:t>
      </w:r>
      <w:r w:rsidRPr="00427E81">
        <w:rPr>
          <w:rFonts w:ascii="Arial" w:eastAsia="Times New Roman" w:hAnsi="Arial" w:cs="Arial"/>
          <w:b/>
          <w:bCs/>
          <w:color w:val="000000"/>
          <w:sz w:val="21"/>
          <w:szCs w:val="21"/>
        </w:rPr>
        <w:t>d'analítiques</w:t>
      </w:r>
      <w:r w:rsidRPr="00427E81">
        <w:rPr>
          <w:rFonts w:ascii="Arial" w:eastAsia="Times New Roman" w:hAnsi="Arial" w:cs="Arial"/>
          <w:color w:val="000000"/>
          <w:sz w:val="21"/>
          <w:szCs w:val="21"/>
        </w:rPr>
        <w:t xml:space="preserve"> per al control de la qualitat de l'aigua en aixeta del consumidor i de legionel·la en diverses instal·lacions municipals, i de l'aigua residual en l'Estació Depuradora d'Aigües Residuals:</w:t>
      </w:r>
    </w:p>
    <w:p w14:paraId="2885CBE0" w14:textId="77777777" w:rsidR="00427E81" w:rsidRPr="00427E81" w:rsidRDefault="00427E81" w:rsidP="00427E81">
      <w:pPr>
        <w:spacing w:after="12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 xml:space="preserve">Instar a l'Ajuntament de Callosa de Segura que procedisca a tramitar la revisió d'ofici dels actes incursos en causa de nul·litat de ple dret, regulada en l'article 106 de la Llei 39/2015, d'1 d'octubre, del Procediment Administratiu Comú de les Administracions Públiques, corresponent a les despeses sufragades pel servici d'analítiques per al control de la qualitat de l'aigua en aixeta del consumidor, de legionel·la en diverses instal·lacions municipals, i de l'aigua residual en l'Estació Depuradora d'Aigües Residuals, per haver-se prescindit totalment i absolutament del procediment contractual legalment establit, i davant de la inexistència d'expedients de contractació que emparen la prestació del servici d'analítiques. </w:t>
      </w:r>
    </w:p>
    <w:p w14:paraId="2FEB0C52" w14:textId="77777777" w:rsidR="00427E81" w:rsidRPr="00427E81" w:rsidRDefault="00427E81" w:rsidP="00427E81">
      <w:pPr>
        <w:spacing w:after="12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Deurà, així mateix, quantificar-se els perjuís produïts pel procediment de revisió d'ofici i que han de ser objecte de rescabalament a l'erari municipal per a evitar el menyscabament de cabals o efectes públics, en concret haurà d'acreditar-se que les quantitats pagades responen a valor de mercat dels servicis prestats.</w:t>
      </w:r>
    </w:p>
    <w:p w14:paraId="67446540" w14:textId="77777777" w:rsidR="00427E81" w:rsidRPr="00427E81" w:rsidRDefault="00427E81" w:rsidP="00427E81">
      <w:pPr>
        <w:spacing w:after="12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Així mateix, han de depurar-se les responsabilitats de qualsevol tipus que corresponga del personal i autoritats al servici de les administracions públiques que pogueren ser responsables d'esta actuació.</w:t>
      </w:r>
    </w:p>
    <w:p w14:paraId="45ED42AF" w14:textId="77777777" w:rsidR="00427E81" w:rsidRPr="00427E81" w:rsidRDefault="00427E81" w:rsidP="009100C6">
      <w:pPr>
        <w:numPr>
          <w:ilvl w:val="0"/>
          <w:numId w:val="159"/>
        </w:numPr>
        <w:spacing w:after="12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En relació amb l'ús del contracte menor per a donar cobertura a necessitats permanents:</w:t>
      </w:r>
    </w:p>
    <w:p w14:paraId="3A2405C5" w14:textId="77777777" w:rsidR="00427E81" w:rsidRPr="00427E81" w:rsidRDefault="00427E81" w:rsidP="00427E81">
      <w:pPr>
        <w:spacing w:after="12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Realitzar una adequada planificació anual de la contractació administrativa per a reduir al màxim la utilització de la figura del contracte menor i evitar-la en tot cas, per a donar cobertura a necessitats permanents, tal com ocorre en el servici per al control de la qualitat de l'aigua en aixeta del consumidor i de legionel·la en diverses instal·lacions municipals.</w:t>
      </w:r>
    </w:p>
    <w:p w14:paraId="12FE3A60" w14:textId="77777777" w:rsidR="00427E81" w:rsidRPr="00427E81" w:rsidRDefault="00427E81" w:rsidP="009100C6">
      <w:pPr>
        <w:numPr>
          <w:ilvl w:val="0"/>
          <w:numId w:val="159"/>
        </w:numPr>
        <w:spacing w:after="120" w:line="276" w:lineRule="auto"/>
        <w:ind w:left="709"/>
        <w:jc w:val="both"/>
        <w:rPr>
          <w:rFonts w:ascii="Arial" w:eastAsia="Times New Roman" w:hAnsi="Arial" w:cs="Arial"/>
          <w:color w:val="000000"/>
          <w:sz w:val="21"/>
          <w:szCs w:val="21"/>
          <w:u w:val="single"/>
        </w:rPr>
      </w:pPr>
      <w:r w:rsidRPr="00427E81">
        <w:rPr>
          <w:rFonts w:ascii="Arial" w:eastAsia="Times New Roman" w:hAnsi="Arial" w:cs="Arial"/>
          <w:color w:val="000000"/>
          <w:sz w:val="21"/>
          <w:szCs w:val="21"/>
        </w:rPr>
        <w:t>En relació amb les obres executades en l'immoble sit al municipi:</w:t>
      </w:r>
    </w:p>
    <w:p w14:paraId="3E122641" w14:textId="77777777" w:rsidR="00427E81" w:rsidRPr="00427E81" w:rsidRDefault="00427E81" w:rsidP="00427E81">
      <w:pPr>
        <w:spacing w:after="12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Instar a l'Ajuntament de Callosa de Segura perquè procedisca a incoar expedient de protecció de la legalitat urbanística respecte de les obres executades, per a verificar si les obres realment executades s'ajusten o no a les determinacions de la llicència que l'Ajuntament va concedir a l'interessat. Havent d'actuar en conseqüència una vegada verificada l'adequació de les obres executades amb les autoritzades en la llicència concedida, tant respecte el règim de restauració de la legalitat urbanística com al sancionador.</w:t>
      </w:r>
    </w:p>
    <w:p w14:paraId="595259FD" w14:textId="77777777" w:rsidR="00427E81" w:rsidRPr="00427E81" w:rsidRDefault="00427E81" w:rsidP="00427E81">
      <w:pPr>
        <w:spacing w:after="12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En el cas que s'acorde l'inici de l'expedient de protecció de la legalitat urbanística, l'Ajuntament haurà d'informar l'interessat que des del moment que tinga coneixement de la incoació del citat expedient quedarà interrompuda la prescripció de la infracció, de conformitat amb el que disposa l'article 270 Decret Legislatiu 1/2021, de 18 de juny, del Consell d'aprovació del Text Refós de la Llei d'Ordenació del Territori, Urbanisme i Paisatge (anterior 251.4 de la LOTUP).</w:t>
      </w:r>
    </w:p>
    <w:p w14:paraId="47531899" w14:textId="77777777" w:rsidR="00427E81" w:rsidRPr="00427E81" w:rsidRDefault="00427E81" w:rsidP="00427E81">
      <w:pPr>
        <w:spacing w:after="240" w:line="276" w:lineRule="auto"/>
        <w:ind w:left="709"/>
        <w:jc w:val="both"/>
        <w:rPr>
          <w:rFonts w:ascii="Arial" w:eastAsia="Times New Roman" w:hAnsi="Arial" w:cs="Arial"/>
          <w:color w:val="000000"/>
          <w:sz w:val="21"/>
          <w:szCs w:val="21"/>
        </w:rPr>
      </w:pPr>
      <w:r w:rsidRPr="00427E81">
        <w:rPr>
          <w:rFonts w:ascii="Arial" w:eastAsia="Times New Roman" w:hAnsi="Arial" w:cs="Arial"/>
          <w:color w:val="000000"/>
          <w:sz w:val="21"/>
          <w:szCs w:val="21"/>
        </w:rPr>
        <w:t xml:space="preserve">Així mateix, han de depurar-se les responsabilitats de qualsevol tipus que corresponguen respecte del personal i autoritats al servici de les administracions pública. </w:t>
      </w:r>
    </w:p>
    <w:p w14:paraId="59E38FAE" w14:textId="77777777" w:rsidR="00427E81" w:rsidRPr="00427E81" w:rsidRDefault="00427E81" w:rsidP="00427E81">
      <w:pPr>
        <w:spacing w:after="240" w:line="276" w:lineRule="auto"/>
        <w:jc w:val="both"/>
        <w:rPr>
          <w:rFonts w:ascii="Arial" w:eastAsia="Times New Roman" w:hAnsi="Arial" w:cs="Arial"/>
          <w:color w:val="000000"/>
          <w:sz w:val="21"/>
          <w:szCs w:val="21"/>
          <w:lang w:val="ca-ES"/>
        </w:rPr>
      </w:pPr>
      <w:r w:rsidRPr="00427E81">
        <w:rPr>
          <w:rFonts w:ascii="Arial" w:eastAsia="Times New Roman" w:hAnsi="Arial" w:cs="Arial"/>
          <w:b/>
          <w:bCs/>
          <w:color w:val="000000"/>
          <w:sz w:val="21"/>
          <w:szCs w:val="21"/>
        </w:rPr>
        <w:t xml:space="preserve">Fase de seguiment: </w:t>
      </w:r>
      <w:r w:rsidRPr="00427E81">
        <w:rPr>
          <w:rFonts w:ascii="Arial" w:eastAsia="Times New Roman" w:hAnsi="Arial" w:cs="Arial"/>
          <w:color w:val="000000"/>
          <w:sz w:val="21"/>
          <w:szCs w:val="21"/>
        </w:rPr>
        <w:t>En tràmit</w:t>
      </w:r>
      <w:r w:rsidRPr="00427E81">
        <w:rPr>
          <w:rFonts w:ascii="Arial" w:eastAsia="Times New Roman" w:hAnsi="Arial" w:cs="Arial"/>
          <w:color w:val="000000"/>
          <w:sz w:val="21"/>
          <w:szCs w:val="21"/>
          <w:lang w:val="ca-ES"/>
        </w:rPr>
        <w:t>.</w:t>
      </w:r>
    </w:p>
    <w:p w14:paraId="03C78858" w14:textId="77777777" w:rsidR="00B351E4" w:rsidRPr="00B351E4" w:rsidRDefault="00B351E4" w:rsidP="00B351E4">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11" w:name="_Toc99110785"/>
      <w:r w:rsidRPr="00B351E4">
        <w:rPr>
          <w:rFonts w:ascii="Arial" w:eastAsia="Times New Roman" w:hAnsi="Arial" w:cs="Arial"/>
          <w:b/>
          <w:color w:val="9D2235"/>
          <w:sz w:val="28"/>
          <w:szCs w:val="28"/>
        </w:rPr>
        <w:t>Denominació: Corporació Valenciana de Mitjans de Comunicació (CVMC) i de la Societat Anònima de Mitjans de Comunicació de la Comunitat Valenciana (SAMC). Irregularitats nomenament personal directiu</w:t>
      </w:r>
      <w:bookmarkEnd w:id="311"/>
    </w:p>
    <w:p w14:paraId="18C64B72" w14:textId="16A4888E" w:rsidR="00B351E4" w:rsidRPr="00B351E4" w:rsidRDefault="00B351E4" w:rsidP="005272C3">
      <w:pPr>
        <w:spacing w:after="240" w:line="276" w:lineRule="auto"/>
        <w:jc w:val="both"/>
        <w:rPr>
          <w:rFonts w:ascii="Arial" w:eastAsia="Times New Roman" w:hAnsi="Arial" w:cs="Arial"/>
          <w:color w:val="000000"/>
          <w:sz w:val="21"/>
          <w:szCs w:val="21"/>
        </w:rPr>
      </w:pPr>
      <w:r w:rsidRPr="00B351E4">
        <w:rPr>
          <w:rFonts w:ascii="Arial" w:eastAsia="Times New Roman" w:hAnsi="Arial" w:cs="Arial"/>
          <w:b/>
          <w:bCs/>
          <w:color w:val="000000"/>
          <w:sz w:val="21"/>
          <w:szCs w:val="21"/>
        </w:rPr>
        <w:t>Expedient:</w:t>
      </w:r>
      <w:r w:rsidRPr="00B351E4">
        <w:rPr>
          <w:rFonts w:ascii="Arial" w:eastAsia="Times New Roman" w:hAnsi="Arial" w:cs="Arial"/>
          <w:color w:val="000000"/>
          <w:sz w:val="21"/>
          <w:szCs w:val="21"/>
        </w:rPr>
        <w:t xml:space="preserve"> 2021/G01_02/000286 [181/2018] -</w:t>
      </w:r>
      <w:r w:rsidRPr="00B351E4">
        <w:t xml:space="preserve"> </w:t>
      </w:r>
      <w:r>
        <w:rPr>
          <w:rFonts w:ascii="Arial" w:eastAsia="Times New Roman" w:hAnsi="Arial" w:cs="Arial"/>
          <w:color w:val="000000"/>
          <w:sz w:val="21"/>
          <w:szCs w:val="21"/>
        </w:rPr>
        <w:t>A</w:t>
      </w:r>
      <w:r w:rsidRPr="00B351E4">
        <w:rPr>
          <w:rFonts w:ascii="Arial" w:eastAsia="Times New Roman" w:hAnsi="Arial" w:cs="Arial"/>
          <w:color w:val="000000"/>
          <w:sz w:val="21"/>
          <w:szCs w:val="21"/>
        </w:rPr>
        <w:t>cumulat 2020/G01_01/000214 [132/2019]</w:t>
      </w:r>
    </w:p>
    <w:p w14:paraId="6C9E4216" w14:textId="77777777" w:rsidR="00B351E4" w:rsidRPr="00B351E4" w:rsidRDefault="00B351E4" w:rsidP="00B351E4">
      <w:pPr>
        <w:spacing w:after="240" w:line="276" w:lineRule="auto"/>
        <w:rPr>
          <w:rFonts w:ascii="Arial" w:eastAsia="Times New Roman" w:hAnsi="Arial" w:cs="Arial"/>
          <w:sz w:val="21"/>
          <w:szCs w:val="21"/>
          <w:lang w:eastAsia="es-ES"/>
        </w:rPr>
      </w:pPr>
      <w:r w:rsidRPr="00B351E4">
        <w:rPr>
          <w:rFonts w:ascii="Arial" w:eastAsia="Times New Roman" w:hAnsi="Arial" w:cs="Arial"/>
          <w:b/>
          <w:bCs/>
          <w:sz w:val="21"/>
          <w:szCs w:val="21"/>
        </w:rPr>
        <w:t>Enllaç a la publicació:</w:t>
      </w:r>
      <w:r w:rsidRPr="00B351E4">
        <w:rPr>
          <w:rFonts w:ascii="Arial" w:eastAsia="Times New Roman" w:hAnsi="Arial" w:cs="Arial"/>
          <w:b/>
          <w:bCs/>
          <w:sz w:val="21"/>
          <w:szCs w:val="21"/>
        </w:rPr>
        <w:br/>
      </w:r>
      <w:hyperlink r:id="rId482" w:history="1">
        <w:r w:rsidRPr="00B351E4">
          <w:rPr>
            <w:rFonts w:ascii="Arial" w:eastAsia="Times New Roman" w:hAnsi="Arial" w:cs="Arial"/>
            <w:color w:val="000080"/>
            <w:sz w:val="16"/>
            <w:szCs w:val="16"/>
            <w:u w:val="single"/>
            <w:lang w:eastAsia="es-ES"/>
          </w:rPr>
          <w:t>https://www.antifraucv.es/wp-content/uploads/2022/01/20211207_CORPORACION-VALENCIANA-DE-MEDIOS.pdf</w:t>
        </w:r>
      </w:hyperlink>
    </w:p>
    <w:p w14:paraId="3346F362"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b/>
          <w:bCs/>
          <w:color w:val="000000"/>
          <w:sz w:val="21"/>
          <w:szCs w:val="21"/>
        </w:rPr>
        <w:t>Descripció:</w:t>
      </w:r>
      <w:r w:rsidRPr="00B351E4">
        <w:rPr>
          <w:rFonts w:ascii="Arial" w:eastAsia="Times New Roman" w:hAnsi="Arial" w:cs="Arial"/>
          <w:color w:val="000000"/>
          <w:sz w:val="21"/>
          <w:szCs w:val="21"/>
        </w:rPr>
        <w:t xml:space="preserve"> Es denuncia la presumpta existència de determinades irregularitats, comeses en el si de la gestió de l'activitat de la Corporació Valenciana de Mitjans de Comunicació (CVMC) i de la Societat Anònima de Mitjans de Comunicació de la Comunitat Valenciana (SAMC), posades de manifest en els informes d'Auditories del Sector Públic elaborats per la Intervenció General de la Generalitat Valenciana. </w:t>
      </w:r>
    </w:p>
    <w:p w14:paraId="43F3C4D4"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color w:val="000000"/>
          <w:sz w:val="21"/>
          <w:szCs w:val="21"/>
        </w:rPr>
        <w:t>Després de la instrucció de l'oportú procediment d'investigació, es va evidenciar que:</w:t>
      </w:r>
    </w:p>
    <w:p w14:paraId="79D2C4C4" w14:textId="77777777" w:rsidR="00B351E4" w:rsidRPr="00B351E4" w:rsidRDefault="00B351E4" w:rsidP="008E51E4">
      <w:pPr>
        <w:numPr>
          <w:ilvl w:val="0"/>
          <w:numId w:val="163"/>
        </w:numPr>
        <w:spacing w:after="120" w:line="276" w:lineRule="auto"/>
        <w:ind w:hanging="357"/>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No s'han cobert de manera definitiva els llocs de cap de servici de fiscalització i secretari del Consell Rector. </w:t>
      </w:r>
    </w:p>
    <w:p w14:paraId="25D3858C" w14:textId="77777777" w:rsidR="00B351E4" w:rsidRPr="00B351E4" w:rsidRDefault="00B351E4" w:rsidP="008E51E4">
      <w:pPr>
        <w:numPr>
          <w:ilvl w:val="0"/>
          <w:numId w:val="163"/>
        </w:numPr>
        <w:spacing w:after="120" w:line="276" w:lineRule="auto"/>
        <w:ind w:hanging="357"/>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En relació amb la cobertura provisional del lloc de secretari del Consell Rector, s'ha superat el límit temporal establit en sis mesos. </w:t>
      </w:r>
    </w:p>
    <w:p w14:paraId="3EB70687" w14:textId="77777777" w:rsidR="00B351E4" w:rsidRPr="00B351E4" w:rsidRDefault="00B351E4" w:rsidP="008E51E4">
      <w:pPr>
        <w:numPr>
          <w:ilvl w:val="0"/>
          <w:numId w:val="163"/>
        </w:numPr>
        <w:spacing w:after="120" w:line="276" w:lineRule="auto"/>
        <w:ind w:hanging="357"/>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En el nomenament del director de Continguts i Programació no s'han complit els principis de publicitat, mèrit, capacitat i igualtat. </w:t>
      </w:r>
    </w:p>
    <w:p w14:paraId="0E824B81" w14:textId="77777777" w:rsidR="00B351E4" w:rsidRPr="00B351E4" w:rsidRDefault="00B351E4" w:rsidP="008E51E4">
      <w:pPr>
        <w:numPr>
          <w:ilvl w:val="0"/>
          <w:numId w:val="163"/>
        </w:numPr>
        <w:spacing w:after="120" w:line="276" w:lineRule="auto"/>
        <w:ind w:hanging="357"/>
        <w:jc w:val="both"/>
        <w:rPr>
          <w:rFonts w:ascii="Arial" w:eastAsia="Times New Roman" w:hAnsi="Arial" w:cs="Arial"/>
          <w:color w:val="000000"/>
          <w:sz w:val="21"/>
          <w:szCs w:val="21"/>
        </w:rPr>
      </w:pPr>
      <w:r w:rsidRPr="00B351E4">
        <w:rPr>
          <w:rFonts w:ascii="Arial" w:eastAsia="Times New Roman" w:hAnsi="Arial" w:cs="Arial"/>
          <w:color w:val="000000"/>
          <w:sz w:val="21"/>
          <w:szCs w:val="21"/>
        </w:rPr>
        <w:t>En l'expedient CNMY17/CVMC/15 (Reforma dels estudis de ràdio):</w:t>
      </w:r>
    </w:p>
    <w:p w14:paraId="37973AE7" w14:textId="77777777" w:rsidR="00B351E4" w:rsidRPr="00B351E4" w:rsidRDefault="00B351E4" w:rsidP="008E51E4">
      <w:pPr>
        <w:numPr>
          <w:ilvl w:val="1"/>
          <w:numId w:val="160"/>
        </w:numPr>
        <w:spacing w:after="120" w:line="276" w:lineRule="auto"/>
        <w:ind w:left="1418" w:hanging="567"/>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La urgència no es troba correctament motivada. Es justifica la urgència en la necessitat de dotar-se de tot el que és necessari per a escometre i garantir la posada en marxa del servici de radiodifusió i, concretament, l'obra dels estudis de radiodifusió. S'al·lega que hi ha una demanda política perquè els mitjans audiovisuals es posen en marxa. La motivació no s'ha de basar en criteris polítics, si no en una necessitat inajornable o per raons d'interés públic. </w:t>
      </w:r>
    </w:p>
    <w:p w14:paraId="3FBB7BBF" w14:textId="77777777" w:rsidR="00B351E4" w:rsidRPr="00B351E4" w:rsidRDefault="00B351E4" w:rsidP="008E51E4">
      <w:pPr>
        <w:numPr>
          <w:ilvl w:val="1"/>
          <w:numId w:val="160"/>
        </w:numPr>
        <w:spacing w:after="120" w:line="276" w:lineRule="auto"/>
        <w:ind w:left="1418" w:hanging="567"/>
        <w:jc w:val="both"/>
        <w:rPr>
          <w:rFonts w:ascii="Arial" w:eastAsia="Times New Roman" w:hAnsi="Arial" w:cs="Arial"/>
          <w:color w:val="000000"/>
          <w:sz w:val="21"/>
          <w:szCs w:val="21"/>
        </w:rPr>
      </w:pPr>
      <w:r w:rsidRPr="00B351E4">
        <w:rPr>
          <w:rFonts w:ascii="Arial" w:eastAsia="Times New Roman" w:hAnsi="Arial" w:cs="Arial"/>
          <w:color w:val="000000"/>
          <w:sz w:val="21"/>
          <w:szCs w:val="21"/>
        </w:rPr>
        <w:t>Es produïx un retard en el termini d'execució del contracte sense que s'hagen exigit penalitats contractuals.</w:t>
      </w:r>
    </w:p>
    <w:p w14:paraId="16872156" w14:textId="77777777" w:rsidR="00B351E4" w:rsidRPr="00B351E4" w:rsidRDefault="00B351E4" w:rsidP="008E51E4">
      <w:pPr>
        <w:numPr>
          <w:ilvl w:val="0"/>
          <w:numId w:val="163"/>
        </w:numPr>
        <w:spacing w:after="120" w:line="276" w:lineRule="auto"/>
        <w:ind w:hanging="357"/>
        <w:jc w:val="both"/>
        <w:rPr>
          <w:rFonts w:ascii="Arial" w:eastAsia="Times New Roman" w:hAnsi="Arial" w:cs="Arial"/>
          <w:color w:val="000000"/>
          <w:sz w:val="21"/>
          <w:szCs w:val="21"/>
        </w:rPr>
      </w:pPr>
      <w:r w:rsidRPr="00B351E4">
        <w:rPr>
          <w:rFonts w:ascii="Arial" w:eastAsia="Times New Roman" w:hAnsi="Arial" w:cs="Arial"/>
          <w:color w:val="000000"/>
          <w:sz w:val="21"/>
          <w:szCs w:val="21"/>
        </w:rPr>
        <w:t>En l'Expedient CNMY17/CVMC/03 (Redacció del projecte i direcció d'obres dels estudis de ràdio per al servici de radiodifusió):</w:t>
      </w:r>
    </w:p>
    <w:p w14:paraId="591696A4" w14:textId="77777777" w:rsidR="00B351E4" w:rsidRPr="00B351E4" w:rsidRDefault="00B351E4" w:rsidP="008E51E4">
      <w:pPr>
        <w:numPr>
          <w:ilvl w:val="0"/>
          <w:numId w:val="161"/>
        </w:numPr>
        <w:spacing w:after="120" w:line="276" w:lineRule="auto"/>
        <w:ind w:left="1418" w:hanging="567"/>
        <w:jc w:val="both"/>
        <w:rPr>
          <w:rFonts w:ascii="Arial" w:eastAsia="Times New Roman" w:hAnsi="Arial" w:cs="Arial"/>
          <w:color w:val="000000"/>
          <w:sz w:val="21"/>
          <w:szCs w:val="21"/>
        </w:rPr>
      </w:pPr>
      <w:r w:rsidRPr="00B351E4">
        <w:rPr>
          <w:rFonts w:ascii="Arial" w:eastAsia="Times New Roman" w:hAnsi="Arial" w:cs="Arial"/>
          <w:color w:val="000000"/>
          <w:sz w:val="21"/>
          <w:szCs w:val="21"/>
        </w:rPr>
        <w:t>No consta acreditada la concurrència real de tres licitadors.</w:t>
      </w:r>
    </w:p>
    <w:p w14:paraId="529DE679" w14:textId="77777777" w:rsidR="00B351E4" w:rsidRPr="00B351E4" w:rsidRDefault="00B351E4" w:rsidP="008E51E4">
      <w:pPr>
        <w:numPr>
          <w:ilvl w:val="0"/>
          <w:numId w:val="161"/>
        </w:numPr>
        <w:spacing w:after="120" w:line="276" w:lineRule="auto"/>
        <w:ind w:left="1418" w:hanging="567"/>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No s'acredita la negociació amb la mercantil adjudicatària. </w:t>
      </w:r>
    </w:p>
    <w:p w14:paraId="0E9F8215" w14:textId="77777777" w:rsidR="00B351E4" w:rsidRPr="00B351E4" w:rsidRDefault="00B351E4" w:rsidP="008E51E4">
      <w:pPr>
        <w:numPr>
          <w:ilvl w:val="0"/>
          <w:numId w:val="161"/>
        </w:numPr>
        <w:spacing w:after="120" w:line="276" w:lineRule="auto"/>
        <w:ind w:left="1418" w:hanging="567"/>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La solvència tècnica s'acredita durant l'execució del contracte i no abans de la formalització del contracte. </w:t>
      </w:r>
    </w:p>
    <w:p w14:paraId="184E161B" w14:textId="77777777" w:rsidR="00B351E4" w:rsidRPr="00B351E4" w:rsidRDefault="00B351E4" w:rsidP="008E51E4">
      <w:pPr>
        <w:numPr>
          <w:ilvl w:val="0"/>
          <w:numId w:val="163"/>
        </w:numPr>
        <w:spacing w:after="240" w:line="276" w:lineRule="auto"/>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Contractes menors: s'observa que les entitats investigades adjudiquen una sèrie de contractes menors amb imports lleugerament inferiors a 6.000 €, límit de la instrucció interna. Nou contractes menors han sigut adjudicats per 5.995 €. </w:t>
      </w:r>
    </w:p>
    <w:p w14:paraId="06B2BF50"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color w:val="000000"/>
          <w:sz w:val="21"/>
          <w:szCs w:val="21"/>
        </w:rPr>
        <w:t>Temps després d'adjudicar els contractes, els adjudicataris van ser contractats amb personal laboral. L'objecte de molts d'ells és semblant, però sobretot coincident amb les funcions previstes en la relació de llocs de treball de l'entitat, existint un clar risc de frau en la contractació per existir indicis de laboralitat en la prestació.</w:t>
      </w:r>
    </w:p>
    <w:p w14:paraId="126207B4"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b/>
          <w:bCs/>
          <w:color w:val="000000"/>
          <w:sz w:val="21"/>
          <w:szCs w:val="21"/>
        </w:rPr>
        <w:t>Resultat</w:t>
      </w:r>
      <w:r w:rsidRPr="00B351E4">
        <w:rPr>
          <w:rFonts w:ascii="Arial" w:eastAsia="Times New Roman" w:hAnsi="Arial" w:cs="Arial"/>
          <w:color w:val="000000"/>
          <w:sz w:val="21"/>
          <w:szCs w:val="21"/>
        </w:rPr>
        <w:t>: Es finalitza l’expedient amb recomanacions:</w:t>
      </w:r>
    </w:p>
    <w:p w14:paraId="55CE3B3D" w14:textId="77777777" w:rsidR="00B351E4" w:rsidRPr="00B351E4" w:rsidRDefault="00B351E4" w:rsidP="008E51E4">
      <w:pPr>
        <w:numPr>
          <w:ilvl w:val="0"/>
          <w:numId w:val="162"/>
        </w:numPr>
        <w:spacing w:after="120" w:line="276" w:lineRule="auto"/>
        <w:ind w:left="709" w:hanging="357"/>
        <w:jc w:val="both"/>
        <w:rPr>
          <w:rFonts w:ascii="Arial" w:eastAsia="Times New Roman" w:hAnsi="Arial" w:cs="Arial"/>
          <w:color w:val="000000"/>
          <w:sz w:val="21"/>
          <w:szCs w:val="21"/>
        </w:rPr>
      </w:pPr>
      <w:r w:rsidRPr="00B351E4">
        <w:rPr>
          <w:rFonts w:ascii="Arial" w:eastAsia="Times New Roman" w:hAnsi="Arial" w:cs="Arial"/>
          <w:color w:val="000000"/>
          <w:sz w:val="21"/>
          <w:szCs w:val="21"/>
        </w:rPr>
        <w:t>En relació amb els nomenaments del personal directiu, es recomana dur a terme processos de selecció públics i transparents que garantisquen els principis d'igualtat, publicitat, mèrit i capacitat. Per a això, seria recomanable la fixació d'uns requisits mínims de formació i d'experiència professional per cada un dels llocs directius de les entitats investigades. És a dir, que es fixen les condicions mínimes objectives que qualsevol candidat ha de complir per a poder accedir al lloc directiu en qüestió.</w:t>
      </w:r>
    </w:p>
    <w:p w14:paraId="63C36B80" w14:textId="77777777" w:rsidR="00B351E4" w:rsidRPr="00B351E4" w:rsidRDefault="00B351E4" w:rsidP="008E51E4">
      <w:pPr>
        <w:numPr>
          <w:ilvl w:val="0"/>
          <w:numId w:val="162"/>
        </w:numPr>
        <w:spacing w:after="120" w:line="276" w:lineRule="auto"/>
        <w:ind w:left="709" w:hanging="357"/>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Que se sol·licite a l'òrgan competent la realització dels tràmits necessaris per a la cobertura dels llocs de cap de servici de fiscalització i secretari del Consell rector. </w:t>
      </w:r>
    </w:p>
    <w:p w14:paraId="5AFFED42" w14:textId="77777777" w:rsidR="00B351E4" w:rsidRPr="00B351E4" w:rsidRDefault="00B351E4" w:rsidP="008E51E4">
      <w:pPr>
        <w:numPr>
          <w:ilvl w:val="0"/>
          <w:numId w:val="162"/>
        </w:numPr>
        <w:spacing w:after="240" w:line="276" w:lineRule="auto"/>
        <w:ind w:left="709"/>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Com a norma general, es recomana que els contractes s'adjudiquen per mitjà de procediment obert. En cas d'acudir a un altre tipus de procediment, han de justificar-se les raons que ho motiven. D'altra banda, la raó de ser de la utilització del procediment negociat és la negociació, per la qual cosa recomana que no es prescindisca del dit tràmit essencial i definitori, ja que això conduïx a la nul·litat del procediment. Actualment, en cas de prescindir-se de la negociació, s'hauria d'acudir al procediment de revisió d'ofici previst en l'article 41 de la Llei 9/2017, de 8 de novembre, de Contractes del Sector Públic, per la qual es traslladen a l'ordenament jurídic espanyol les Directives del Parlament Europeu i del Consell 2014/23/UE i 2014/24/UE, de 26 de febrer de 2014. </w:t>
      </w:r>
    </w:p>
    <w:p w14:paraId="0B30188C"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b/>
          <w:bCs/>
          <w:color w:val="000000"/>
          <w:sz w:val="21"/>
          <w:szCs w:val="21"/>
        </w:rPr>
        <w:t xml:space="preserve">Fase de seguiment: </w:t>
      </w:r>
      <w:r w:rsidRPr="00B351E4">
        <w:rPr>
          <w:rFonts w:ascii="Arial" w:eastAsia="Times New Roman" w:hAnsi="Arial" w:cs="Arial"/>
          <w:color w:val="000000"/>
          <w:sz w:val="21"/>
          <w:szCs w:val="21"/>
        </w:rPr>
        <w:t>En tràmit.</w:t>
      </w:r>
    </w:p>
    <w:p w14:paraId="514F202F" w14:textId="77777777" w:rsidR="00B351E4" w:rsidRPr="00B351E4" w:rsidRDefault="00B351E4" w:rsidP="00B351E4">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12" w:name="_Toc95209111"/>
      <w:bookmarkStart w:id="313" w:name="_Toc95913903"/>
      <w:bookmarkStart w:id="314" w:name="_Toc99110786"/>
      <w:r w:rsidRPr="00B351E4">
        <w:rPr>
          <w:rFonts w:ascii="Arial" w:eastAsia="Times New Roman" w:hAnsi="Arial" w:cs="Arial"/>
          <w:b/>
          <w:color w:val="9D2235"/>
          <w:sz w:val="28"/>
          <w:szCs w:val="28"/>
        </w:rPr>
        <w:t>Denominació: Ajuntament de València. Llicència concert La Marina</w:t>
      </w:r>
      <w:bookmarkEnd w:id="312"/>
      <w:bookmarkEnd w:id="313"/>
      <w:bookmarkEnd w:id="314"/>
      <w:r w:rsidRPr="00B351E4">
        <w:rPr>
          <w:rFonts w:ascii="Arial" w:eastAsia="Times New Roman" w:hAnsi="Arial" w:cs="Arial"/>
          <w:b/>
          <w:color w:val="9D2235"/>
          <w:sz w:val="28"/>
          <w:szCs w:val="28"/>
        </w:rPr>
        <w:t xml:space="preserve"> </w:t>
      </w:r>
    </w:p>
    <w:p w14:paraId="6392959F" w14:textId="77777777" w:rsidR="00B351E4" w:rsidRPr="00B351E4" w:rsidRDefault="00B351E4" w:rsidP="005272C3">
      <w:pPr>
        <w:spacing w:after="240" w:line="276" w:lineRule="auto"/>
        <w:jc w:val="both"/>
        <w:rPr>
          <w:rFonts w:ascii="Arial" w:eastAsia="Times New Roman" w:hAnsi="Arial" w:cs="Arial"/>
          <w:color w:val="000000"/>
          <w:sz w:val="21"/>
          <w:szCs w:val="21"/>
        </w:rPr>
      </w:pPr>
      <w:r w:rsidRPr="00B351E4">
        <w:rPr>
          <w:rFonts w:ascii="Arial" w:eastAsia="Times New Roman" w:hAnsi="Arial" w:cs="Arial"/>
          <w:b/>
          <w:bCs/>
          <w:color w:val="000000"/>
          <w:sz w:val="21"/>
          <w:szCs w:val="21"/>
        </w:rPr>
        <w:t xml:space="preserve">Expedient: </w:t>
      </w:r>
      <w:r w:rsidRPr="00B351E4">
        <w:rPr>
          <w:rFonts w:ascii="Arial" w:eastAsia="Times New Roman" w:hAnsi="Arial" w:cs="Arial"/>
          <w:color w:val="000000"/>
          <w:sz w:val="21"/>
          <w:szCs w:val="21"/>
        </w:rPr>
        <w:t>2020/G01_01/000351</w:t>
      </w:r>
    </w:p>
    <w:p w14:paraId="16898C33" w14:textId="77777777" w:rsidR="00B351E4" w:rsidRPr="00B351E4" w:rsidRDefault="00B351E4" w:rsidP="00B351E4">
      <w:pPr>
        <w:spacing w:after="240" w:line="276" w:lineRule="auto"/>
        <w:rPr>
          <w:rFonts w:ascii="Arial" w:eastAsia="Times New Roman" w:hAnsi="Arial" w:cs="Arial"/>
          <w:sz w:val="18"/>
          <w:szCs w:val="18"/>
          <w:lang w:eastAsia="es-ES"/>
        </w:rPr>
      </w:pPr>
      <w:r w:rsidRPr="00B351E4">
        <w:rPr>
          <w:rFonts w:ascii="Arial" w:eastAsia="Times New Roman" w:hAnsi="Arial" w:cs="Arial"/>
          <w:b/>
          <w:bCs/>
          <w:sz w:val="21"/>
          <w:szCs w:val="21"/>
        </w:rPr>
        <w:t>Enllaç a la publicació:</w:t>
      </w:r>
      <w:r w:rsidRPr="00B351E4">
        <w:rPr>
          <w:rFonts w:ascii="Arial" w:eastAsia="Times New Roman" w:hAnsi="Arial" w:cs="Arial"/>
          <w:b/>
          <w:bCs/>
          <w:sz w:val="21"/>
          <w:szCs w:val="21"/>
        </w:rPr>
        <w:br/>
      </w:r>
      <w:hyperlink r:id="rId483" w:history="1">
        <w:r w:rsidRPr="00B351E4">
          <w:rPr>
            <w:rFonts w:ascii="Arial" w:eastAsia="Times New Roman" w:hAnsi="Arial" w:cs="Arial"/>
            <w:color w:val="000080"/>
            <w:sz w:val="18"/>
            <w:szCs w:val="18"/>
            <w:u w:val="single"/>
            <w:lang w:eastAsia="es-ES"/>
          </w:rPr>
          <w:t>https://www.antifraucv.es/wp-content/uploads/2022/01/20211209_AYUNTAMENTO-DE-VALENCIA.pdf</w:t>
        </w:r>
      </w:hyperlink>
    </w:p>
    <w:p w14:paraId="7BEBE837"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b/>
          <w:bCs/>
          <w:color w:val="000000"/>
          <w:sz w:val="21"/>
          <w:szCs w:val="21"/>
        </w:rPr>
        <w:t xml:space="preserve">Descripció: </w:t>
      </w:r>
      <w:r w:rsidRPr="00B351E4">
        <w:rPr>
          <w:rFonts w:ascii="Arial" w:eastAsia="Times New Roman" w:hAnsi="Arial" w:cs="Arial"/>
          <w:color w:val="000000"/>
          <w:sz w:val="21"/>
          <w:szCs w:val="21"/>
        </w:rPr>
        <w:t xml:space="preserve">Els fets denunciats es van concretar en la celebració d'un concert en la Marina, sense la corresponent autorització administrativa. </w:t>
      </w:r>
    </w:p>
    <w:p w14:paraId="24388164"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Després de la instrucció de l'oportú procediment d'investigació, va quedar acreditat que l'autorització no va ser arbitrària, ni absent de motivació jurídica injusta o contrària al dret, per la qual cosa la irregularitat va quedar circumscrita a la concessió tardana de la dita llicència o autorització. </w:t>
      </w:r>
    </w:p>
    <w:p w14:paraId="26C8931A"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El secretari d'àrea de l'Ajuntament de València va firmar la proposta de resolució el 14 de maig, va ser degut al fet que no va poder finalitzar la tasca i firmar-la en remot. Pel que, encara que la tasca de revisió es va iniciar el dia 11 de maig de 2018, divendres, el mateix dia del concert, no va poder concloure la dita tasca fins al 14 de maig de 2018, dilluns següent. El concert, amb data celebració 11 de maig de 2018, amb emplaçament en la parcel·la sítia en la Zona Portuària de la Marina Sud, es va celebrar sense la Resolució d'Autorització corresponent abans de l'inici del dit esdeveniment, ja que consta la firma extemporània de 31 de juliol de 2018 en la dita resolució </w:t>
      </w:r>
      <w:r w:rsidRPr="00B351E4">
        <w:rPr>
          <w:rFonts w:ascii="Arial" w:eastAsia="Times New Roman" w:hAnsi="Arial" w:cs="Arial"/>
          <w:b/>
          <w:bCs/>
          <w:color w:val="000000"/>
          <w:sz w:val="21"/>
          <w:szCs w:val="21"/>
        </w:rPr>
        <w:t>GO-5915</w:t>
      </w:r>
      <w:r w:rsidRPr="00B351E4">
        <w:rPr>
          <w:rFonts w:ascii="Arial" w:eastAsia="Times New Roman" w:hAnsi="Arial" w:cs="Arial"/>
          <w:color w:val="000000"/>
          <w:sz w:val="21"/>
          <w:szCs w:val="21"/>
        </w:rPr>
        <w:t xml:space="preserve"> del regidor que la tenia delegada. No s'ha justificat, ni explicat, la tardança de la firma del regidor delegat.</w:t>
      </w:r>
    </w:p>
    <w:p w14:paraId="77C001A4"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color w:val="000000"/>
          <w:sz w:val="21"/>
          <w:szCs w:val="21"/>
        </w:rPr>
        <w:t xml:space="preserve">Les actes per infracció administrativa que es van alçar i presumptament constitutives d'infracció greu, van prescriure per discrepàncies entre l'administració de la Generalitat Valenciana i l'Ajuntament de València. </w:t>
      </w:r>
    </w:p>
    <w:p w14:paraId="1C0BEF6F"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color w:val="000000"/>
          <w:sz w:val="21"/>
          <w:szCs w:val="21"/>
        </w:rPr>
        <w:t>A pesar que la sol·licitud de l'empresa organitzadora es va produir el 22 de febrer de 2018, no es va firmar la proposta de resolució pel servici fins al mateix dia 11 de maig de 2018, dia de la celebració del concert, i a pesar que s'han aclarit les causes, s'hauria d'haver realitzat pel Servici d'Activitats la proposta de resolució d'autorització de l'esdeveniment, amb una antelació mínima raonable a la celebració d'aquest.</w:t>
      </w:r>
    </w:p>
    <w:p w14:paraId="10ED3CBC" w14:textId="77777777" w:rsidR="00B351E4"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b/>
          <w:bCs/>
          <w:color w:val="000000"/>
          <w:sz w:val="21"/>
          <w:szCs w:val="21"/>
        </w:rPr>
        <w:t xml:space="preserve">Resultat: </w:t>
      </w:r>
      <w:r w:rsidRPr="00B351E4">
        <w:rPr>
          <w:rFonts w:ascii="Arial" w:eastAsia="Times New Roman" w:hAnsi="Arial" w:cs="Arial"/>
          <w:color w:val="000000"/>
          <w:sz w:val="21"/>
          <w:szCs w:val="21"/>
        </w:rPr>
        <w:t>Formulació de les següents recomanacions:</w:t>
      </w:r>
    </w:p>
    <w:p w14:paraId="783FAFBE" w14:textId="77777777" w:rsidR="00B351E4" w:rsidRPr="00B351E4" w:rsidRDefault="00B351E4" w:rsidP="008E51E4">
      <w:pPr>
        <w:numPr>
          <w:ilvl w:val="0"/>
          <w:numId w:val="164"/>
        </w:numPr>
        <w:spacing w:after="120" w:line="276" w:lineRule="auto"/>
        <w:ind w:left="709" w:hanging="357"/>
        <w:jc w:val="both"/>
        <w:rPr>
          <w:rFonts w:ascii="Arial" w:eastAsia="Times New Roman" w:hAnsi="Arial" w:cs="Arial"/>
          <w:color w:val="000000"/>
          <w:sz w:val="21"/>
          <w:szCs w:val="21"/>
        </w:rPr>
      </w:pPr>
      <w:r w:rsidRPr="00B351E4">
        <w:rPr>
          <w:rFonts w:ascii="Arial" w:eastAsia="Times New Roman" w:hAnsi="Arial" w:cs="Arial"/>
          <w:color w:val="000000"/>
          <w:sz w:val="21"/>
          <w:szCs w:val="21"/>
        </w:rPr>
        <w:t>Que s'elaboren instruccions o guies, si no es disposa d'elles, respecte dels procediments d'autorització d'esdeveniments multitudinaris on es contemplen els requisits, informes necessaris i terminis per a la seua presentació davant de l'Ajuntament de València, arreplegant un cronograma de les actuacions amb terminis d'antelació previstos de presentació d'autorització i aportació de la documentació, necessaris per a obtindre l'autorització de manera prèvia a la celebració de l'esdeveniment. S'haurà de destacar en les mateixes, que la falta de resolució prèvia en termini impedix la celebració de l'esdeveniment, així com les infraccions i sancions aplicables si és el cas. Així mateix, s'hauran d'establir les degudes cauteles per part del Servici d'Activitats Municipal amb vista a garantir, en tots els casos, que la posada a disposició de la resolució d'autorització d'este tipus d'esdeveniments es realitze amb una antelació suficient per a la finalització del procediment de firma i notificació als interessats.</w:t>
      </w:r>
    </w:p>
    <w:p w14:paraId="3E45F5BF" w14:textId="77777777" w:rsidR="00B351E4" w:rsidRPr="00B351E4" w:rsidRDefault="00B351E4" w:rsidP="008E51E4">
      <w:pPr>
        <w:numPr>
          <w:ilvl w:val="0"/>
          <w:numId w:val="164"/>
        </w:numPr>
        <w:spacing w:after="240" w:line="276" w:lineRule="auto"/>
        <w:ind w:left="709"/>
        <w:jc w:val="both"/>
        <w:rPr>
          <w:rFonts w:ascii="Arial" w:eastAsia="Times New Roman" w:hAnsi="Arial" w:cs="Arial"/>
          <w:color w:val="000000"/>
          <w:sz w:val="21"/>
          <w:szCs w:val="21"/>
        </w:rPr>
      </w:pPr>
      <w:r w:rsidRPr="00B351E4">
        <w:rPr>
          <w:rFonts w:ascii="Arial" w:eastAsia="Times New Roman" w:hAnsi="Arial" w:cs="Arial"/>
          <w:color w:val="000000"/>
          <w:sz w:val="21"/>
          <w:szCs w:val="21"/>
        </w:rPr>
        <w:t>Que s'inicie expedient per a valorar les possibles responsabilitats existents, si és el cas, per la tardança en la firma de la Regidoria responsable.</w:t>
      </w:r>
    </w:p>
    <w:p w14:paraId="268E99B2" w14:textId="1CF1859E" w:rsidR="0061495F" w:rsidRPr="00B351E4" w:rsidRDefault="00B351E4" w:rsidP="00B351E4">
      <w:pPr>
        <w:spacing w:after="240" w:line="276" w:lineRule="auto"/>
        <w:jc w:val="both"/>
        <w:rPr>
          <w:rFonts w:ascii="Arial" w:eastAsia="Times New Roman" w:hAnsi="Arial" w:cs="Arial"/>
          <w:color w:val="000000"/>
          <w:sz w:val="21"/>
          <w:szCs w:val="21"/>
        </w:rPr>
      </w:pPr>
      <w:r w:rsidRPr="00B351E4">
        <w:rPr>
          <w:rFonts w:ascii="Arial" w:eastAsia="Times New Roman" w:hAnsi="Arial" w:cs="Arial"/>
          <w:b/>
          <w:bCs/>
          <w:color w:val="000000"/>
          <w:sz w:val="21"/>
          <w:szCs w:val="21"/>
        </w:rPr>
        <w:t xml:space="preserve">Fase de seguiment: </w:t>
      </w:r>
      <w:r w:rsidRPr="00B351E4">
        <w:rPr>
          <w:rFonts w:ascii="Arial" w:eastAsia="Times New Roman" w:hAnsi="Arial" w:cs="Arial"/>
          <w:color w:val="000000"/>
          <w:sz w:val="21"/>
          <w:szCs w:val="21"/>
        </w:rPr>
        <w:t>En tràmit.</w:t>
      </w:r>
    </w:p>
    <w:p w14:paraId="691496F8" w14:textId="39EAC5B6" w:rsidR="0080069E" w:rsidRPr="0080069E" w:rsidRDefault="0080069E" w:rsidP="0080069E">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15" w:name="_Toc99110787"/>
      <w:r w:rsidRPr="0080069E">
        <w:rPr>
          <w:rFonts w:ascii="Arial" w:eastAsia="Times New Roman" w:hAnsi="Arial" w:cs="Arial"/>
          <w:b/>
          <w:color w:val="9D2235"/>
          <w:sz w:val="28"/>
          <w:szCs w:val="28"/>
        </w:rPr>
        <w:t>Denominació: Ajuntament de Torrev</w:t>
      </w:r>
      <w:r>
        <w:rPr>
          <w:rFonts w:ascii="Arial" w:eastAsia="Times New Roman" w:hAnsi="Arial" w:cs="Arial"/>
          <w:b/>
          <w:color w:val="9D2235"/>
          <w:sz w:val="28"/>
          <w:szCs w:val="28"/>
        </w:rPr>
        <w:t>ella</w:t>
      </w:r>
      <w:r w:rsidRPr="0080069E">
        <w:rPr>
          <w:rFonts w:ascii="Arial" w:eastAsia="Times New Roman" w:hAnsi="Arial" w:cs="Arial"/>
          <w:b/>
          <w:color w:val="9D2235"/>
          <w:sz w:val="28"/>
          <w:szCs w:val="28"/>
        </w:rPr>
        <w:t>. Irregularitats en matèria de contractació i urbanisme</w:t>
      </w:r>
      <w:bookmarkEnd w:id="315"/>
    </w:p>
    <w:p w14:paraId="55F08EE5" w14:textId="77777777" w:rsidR="0080069E" w:rsidRPr="0080069E" w:rsidRDefault="0080069E" w:rsidP="005272C3">
      <w:pPr>
        <w:spacing w:after="240" w:line="276" w:lineRule="auto"/>
        <w:jc w:val="both"/>
        <w:rPr>
          <w:rFonts w:ascii="Arial" w:eastAsia="Times New Roman" w:hAnsi="Arial" w:cs="Arial"/>
          <w:color w:val="000000"/>
          <w:sz w:val="21"/>
          <w:szCs w:val="21"/>
        </w:rPr>
      </w:pPr>
      <w:r w:rsidRPr="0080069E">
        <w:rPr>
          <w:rFonts w:ascii="Arial" w:eastAsia="Times New Roman" w:hAnsi="Arial" w:cs="Arial"/>
          <w:b/>
          <w:bCs/>
          <w:color w:val="000000"/>
          <w:sz w:val="21"/>
          <w:szCs w:val="21"/>
        </w:rPr>
        <w:t>Expedient:</w:t>
      </w:r>
      <w:r w:rsidRPr="0080069E">
        <w:rPr>
          <w:rFonts w:ascii="Arial" w:eastAsia="Times New Roman" w:hAnsi="Arial" w:cs="Arial"/>
          <w:color w:val="000000"/>
          <w:sz w:val="21"/>
          <w:szCs w:val="21"/>
        </w:rPr>
        <w:t xml:space="preserve"> 2020/G01_01/000151 [45/2019]</w:t>
      </w:r>
    </w:p>
    <w:p w14:paraId="729FD9A7" w14:textId="77777777" w:rsidR="0080069E" w:rsidRPr="0080069E" w:rsidRDefault="0080069E" w:rsidP="0080069E">
      <w:pPr>
        <w:spacing w:after="240" w:line="276" w:lineRule="auto"/>
        <w:rPr>
          <w:rFonts w:ascii="Arial" w:eastAsia="Times New Roman" w:hAnsi="Arial" w:cs="Arial"/>
          <w:sz w:val="17"/>
          <w:szCs w:val="17"/>
          <w:lang w:eastAsia="es-ES"/>
        </w:rPr>
      </w:pPr>
      <w:r w:rsidRPr="0080069E">
        <w:rPr>
          <w:rFonts w:ascii="Arial" w:eastAsia="Times New Roman" w:hAnsi="Arial" w:cs="Arial"/>
          <w:b/>
          <w:bCs/>
          <w:sz w:val="21"/>
          <w:szCs w:val="21"/>
        </w:rPr>
        <w:t>Enllaç a la publicació:</w:t>
      </w:r>
      <w:r w:rsidRPr="0080069E">
        <w:rPr>
          <w:rFonts w:ascii="Arial" w:eastAsia="Times New Roman" w:hAnsi="Arial" w:cs="Arial"/>
          <w:b/>
          <w:bCs/>
          <w:sz w:val="21"/>
          <w:szCs w:val="21"/>
        </w:rPr>
        <w:br/>
      </w:r>
      <w:hyperlink r:id="rId484" w:history="1">
        <w:r w:rsidRPr="0080069E">
          <w:rPr>
            <w:rFonts w:ascii="Arial" w:eastAsia="Times New Roman" w:hAnsi="Arial" w:cs="Arial"/>
            <w:color w:val="000080"/>
            <w:sz w:val="17"/>
            <w:szCs w:val="17"/>
            <w:u w:val="single"/>
            <w:lang w:eastAsia="es-ES"/>
          </w:rPr>
          <w:t>https://www.antifraucv.es/wp-content/uploads/2022/02/20220114_AJUNTAMENT_DE_TORREVIEJA.pdf</w:t>
        </w:r>
      </w:hyperlink>
    </w:p>
    <w:p w14:paraId="017E939D" w14:textId="77777777" w:rsidR="0080069E" w:rsidRPr="0080069E" w:rsidRDefault="0080069E" w:rsidP="0080069E">
      <w:pPr>
        <w:spacing w:after="240" w:line="276" w:lineRule="auto"/>
        <w:jc w:val="both"/>
        <w:rPr>
          <w:rFonts w:ascii="Arial" w:eastAsia="Times New Roman" w:hAnsi="Arial" w:cs="Arial"/>
          <w:color w:val="000000"/>
          <w:sz w:val="21"/>
          <w:szCs w:val="21"/>
        </w:rPr>
      </w:pPr>
      <w:r w:rsidRPr="0080069E">
        <w:rPr>
          <w:rFonts w:ascii="Arial" w:eastAsia="Times New Roman" w:hAnsi="Arial" w:cs="Arial"/>
          <w:b/>
          <w:bCs/>
          <w:color w:val="000000"/>
          <w:sz w:val="21"/>
          <w:szCs w:val="21"/>
        </w:rPr>
        <w:t>Descripció:</w:t>
      </w:r>
      <w:r w:rsidRPr="0080069E">
        <w:rPr>
          <w:rFonts w:ascii="Arial" w:eastAsia="Times New Roman" w:hAnsi="Arial" w:cs="Arial"/>
          <w:color w:val="000000"/>
          <w:sz w:val="21"/>
          <w:szCs w:val="21"/>
        </w:rPr>
        <w:t xml:space="preserve"> Es denuncia el següent:</w:t>
      </w:r>
    </w:p>
    <w:p w14:paraId="6FF1B058" w14:textId="319939B6" w:rsidR="0080069E" w:rsidRPr="0080069E" w:rsidRDefault="0080069E" w:rsidP="008E51E4">
      <w:pPr>
        <w:numPr>
          <w:ilvl w:val="0"/>
          <w:numId w:val="165"/>
        </w:numPr>
        <w:spacing w:after="120" w:line="276" w:lineRule="auto"/>
        <w:ind w:left="714"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L'any 2011 es realitza l'asfaltat d'uns dels carrers de la finca rústica Llac Sol, on s'ubica la vivenda dels pares del tinent alcalde de l'Ajuntament de Torrev</w:t>
      </w:r>
      <w:r>
        <w:rPr>
          <w:rFonts w:ascii="Arial" w:eastAsia="Times New Roman" w:hAnsi="Arial" w:cs="Arial"/>
          <w:color w:val="000000"/>
          <w:sz w:val="21"/>
          <w:szCs w:val="21"/>
        </w:rPr>
        <w:t>ella</w:t>
      </w:r>
      <w:r w:rsidRPr="0080069E">
        <w:rPr>
          <w:rFonts w:ascii="Arial" w:eastAsia="Times New Roman" w:hAnsi="Arial" w:cs="Arial"/>
          <w:color w:val="000000"/>
          <w:sz w:val="21"/>
          <w:szCs w:val="21"/>
        </w:rPr>
        <w:t xml:space="preserve"> en la legislatura 2007-2011 i alcalde en la legislatura 2011-2015. </w:t>
      </w:r>
    </w:p>
    <w:p w14:paraId="260716A9" w14:textId="411A6697" w:rsidR="0080069E" w:rsidRPr="0080069E" w:rsidRDefault="0080069E" w:rsidP="008E51E4">
      <w:pPr>
        <w:numPr>
          <w:ilvl w:val="0"/>
          <w:numId w:val="165"/>
        </w:numPr>
        <w:spacing w:after="120" w:line="276" w:lineRule="auto"/>
        <w:ind w:left="714"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La finca està afectada per les determinacions del Parc Natural Llacunes de la Mata -Torrev</w:t>
      </w:r>
      <w:r>
        <w:rPr>
          <w:rFonts w:ascii="Arial" w:eastAsia="Times New Roman" w:hAnsi="Arial" w:cs="Arial"/>
          <w:color w:val="000000"/>
          <w:sz w:val="21"/>
          <w:szCs w:val="21"/>
        </w:rPr>
        <w:t>ella</w:t>
      </w:r>
      <w:r w:rsidRPr="0080069E">
        <w:rPr>
          <w:rFonts w:ascii="Arial" w:eastAsia="Times New Roman" w:hAnsi="Arial" w:cs="Arial"/>
          <w:color w:val="000000"/>
          <w:sz w:val="21"/>
          <w:szCs w:val="21"/>
        </w:rPr>
        <w:t>.</w:t>
      </w:r>
    </w:p>
    <w:p w14:paraId="78FD059E" w14:textId="77777777" w:rsidR="0080069E" w:rsidRPr="0080069E" w:rsidRDefault="0080069E" w:rsidP="008E51E4">
      <w:pPr>
        <w:numPr>
          <w:ilvl w:val="0"/>
          <w:numId w:val="165"/>
        </w:numPr>
        <w:spacing w:after="120" w:line="276" w:lineRule="auto"/>
        <w:ind w:left="714"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 xml:space="preserve">La persona encarregada de redactar el projecte d'asfaltat és familiar de càrrecs electes de l'Ajuntament. </w:t>
      </w:r>
    </w:p>
    <w:p w14:paraId="1DCD6F65" w14:textId="77777777" w:rsidR="0080069E" w:rsidRPr="0080069E" w:rsidRDefault="0080069E" w:rsidP="008E51E4">
      <w:pPr>
        <w:numPr>
          <w:ilvl w:val="0"/>
          <w:numId w:val="165"/>
        </w:numPr>
        <w:spacing w:after="240" w:line="276" w:lineRule="auto"/>
        <w:jc w:val="both"/>
        <w:rPr>
          <w:rFonts w:ascii="Arial" w:eastAsia="Times New Roman" w:hAnsi="Arial" w:cs="Arial"/>
          <w:color w:val="000000"/>
          <w:sz w:val="21"/>
          <w:szCs w:val="21"/>
        </w:rPr>
      </w:pPr>
      <w:r w:rsidRPr="0080069E">
        <w:rPr>
          <w:rFonts w:ascii="Arial" w:eastAsia="Times New Roman" w:hAnsi="Arial" w:cs="Arial"/>
          <w:color w:val="000000"/>
          <w:sz w:val="21"/>
          <w:szCs w:val="21"/>
        </w:rPr>
        <w:t xml:space="preserve">S'informa que el redactor del projecte va ser beneficiari de múltiples contractes durant els mandats 2007-2011 i 2011- 2015, tenint una relació de parentiu amb els regidors. </w:t>
      </w:r>
    </w:p>
    <w:p w14:paraId="6D3725DE" w14:textId="77777777" w:rsidR="0080069E" w:rsidRPr="0080069E" w:rsidRDefault="0080069E" w:rsidP="0080069E">
      <w:pPr>
        <w:spacing w:after="240" w:line="276" w:lineRule="auto"/>
        <w:jc w:val="both"/>
        <w:rPr>
          <w:rFonts w:ascii="Arial" w:eastAsia="Times New Roman" w:hAnsi="Arial" w:cs="Arial"/>
          <w:color w:val="000000"/>
          <w:sz w:val="21"/>
          <w:szCs w:val="21"/>
        </w:rPr>
      </w:pPr>
      <w:r w:rsidRPr="0080069E">
        <w:rPr>
          <w:rFonts w:ascii="Arial" w:eastAsia="Times New Roman" w:hAnsi="Arial" w:cs="Arial"/>
          <w:color w:val="000000"/>
          <w:sz w:val="21"/>
          <w:szCs w:val="21"/>
        </w:rPr>
        <w:t>Després de la instrucció de l'oportú procediment d'investigació, es va evidenciar el següent:</w:t>
      </w:r>
    </w:p>
    <w:p w14:paraId="77B4ADFB" w14:textId="77777777" w:rsidR="0080069E" w:rsidRPr="0080069E" w:rsidRDefault="0080069E" w:rsidP="008E51E4">
      <w:pPr>
        <w:numPr>
          <w:ilvl w:val="0"/>
          <w:numId w:val="166"/>
        </w:numPr>
        <w:spacing w:after="120" w:line="276" w:lineRule="auto"/>
        <w:ind w:left="714"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Durant el període 2006-2011, l'Ajuntament va abonar al redactor del projecte denunciat, per la prestació de diferents servicis, un total de 341.364,01 €.</w:t>
      </w:r>
    </w:p>
    <w:p w14:paraId="69836B98" w14:textId="77777777" w:rsidR="0080069E" w:rsidRPr="0080069E" w:rsidRDefault="0080069E" w:rsidP="008E51E4">
      <w:pPr>
        <w:numPr>
          <w:ilvl w:val="0"/>
          <w:numId w:val="166"/>
        </w:numPr>
        <w:spacing w:after="120" w:line="276" w:lineRule="auto"/>
        <w:ind w:left="714"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 xml:space="preserve">Els expedients de contractació tramitats per mitjà del procediment negociat sense publicitat no complixen amb el que establix la normativa de contractació, al no constar en els expedients el tràmit essencial del mateix: la negociació. </w:t>
      </w:r>
    </w:p>
    <w:p w14:paraId="71C39855" w14:textId="77777777" w:rsidR="0080069E" w:rsidRPr="0080069E" w:rsidRDefault="0080069E" w:rsidP="008E51E4">
      <w:pPr>
        <w:numPr>
          <w:ilvl w:val="0"/>
          <w:numId w:val="166"/>
        </w:numPr>
        <w:spacing w:after="120" w:line="276" w:lineRule="auto"/>
        <w:ind w:left="714"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 xml:space="preserve">L'absència de negociació implica la concurrència d'un vici de nul·litat per haver-se prescindit totalment i absolutament del procediment contractual legalment establit. </w:t>
      </w:r>
    </w:p>
    <w:p w14:paraId="77B7E737" w14:textId="77777777" w:rsidR="0080069E" w:rsidRPr="0080069E" w:rsidRDefault="0080069E" w:rsidP="008E51E4">
      <w:pPr>
        <w:numPr>
          <w:ilvl w:val="0"/>
          <w:numId w:val="166"/>
        </w:numPr>
        <w:spacing w:after="240" w:line="276" w:lineRule="auto"/>
        <w:jc w:val="both"/>
        <w:rPr>
          <w:rFonts w:ascii="Arial" w:eastAsia="Times New Roman" w:hAnsi="Arial" w:cs="Arial"/>
          <w:color w:val="000000"/>
          <w:sz w:val="21"/>
          <w:szCs w:val="21"/>
        </w:rPr>
      </w:pPr>
      <w:r w:rsidRPr="0080069E">
        <w:rPr>
          <w:rFonts w:ascii="Arial" w:eastAsia="Times New Roman" w:hAnsi="Arial" w:cs="Arial"/>
          <w:color w:val="000000"/>
          <w:sz w:val="21"/>
          <w:szCs w:val="21"/>
        </w:rPr>
        <w:t>S'ha generat un conflicte d'interessos. Hi ha una causa d'abstenció per parentiu.</w:t>
      </w:r>
    </w:p>
    <w:p w14:paraId="652E3060" w14:textId="61B0E9DB" w:rsidR="0080069E" w:rsidRPr="0080069E" w:rsidRDefault="0080069E" w:rsidP="0080069E">
      <w:pPr>
        <w:spacing w:after="240" w:line="276" w:lineRule="auto"/>
        <w:jc w:val="both"/>
        <w:rPr>
          <w:rFonts w:ascii="Arial" w:eastAsia="Times New Roman" w:hAnsi="Arial" w:cs="Arial"/>
          <w:color w:val="000000"/>
          <w:sz w:val="21"/>
          <w:szCs w:val="21"/>
        </w:rPr>
      </w:pPr>
      <w:r w:rsidRPr="0080069E">
        <w:rPr>
          <w:rFonts w:ascii="Arial" w:eastAsia="Times New Roman" w:hAnsi="Arial" w:cs="Arial"/>
          <w:b/>
          <w:bCs/>
          <w:color w:val="000000"/>
          <w:sz w:val="21"/>
          <w:szCs w:val="21"/>
        </w:rPr>
        <w:t>Resultat</w:t>
      </w:r>
      <w:r w:rsidRPr="0080069E">
        <w:rPr>
          <w:rFonts w:ascii="Arial" w:eastAsia="Times New Roman" w:hAnsi="Arial" w:cs="Arial"/>
          <w:color w:val="000000"/>
          <w:sz w:val="21"/>
          <w:szCs w:val="21"/>
        </w:rPr>
        <w:t>: Es finalitza l'expedient amb la recomanació a l'Ajuntament de Torrev</w:t>
      </w:r>
      <w:r>
        <w:rPr>
          <w:rFonts w:ascii="Arial" w:eastAsia="Times New Roman" w:hAnsi="Arial" w:cs="Arial"/>
          <w:color w:val="000000"/>
          <w:sz w:val="21"/>
          <w:szCs w:val="21"/>
        </w:rPr>
        <w:t>ella</w:t>
      </w:r>
      <w:r w:rsidRPr="0080069E">
        <w:rPr>
          <w:rFonts w:ascii="Arial" w:eastAsia="Times New Roman" w:hAnsi="Arial" w:cs="Arial"/>
          <w:color w:val="000000"/>
          <w:sz w:val="21"/>
          <w:szCs w:val="21"/>
        </w:rPr>
        <w:t xml:space="preserve"> perquè procedisca a iniciar els expedients de revisió d'ofici dels actes administratius incursos en causa de nul·litat de ple dret, regulada en l'article 106 de la Llei 39/2015, d'1 d'octubre, del Procediment Administratiu Comú de les Administracions Públiques, o que indiquen les raons que impedixen adoptar les mesures proposades.</w:t>
      </w:r>
    </w:p>
    <w:p w14:paraId="3802B568" w14:textId="77777777" w:rsidR="0080069E" w:rsidRPr="0080069E" w:rsidRDefault="0080069E" w:rsidP="0080069E">
      <w:pPr>
        <w:spacing w:after="240" w:line="276" w:lineRule="auto"/>
        <w:jc w:val="both"/>
        <w:rPr>
          <w:rFonts w:ascii="Arial" w:eastAsia="Times New Roman" w:hAnsi="Arial" w:cs="Arial"/>
          <w:color w:val="000000"/>
          <w:sz w:val="21"/>
          <w:szCs w:val="21"/>
        </w:rPr>
      </w:pPr>
      <w:r w:rsidRPr="0080069E">
        <w:rPr>
          <w:rFonts w:ascii="Arial" w:eastAsia="Times New Roman" w:hAnsi="Arial" w:cs="Arial"/>
          <w:b/>
          <w:bCs/>
          <w:color w:val="000000"/>
          <w:sz w:val="21"/>
          <w:szCs w:val="21"/>
        </w:rPr>
        <w:t>Fase de seguiment:</w:t>
      </w:r>
      <w:r w:rsidRPr="0080069E">
        <w:rPr>
          <w:rFonts w:ascii="Arial" w:eastAsia="Times New Roman" w:hAnsi="Arial" w:cs="Arial"/>
          <w:color w:val="000000"/>
          <w:sz w:val="21"/>
          <w:szCs w:val="21"/>
        </w:rPr>
        <w:t xml:space="preserve"> En tràmit. </w:t>
      </w:r>
    </w:p>
    <w:p w14:paraId="75201A84" w14:textId="77777777" w:rsidR="0080069E" w:rsidRPr="0080069E" w:rsidRDefault="0080069E" w:rsidP="0080069E">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16" w:name="_Toc95209113"/>
      <w:bookmarkStart w:id="317" w:name="_Toc95913905"/>
      <w:bookmarkStart w:id="318" w:name="_Toc99110788"/>
      <w:r w:rsidRPr="0080069E">
        <w:rPr>
          <w:rFonts w:ascii="Arial" w:eastAsia="Times New Roman" w:hAnsi="Arial" w:cs="Arial"/>
          <w:b/>
          <w:color w:val="9D2235"/>
          <w:sz w:val="28"/>
          <w:szCs w:val="28"/>
        </w:rPr>
        <w:t>Denominació: Ajuntament de Tous. Incompatibilitats arquitecte municipal</w:t>
      </w:r>
      <w:bookmarkEnd w:id="316"/>
      <w:bookmarkEnd w:id="317"/>
      <w:bookmarkEnd w:id="318"/>
    </w:p>
    <w:p w14:paraId="6BA62B78" w14:textId="77777777" w:rsidR="0080069E" w:rsidRPr="0080069E" w:rsidRDefault="0080069E" w:rsidP="005272C3">
      <w:pPr>
        <w:spacing w:after="240" w:line="276" w:lineRule="auto"/>
        <w:jc w:val="both"/>
        <w:rPr>
          <w:rFonts w:ascii="Arial" w:eastAsia="Times New Roman" w:hAnsi="Arial" w:cs="Arial"/>
          <w:color w:val="000000"/>
          <w:sz w:val="21"/>
          <w:szCs w:val="21"/>
        </w:rPr>
      </w:pPr>
      <w:r w:rsidRPr="0080069E">
        <w:rPr>
          <w:rFonts w:ascii="Arial" w:eastAsia="Times New Roman" w:hAnsi="Arial" w:cs="Arial"/>
          <w:b/>
          <w:bCs/>
          <w:color w:val="000000"/>
          <w:sz w:val="21"/>
          <w:szCs w:val="21"/>
        </w:rPr>
        <w:t xml:space="preserve">Expedient: </w:t>
      </w:r>
      <w:r w:rsidRPr="0080069E">
        <w:rPr>
          <w:rFonts w:ascii="Arial" w:eastAsia="Times New Roman" w:hAnsi="Arial" w:cs="Arial"/>
          <w:color w:val="000000"/>
          <w:sz w:val="21"/>
          <w:szCs w:val="21"/>
        </w:rPr>
        <w:t>2020/G01_01/000167 [84/2019]</w:t>
      </w:r>
    </w:p>
    <w:p w14:paraId="5BA6FB8B" w14:textId="77777777" w:rsidR="0080069E" w:rsidRPr="0080069E" w:rsidRDefault="0080069E" w:rsidP="0080069E">
      <w:pPr>
        <w:spacing w:after="240" w:line="276" w:lineRule="auto"/>
        <w:rPr>
          <w:rFonts w:ascii="Arial" w:eastAsia="Times New Roman" w:hAnsi="Arial" w:cs="Arial"/>
          <w:sz w:val="21"/>
          <w:szCs w:val="21"/>
          <w:lang w:eastAsia="es-ES"/>
        </w:rPr>
      </w:pPr>
      <w:r w:rsidRPr="0080069E">
        <w:rPr>
          <w:rFonts w:ascii="Arial" w:eastAsia="Times New Roman" w:hAnsi="Arial" w:cs="Arial"/>
          <w:b/>
          <w:bCs/>
          <w:sz w:val="21"/>
          <w:szCs w:val="21"/>
        </w:rPr>
        <w:t>Enllaç a la publicació:</w:t>
      </w:r>
      <w:r w:rsidRPr="0080069E">
        <w:rPr>
          <w:rFonts w:ascii="Arial" w:eastAsia="Times New Roman" w:hAnsi="Arial" w:cs="Arial"/>
          <w:b/>
          <w:bCs/>
          <w:sz w:val="21"/>
          <w:szCs w:val="21"/>
        </w:rPr>
        <w:br/>
      </w:r>
      <w:hyperlink r:id="rId485" w:history="1">
        <w:r w:rsidRPr="0080069E">
          <w:rPr>
            <w:rFonts w:ascii="Arial" w:eastAsia="Times New Roman" w:hAnsi="Arial" w:cs="Arial"/>
            <w:color w:val="000080"/>
            <w:sz w:val="18"/>
            <w:szCs w:val="18"/>
            <w:u w:val="single"/>
            <w:lang w:eastAsia="es-ES"/>
          </w:rPr>
          <w:t>https://www.antifraucv.es/wp-content/uploads/2022/01/20211213_AJUNTAMENT-DE-TOUS.pdf</w:t>
        </w:r>
      </w:hyperlink>
    </w:p>
    <w:p w14:paraId="52398BA8" w14:textId="77777777" w:rsidR="0080069E" w:rsidRPr="0080069E" w:rsidRDefault="0080069E" w:rsidP="0080069E">
      <w:pPr>
        <w:spacing w:after="240" w:line="276" w:lineRule="auto"/>
        <w:jc w:val="both"/>
        <w:rPr>
          <w:rFonts w:ascii="Arial" w:eastAsia="Times New Roman" w:hAnsi="Arial" w:cs="Arial"/>
          <w:color w:val="000000"/>
          <w:sz w:val="21"/>
          <w:szCs w:val="21"/>
        </w:rPr>
      </w:pPr>
      <w:r w:rsidRPr="0080069E">
        <w:rPr>
          <w:rFonts w:ascii="Arial" w:eastAsia="Times New Roman" w:hAnsi="Arial" w:cs="Arial"/>
          <w:b/>
          <w:bCs/>
          <w:color w:val="000000"/>
          <w:sz w:val="21"/>
          <w:szCs w:val="21"/>
        </w:rPr>
        <w:t>Descripció</w:t>
      </w:r>
      <w:r w:rsidRPr="0080069E">
        <w:rPr>
          <w:rFonts w:ascii="Arial" w:eastAsia="Times New Roman" w:hAnsi="Arial" w:cs="Arial"/>
          <w:color w:val="000000"/>
          <w:sz w:val="21"/>
          <w:szCs w:val="21"/>
        </w:rPr>
        <w:t>: S'analitza la comissió de presumptes irregularitats en les obres municipals a través del despatx d'arquitectura que dirigix el propi arquitecte municipal. Del seu estudi es conclou:</w:t>
      </w:r>
    </w:p>
    <w:p w14:paraId="04AF8068" w14:textId="77777777" w:rsidR="0080069E" w:rsidRPr="0080069E" w:rsidRDefault="0080069E" w:rsidP="008E51E4">
      <w:pPr>
        <w:numPr>
          <w:ilvl w:val="0"/>
          <w:numId w:val="167"/>
        </w:numPr>
        <w:spacing w:after="120" w:line="276" w:lineRule="auto"/>
        <w:ind w:left="714"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 xml:space="preserve">Que la vinculació laboral de la persona que exercia tasques d'arquitecte municipal es produïx a través de diferents contractes de prestació de servicis en les anualitats 2016 a 2018, si bé posteriorment continua facturant els seus servicis aportant únicament la presentació de factura per al seu cobrament. </w:t>
      </w:r>
    </w:p>
    <w:p w14:paraId="5BDDB71F" w14:textId="77777777" w:rsidR="0080069E" w:rsidRPr="0080069E" w:rsidRDefault="0080069E" w:rsidP="008E51E4">
      <w:pPr>
        <w:numPr>
          <w:ilvl w:val="0"/>
          <w:numId w:val="167"/>
        </w:numPr>
        <w:spacing w:after="120" w:line="276" w:lineRule="auto"/>
        <w:ind w:left="714"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 xml:space="preserve">Igualment, la persona que realitzava les tasques d'arquitecte municipal va facturar a l'entitat local, simultàniament a la realització de servicis com a empleat públic i durant eixe període, per la redacció de projectes, sense que per a cap d'estos pagaments s'aporte expedient o document administratiu que sustente la seua contractació. </w:t>
      </w:r>
    </w:p>
    <w:p w14:paraId="63C719F2" w14:textId="77777777" w:rsidR="0080069E" w:rsidRPr="0080069E" w:rsidRDefault="0080069E" w:rsidP="008E51E4">
      <w:pPr>
        <w:numPr>
          <w:ilvl w:val="0"/>
          <w:numId w:val="167"/>
        </w:numPr>
        <w:spacing w:after="240" w:line="276" w:lineRule="auto"/>
        <w:jc w:val="both"/>
        <w:rPr>
          <w:rFonts w:ascii="Arial" w:eastAsia="Times New Roman" w:hAnsi="Arial" w:cs="Arial"/>
          <w:color w:val="000000"/>
          <w:sz w:val="21"/>
          <w:szCs w:val="21"/>
        </w:rPr>
      </w:pPr>
      <w:r w:rsidRPr="0080069E">
        <w:rPr>
          <w:rFonts w:ascii="Arial" w:eastAsia="Times New Roman" w:hAnsi="Arial" w:cs="Arial"/>
          <w:color w:val="000000"/>
          <w:sz w:val="21"/>
          <w:szCs w:val="21"/>
        </w:rPr>
        <w:t>Correspon exclusivament als funcionaris de carrera al servici de l'Administració local, l'exercici de les funcions que impliquen la participació directa o indirecta en l'exercici de les potestats públiques o en la salvaguarda dels interessos generals, tractant-se de funcions públiques.</w:t>
      </w:r>
    </w:p>
    <w:p w14:paraId="683B3227" w14:textId="77777777" w:rsidR="0080069E" w:rsidRPr="0080069E" w:rsidRDefault="0080069E" w:rsidP="0080069E">
      <w:pPr>
        <w:spacing w:after="240" w:line="276" w:lineRule="auto"/>
        <w:jc w:val="both"/>
        <w:rPr>
          <w:rFonts w:ascii="Arial" w:eastAsia="Times New Roman" w:hAnsi="Arial" w:cs="Arial"/>
          <w:color w:val="000000"/>
          <w:sz w:val="21"/>
          <w:szCs w:val="21"/>
        </w:rPr>
      </w:pPr>
      <w:r w:rsidRPr="0080069E">
        <w:rPr>
          <w:rFonts w:ascii="Arial" w:eastAsia="Times New Roman" w:hAnsi="Arial" w:cs="Arial"/>
          <w:b/>
          <w:bCs/>
          <w:color w:val="000000"/>
          <w:sz w:val="21"/>
          <w:szCs w:val="21"/>
        </w:rPr>
        <w:t>Resultat</w:t>
      </w:r>
      <w:r w:rsidRPr="0080069E">
        <w:rPr>
          <w:rFonts w:ascii="Arial" w:eastAsia="Times New Roman" w:hAnsi="Arial" w:cs="Arial"/>
          <w:color w:val="000000"/>
          <w:sz w:val="21"/>
          <w:szCs w:val="21"/>
        </w:rPr>
        <w:t>: Es finalitza l’expedient amb les següents recomanacions:</w:t>
      </w:r>
    </w:p>
    <w:p w14:paraId="41FFE8D2" w14:textId="77777777" w:rsidR="0080069E" w:rsidRPr="0080069E" w:rsidRDefault="0080069E" w:rsidP="008E51E4">
      <w:pPr>
        <w:numPr>
          <w:ilvl w:val="0"/>
          <w:numId w:val="168"/>
        </w:numPr>
        <w:spacing w:after="120" w:line="276" w:lineRule="auto"/>
        <w:ind w:left="709"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 xml:space="preserve">Es recomana l'inici de la revisió d'ofici d'aquelles actuacions que incorren en causa de nul·litat de ple dret. L'import dels pagaments realitzats sense cobertura contractual, objecte de revisió d'ofici, ascendix a 34.912,07 € en les anualitats 2016 a 2020. </w:t>
      </w:r>
    </w:p>
    <w:p w14:paraId="11939449" w14:textId="77777777" w:rsidR="0080069E" w:rsidRPr="0080069E" w:rsidRDefault="0080069E" w:rsidP="008E51E4">
      <w:pPr>
        <w:numPr>
          <w:ilvl w:val="0"/>
          <w:numId w:val="168"/>
        </w:numPr>
        <w:spacing w:after="120" w:line="276" w:lineRule="auto"/>
        <w:ind w:left="709" w:hanging="357"/>
        <w:jc w:val="both"/>
        <w:rPr>
          <w:rFonts w:ascii="Arial" w:eastAsia="Times New Roman" w:hAnsi="Arial" w:cs="Arial"/>
          <w:color w:val="000000"/>
          <w:sz w:val="21"/>
          <w:szCs w:val="21"/>
        </w:rPr>
      </w:pPr>
      <w:r w:rsidRPr="0080069E">
        <w:rPr>
          <w:rFonts w:ascii="Arial" w:eastAsia="Times New Roman" w:hAnsi="Arial" w:cs="Arial"/>
          <w:color w:val="000000"/>
          <w:sz w:val="21"/>
          <w:szCs w:val="21"/>
        </w:rPr>
        <w:t xml:space="preserve">S'implementen mesures amb vista a assegurar el compliment del procediment administratiu en matèria de contractació pública i la seua adequada planificació; es dicten instruccions internes a fi a garantir que tota activitat subjecta a potestats públiques no puga prestar-se per mitjans externs, com són les funcions pròpies d'arquitecte municipal, que han de ser prestades per personal funcionari i que s'inicien els expedients administratius que procedisquen per a depurar les responsabilitats que puguen exigir-se en relació amb la contractació verbal. </w:t>
      </w:r>
    </w:p>
    <w:p w14:paraId="65AC7FBF" w14:textId="77777777" w:rsidR="0080069E" w:rsidRPr="0080069E" w:rsidRDefault="0080069E" w:rsidP="008E51E4">
      <w:pPr>
        <w:numPr>
          <w:ilvl w:val="0"/>
          <w:numId w:val="168"/>
        </w:numPr>
        <w:spacing w:after="240" w:line="276" w:lineRule="auto"/>
        <w:ind w:left="709"/>
        <w:jc w:val="both"/>
        <w:rPr>
          <w:rFonts w:ascii="Arial" w:eastAsia="Times New Roman" w:hAnsi="Arial" w:cs="Arial"/>
          <w:color w:val="000000"/>
          <w:sz w:val="21"/>
          <w:szCs w:val="21"/>
        </w:rPr>
      </w:pPr>
      <w:r w:rsidRPr="0080069E">
        <w:rPr>
          <w:rFonts w:ascii="Arial" w:eastAsia="Times New Roman" w:hAnsi="Arial" w:cs="Arial"/>
          <w:color w:val="000000"/>
          <w:sz w:val="21"/>
          <w:szCs w:val="21"/>
        </w:rPr>
        <w:t>Es resol traslladar de resolució de conclusió d'actuacions a la Inspecció Provincial de Treball i Seguretat Social de València.</w:t>
      </w:r>
    </w:p>
    <w:p w14:paraId="25ADAA50" w14:textId="77777777" w:rsidR="0080069E" w:rsidRPr="0080069E" w:rsidRDefault="0080069E" w:rsidP="0080069E">
      <w:pPr>
        <w:spacing w:after="240" w:line="276" w:lineRule="auto"/>
        <w:jc w:val="both"/>
        <w:rPr>
          <w:rFonts w:ascii="Arial" w:eastAsia="Times New Roman" w:hAnsi="Arial" w:cs="Arial"/>
          <w:color w:val="000000"/>
          <w:sz w:val="21"/>
          <w:szCs w:val="21"/>
        </w:rPr>
      </w:pPr>
      <w:r w:rsidRPr="0080069E">
        <w:rPr>
          <w:rFonts w:ascii="Arial" w:eastAsia="Times New Roman" w:hAnsi="Arial" w:cs="Arial"/>
          <w:b/>
          <w:bCs/>
          <w:color w:val="000000"/>
          <w:sz w:val="21"/>
          <w:szCs w:val="21"/>
        </w:rPr>
        <w:t xml:space="preserve">Fase de seguiment: </w:t>
      </w:r>
      <w:r w:rsidRPr="0080069E">
        <w:rPr>
          <w:rFonts w:ascii="Arial" w:eastAsia="Times New Roman" w:hAnsi="Arial" w:cs="Arial"/>
          <w:color w:val="000000"/>
          <w:sz w:val="21"/>
          <w:szCs w:val="21"/>
        </w:rPr>
        <w:t>En tràmit.</w:t>
      </w:r>
    </w:p>
    <w:p w14:paraId="76F38F0A" w14:textId="77777777" w:rsidR="00566C41" w:rsidRPr="00566C41" w:rsidRDefault="00566C41" w:rsidP="00566C41">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19" w:name="_Toc95209114"/>
      <w:bookmarkStart w:id="320" w:name="_Toc95913906"/>
      <w:bookmarkStart w:id="321" w:name="_Toc99110789"/>
      <w:r w:rsidRPr="00566C41">
        <w:rPr>
          <w:rFonts w:ascii="Arial" w:eastAsia="Times New Roman" w:hAnsi="Arial" w:cs="Arial"/>
          <w:b/>
          <w:color w:val="9D2235"/>
          <w:sz w:val="28"/>
          <w:szCs w:val="28"/>
        </w:rPr>
        <w:t>Denominació: Ajuntament de Tous. Incompatibilitats enginyer municipal</w:t>
      </w:r>
      <w:bookmarkEnd w:id="319"/>
      <w:bookmarkEnd w:id="320"/>
      <w:bookmarkEnd w:id="321"/>
    </w:p>
    <w:p w14:paraId="78C36A24" w14:textId="77777777" w:rsidR="00566C41" w:rsidRPr="00566C41" w:rsidRDefault="00566C41" w:rsidP="005272C3">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Expedient:</w:t>
      </w:r>
      <w:r w:rsidRPr="00566C41">
        <w:rPr>
          <w:rFonts w:ascii="Arial" w:eastAsia="Times New Roman" w:hAnsi="Arial" w:cs="Arial"/>
          <w:color w:val="000000"/>
          <w:sz w:val="21"/>
          <w:szCs w:val="21"/>
        </w:rPr>
        <w:t xml:space="preserve"> 2020/G01_01/000235</w:t>
      </w:r>
    </w:p>
    <w:p w14:paraId="1650B918" w14:textId="77777777" w:rsidR="00566C41" w:rsidRPr="00566C41" w:rsidRDefault="00566C41" w:rsidP="00566C41">
      <w:pPr>
        <w:spacing w:after="240" w:line="276" w:lineRule="auto"/>
        <w:rPr>
          <w:rFonts w:ascii="Arial" w:eastAsia="Times New Roman" w:hAnsi="Arial" w:cs="Arial"/>
          <w:sz w:val="21"/>
          <w:szCs w:val="21"/>
          <w:lang w:eastAsia="es-ES"/>
        </w:rPr>
      </w:pPr>
      <w:r w:rsidRPr="00566C41">
        <w:rPr>
          <w:rFonts w:ascii="Arial" w:eastAsia="Times New Roman" w:hAnsi="Arial" w:cs="Arial"/>
          <w:b/>
          <w:bCs/>
          <w:sz w:val="21"/>
          <w:szCs w:val="21"/>
        </w:rPr>
        <w:t>Enllaç a la publicació:</w:t>
      </w:r>
      <w:r w:rsidRPr="00566C41">
        <w:rPr>
          <w:rFonts w:ascii="Arial" w:eastAsia="Times New Roman" w:hAnsi="Arial" w:cs="Arial"/>
          <w:b/>
          <w:bCs/>
          <w:sz w:val="21"/>
          <w:szCs w:val="21"/>
        </w:rPr>
        <w:br/>
      </w:r>
      <w:hyperlink r:id="rId486" w:history="1">
        <w:r w:rsidRPr="00566C41">
          <w:rPr>
            <w:rFonts w:ascii="Arial" w:eastAsia="Times New Roman" w:hAnsi="Arial" w:cs="Arial"/>
            <w:color w:val="000080"/>
            <w:sz w:val="18"/>
            <w:szCs w:val="18"/>
            <w:u w:val="single"/>
            <w:lang w:eastAsia="es-ES"/>
          </w:rPr>
          <w:t>https://www.antifraucv.es/wp-content/uploads/2022/01/20211214_AJUNTAMENT-DE-TOUS.pdf</w:t>
        </w:r>
      </w:hyperlink>
    </w:p>
    <w:p w14:paraId="56D69986"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Descripció</w:t>
      </w:r>
      <w:r w:rsidRPr="00566C41">
        <w:rPr>
          <w:rFonts w:ascii="Arial" w:eastAsia="Times New Roman" w:hAnsi="Arial" w:cs="Arial"/>
          <w:color w:val="000000"/>
          <w:sz w:val="21"/>
          <w:szCs w:val="21"/>
        </w:rPr>
        <w:t>: S'analitza la prestació de servicis per la persona que exercia les tasques d'enginyer agrònom municipal, adjudicacions d'obres i abonament d'honoraris per redacció de projectes sense seguir el procediment de contractació administrativa.</w:t>
      </w:r>
    </w:p>
    <w:p w14:paraId="01CC9C19"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color w:val="000000"/>
          <w:sz w:val="21"/>
          <w:szCs w:val="21"/>
        </w:rPr>
        <w:t xml:space="preserve">De les dades aportats es desprèn que les tasques que exercia l'enginyer agrònom municipal corresponien exclusivament a funcionaris de carrera al servici de l'Administració local, per tractar-se de l'exercici de funcions que impliquen la participació directa o indirecta en l'exercici de les potestats públiques o en la salvaguarda dels interessos generals. Igualment, l'esmentat enginyer municipal va facturar a l'entitat local, simultàniament a la realització de servicis com a empleat públic i durant eixe període, per la prestació de servicis en diferents conceptes. </w:t>
      </w:r>
    </w:p>
    <w:p w14:paraId="218D2C92"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color w:val="000000"/>
          <w:sz w:val="21"/>
          <w:szCs w:val="21"/>
        </w:rPr>
        <w:t>D'altra banda, consta el pagament a diferents mercantils sense complir la normativa contractual.</w:t>
      </w:r>
    </w:p>
    <w:p w14:paraId="3FF3AD71"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Resultat</w:t>
      </w:r>
      <w:r w:rsidRPr="00566C41">
        <w:rPr>
          <w:rFonts w:ascii="Arial" w:eastAsia="Times New Roman" w:hAnsi="Arial" w:cs="Arial"/>
          <w:color w:val="000000"/>
          <w:sz w:val="21"/>
          <w:szCs w:val="21"/>
        </w:rPr>
        <w:t>: Es finalitza l’expedient amb les següents recomanacions:</w:t>
      </w:r>
    </w:p>
    <w:p w14:paraId="02518EB6" w14:textId="77777777" w:rsidR="00566C41" w:rsidRPr="00566C41" w:rsidRDefault="00566C41" w:rsidP="008E51E4">
      <w:pPr>
        <w:numPr>
          <w:ilvl w:val="0"/>
          <w:numId w:val="169"/>
        </w:numPr>
        <w:spacing w:after="120" w:line="276" w:lineRule="auto"/>
        <w:ind w:left="709" w:hanging="357"/>
        <w:jc w:val="both"/>
        <w:rPr>
          <w:rFonts w:ascii="Arial" w:eastAsia="Times New Roman" w:hAnsi="Arial" w:cs="Arial"/>
          <w:color w:val="000000"/>
          <w:sz w:val="21"/>
          <w:szCs w:val="21"/>
        </w:rPr>
      </w:pPr>
      <w:r w:rsidRPr="00566C41">
        <w:rPr>
          <w:rFonts w:ascii="Arial" w:eastAsia="Times New Roman" w:hAnsi="Arial" w:cs="Arial"/>
          <w:color w:val="000000"/>
          <w:sz w:val="21"/>
          <w:szCs w:val="21"/>
        </w:rPr>
        <w:t>L'inici de la revisió d'ofici de les actuacions que incorren en causa de nul·litat de ple dret realitzats sense cobertura contractual:</w:t>
      </w:r>
    </w:p>
    <w:p w14:paraId="0DDC9A9C" w14:textId="77777777" w:rsidR="00566C41" w:rsidRPr="00566C41" w:rsidRDefault="00566C41" w:rsidP="00566C41">
      <w:pPr>
        <w:numPr>
          <w:ilvl w:val="0"/>
          <w:numId w:val="83"/>
        </w:numPr>
        <w:spacing w:after="120" w:line="276" w:lineRule="auto"/>
        <w:ind w:left="1276" w:hanging="357"/>
        <w:jc w:val="both"/>
        <w:rPr>
          <w:rFonts w:ascii="Arial" w:eastAsia="Times New Roman" w:hAnsi="Arial" w:cs="Arial"/>
          <w:color w:val="000000"/>
          <w:sz w:val="21"/>
          <w:szCs w:val="21"/>
        </w:rPr>
      </w:pPr>
      <w:r w:rsidRPr="00566C41">
        <w:rPr>
          <w:rFonts w:ascii="Arial" w:eastAsia="Times New Roman" w:hAnsi="Arial" w:cs="Arial"/>
          <w:color w:val="000000"/>
          <w:sz w:val="21"/>
          <w:szCs w:val="21"/>
        </w:rPr>
        <w:t>L'import dels pagaments en concepte d'honoraris per redacció de projectes de l'enginyer municipal ascendix a 69.209,09 € en les anualitats 2017 a 2020.</w:t>
      </w:r>
    </w:p>
    <w:p w14:paraId="632418E1" w14:textId="77777777" w:rsidR="00566C41" w:rsidRPr="00566C41" w:rsidRDefault="00566C41" w:rsidP="00566C41">
      <w:pPr>
        <w:numPr>
          <w:ilvl w:val="0"/>
          <w:numId w:val="83"/>
        </w:numPr>
        <w:spacing w:after="120" w:line="276" w:lineRule="auto"/>
        <w:ind w:left="1276" w:hanging="357"/>
        <w:jc w:val="both"/>
        <w:rPr>
          <w:rFonts w:ascii="Arial" w:eastAsia="Times New Roman" w:hAnsi="Arial" w:cs="Arial"/>
          <w:color w:val="000000"/>
          <w:sz w:val="21"/>
          <w:szCs w:val="21"/>
        </w:rPr>
      </w:pPr>
      <w:r w:rsidRPr="00566C41">
        <w:rPr>
          <w:rFonts w:ascii="Arial" w:eastAsia="Times New Roman" w:hAnsi="Arial" w:cs="Arial"/>
          <w:color w:val="000000"/>
          <w:sz w:val="21"/>
          <w:szCs w:val="21"/>
        </w:rPr>
        <w:t>L'import dels pagaments realitzats a una primera mercantil per treballs vinculats, ascendix a 26.896,05 € en les anualitats 2018 i 2020.</w:t>
      </w:r>
    </w:p>
    <w:p w14:paraId="7ADB6825" w14:textId="77777777" w:rsidR="00566C41" w:rsidRPr="00566C41" w:rsidRDefault="00566C41" w:rsidP="00566C41">
      <w:pPr>
        <w:numPr>
          <w:ilvl w:val="0"/>
          <w:numId w:val="83"/>
        </w:numPr>
        <w:spacing w:after="120" w:line="276" w:lineRule="auto"/>
        <w:ind w:left="1276" w:hanging="357"/>
        <w:jc w:val="both"/>
        <w:rPr>
          <w:rFonts w:ascii="Arial" w:eastAsia="Times New Roman" w:hAnsi="Arial" w:cs="Arial"/>
          <w:color w:val="000000"/>
          <w:sz w:val="21"/>
          <w:szCs w:val="21"/>
        </w:rPr>
      </w:pPr>
      <w:r w:rsidRPr="00566C41">
        <w:rPr>
          <w:rFonts w:ascii="Arial" w:eastAsia="Times New Roman" w:hAnsi="Arial" w:cs="Arial"/>
          <w:color w:val="000000"/>
          <w:sz w:val="21"/>
          <w:szCs w:val="21"/>
        </w:rPr>
        <w:t>L'import dels pagaments realitzats a una segona mercantil per treballs vinculats, ascendix a 52.198,52 € en l'anualitat 2020.</w:t>
      </w:r>
    </w:p>
    <w:p w14:paraId="4E374FAC" w14:textId="77777777" w:rsidR="00566C41" w:rsidRPr="00566C41" w:rsidRDefault="00566C41" w:rsidP="008E51E4">
      <w:pPr>
        <w:numPr>
          <w:ilvl w:val="0"/>
          <w:numId w:val="169"/>
        </w:numPr>
        <w:spacing w:after="120" w:line="276" w:lineRule="auto"/>
        <w:ind w:left="709" w:hanging="357"/>
        <w:jc w:val="both"/>
        <w:rPr>
          <w:rFonts w:ascii="Arial" w:eastAsia="Times New Roman" w:hAnsi="Arial" w:cs="Arial"/>
          <w:color w:val="000000"/>
          <w:sz w:val="21"/>
          <w:szCs w:val="21"/>
        </w:rPr>
      </w:pPr>
      <w:bookmarkStart w:id="322" w:name="_Hlk92790755"/>
      <w:r w:rsidRPr="00566C41">
        <w:rPr>
          <w:rFonts w:ascii="Arial" w:eastAsia="Times New Roman" w:hAnsi="Arial" w:cs="Arial"/>
          <w:color w:val="000000"/>
          <w:sz w:val="21"/>
          <w:szCs w:val="21"/>
        </w:rPr>
        <w:t>La implementació de mesures per a assegurar el compliment del procediment administratiu en matèria de contractació pública amb una adequada planificació, dictant instruccions internes a fi a garantir que l'activitat subjecta a potestats públiques no puga prestar-se per mitjans externs, sinó per personal funcionari aplicant el règim d'incompatibilitats. S'inicien els expedients que procedisquen per a depurar les responsabilitats que puguen exigir-se en relació amb la contractació verbal.</w:t>
      </w:r>
      <w:bookmarkEnd w:id="322"/>
    </w:p>
    <w:p w14:paraId="3AF8599E" w14:textId="77777777" w:rsidR="00566C41" w:rsidRPr="00566C41" w:rsidRDefault="00566C41" w:rsidP="008E51E4">
      <w:pPr>
        <w:numPr>
          <w:ilvl w:val="0"/>
          <w:numId w:val="169"/>
        </w:numPr>
        <w:spacing w:after="240" w:line="276" w:lineRule="auto"/>
        <w:ind w:left="709"/>
        <w:jc w:val="both"/>
        <w:rPr>
          <w:rFonts w:ascii="Arial" w:eastAsia="Times New Roman" w:hAnsi="Arial" w:cs="Arial"/>
          <w:color w:val="000000"/>
          <w:sz w:val="21"/>
          <w:szCs w:val="21"/>
        </w:rPr>
      </w:pPr>
      <w:bookmarkStart w:id="323" w:name="_Hlk92789410"/>
      <w:r w:rsidRPr="00566C41">
        <w:rPr>
          <w:rFonts w:ascii="Arial" w:eastAsia="Times New Roman" w:hAnsi="Arial" w:cs="Arial"/>
          <w:color w:val="000000"/>
          <w:sz w:val="21"/>
          <w:szCs w:val="21"/>
        </w:rPr>
        <w:t>Es resol traslladar de resolució de conclusió d'actuacions a la Inspecció Provincial de Treball i Seguretat Social de València.</w:t>
      </w:r>
    </w:p>
    <w:bookmarkEnd w:id="323"/>
    <w:p w14:paraId="6492DDF5" w14:textId="77777777" w:rsidR="00566C41" w:rsidRPr="00566C41" w:rsidRDefault="00566C41" w:rsidP="00566C41">
      <w:pPr>
        <w:spacing w:after="240" w:line="276" w:lineRule="auto"/>
        <w:jc w:val="both"/>
        <w:rPr>
          <w:rFonts w:ascii="Arial" w:eastAsia="Times New Roman" w:hAnsi="Arial" w:cs="Arial"/>
          <w:color w:val="000000"/>
          <w:sz w:val="21"/>
          <w:szCs w:val="21"/>
          <w:lang w:val="ca-ES"/>
        </w:rPr>
      </w:pPr>
      <w:r w:rsidRPr="00566C41">
        <w:rPr>
          <w:rFonts w:ascii="Arial" w:eastAsia="Times New Roman" w:hAnsi="Arial" w:cs="Arial"/>
          <w:b/>
          <w:bCs/>
          <w:color w:val="000000"/>
          <w:sz w:val="21"/>
          <w:szCs w:val="21"/>
        </w:rPr>
        <w:t xml:space="preserve">Fase de seguiment: </w:t>
      </w:r>
      <w:r w:rsidRPr="00566C41">
        <w:rPr>
          <w:rFonts w:ascii="Arial" w:eastAsia="Times New Roman" w:hAnsi="Arial" w:cs="Arial"/>
          <w:color w:val="000000"/>
          <w:sz w:val="21"/>
          <w:szCs w:val="21"/>
        </w:rPr>
        <w:t>En tràmit</w:t>
      </w:r>
      <w:r w:rsidRPr="00566C41">
        <w:rPr>
          <w:rFonts w:ascii="Arial" w:eastAsia="Times New Roman" w:hAnsi="Arial" w:cs="Arial"/>
          <w:color w:val="000000"/>
          <w:sz w:val="21"/>
          <w:szCs w:val="21"/>
          <w:lang w:val="ca-ES"/>
        </w:rPr>
        <w:t>.</w:t>
      </w:r>
    </w:p>
    <w:p w14:paraId="2DA8022C" w14:textId="77777777" w:rsidR="00566C41" w:rsidRPr="00566C41" w:rsidRDefault="00566C41" w:rsidP="00566C41">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24" w:name="_Toc95209115"/>
      <w:bookmarkStart w:id="325" w:name="_Toc95913907"/>
      <w:bookmarkStart w:id="326" w:name="_Toc99110790"/>
      <w:r w:rsidRPr="00566C41">
        <w:rPr>
          <w:rFonts w:ascii="Arial" w:eastAsia="Times New Roman" w:hAnsi="Arial" w:cs="Arial"/>
          <w:b/>
          <w:color w:val="9D2235"/>
          <w:sz w:val="28"/>
          <w:szCs w:val="28"/>
        </w:rPr>
        <w:t>Denominació: Ajuntament d’Albaida. Irregularitats en matèria d’accés a l</w:t>
      </w:r>
      <w:bookmarkEnd w:id="324"/>
      <w:bookmarkEnd w:id="325"/>
      <w:r w:rsidRPr="00566C41">
        <w:rPr>
          <w:rFonts w:ascii="Arial" w:eastAsia="Times New Roman" w:hAnsi="Arial" w:cs="Arial"/>
          <w:b/>
          <w:color w:val="9D2235"/>
          <w:sz w:val="28"/>
          <w:szCs w:val="28"/>
        </w:rPr>
        <w:t>’ocupació pública</w:t>
      </w:r>
      <w:bookmarkEnd w:id="326"/>
    </w:p>
    <w:p w14:paraId="216815CC" w14:textId="77777777" w:rsidR="00566C41" w:rsidRPr="00566C41" w:rsidRDefault="00566C41" w:rsidP="005272C3">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Expedient:</w:t>
      </w:r>
      <w:r w:rsidRPr="00566C41">
        <w:rPr>
          <w:rFonts w:ascii="Arial" w:eastAsia="Times New Roman" w:hAnsi="Arial" w:cs="Arial"/>
          <w:color w:val="000000"/>
          <w:sz w:val="21"/>
          <w:szCs w:val="21"/>
        </w:rPr>
        <w:t xml:space="preserve"> 2020/G01_01/000169 [35/2019]</w:t>
      </w:r>
    </w:p>
    <w:p w14:paraId="0AD8911D" w14:textId="77777777" w:rsidR="00566C41" w:rsidRPr="00566C41" w:rsidRDefault="00566C41" w:rsidP="00566C41">
      <w:pPr>
        <w:spacing w:after="240" w:line="276" w:lineRule="auto"/>
        <w:rPr>
          <w:rFonts w:ascii="Arial" w:eastAsia="Times New Roman" w:hAnsi="Arial" w:cs="Arial"/>
          <w:sz w:val="21"/>
          <w:szCs w:val="21"/>
          <w:lang w:eastAsia="es-ES"/>
        </w:rPr>
      </w:pPr>
      <w:r w:rsidRPr="00566C41">
        <w:rPr>
          <w:rFonts w:ascii="Arial" w:eastAsia="Times New Roman" w:hAnsi="Arial" w:cs="Arial"/>
          <w:b/>
          <w:bCs/>
          <w:sz w:val="21"/>
          <w:szCs w:val="21"/>
        </w:rPr>
        <w:t>Enllaç a la publicació:</w:t>
      </w:r>
      <w:r w:rsidRPr="00566C41">
        <w:rPr>
          <w:rFonts w:ascii="Arial" w:eastAsia="Times New Roman" w:hAnsi="Arial" w:cs="Arial"/>
          <w:b/>
          <w:bCs/>
          <w:sz w:val="21"/>
          <w:szCs w:val="21"/>
        </w:rPr>
        <w:br/>
      </w:r>
      <w:hyperlink r:id="rId487" w:history="1">
        <w:r w:rsidRPr="00566C41">
          <w:rPr>
            <w:rFonts w:ascii="Arial" w:eastAsia="Times New Roman" w:hAnsi="Arial" w:cs="Arial"/>
            <w:color w:val="000080"/>
            <w:sz w:val="18"/>
            <w:szCs w:val="18"/>
            <w:u w:val="single"/>
            <w:lang w:eastAsia="es-ES"/>
          </w:rPr>
          <w:t>https://www.antifraucv.es/wp-content/uploads/2022/01/20211214_AJUNTAMENT-DE-ALBAIDA.pdf</w:t>
        </w:r>
      </w:hyperlink>
    </w:p>
    <w:p w14:paraId="258920B0"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Descripció:</w:t>
      </w:r>
      <w:r w:rsidRPr="00566C41">
        <w:rPr>
          <w:rFonts w:ascii="Arial" w:eastAsia="Times New Roman" w:hAnsi="Arial" w:cs="Arial"/>
          <w:color w:val="000000"/>
          <w:sz w:val="21"/>
          <w:szCs w:val="21"/>
        </w:rPr>
        <w:t xml:space="preserve"> Es denuncia la presumpta existència d'irregularitats comeses en els processos selectius dels llocs d’Arquitecte Tècnic i Auxiliar Informàtic. </w:t>
      </w:r>
    </w:p>
    <w:p w14:paraId="18B7D31C"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color w:val="000000"/>
          <w:sz w:val="21"/>
          <w:szCs w:val="21"/>
        </w:rPr>
        <w:t xml:space="preserve">En concret, es denuncia, que en el procés selectiu de la plaça d'Arquitecte tècnic va ser adjudicada a la parella del cap de personal i secretari del tribunal de selecció del procés selectiu. I en el procés de l'auxiliar informàtic, va ser seleccionat la parella de l'administrativa del cap de personal. </w:t>
      </w:r>
    </w:p>
    <w:p w14:paraId="5F2AA479"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color w:val="000000"/>
          <w:sz w:val="21"/>
          <w:szCs w:val="21"/>
        </w:rPr>
        <w:t>Es denuncien presumptes tractes de favor i conflictes d'interés pel vincle matrimonial o situació de fet assimilable.</w:t>
      </w:r>
    </w:p>
    <w:p w14:paraId="01F4A4DB"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color w:val="000000"/>
          <w:sz w:val="21"/>
          <w:szCs w:val="21"/>
        </w:rPr>
        <w:t>Després de la instrucció de l'oportú procediment d'investigació, en el que es va efectuar el preceptiu tràmit d'audiència a l'administració denunciada, es conclou que no s'ha acreditat l'existència d'irregularitats en el desenrotllament dels processos selectius, sense perjuí que, a la vista de la tramitació del mateix, es puguen realitzar recomanacions de millora en relació amb certs aspectes de la tramitació del procediment.</w:t>
      </w:r>
    </w:p>
    <w:p w14:paraId="21651271"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Resultat</w:t>
      </w:r>
      <w:r w:rsidRPr="00566C41">
        <w:rPr>
          <w:rFonts w:ascii="Arial" w:eastAsia="Times New Roman" w:hAnsi="Arial" w:cs="Arial"/>
          <w:color w:val="000000"/>
          <w:sz w:val="21"/>
          <w:szCs w:val="21"/>
        </w:rPr>
        <w:t>: Es finalitza l'expedient amb la recomanació a l'Ajuntament d'Albaida d'elaborar una instrucció de bones pràctiques aplicable als seus processos selectius en què s'incloga, entre altres assumptes, l'esmena de les anomalies detectades per esta Agència (anonimización dels exàmens, composició del tribunal, custòdia dels exàmens, etc.), amb la finalitat d'evitar disfuncions i establir pràctiques administratives susceptibles de millora.</w:t>
      </w:r>
    </w:p>
    <w:p w14:paraId="3D814B53"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Fase de seguiment:</w:t>
      </w:r>
      <w:r w:rsidRPr="00566C41">
        <w:rPr>
          <w:rFonts w:ascii="Arial" w:eastAsia="Times New Roman" w:hAnsi="Arial" w:cs="Arial"/>
          <w:color w:val="000000"/>
          <w:sz w:val="21"/>
          <w:szCs w:val="21"/>
        </w:rPr>
        <w:t xml:space="preserve"> En tràmit.</w:t>
      </w:r>
    </w:p>
    <w:p w14:paraId="4B1EB412" w14:textId="77777777" w:rsidR="00566C41" w:rsidRPr="00566C41" w:rsidRDefault="00566C41" w:rsidP="00566C41">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27" w:name="_Toc95209116"/>
      <w:bookmarkStart w:id="328" w:name="_Toc95913908"/>
      <w:bookmarkStart w:id="329" w:name="_Toc99110791"/>
      <w:r w:rsidRPr="00566C41">
        <w:rPr>
          <w:rFonts w:ascii="Arial" w:eastAsia="Times New Roman" w:hAnsi="Arial" w:cs="Arial"/>
          <w:b/>
          <w:color w:val="9D2235"/>
          <w:sz w:val="28"/>
          <w:szCs w:val="28"/>
        </w:rPr>
        <w:t>Denominació: Diputació Provincial de València. Modificació de la forma de provisió de funcionaris d'administració local amb habilitació de caràcter nacional (FHCN</w:t>
      </w:r>
      <w:bookmarkEnd w:id="327"/>
      <w:bookmarkEnd w:id="328"/>
      <w:r w:rsidRPr="00566C41">
        <w:rPr>
          <w:rFonts w:ascii="Arial" w:eastAsia="Times New Roman" w:hAnsi="Arial" w:cs="Arial"/>
          <w:b/>
          <w:color w:val="9D2235"/>
          <w:sz w:val="28"/>
          <w:szCs w:val="28"/>
        </w:rPr>
        <w:t>)</w:t>
      </w:r>
      <w:bookmarkEnd w:id="329"/>
    </w:p>
    <w:p w14:paraId="73EEE848" w14:textId="77777777" w:rsidR="00566C41" w:rsidRPr="00566C41" w:rsidRDefault="00566C41" w:rsidP="005272C3">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Expedient</w:t>
      </w:r>
      <w:r w:rsidRPr="00566C41">
        <w:rPr>
          <w:rFonts w:ascii="Arial" w:eastAsia="Times New Roman" w:hAnsi="Arial" w:cs="Arial"/>
          <w:color w:val="000000"/>
          <w:sz w:val="21"/>
          <w:szCs w:val="21"/>
        </w:rPr>
        <w:t>: 2020/G01_01/000069 [146/2019]</w:t>
      </w:r>
    </w:p>
    <w:p w14:paraId="7E818C23" w14:textId="77777777" w:rsidR="00566C41" w:rsidRPr="00566C41" w:rsidRDefault="00566C41" w:rsidP="00566C41">
      <w:pPr>
        <w:spacing w:after="240" w:line="276" w:lineRule="auto"/>
        <w:rPr>
          <w:rFonts w:ascii="Arial" w:eastAsia="Times New Roman" w:hAnsi="Arial" w:cs="Arial"/>
          <w:sz w:val="21"/>
          <w:szCs w:val="21"/>
          <w:lang w:eastAsia="es-ES"/>
        </w:rPr>
      </w:pPr>
      <w:r w:rsidRPr="00566C41">
        <w:rPr>
          <w:rFonts w:ascii="Arial" w:eastAsia="Times New Roman" w:hAnsi="Arial" w:cs="Arial"/>
          <w:b/>
          <w:bCs/>
          <w:sz w:val="21"/>
          <w:szCs w:val="21"/>
        </w:rPr>
        <w:t>Enllaç a la publicació:</w:t>
      </w:r>
      <w:r w:rsidRPr="00566C41">
        <w:rPr>
          <w:rFonts w:ascii="Arial" w:eastAsia="Times New Roman" w:hAnsi="Arial" w:cs="Arial"/>
          <w:b/>
          <w:bCs/>
          <w:sz w:val="21"/>
          <w:szCs w:val="21"/>
        </w:rPr>
        <w:br/>
      </w:r>
      <w:hyperlink r:id="rId488" w:history="1">
        <w:r w:rsidRPr="00566C41">
          <w:rPr>
            <w:rFonts w:ascii="Arial" w:eastAsia="Times New Roman" w:hAnsi="Arial" w:cs="Arial"/>
            <w:color w:val="000080"/>
            <w:sz w:val="18"/>
            <w:szCs w:val="18"/>
            <w:u w:val="single"/>
            <w:lang w:eastAsia="es-ES"/>
          </w:rPr>
          <w:t>https://www.antifraucv.es/wp-content/uploads/2022/01/20211215-DIPUTACION-DE-VALENCIA.pdf</w:t>
        </w:r>
      </w:hyperlink>
    </w:p>
    <w:p w14:paraId="7B9139FD"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Descripció</w:t>
      </w:r>
      <w:r w:rsidRPr="00566C41">
        <w:rPr>
          <w:rFonts w:ascii="Arial" w:eastAsia="Times New Roman" w:hAnsi="Arial" w:cs="Arial"/>
          <w:color w:val="000000"/>
          <w:sz w:val="21"/>
          <w:szCs w:val="21"/>
        </w:rPr>
        <w:t>: És denúncia la possible existència de conductes contràries als principis i normes reguladors de la provisió de llocs dels FHCN succeïdes en la Diputació Provincial de València.</w:t>
      </w:r>
    </w:p>
    <w:p w14:paraId="0D6A9F57"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color w:val="000000"/>
          <w:sz w:val="21"/>
          <w:szCs w:val="21"/>
        </w:rPr>
        <w:t>S'ha verificat en la fase d'investigació que:</w:t>
      </w:r>
    </w:p>
    <w:p w14:paraId="4E6F8CF8" w14:textId="77777777" w:rsidR="00566C41" w:rsidRPr="00566C41" w:rsidRDefault="00566C41" w:rsidP="008E51E4">
      <w:pPr>
        <w:numPr>
          <w:ilvl w:val="0"/>
          <w:numId w:val="170"/>
        </w:numPr>
        <w:spacing w:after="120" w:line="276" w:lineRule="auto"/>
        <w:ind w:left="714" w:hanging="357"/>
        <w:jc w:val="both"/>
        <w:rPr>
          <w:rFonts w:ascii="Arial" w:eastAsia="Times New Roman" w:hAnsi="Arial" w:cs="Arial"/>
          <w:color w:val="000000"/>
          <w:sz w:val="21"/>
          <w:szCs w:val="21"/>
        </w:rPr>
      </w:pPr>
      <w:r w:rsidRPr="00566C41">
        <w:rPr>
          <w:rFonts w:ascii="Arial" w:eastAsia="Times New Roman" w:hAnsi="Arial" w:cs="Arial"/>
          <w:color w:val="000000"/>
          <w:sz w:val="21"/>
          <w:szCs w:val="21"/>
        </w:rPr>
        <w:t>Mitjançant un acord del Ple de la Diputació de data 22/10/2019, s'acorda sol·licitar del Ministeri d'Hisenda l'autorització prèvia per al canvi del sistema de provisió dels llocs d'Interventor/a (RPT 36348), Viceinterventor/a (RPT 51867), Viceinterventor/a segon/a (RPT 23423) i tresorer/a (RPT 72142), en els termes proposats, de conformitat amb el que establix l’article 45 del Reial Decret 128/2018, de 16 de març.</w:t>
      </w:r>
    </w:p>
    <w:p w14:paraId="287FE10F" w14:textId="77777777" w:rsidR="00566C41" w:rsidRPr="00566C41" w:rsidRDefault="00566C41" w:rsidP="008E51E4">
      <w:pPr>
        <w:numPr>
          <w:ilvl w:val="0"/>
          <w:numId w:val="170"/>
        </w:numPr>
        <w:spacing w:after="120" w:line="276" w:lineRule="auto"/>
        <w:ind w:left="714" w:hanging="357"/>
        <w:jc w:val="both"/>
        <w:rPr>
          <w:rFonts w:ascii="Arial" w:eastAsia="Times New Roman" w:hAnsi="Arial" w:cs="Arial"/>
          <w:color w:val="000000"/>
          <w:sz w:val="21"/>
          <w:szCs w:val="21"/>
        </w:rPr>
      </w:pPr>
      <w:r w:rsidRPr="00566C41">
        <w:rPr>
          <w:rFonts w:ascii="Arial" w:eastAsia="Times New Roman" w:hAnsi="Arial" w:cs="Arial"/>
          <w:color w:val="000000"/>
          <w:sz w:val="21"/>
          <w:szCs w:val="21"/>
        </w:rPr>
        <w:t>La secretària general de Finançament Autonòmic i Local del Ministeri d'Hisenda va autoritzar la modificació de la RPT, per a arreplegar com futura forma de provisió del lloc de treball d'Intervenció General el sistema de lliure designació. No obstant això, es resol no autoritzar la provisió dels llocs de treball de Viceinterventor/a, Viceinterventor/a segon/a i tresorer/a pel sistema de lliure designació.</w:t>
      </w:r>
    </w:p>
    <w:p w14:paraId="4CE9C38E" w14:textId="77777777" w:rsidR="00566C41" w:rsidRPr="00566C41" w:rsidRDefault="00566C41" w:rsidP="008E51E4">
      <w:pPr>
        <w:numPr>
          <w:ilvl w:val="0"/>
          <w:numId w:val="170"/>
        </w:numPr>
        <w:spacing w:after="120" w:line="276" w:lineRule="auto"/>
        <w:ind w:left="714" w:hanging="357"/>
        <w:jc w:val="both"/>
        <w:rPr>
          <w:rFonts w:ascii="Arial" w:eastAsia="Times New Roman" w:hAnsi="Arial" w:cs="Arial"/>
          <w:color w:val="000000"/>
          <w:sz w:val="21"/>
          <w:szCs w:val="21"/>
        </w:rPr>
      </w:pPr>
      <w:r w:rsidRPr="00566C41">
        <w:rPr>
          <w:rFonts w:ascii="Arial" w:eastAsia="Times New Roman" w:hAnsi="Arial" w:cs="Arial"/>
          <w:color w:val="000000"/>
          <w:sz w:val="21"/>
          <w:szCs w:val="21"/>
        </w:rPr>
        <w:t>Mitjançant Resolució de la Presidència de la Diputació de València de data 12/02/2020, es va acordar interposar recurs contenciós-administratiu contra l'anterior resolució de la secretària general de Finançament Autonòmic i Local del Ministeri.</w:t>
      </w:r>
    </w:p>
    <w:p w14:paraId="3F0006E3" w14:textId="0DAE36CB" w:rsidR="00566C41" w:rsidRPr="00566C41" w:rsidRDefault="00566C41" w:rsidP="008E51E4">
      <w:pPr>
        <w:numPr>
          <w:ilvl w:val="0"/>
          <w:numId w:val="170"/>
        </w:numPr>
        <w:spacing w:after="120" w:line="276" w:lineRule="auto"/>
        <w:ind w:left="714" w:hanging="357"/>
        <w:jc w:val="both"/>
        <w:rPr>
          <w:rFonts w:ascii="Arial" w:eastAsia="Times New Roman" w:hAnsi="Arial" w:cs="Arial"/>
          <w:color w:val="000000"/>
          <w:sz w:val="21"/>
          <w:szCs w:val="21"/>
        </w:rPr>
      </w:pPr>
      <w:r w:rsidRPr="00566C41">
        <w:rPr>
          <w:rFonts w:ascii="Arial" w:eastAsia="Times New Roman" w:hAnsi="Arial" w:cs="Arial"/>
          <w:color w:val="000000"/>
          <w:sz w:val="21"/>
          <w:szCs w:val="21"/>
        </w:rPr>
        <w:t>L'anterior recurs va finalitzar per Sentència núm</w:t>
      </w:r>
      <w:r w:rsidR="00B97862">
        <w:rPr>
          <w:rFonts w:ascii="Arial" w:eastAsia="Times New Roman" w:hAnsi="Arial" w:cs="Arial"/>
          <w:color w:val="000000"/>
          <w:sz w:val="21"/>
          <w:szCs w:val="21"/>
        </w:rPr>
        <w:t>.</w:t>
      </w:r>
      <w:r w:rsidRPr="00566C41">
        <w:rPr>
          <w:rFonts w:ascii="Arial" w:eastAsia="Times New Roman" w:hAnsi="Arial" w:cs="Arial"/>
          <w:color w:val="000000"/>
          <w:sz w:val="21"/>
          <w:szCs w:val="21"/>
        </w:rPr>
        <w:t xml:space="preserve"> 395/2020, de 16/12/2020, i dictada per la Secció 4ª del Tribunal Superior de Justícia de Madrid, en el Procediment Ordinari núm</w:t>
      </w:r>
      <w:r w:rsidR="00B97862">
        <w:rPr>
          <w:rFonts w:ascii="Arial" w:eastAsia="Times New Roman" w:hAnsi="Arial" w:cs="Arial"/>
          <w:color w:val="000000"/>
          <w:sz w:val="21"/>
          <w:szCs w:val="21"/>
        </w:rPr>
        <w:t>.</w:t>
      </w:r>
      <w:r w:rsidRPr="00566C41">
        <w:rPr>
          <w:rFonts w:ascii="Arial" w:eastAsia="Times New Roman" w:hAnsi="Arial" w:cs="Arial"/>
          <w:color w:val="000000"/>
          <w:sz w:val="21"/>
          <w:szCs w:val="21"/>
        </w:rPr>
        <w:t xml:space="preserve"> 192/2020, desestimatòria del recurs i que ha adquirit fermesa per Providència de 15/07/2021, de la Sala del Contenciós- Administratiu del Tribunal Suprem, s'inadmet a tràmit el recurs de cassació núm. 1334/2021, interposat per la Diputació enfront de la Sentència abans citada. S'indica que no s'ha modificat la forma de provisió dels llocs de treball reservats número 51.868 (Viceinterventor/a), número 23.423 (Viceinterventor/a segon/a) i número 72.142 (tresorer/a) i que els mateixos es troben en l'actualitat proveïts amb caràcter definitiu per mitjà de concurs.</w:t>
      </w:r>
    </w:p>
    <w:p w14:paraId="7F15064E" w14:textId="4FE8BED4" w:rsidR="00566C41" w:rsidRPr="00566C41" w:rsidRDefault="00566C41" w:rsidP="008E51E4">
      <w:pPr>
        <w:numPr>
          <w:ilvl w:val="0"/>
          <w:numId w:val="170"/>
        </w:numPr>
        <w:spacing w:after="240" w:line="276" w:lineRule="auto"/>
        <w:jc w:val="both"/>
        <w:rPr>
          <w:rFonts w:ascii="Arial" w:eastAsia="Times New Roman" w:hAnsi="Arial" w:cs="Arial"/>
          <w:color w:val="000000"/>
          <w:sz w:val="21"/>
          <w:szCs w:val="21"/>
        </w:rPr>
      </w:pPr>
      <w:r w:rsidRPr="00566C41">
        <w:rPr>
          <w:rFonts w:ascii="Arial" w:eastAsia="Times New Roman" w:hAnsi="Arial" w:cs="Arial"/>
          <w:color w:val="000000"/>
          <w:sz w:val="21"/>
          <w:szCs w:val="21"/>
        </w:rPr>
        <w:t>La resolució del concurs, pel qual s'adjudiquen els llocs número 51.868 (Viceinterventor/a) i número 23.423 (Viceinterventor/a segon/a), es va produir mitjançant Resolució de data 5/03/21, de la Direcció General de la Funció Pública (BOE núm</w:t>
      </w:r>
      <w:r w:rsidR="00B97862">
        <w:rPr>
          <w:rFonts w:ascii="Arial" w:eastAsia="Times New Roman" w:hAnsi="Arial" w:cs="Arial"/>
          <w:color w:val="000000"/>
          <w:sz w:val="21"/>
          <w:szCs w:val="21"/>
        </w:rPr>
        <w:t>.</w:t>
      </w:r>
      <w:r w:rsidRPr="00566C41">
        <w:rPr>
          <w:rFonts w:ascii="Arial" w:eastAsia="Times New Roman" w:hAnsi="Arial" w:cs="Arial"/>
          <w:color w:val="000000"/>
          <w:sz w:val="21"/>
          <w:szCs w:val="21"/>
        </w:rPr>
        <w:t xml:space="preserve"> 63 de data 15/03/21); i la resolució del concurs, pel qual s'adjudica el lloc número 72.142 (tresorer/a), es va produir mitjançant Resolució de data 13/09/2018, de la Direcció General de la Funció Pública (BOE núm</w:t>
      </w:r>
      <w:r w:rsidR="00B97862">
        <w:rPr>
          <w:rFonts w:ascii="Arial" w:eastAsia="Times New Roman" w:hAnsi="Arial" w:cs="Arial"/>
          <w:color w:val="000000"/>
          <w:sz w:val="21"/>
          <w:szCs w:val="21"/>
        </w:rPr>
        <w:t>.</w:t>
      </w:r>
      <w:r w:rsidRPr="00566C41">
        <w:rPr>
          <w:rFonts w:ascii="Arial" w:eastAsia="Times New Roman" w:hAnsi="Arial" w:cs="Arial"/>
          <w:color w:val="000000"/>
          <w:sz w:val="21"/>
          <w:szCs w:val="21"/>
        </w:rPr>
        <w:t xml:space="preserve"> 232 de data 25/09/2018).</w:t>
      </w:r>
    </w:p>
    <w:p w14:paraId="649FE85A"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Resultat</w:t>
      </w:r>
      <w:r w:rsidRPr="00566C41">
        <w:rPr>
          <w:rFonts w:ascii="Arial" w:eastAsia="Times New Roman" w:hAnsi="Arial" w:cs="Arial"/>
          <w:color w:val="000000"/>
          <w:sz w:val="21"/>
          <w:szCs w:val="21"/>
        </w:rPr>
        <w:t>: Conclusió i arxiu de l'expedient.</w:t>
      </w:r>
    </w:p>
    <w:p w14:paraId="65A1B503" w14:textId="77777777" w:rsidR="00566C41" w:rsidRPr="00566C41" w:rsidRDefault="00566C41" w:rsidP="00566C41">
      <w:pPr>
        <w:spacing w:after="240" w:line="276" w:lineRule="auto"/>
        <w:jc w:val="both"/>
        <w:rPr>
          <w:rFonts w:ascii="Arial" w:eastAsia="Times New Roman" w:hAnsi="Arial" w:cs="Arial"/>
          <w:color w:val="000000"/>
          <w:sz w:val="21"/>
          <w:szCs w:val="21"/>
        </w:rPr>
      </w:pPr>
      <w:r w:rsidRPr="00566C41">
        <w:rPr>
          <w:rFonts w:ascii="Arial" w:eastAsia="Times New Roman" w:hAnsi="Arial" w:cs="Arial"/>
          <w:b/>
          <w:bCs/>
          <w:color w:val="000000"/>
          <w:sz w:val="21"/>
          <w:szCs w:val="21"/>
        </w:rPr>
        <w:t>Fase de seguiment:</w:t>
      </w:r>
      <w:r w:rsidRPr="00566C41">
        <w:rPr>
          <w:rFonts w:ascii="Arial" w:eastAsia="Times New Roman" w:hAnsi="Arial" w:cs="Arial"/>
          <w:color w:val="000000"/>
          <w:sz w:val="21"/>
          <w:szCs w:val="21"/>
        </w:rPr>
        <w:t xml:space="preserve"> No procedeix.</w:t>
      </w:r>
    </w:p>
    <w:p w14:paraId="0DCCA834" w14:textId="77777777" w:rsidR="000C6B3C" w:rsidRPr="000C6B3C" w:rsidRDefault="000C6B3C" w:rsidP="000C6B3C">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30" w:name="_Toc99110792"/>
      <w:r w:rsidRPr="000C6B3C">
        <w:rPr>
          <w:rFonts w:ascii="Arial" w:eastAsia="Times New Roman" w:hAnsi="Arial" w:cs="Arial"/>
          <w:b/>
          <w:color w:val="9D2235"/>
          <w:sz w:val="28"/>
          <w:szCs w:val="28"/>
        </w:rPr>
        <w:t>Denominació: Ajuntament de Tous. Adquisició de la bàscula municipal</w:t>
      </w:r>
      <w:bookmarkEnd w:id="330"/>
      <w:r w:rsidRPr="000C6B3C">
        <w:rPr>
          <w:rFonts w:ascii="Arial" w:eastAsia="Times New Roman" w:hAnsi="Arial" w:cs="Arial"/>
          <w:b/>
          <w:color w:val="9D2235"/>
          <w:sz w:val="28"/>
          <w:szCs w:val="28"/>
        </w:rPr>
        <w:t xml:space="preserve"> </w:t>
      </w:r>
    </w:p>
    <w:p w14:paraId="7F5D82C4" w14:textId="77777777" w:rsidR="000C6B3C" w:rsidRPr="000C6B3C" w:rsidRDefault="000C6B3C" w:rsidP="005272C3">
      <w:pPr>
        <w:spacing w:after="24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Expedient:</w:t>
      </w:r>
      <w:r w:rsidRPr="000C6B3C">
        <w:rPr>
          <w:rFonts w:ascii="Arial" w:eastAsia="Times New Roman" w:hAnsi="Arial" w:cs="Arial"/>
          <w:color w:val="000000"/>
          <w:sz w:val="21"/>
          <w:szCs w:val="21"/>
        </w:rPr>
        <w:t xml:space="preserve"> 2020/G01_01/000234 </w:t>
      </w:r>
    </w:p>
    <w:p w14:paraId="71F22B24" w14:textId="77777777" w:rsidR="000C6B3C" w:rsidRPr="000C6B3C" w:rsidRDefault="000C6B3C" w:rsidP="000C6B3C">
      <w:pPr>
        <w:spacing w:after="240" w:line="276" w:lineRule="auto"/>
        <w:rPr>
          <w:rFonts w:ascii="Arial" w:eastAsia="Times New Roman" w:hAnsi="Arial" w:cs="Arial"/>
          <w:sz w:val="21"/>
          <w:szCs w:val="21"/>
          <w:lang w:eastAsia="es-ES"/>
        </w:rPr>
      </w:pPr>
      <w:r w:rsidRPr="000C6B3C">
        <w:rPr>
          <w:rFonts w:ascii="Arial" w:eastAsia="Times New Roman" w:hAnsi="Arial" w:cs="Arial"/>
          <w:b/>
          <w:bCs/>
          <w:sz w:val="21"/>
          <w:szCs w:val="21"/>
        </w:rPr>
        <w:t>Enllaç a la publicació:</w:t>
      </w:r>
      <w:r w:rsidRPr="000C6B3C">
        <w:rPr>
          <w:rFonts w:ascii="Arial" w:eastAsia="Times New Roman" w:hAnsi="Arial" w:cs="Arial"/>
          <w:b/>
          <w:bCs/>
          <w:sz w:val="21"/>
          <w:szCs w:val="21"/>
        </w:rPr>
        <w:br/>
      </w:r>
      <w:hyperlink r:id="rId489" w:history="1">
        <w:r w:rsidRPr="000C6B3C">
          <w:rPr>
            <w:rFonts w:ascii="Arial" w:eastAsia="Times New Roman" w:hAnsi="Arial" w:cs="Arial"/>
            <w:color w:val="000080"/>
            <w:sz w:val="18"/>
            <w:szCs w:val="18"/>
            <w:u w:val="single"/>
            <w:lang w:eastAsia="es-ES"/>
          </w:rPr>
          <w:t>https://www.antifraucv.es/wp-content/uploads/2022/01/20211216-_AJUNTAMENT-DE-TOUS.pdf</w:t>
        </w:r>
      </w:hyperlink>
    </w:p>
    <w:p w14:paraId="4B649813"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Descripció</w:t>
      </w:r>
      <w:r w:rsidRPr="000C6B3C">
        <w:rPr>
          <w:rFonts w:ascii="Arial" w:eastAsia="Times New Roman" w:hAnsi="Arial" w:cs="Arial"/>
          <w:color w:val="000000"/>
          <w:sz w:val="21"/>
          <w:szCs w:val="21"/>
        </w:rPr>
        <w:t xml:space="preserve">: S'analitza el subministrament i instal·lació de la bàscula municipal sense tramitar procediment de contractació administrativa (per import de 42.269,74 €), així com la realització del projecte tècnic per part de l'enginyer agrònom municipal. </w:t>
      </w:r>
    </w:p>
    <w:p w14:paraId="6D2B0171"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De les dades aportades, es conclou que el projecte constructiu de la bàscula municipal va ser encarregat a l'enginyer agrònom municipal. L'esmentat enginyer va facturar simultàniament a la realització de servicis com a empleat públic i durant el període indicat a l'entitat local, per la prestació de servicis en concepte d'honoraris per redacció de projectes.</w:t>
      </w:r>
    </w:p>
    <w:p w14:paraId="25E34583"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D'altra banda, no s'aporta expedient de contractació, ni resolució que justifique l'adjudicació per a la realització dels treballs de subministrament i instal·lació de la bàscula.</w:t>
      </w:r>
    </w:p>
    <w:p w14:paraId="1AEE7701"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Resultat:</w:t>
      </w:r>
      <w:r w:rsidRPr="000C6B3C">
        <w:rPr>
          <w:rFonts w:ascii="Arial" w:eastAsia="Times New Roman" w:hAnsi="Arial" w:cs="Arial"/>
          <w:color w:val="000000"/>
          <w:sz w:val="21"/>
          <w:szCs w:val="21"/>
        </w:rPr>
        <w:t xml:space="preserve"> Es finalitza l'expedient amb les següents recomanacions:</w:t>
      </w:r>
    </w:p>
    <w:p w14:paraId="49580E9F" w14:textId="77777777" w:rsidR="000C6B3C" w:rsidRPr="000C6B3C" w:rsidRDefault="000C6B3C" w:rsidP="008E51E4">
      <w:pPr>
        <w:numPr>
          <w:ilvl w:val="0"/>
          <w:numId w:val="171"/>
        </w:numPr>
        <w:spacing w:after="120" w:line="276" w:lineRule="auto"/>
        <w:ind w:left="709" w:hanging="357"/>
        <w:jc w:val="both"/>
        <w:rPr>
          <w:rFonts w:ascii="Arial" w:eastAsia="Times New Roman" w:hAnsi="Arial" w:cs="Arial"/>
          <w:color w:val="000000"/>
          <w:sz w:val="21"/>
          <w:szCs w:val="21"/>
        </w:rPr>
      </w:pPr>
      <w:r w:rsidRPr="000C6B3C">
        <w:rPr>
          <w:rFonts w:ascii="Arial" w:eastAsia="Times New Roman" w:hAnsi="Arial" w:cs="Arial"/>
          <w:color w:val="000000"/>
          <w:sz w:val="21"/>
          <w:szCs w:val="21"/>
        </w:rPr>
        <w:t xml:space="preserve">L'inici de la revisió d'ofici dels pagaments realitzats pel subministrament i instal·lació de la bàscula municipal i el cobrament d'honoraris per l'enginyer agrònom municipal per facturació de servicis. </w:t>
      </w:r>
    </w:p>
    <w:p w14:paraId="5235B883" w14:textId="77777777" w:rsidR="000C6B3C" w:rsidRPr="000C6B3C" w:rsidRDefault="000C6B3C" w:rsidP="008E51E4">
      <w:pPr>
        <w:numPr>
          <w:ilvl w:val="0"/>
          <w:numId w:val="171"/>
        </w:numPr>
        <w:spacing w:after="240" w:line="276" w:lineRule="auto"/>
        <w:ind w:left="709"/>
        <w:jc w:val="both"/>
        <w:rPr>
          <w:rFonts w:ascii="Arial" w:eastAsia="Times New Roman" w:hAnsi="Arial" w:cs="Arial"/>
          <w:color w:val="000000"/>
          <w:sz w:val="21"/>
          <w:szCs w:val="21"/>
        </w:rPr>
      </w:pPr>
      <w:r w:rsidRPr="000C6B3C">
        <w:rPr>
          <w:rFonts w:ascii="Arial" w:eastAsia="Times New Roman" w:hAnsi="Arial" w:cs="Arial"/>
          <w:color w:val="000000"/>
          <w:sz w:val="21"/>
          <w:szCs w:val="21"/>
        </w:rPr>
        <w:t xml:space="preserve">La implementació de mesures per a assegurar el compliment del procediment administratiu en matèria de contractació pública amb una adequada planificació, dictant instruccions internes a fi a garantir que l'activitat subjecta a potestats públiques no puga prestar-se per mitjans externs, sinó per personal funcionari aplicant el règim d'incompatibilitats. S'inicien els expedients que procedisquen per a depurar les responsabilitats que puguen exigir-se en relació amb la contractació verbal. </w:t>
      </w:r>
    </w:p>
    <w:p w14:paraId="71F44FC1"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 xml:space="preserve">Fase de seguiment: </w:t>
      </w:r>
      <w:r w:rsidRPr="000C6B3C">
        <w:rPr>
          <w:rFonts w:ascii="Arial" w:eastAsia="Times New Roman" w:hAnsi="Arial" w:cs="Arial"/>
          <w:color w:val="000000"/>
          <w:sz w:val="21"/>
          <w:szCs w:val="21"/>
        </w:rPr>
        <w:t>En tràmit.</w:t>
      </w:r>
    </w:p>
    <w:p w14:paraId="2FFD4684" w14:textId="77777777" w:rsidR="000C6B3C" w:rsidRPr="000C6B3C" w:rsidRDefault="000C6B3C" w:rsidP="000C6B3C">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31" w:name="_Toc99110793"/>
      <w:r w:rsidRPr="000C6B3C">
        <w:rPr>
          <w:rFonts w:ascii="Arial" w:eastAsia="Times New Roman" w:hAnsi="Arial" w:cs="Arial"/>
          <w:b/>
          <w:color w:val="9D2235"/>
          <w:sz w:val="28"/>
          <w:szCs w:val="28"/>
        </w:rPr>
        <w:t>Denominació: Ajuntament d'Orihuela. Cessió del dret de superfície</w:t>
      </w:r>
      <w:bookmarkEnd w:id="331"/>
    </w:p>
    <w:p w14:paraId="2286FFC2" w14:textId="353A7AC3" w:rsidR="000C6B3C" w:rsidRPr="000C6B3C" w:rsidRDefault="000C6B3C" w:rsidP="005272C3">
      <w:pPr>
        <w:spacing w:after="24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Expedient:</w:t>
      </w:r>
      <w:r w:rsidRPr="000C6B3C">
        <w:rPr>
          <w:rFonts w:ascii="Arial" w:eastAsia="Times New Roman" w:hAnsi="Arial" w:cs="Arial"/>
          <w:color w:val="000000"/>
          <w:sz w:val="21"/>
          <w:szCs w:val="21"/>
        </w:rPr>
        <w:t xml:space="preserve"> 2020/G01_01/000149 [37/2019] - Acumula</w:t>
      </w:r>
      <w:r>
        <w:rPr>
          <w:rFonts w:ascii="Arial" w:eastAsia="Times New Roman" w:hAnsi="Arial" w:cs="Arial"/>
          <w:color w:val="000000"/>
          <w:sz w:val="21"/>
          <w:szCs w:val="21"/>
        </w:rPr>
        <w:t>t</w:t>
      </w:r>
      <w:r w:rsidRPr="000C6B3C">
        <w:rPr>
          <w:rFonts w:ascii="Arial" w:eastAsia="Times New Roman" w:hAnsi="Arial" w:cs="Arial"/>
          <w:color w:val="000000"/>
          <w:sz w:val="21"/>
          <w:szCs w:val="21"/>
        </w:rPr>
        <w:t xml:space="preserve"> 2020/G01_01/000150 [38/2019]</w:t>
      </w:r>
    </w:p>
    <w:p w14:paraId="51B7BF0C" w14:textId="77777777" w:rsidR="000C6B3C" w:rsidRPr="000C6B3C" w:rsidRDefault="000C6B3C" w:rsidP="000C6B3C">
      <w:pPr>
        <w:spacing w:after="240" w:line="276" w:lineRule="auto"/>
        <w:rPr>
          <w:rFonts w:ascii="Arial" w:eastAsia="Times New Roman" w:hAnsi="Arial" w:cs="Arial"/>
          <w:sz w:val="21"/>
          <w:szCs w:val="21"/>
          <w:lang w:eastAsia="es-ES"/>
        </w:rPr>
      </w:pPr>
      <w:r w:rsidRPr="000C6B3C">
        <w:rPr>
          <w:rFonts w:ascii="Arial" w:eastAsia="Times New Roman" w:hAnsi="Arial" w:cs="Arial"/>
          <w:b/>
          <w:bCs/>
          <w:sz w:val="21"/>
          <w:szCs w:val="21"/>
        </w:rPr>
        <w:t>Enllaç a la publicació:</w:t>
      </w:r>
      <w:r w:rsidRPr="000C6B3C">
        <w:rPr>
          <w:rFonts w:ascii="Arial" w:eastAsia="Times New Roman" w:hAnsi="Arial" w:cs="Arial"/>
          <w:b/>
          <w:bCs/>
          <w:sz w:val="21"/>
          <w:szCs w:val="21"/>
        </w:rPr>
        <w:br/>
      </w:r>
      <w:hyperlink r:id="rId490" w:history="1">
        <w:r w:rsidRPr="000C6B3C">
          <w:rPr>
            <w:rFonts w:ascii="Arial" w:eastAsia="Times New Roman" w:hAnsi="Arial" w:cs="Arial"/>
            <w:color w:val="000080"/>
            <w:sz w:val="18"/>
            <w:szCs w:val="18"/>
            <w:u w:val="single"/>
            <w:lang w:eastAsia="es-ES"/>
          </w:rPr>
          <w:t>https://www.antifraucv.es/wp-content/uploads/2022/01/20211231_AJUNTAMENT-DE-ORIHUELA.pdf</w:t>
        </w:r>
      </w:hyperlink>
    </w:p>
    <w:p w14:paraId="39214DA9"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Descripció:</w:t>
      </w:r>
      <w:r w:rsidRPr="000C6B3C">
        <w:rPr>
          <w:rFonts w:ascii="Arial" w:eastAsia="Times New Roman" w:hAnsi="Arial" w:cs="Arial"/>
          <w:color w:val="000000"/>
          <w:sz w:val="21"/>
          <w:szCs w:val="21"/>
        </w:rPr>
        <w:t xml:space="preserve"> Es denuncia:</w:t>
      </w:r>
    </w:p>
    <w:p w14:paraId="4DAD172C" w14:textId="77777777" w:rsidR="000C6B3C" w:rsidRPr="000C6B3C" w:rsidRDefault="000C6B3C" w:rsidP="008E51E4">
      <w:pPr>
        <w:numPr>
          <w:ilvl w:val="0"/>
          <w:numId w:val="172"/>
        </w:numPr>
        <w:spacing w:after="120" w:line="276" w:lineRule="auto"/>
        <w:ind w:left="714" w:hanging="357"/>
        <w:jc w:val="both"/>
        <w:rPr>
          <w:rFonts w:ascii="Arial" w:eastAsia="Times New Roman" w:hAnsi="Arial" w:cs="Arial"/>
          <w:color w:val="000000"/>
          <w:sz w:val="21"/>
          <w:szCs w:val="21"/>
        </w:rPr>
      </w:pPr>
      <w:r w:rsidRPr="000C6B3C">
        <w:rPr>
          <w:rFonts w:ascii="Arial" w:eastAsia="Times New Roman" w:hAnsi="Arial" w:cs="Arial"/>
          <w:color w:val="000000"/>
          <w:sz w:val="21"/>
          <w:szCs w:val="21"/>
        </w:rPr>
        <w:t xml:space="preserve">L'incompliment de les condicions estipulades en l'acord de cessió del dret de superfície dels solars ubicats en l'Av. Doctor García Rogel, núm. 3 d'Orihuela. </w:t>
      </w:r>
    </w:p>
    <w:p w14:paraId="045ED778" w14:textId="77777777" w:rsidR="000C6B3C" w:rsidRPr="000C6B3C" w:rsidRDefault="000C6B3C" w:rsidP="008E51E4">
      <w:pPr>
        <w:numPr>
          <w:ilvl w:val="0"/>
          <w:numId w:val="172"/>
        </w:numPr>
        <w:spacing w:after="24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La permuta entre l'Ajuntament d'Orihuela i el Bisbat de determinats béns immobles.</w:t>
      </w:r>
    </w:p>
    <w:p w14:paraId="457CB9F6"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Després de la instrucció de l'oportú procediment d'investigació, es conclou:</w:t>
      </w:r>
    </w:p>
    <w:p w14:paraId="5CF6E204" w14:textId="77777777" w:rsidR="000C6B3C" w:rsidRPr="000C6B3C" w:rsidRDefault="000C6B3C" w:rsidP="008E51E4">
      <w:pPr>
        <w:numPr>
          <w:ilvl w:val="0"/>
          <w:numId w:val="173"/>
        </w:numPr>
        <w:spacing w:after="12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Falta de formalització d'acord en escriptura pública i inscripció en el Registre de la Propietat.</w:t>
      </w:r>
    </w:p>
    <w:p w14:paraId="06499085" w14:textId="77777777" w:rsidR="000C6B3C" w:rsidRPr="000C6B3C" w:rsidRDefault="000C6B3C" w:rsidP="008E51E4">
      <w:pPr>
        <w:numPr>
          <w:ilvl w:val="0"/>
          <w:numId w:val="173"/>
        </w:numPr>
        <w:spacing w:after="12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 xml:space="preserve">Incompliment de la condició prevista en l'acord i inactivitat de l'administració. </w:t>
      </w:r>
    </w:p>
    <w:p w14:paraId="4F39E25B" w14:textId="77777777" w:rsidR="000C6B3C" w:rsidRPr="000C6B3C" w:rsidRDefault="000C6B3C" w:rsidP="000C6B3C">
      <w:pPr>
        <w:spacing w:after="120" w:line="276" w:lineRule="auto"/>
        <w:ind w:left="709"/>
        <w:jc w:val="both"/>
        <w:rPr>
          <w:rFonts w:ascii="Arial" w:eastAsia="Times New Roman" w:hAnsi="Arial" w:cs="Arial"/>
          <w:color w:val="000000"/>
          <w:sz w:val="21"/>
          <w:szCs w:val="21"/>
        </w:rPr>
      </w:pPr>
      <w:r w:rsidRPr="000C6B3C">
        <w:rPr>
          <w:rFonts w:ascii="Arial" w:eastAsia="Times New Roman" w:hAnsi="Arial" w:cs="Arial"/>
          <w:color w:val="000000"/>
          <w:sz w:val="21"/>
          <w:szCs w:val="21"/>
        </w:rPr>
        <w:t xml:space="preserve">Queda acreditat l'incompliment dels terminis per a executar les obres de construcció d'aules i dependències del Col·legi St. Domingo, per a possibilitar la disponibilitat d'espais per a activitats d'extensió universitària. </w:t>
      </w:r>
    </w:p>
    <w:p w14:paraId="7AADA50E" w14:textId="77777777" w:rsidR="000C6B3C" w:rsidRPr="000C6B3C" w:rsidRDefault="000C6B3C" w:rsidP="000C6B3C">
      <w:pPr>
        <w:spacing w:after="240" w:line="276" w:lineRule="auto"/>
        <w:ind w:left="709"/>
        <w:jc w:val="both"/>
        <w:rPr>
          <w:rFonts w:ascii="Arial" w:eastAsia="Times New Roman" w:hAnsi="Arial" w:cs="Arial"/>
          <w:color w:val="000000"/>
          <w:sz w:val="21"/>
          <w:szCs w:val="21"/>
        </w:rPr>
      </w:pPr>
      <w:r w:rsidRPr="000C6B3C">
        <w:rPr>
          <w:rFonts w:ascii="Arial" w:eastAsia="Times New Roman" w:hAnsi="Arial" w:cs="Arial"/>
          <w:color w:val="000000"/>
          <w:sz w:val="21"/>
          <w:szCs w:val="21"/>
        </w:rPr>
        <w:t xml:space="preserve">El Col·legi Diocesà Santo Domingo està utilitzant, des de més de 16 anys, els solars municipals sense haver complit la condició prevista en l'acord de cessió. </w:t>
      </w:r>
    </w:p>
    <w:p w14:paraId="72A20EC8"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Resultat</w:t>
      </w:r>
      <w:r w:rsidRPr="000C6B3C">
        <w:rPr>
          <w:rFonts w:ascii="Arial" w:eastAsia="Times New Roman" w:hAnsi="Arial" w:cs="Arial"/>
          <w:color w:val="000000"/>
          <w:sz w:val="21"/>
          <w:szCs w:val="21"/>
        </w:rPr>
        <w:t>: Es finalitza l'expedient amb la recomanació a l'Ajuntament d'Orihuela de que realitzen les actuacions que siguen necessàries d'acord amb la normativa vigent per a procedir a la recuperació de la possessió dels béns municipals ubicats en l'Av. Doctor García Rogel, núm. 3.</w:t>
      </w:r>
    </w:p>
    <w:p w14:paraId="05E9E7FA" w14:textId="18AC29D6" w:rsidR="0061495F"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 xml:space="preserve"> </w:t>
      </w:r>
      <w:r w:rsidRPr="000C6B3C">
        <w:rPr>
          <w:rFonts w:ascii="Arial" w:eastAsia="Times New Roman" w:hAnsi="Arial" w:cs="Arial"/>
          <w:b/>
          <w:bCs/>
          <w:color w:val="000000"/>
          <w:sz w:val="21"/>
          <w:szCs w:val="21"/>
        </w:rPr>
        <w:t>Fase de seguiment:</w:t>
      </w:r>
      <w:r w:rsidRPr="000C6B3C">
        <w:rPr>
          <w:rFonts w:ascii="Arial" w:eastAsia="Times New Roman" w:hAnsi="Arial" w:cs="Arial"/>
          <w:color w:val="000000"/>
          <w:sz w:val="21"/>
          <w:szCs w:val="21"/>
        </w:rPr>
        <w:t xml:space="preserve"> En tràmit.</w:t>
      </w:r>
    </w:p>
    <w:p w14:paraId="1FCDAC3E" w14:textId="6761C42B" w:rsidR="009F6C66" w:rsidRDefault="009F6C66" w:rsidP="000C6B3C">
      <w:pPr>
        <w:spacing w:after="240" w:line="276" w:lineRule="auto"/>
        <w:jc w:val="both"/>
        <w:rPr>
          <w:rFonts w:ascii="Arial" w:eastAsia="Times New Roman" w:hAnsi="Arial" w:cs="Arial"/>
          <w:color w:val="000000"/>
          <w:sz w:val="21"/>
          <w:szCs w:val="21"/>
        </w:rPr>
      </w:pPr>
    </w:p>
    <w:p w14:paraId="2CAF8562" w14:textId="6BFDA8EC" w:rsidR="009F6C66" w:rsidRDefault="009F6C66" w:rsidP="000C6B3C">
      <w:pPr>
        <w:spacing w:after="240" w:line="276" w:lineRule="auto"/>
        <w:jc w:val="both"/>
        <w:rPr>
          <w:rFonts w:ascii="Arial" w:eastAsia="Times New Roman" w:hAnsi="Arial" w:cs="Arial"/>
          <w:color w:val="000000"/>
          <w:sz w:val="21"/>
          <w:szCs w:val="21"/>
        </w:rPr>
      </w:pPr>
    </w:p>
    <w:p w14:paraId="7D464E42" w14:textId="77777777" w:rsidR="009F6C66" w:rsidRDefault="009F6C66" w:rsidP="000C6B3C">
      <w:pPr>
        <w:spacing w:after="240" w:line="276" w:lineRule="auto"/>
        <w:jc w:val="both"/>
        <w:rPr>
          <w:rFonts w:ascii="Arial" w:eastAsia="Times New Roman" w:hAnsi="Arial" w:cs="Arial"/>
          <w:color w:val="000000"/>
          <w:sz w:val="21"/>
          <w:szCs w:val="21"/>
        </w:rPr>
      </w:pPr>
    </w:p>
    <w:p w14:paraId="25E63BD9" w14:textId="77777777" w:rsidR="000C6B3C" w:rsidRPr="000C6B3C" w:rsidRDefault="000C6B3C" w:rsidP="000C6B3C">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32" w:name="_Toc95209119"/>
      <w:bookmarkStart w:id="333" w:name="_Toc95913911"/>
      <w:bookmarkStart w:id="334" w:name="_Toc99110794"/>
      <w:r w:rsidRPr="000C6B3C">
        <w:rPr>
          <w:rFonts w:ascii="Arial" w:eastAsia="Times New Roman" w:hAnsi="Arial" w:cs="Arial"/>
          <w:b/>
          <w:color w:val="9D2235"/>
          <w:sz w:val="28"/>
          <w:szCs w:val="28"/>
        </w:rPr>
        <w:t>Denominació: Ajuntament de Chiva. Utilització sense títol del teatre municipal Astoria.</w:t>
      </w:r>
      <w:bookmarkEnd w:id="332"/>
      <w:bookmarkEnd w:id="333"/>
      <w:bookmarkEnd w:id="334"/>
    </w:p>
    <w:p w14:paraId="0C92BBD7" w14:textId="77777777" w:rsidR="000C6B3C" w:rsidRPr="000C6B3C" w:rsidRDefault="000C6B3C" w:rsidP="00B61D27">
      <w:pPr>
        <w:spacing w:after="12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Expedient</w:t>
      </w:r>
      <w:r w:rsidRPr="000C6B3C">
        <w:rPr>
          <w:rFonts w:ascii="Arial" w:eastAsia="Times New Roman" w:hAnsi="Arial" w:cs="Arial"/>
          <w:color w:val="000000"/>
          <w:sz w:val="21"/>
          <w:szCs w:val="21"/>
        </w:rPr>
        <w:t>: 2020/G01_01/000070</w:t>
      </w:r>
    </w:p>
    <w:p w14:paraId="79A67722" w14:textId="77777777" w:rsidR="000C6B3C" w:rsidRPr="000C6B3C" w:rsidRDefault="000C6B3C" w:rsidP="000C6B3C">
      <w:pPr>
        <w:spacing w:after="240" w:line="276" w:lineRule="auto"/>
        <w:rPr>
          <w:rFonts w:ascii="Arial" w:eastAsia="Times New Roman" w:hAnsi="Arial" w:cs="Arial"/>
          <w:sz w:val="21"/>
          <w:szCs w:val="21"/>
          <w:lang w:eastAsia="es-ES"/>
        </w:rPr>
      </w:pPr>
      <w:r w:rsidRPr="000C6B3C">
        <w:rPr>
          <w:rFonts w:ascii="Arial" w:eastAsia="Times New Roman" w:hAnsi="Arial" w:cs="Arial"/>
          <w:b/>
          <w:bCs/>
          <w:sz w:val="21"/>
          <w:szCs w:val="21"/>
        </w:rPr>
        <w:t>Enllaç a la publicació:</w:t>
      </w:r>
      <w:r w:rsidRPr="000C6B3C">
        <w:rPr>
          <w:rFonts w:ascii="Arial" w:eastAsia="Times New Roman" w:hAnsi="Arial" w:cs="Arial"/>
          <w:b/>
          <w:bCs/>
          <w:sz w:val="21"/>
          <w:szCs w:val="21"/>
        </w:rPr>
        <w:br/>
      </w:r>
      <w:hyperlink r:id="rId491" w:history="1">
        <w:r w:rsidRPr="000C6B3C">
          <w:rPr>
            <w:rFonts w:ascii="Arial" w:eastAsia="Times New Roman" w:hAnsi="Arial" w:cs="Arial"/>
            <w:color w:val="000080"/>
            <w:sz w:val="18"/>
            <w:szCs w:val="18"/>
            <w:u w:val="single"/>
            <w:lang w:eastAsia="es-ES"/>
          </w:rPr>
          <w:t>https://www.antifraucv.es/wp-content/uploads/2022/01/20211229-AJUNTAMENT-DE-CHIVA.pdf</w:t>
        </w:r>
      </w:hyperlink>
    </w:p>
    <w:p w14:paraId="60CD92F1" w14:textId="77777777" w:rsidR="000C6B3C" w:rsidRPr="000C6B3C" w:rsidRDefault="000C6B3C" w:rsidP="000C6B3C">
      <w:pPr>
        <w:spacing w:after="24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Descripció</w:t>
      </w:r>
      <w:r w:rsidRPr="000C6B3C">
        <w:rPr>
          <w:rFonts w:ascii="Arial" w:eastAsia="Times New Roman" w:hAnsi="Arial" w:cs="Arial"/>
          <w:color w:val="000000"/>
          <w:sz w:val="21"/>
          <w:szCs w:val="21"/>
        </w:rPr>
        <w:t>: Es denuncia en particular, que una mercantil està utilitzant el cine teatre municipal Astoria de Chiva, sense que existisca un títol habilitant, ni un procediment administratiu de cessió d'ús per mitjà d'una autorització o concessió de béns de domini públic, o contracte administratiu formalitzat.</w:t>
      </w:r>
    </w:p>
    <w:p w14:paraId="498B0FC7" w14:textId="77777777" w:rsidR="000C6B3C" w:rsidRPr="000C6B3C" w:rsidRDefault="000C6B3C" w:rsidP="00B61D27">
      <w:pPr>
        <w:spacing w:after="12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De l'estudi detallat de la documentació que consta en l'Expedient i l'obtinguda en fonts obertes es va constatar que:</w:t>
      </w:r>
    </w:p>
    <w:p w14:paraId="76E9122B" w14:textId="77777777" w:rsidR="000C6B3C" w:rsidRPr="000C6B3C" w:rsidRDefault="000C6B3C" w:rsidP="008E51E4">
      <w:pPr>
        <w:numPr>
          <w:ilvl w:val="0"/>
          <w:numId w:val="174"/>
        </w:numPr>
        <w:spacing w:after="120" w:line="276" w:lineRule="auto"/>
        <w:ind w:left="714" w:hanging="357"/>
        <w:jc w:val="both"/>
        <w:rPr>
          <w:rFonts w:ascii="Arial" w:eastAsia="Times New Roman" w:hAnsi="Arial" w:cs="Arial"/>
          <w:color w:val="000000"/>
          <w:sz w:val="21"/>
          <w:szCs w:val="21"/>
        </w:rPr>
      </w:pPr>
      <w:r w:rsidRPr="000C6B3C">
        <w:rPr>
          <w:rFonts w:ascii="Arial" w:eastAsia="Times New Roman" w:hAnsi="Arial" w:cs="Arial"/>
          <w:color w:val="000000"/>
          <w:sz w:val="21"/>
          <w:szCs w:val="21"/>
        </w:rPr>
        <w:t>Que des de 2014 l'empresa presta el servici de projecció cinematogràfica en el cine-teatre Astoria, un edifici de titularitat municipal, sense cobertura jurídica formalitzada per a això.</w:t>
      </w:r>
    </w:p>
    <w:p w14:paraId="666AE365" w14:textId="77777777" w:rsidR="000C6B3C" w:rsidRPr="000C6B3C" w:rsidRDefault="000C6B3C" w:rsidP="008E51E4">
      <w:pPr>
        <w:numPr>
          <w:ilvl w:val="0"/>
          <w:numId w:val="174"/>
        </w:numPr>
        <w:spacing w:after="120" w:line="276" w:lineRule="auto"/>
        <w:ind w:left="714" w:hanging="357"/>
        <w:jc w:val="both"/>
        <w:rPr>
          <w:rFonts w:ascii="Arial" w:eastAsia="Times New Roman" w:hAnsi="Arial" w:cs="Arial"/>
          <w:color w:val="000000"/>
          <w:sz w:val="21"/>
          <w:szCs w:val="21"/>
        </w:rPr>
      </w:pPr>
      <w:r w:rsidRPr="000C6B3C">
        <w:rPr>
          <w:rFonts w:ascii="Arial" w:eastAsia="Times New Roman" w:hAnsi="Arial" w:cs="Arial"/>
          <w:color w:val="000000"/>
          <w:sz w:val="21"/>
          <w:szCs w:val="21"/>
        </w:rPr>
        <w:t>Que pel dit servici l'empresa no abona cap tipus de contraprestació a l'Ajuntament. D'altra banda, els usuaris del servici abonen a l'empresa les tarifes corresponents per la utilització del servici.</w:t>
      </w:r>
    </w:p>
    <w:p w14:paraId="2DA28990" w14:textId="77777777" w:rsidR="000C6B3C" w:rsidRPr="000C6B3C" w:rsidRDefault="000C6B3C" w:rsidP="008E51E4">
      <w:pPr>
        <w:numPr>
          <w:ilvl w:val="0"/>
          <w:numId w:val="174"/>
        </w:numPr>
        <w:spacing w:after="120" w:line="276" w:lineRule="auto"/>
        <w:ind w:left="714" w:hanging="357"/>
        <w:jc w:val="both"/>
        <w:rPr>
          <w:rFonts w:ascii="Arial" w:eastAsia="Times New Roman" w:hAnsi="Arial" w:cs="Arial"/>
          <w:color w:val="000000"/>
          <w:sz w:val="21"/>
          <w:szCs w:val="21"/>
        </w:rPr>
      </w:pPr>
      <w:r w:rsidRPr="000C6B3C">
        <w:rPr>
          <w:rFonts w:ascii="Arial" w:eastAsia="Times New Roman" w:hAnsi="Arial" w:cs="Arial"/>
          <w:color w:val="000000"/>
          <w:sz w:val="21"/>
          <w:szCs w:val="21"/>
        </w:rPr>
        <w:t>La prestació del servici en un edifici de titularitat municipal no està suportada en cap procediment administratiu, ja siga de contractació, ja siga de caràcter patrimonial.</w:t>
      </w:r>
    </w:p>
    <w:p w14:paraId="4F84140E" w14:textId="77777777" w:rsidR="000C6B3C" w:rsidRPr="000C6B3C" w:rsidRDefault="000C6B3C" w:rsidP="008E51E4">
      <w:pPr>
        <w:numPr>
          <w:ilvl w:val="0"/>
          <w:numId w:val="174"/>
        </w:numPr>
        <w:spacing w:after="120" w:line="276" w:lineRule="auto"/>
        <w:ind w:left="714" w:hanging="357"/>
        <w:jc w:val="both"/>
        <w:rPr>
          <w:rFonts w:ascii="Arial" w:eastAsia="Times New Roman" w:hAnsi="Arial" w:cs="Arial"/>
          <w:color w:val="000000"/>
          <w:sz w:val="21"/>
          <w:szCs w:val="21"/>
        </w:rPr>
      </w:pPr>
      <w:r w:rsidRPr="000C6B3C">
        <w:rPr>
          <w:rFonts w:ascii="Arial" w:eastAsia="Times New Roman" w:hAnsi="Arial" w:cs="Arial"/>
          <w:color w:val="000000"/>
          <w:sz w:val="21"/>
          <w:szCs w:val="21"/>
        </w:rPr>
        <w:t>Si bé la mercantil assumix el risc operacional, no ho assumix en la seua integritat, al costejar l'Ajuntament les despeses de neteja, manteniment i conservació.</w:t>
      </w:r>
    </w:p>
    <w:p w14:paraId="19024683" w14:textId="77777777" w:rsidR="000C6B3C" w:rsidRPr="000C6B3C" w:rsidRDefault="000C6B3C" w:rsidP="008E51E4">
      <w:pPr>
        <w:numPr>
          <w:ilvl w:val="0"/>
          <w:numId w:val="174"/>
        </w:numPr>
        <w:spacing w:after="120" w:line="276" w:lineRule="auto"/>
        <w:ind w:left="714" w:hanging="357"/>
        <w:jc w:val="both"/>
        <w:rPr>
          <w:rFonts w:ascii="Arial" w:eastAsia="Times New Roman" w:hAnsi="Arial" w:cs="Arial"/>
          <w:color w:val="000000"/>
          <w:sz w:val="21"/>
          <w:szCs w:val="21"/>
        </w:rPr>
      </w:pPr>
      <w:r w:rsidRPr="000C6B3C">
        <w:rPr>
          <w:rFonts w:ascii="Arial" w:eastAsia="Times New Roman" w:hAnsi="Arial" w:cs="Arial"/>
          <w:color w:val="000000"/>
          <w:sz w:val="21"/>
          <w:szCs w:val="21"/>
        </w:rPr>
        <w:t xml:space="preserve">En els fets investigats es donen tots els caràcters necessaris per a considerar que s'està realitzant </w:t>
      </w:r>
      <w:r w:rsidRPr="000C6B3C">
        <w:rPr>
          <w:rFonts w:ascii="Arial" w:eastAsia="Times New Roman" w:hAnsi="Arial" w:cs="Arial"/>
          <w:i/>
          <w:iCs/>
          <w:color w:val="000000"/>
          <w:sz w:val="21"/>
          <w:szCs w:val="21"/>
        </w:rPr>
        <w:t>de facto</w:t>
      </w:r>
      <w:r w:rsidRPr="000C6B3C">
        <w:rPr>
          <w:rFonts w:ascii="Arial" w:eastAsia="Times New Roman" w:hAnsi="Arial" w:cs="Arial"/>
          <w:color w:val="000000"/>
          <w:sz w:val="21"/>
          <w:szCs w:val="21"/>
        </w:rPr>
        <w:t xml:space="preserve"> una concessió de servicis.</w:t>
      </w:r>
    </w:p>
    <w:p w14:paraId="0757D8E0" w14:textId="77777777" w:rsidR="000C6B3C" w:rsidRPr="000C6B3C" w:rsidRDefault="000C6B3C" w:rsidP="008E51E4">
      <w:pPr>
        <w:numPr>
          <w:ilvl w:val="0"/>
          <w:numId w:val="174"/>
        </w:numPr>
        <w:spacing w:after="240" w:line="276" w:lineRule="auto"/>
        <w:jc w:val="both"/>
        <w:rPr>
          <w:rFonts w:ascii="Arial" w:eastAsia="Times New Roman" w:hAnsi="Arial" w:cs="Arial"/>
          <w:color w:val="000000"/>
          <w:sz w:val="21"/>
          <w:szCs w:val="21"/>
        </w:rPr>
      </w:pPr>
      <w:r w:rsidRPr="000C6B3C">
        <w:rPr>
          <w:rFonts w:ascii="Arial" w:eastAsia="Times New Roman" w:hAnsi="Arial" w:cs="Arial"/>
          <w:color w:val="000000"/>
          <w:sz w:val="21"/>
          <w:szCs w:val="21"/>
        </w:rPr>
        <w:t>No obstant això, l'anterior, l'Ajuntament ha iniciat tràmits per a poder adjudicar el servici de projeccions cinematogràfiques a realitzar en el cine-teatre municipal Astoria, enquadrant-ho com a contracte de servicis i no de concessió de servici, sense que conste que l'esmentat contracte haja sigut adjudicat a data actual.</w:t>
      </w:r>
    </w:p>
    <w:p w14:paraId="5027AF37" w14:textId="77777777" w:rsidR="000C6B3C" w:rsidRPr="000C6B3C" w:rsidRDefault="000C6B3C" w:rsidP="00B61D27">
      <w:pPr>
        <w:spacing w:after="120" w:line="276" w:lineRule="auto"/>
        <w:jc w:val="both"/>
        <w:rPr>
          <w:rFonts w:ascii="Arial" w:eastAsia="Times New Roman" w:hAnsi="Arial" w:cs="Arial"/>
          <w:color w:val="000000"/>
          <w:sz w:val="21"/>
          <w:szCs w:val="21"/>
        </w:rPr>
      </w:pPr>
      <w:r w:rsidRPr="000C6B3C">
        <w:rPr>
          <w:rFonts w:ascii="Arial" w:eastAsia="Times New Roman" w:hAnsi="Arial" w:cs="Arial"/>
          <w:b/>
          <w:bCs/>
          <w:color w:val="000000"/>
          <w:sz w:val="21"/>
          <w:szCs w:val="21"/>
        </w:rPr>
        <w:t>Resultat</w:t>
      </w:r>
      <w:r w:rsidRPr="000C6B3C">
        <w:rPr>
          <w:rFonts w:ascii="Arial" w:eastAsia="Times New Roman" w:hAnsi="Arial" w:cs="Arial"/>
          <w:color w:val="000000"/>
          <w:sz w:val="21"/>
          <w:szCs w:val="21"/>
        </w:rPr>
        <w:t>: Es finalitza l’expedient amb les següents recomanacions:</w:t>
      </w:r>
    </w:p>
    <w:p w14:paraId="1D79A068" w14:textId="77777777" w:rsidR="000C6B3C" w:rsidRPr="000C6B3C" w:rsidRDefault="000C6B3C" w:rsidP="008E51E4">
      <w:pPr>
        <w:numPr>
          <w:ilvl w:val="0"/>
          <w:numId w:val="175"/>
        </w:numPr>
        <w:spacing w:after="120" w:line="276" w:lineRule="auto"/>
        <w:ind w:left="709" w:hanging="357"/>
        <w:jc w:val="both"/>
        <w:rPr>
          <w:rFonts w:ascii="Arial" w:eastAsia="Times New Roman" w:hAnsi="Arial" w:cs="Arial"/>
          <w:color w:val="000000"/>
          <w:sz w:val="21"/>
          <w:szCs w:val="21"/>
        </w:rPr>
      </w:pPr>
      <w:r w:rsidRPr="000C6B3C">
        <w:rPr>
          <w:rFonts w:ascii="Arial" w:eastAsia="Times New Roman" w:hAnsi="Arial" w:cs="Arial"/>
          <w:color w:val="000000"/>
          <w:sz w:val="21"/>
          <w:szCs w:val="21"/>
        </w:rPr>
        <w:t>Es procedisca a adoptar la mesures necessàries per a regularitzar la situació jurídica de la prestació del servici de cine municipal en el cine-teatre Astoria de Chiva per part d'una empresa, que es troba sense títol habilitant que done cobertura jurídica a la prestació, ja siga realitzant i finalitzant la licitació pública amb l'adjudicació a l'oferta més avantatjosa, ja siga adoptant la decisions de gestió que garantisquen la terminació de l'actual situació de prestació del servici sense cobertura contractual.</w:t>
      </w:r>
    </w:p>
    <w:p w14:paraId="5E0B7DF0" w14:textId="77777777" w:rsidR="000C6B3C" w:rsidRPr="000C6B3C" w:rsidRDefault="000C6B3C" w:rsidP="008E51E4">
      <w:pPr>
        <w:numPr>
          <w:ilvl w:val="0"/>
          <w:numId w:val="175"/>
        </w:numPr>
        <w:spacing w:after="240" w:line="276" w:lineRule="auto"/>
        <w:ind w:left="709"/>
        <w:jc w:val="both"/>
        <w:rPr>
          <w:rFonts w:ascii="Arial" w:eastAsia="Times New Roman" w:hAnsi="Arial" w:cs="Arial"/>
          <w:color w:val="000000"/>
          <w:sz w:val="21"/>
          <w:szCs w:val="21"/>
        </w:rPr>
      </w:pPr>
      <w:r w:rsidRPr="000C6B3C">
        <w:rPr>
          <w:rFonts w:ascii="Arial" w:eastAsia="Times New Roman" w:hAnsi="Arial" w:cs="Arial"/>
          <w:color w:val="000000"/>
          <w:sz w:val="21"/>
          <w:szCs w:val="21"/>
        </w:rPr>
        <w:t>Que realitzen les actuacions administratives que resulten procedents, amb vista a valorar l'existència de possibles responsabilitats administratives, per part de càrrecs electes y/o empleats municipals, derivades de la utilització continuada del cine-teatre Astoria de Chiva per part d'una empresa sense títol habilitant des de 2014.</w:t>
      </w:r>
    </w:p>
    <w:p w14:paraId="79EB36F4" w14:textId="22ADE81F" w:rsidR="000C6B3C" w:rsidRDefault="000C6B3C" w:rsidP="000C6B3C">
      <w:pPr>
        <w:spacing w:after="240" w:line="276" w:lineRule="auto"/>
        <w:jc w:val="both"/>
        <w:rPr>
          <w:rFonts w:ascii="Arial" w:eastAsia="Times New Roman" w:hAnsi="Arial" w:cs="Arial"/>
          <w:color w:val="000000"/>
          <w:sz w:val="21"/>
          <w:szCs w:val="21"/>
          <w:lang w:val="ca-ES"/>
        </w:rPr>
      </w:pPr>
      <w:r w:rsidRPr="000C6B3C">
        <w:rPr>
          <w:rFonts w:ascii="Arial" w:eastAsia="Times New Roman" w:hAnsi="Arial" w:cs="Arial"/>
          <w:b/>
          <w:bCs/>
          <w:color w:val="000000"/>
          <w:sz w:val="21"/>
          <w:szCs w:val="21"/>
        </w:rPr>
        <w:t>Fase de seguiment:</w:t>
      </w:r>
      <w:r w:rsidRPr="000C6B3C">
        <w:rPr>
          <w:rFonts w:ascii="Arial" w:eastAsia="Times New Roman" w:hAnsi="Arial" w:cs="Arial"/>
          <w:color w:val="000000"/>
          <w:sz w:val="21"/>
          <w:szCs w:val="21"/>
        </w:rPr>
        <w:t xml:space="preserve"> En tràmit.</w:t>
      </w:r>
      <w:r w:rsidRPr="000C6B3C">
        <w:rPr>
          <w:rFonts w:ascii="Arial" w:eastAsia="Times New Roman" w:hAnsi="Arial" w:cs="Arial"/>
          <w:color w:val="000000"/>
          <w:sz w:val="21"/>
          <w:szCs w:val="21"/>
          <w:lang w:val="ca-ES"/>
        </w:rPr>
        <w:t xml:space="preserve"> </w:t>
      </w:r>
    </w:p>
    <w:p w14:paraId="01FE9E6C" w14:textId="77777777" w:rsidR="009E1263" w:rsidRPr="009E1263" w:rsidRDefault="009E1263" w:rsidP="009E126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35" w:name="_Toc99110795"/>
      <w:r w:rsidRPr="009E1263">
        <w:rPr>
          <w:rFonts w:ascii="Arial" w:eastAsia="Times New Roman" w:hAnsi="Arial" w:cs="Arial"/>
          <w:b/>
          <w:color w:val="9D2235"/>
          <w:sz w:val="28"/>
          <w:szCs w:val="28"/>
        </w:rPr>
        <w:t>Denominació: Ajuntament de Turís. Irregularitats accés ocupació pública</w:t>
      </w:r>
      <w:bookmarkEnd w:id="335"/>
      <w:r w:rsidRPr="009E1263">
        <w:rPr>
          <w:rFonts w:ascii="Arial" w:eastAsia="Times New Roman" w:hAnsi="Arial" w:cs="Arial"/>
          <w:b/>
          <w:color w:val="9D2235"/>
          <w:sz w:val="28"/>
          <w:szCs w:val="28"/>
        </w:rPr>
        <w:t xml:space="preserve"> </w:t>
      </w:r>
    </w:p>
    <w:p w14:paraId="20103A7A" w14:textId="77777777" w:rsidR="009E1263" w:rsidRPr="009E1263" w:rsidRDefault="009E1263" w:rsidP="005272C3">
      <w:pPr>
        <w:spacing w:after="240" w:line="276" w:lineRule="auto"/>
        <w:jc w:val="both"/>
        <w:rPr>
          <w:rFonts w:ascii="Arial" w:eastAsia="Times New Roman" w:hAnsi="Arial" w:cs="Arial"/>
          <w:color w:val="000000"/>
          <w:sz w:val="21"/>
          <w:szCs w:val="21"/>
        </w:rPr>
      </w:pPr>
      <w:r w:rsidRPr="009E1263">
        <w:rPr>
          <w:rFonts w:ascii="Arial" w:eastAsia="Times New Roman" w:hAnsi="Arial" w:cs="Arial"/>
          <w:b/>
          <w:bCs/>
          <w:color w:val="000000"/>
          <w:sz w:val="21"/>
          <w:szCs w:val="21"/>
        </w:rPr>
        <w:t>Expedient</w:t>
      </w:r>
      <w:r w:rsidRPr="009E1263">
        <w:rPr>
          <w:rFonts w:ascii="Arial" w:eastAsia="Times New Roman" w:hAnsi="Arial" w:cs="Arial"/>
          <w:color w:val="000000"/>
          <w:sz w:val="21"/>
          <w:szCs w:val="21"/>
        </w:rPr>
        <w:t>: 2020/G01_02/000017</w:t>
      </w:r>
    </w:p>
    <w:p w14:paraId="56332913" w14:textId="77777777" w:rsidR="009E1263" w:rsidRPr="009E1263" w:rsidRDefault="009E1263" w:rsidP="009E1263">
      <w:pPr>
        <w:spacing w:after="240" w:line="276" w:lineRule="auto"/>
        <w:rPr>
          <w:rFonts w:ascii="Arial" w:eastAsia="Times New Roman" w:hAnsi="Arial" w:cs="Arial"/>
          <w:sz w:val="21"/>
          <w:szCs w:val="21"/>
          <w:lang w:eastAsia="es-ES"/>
        </w:rPr>
      </w:pPr>
      <w:r w:rsidRPr="009E1263">
        <w:rPr>
          <w:rFonts w:ascii="Arial" w:eastAsia="Times New Roman" w:hAnsi="Arial" w:cs="Arial"/>
          <w:b/>
          <w:bCs/>
          <w:sz w:val="21"/>
          <w:szCs w:val="21"/>
        </w:rPr>
        <w:t>Enllaç a la publicació:</w:t>
      </w:r>
      <w:r w:rsidRPr="009E1263">
        <w:rPr>
          <w:rFonts w:ascii="Arial" w:eastAsia="Times New Roman" w:hAnsi="Arial" w:cs="Arial"/>
          <w:b/>
          <w:bCs/>
          <w:sz w:val="21"/>
          <w:szCs w:val="21"/>
        </w:rPr>
        <w:br/>
      </w:r>
      <w:hyperlink r:id="rId492" w:history="1">
        <w:r w:rsidRPr="009E1263">
          <w:rPr>
            <w:rFonts w:ascii="Arial" w:eastAsia="Times New Roman" w:hAnsi="Arial" w:cs="Arial"/>
            <w:color w:val="000080"/>
            <w:sz w:val="18"/>
            <w:szCs w:val="18"/>
            <w:u w:val="single"/>
            <w:lang w:eastAsia="es-ES"/>
          </w:rPr>
          <w:t>https://www.antifraucv.es/wp-content/uploads/2022/01/20211231-AJUNTAMENT-DE-TURIS.pdf</w:t>
        </w:r>
      </w:hyperlink>
    </w:p>
    <w:p w14:paraId="7DD3818C" w14:textId="77777777" w:rsidR="009E1263" w:rsidRPr="009E1263" w:rsidRDefault="009E1263" w:rsidP="009E1263">
      <w:pPr>
        <w:spacing w:after="240" w:line="276" w:lineRule="auto"/>
        <w:jc w:val="both"/>
        <w:rPr>
          <w:rFonts w:ascii="Arial" w:eastAsia="Times New Roman" w:hAnsi="Arial" w:cs="Arial"/>
          <w:color w:val="000000"/>
          <w:sz w:val="21"/>
          <w:szCs w:val="21"/>
        </w:rPr>
      </w:pPr>
      <w:r w:rsidRPr="009E1263">
        <w:rPr>
          <w:rFonts w:ascii="Arial" w:eastAsia="Times New Roman" w:hAnsi="Arial" w:cs="Arial"/>
          <w:b/>
          <w:bCs/>
          <w:color w:val="000000"/>
          <w:sz w:val="21"/>
          <w:szCs w:val="21"/>
        </w:rPr>
        <w:t>Descripció</w:t>
      </w:r>
      <w:r w:rsidRPr="009E1263">
        <w:rPr>
          <w:rFonts w:ascii="Arial" w:eastAsia="Times New Roman" w:hAnsi="Arial" w:cs="Arial"/>
          <w:color w:val="000000"/>
          <w:sz w:val="21"/>
          <w:szCs w:val="21"/>
        </w:rPr>
        <w:t xml:space="preserve">: Es denuncia la possible existència de conductes contràries a la normativa vigent en matèria d'accés a l'ocupació pública, succeïdes en l'Ajuntament de Turís. </w:t>
      </w:r>
    </w:p>
    <w:p w14:paraId="361DC8ED" w14:textId="77777777" w:rsidR="009E1263" w:rsidRPr="009E1263" w:rsidRDefault="009E1263" w:rsidP="009E1263">
      <w:pPr>
        <w:spacing w:after="240" w:line="276" w:lineRule="auto"/>
        <w:jc w:val="both"/>
        <w:rPr>
          <w:rFonts w:ascii="Arial" w:eastAsia="Times New Roman" w:hAnsi="Arial" w:cs="Arial"/>
          <w:color w:val="000000"/>
          <w:sz w:val="21"/>
          <w:szCs w:val="21"/>
        </w:rPr>
      </w:pPr>
      <w:r w:rsidRPr="009E1263">
        <w:rPr>
          <w:rFonts w:ascii="Arial" w:eastAsia="Times New Roman" w:hAnsi="Arial" w:cs="Arial"/>
          <w:color w:val="000000"/>
          <w:sz w:val="21"/>
          <w:szCs w:val="21"/>
        </w:rPr>
        <w:t>S'ha verificat en la fase d'investigació que:</w:t>
      </w:r>
    </w:p>
    <w:p w14:paraId="2FB209AF" w14:textId="77777777" w:rsidR="009E1263" w:rsidRPr="009E1263" w:rsidRDefault="009E1263" w:rsidP="008E51E4">
      <w:pPr>
        <w:numPr>
          <w:ilvl w:val="0"/>
          <w:numId w:val="176"/>
        </w:numPr>
        <w:spacing w:after="120" w:line="276" w:lineRule="auto"/>
        <w:jc w:val="both"/>
        <w:rPr>
          <w:rFonts w:ascii="Arial" w:eastAsia="Times New Roman" w:hAnsi="Arial" w:cs="Arial"/>
          <w:color w:val="000000"/>
          <w:sz w:val="21"/>
          <w:szCs w:val="21"/>
        </w:rPr>
      </w:pPr>
      <w:r w:rsidRPr="009E1263">
        <w:rPr>
          <w:rFonts w:ascii="Arial" w:eastAsia="Times New Roman" w:hAnsi="Arial" w:cs="Arial"/>
          <w:color w:val="000000"/>
          <w:sz w:val="21"/>
          <w:szCs w:val="21"/>
        </w:rPr>
        <w:t>Mitjançant una resolució de l'alcaldia de 4/01/10, es va procedir a contractar un advocat per al lloc d'Assessor jurídic i urbanístic, per mitjà de contracte laboral, pel servici determinat de tramitació de l'Expedient del PGOU fins a l'aprovació definitiva, a jornada completa (35 hores) de dilluns a divendres, en horari de 8 a 15 hores.</w:t>
      </w:r>
    </w:p>
    <w:p w14:paraId="5C2A5364" w14:textId="77777777" w:rsidR="009E1263" w:rsidRPr="009E1263" w:rsidRDefault="009E1263" w:rsidP="009E1263">
      <w:pPr>
        <w:spacing w:after="120" w:line="276" w:lineRule="auto"/>
        <w:ind w:left="709"/>
        <w:jc w:val="both"/>
        <w:rPr>
          <w:rFonts w:ascii="Arial" w:eastAsia="Times New Roman" w:hAnsi="Arial" w:cs="Arial"/>
          <w:color w:val="000000"/>
          <w:sz w:val="21"/>
          <w:szCs w:val="21"/>
        </w:rPr>
      </w:pPr>
      <w:r w:rsidRPr="009E1263">
        <w:rPr>
          <w:rFonts w:ascii="Arial" w:eastAsia="Times New Roman" w:hAnsi="Arial" w:cs="Arial"/>
          <w:color w:val="000000"/>
          <w:sz w:val="21"/>
          <w:szCs w:val="21"/>
        </w:rPr>
        <w:t>En la dita resolució, s'indica que, a més, realitzarà funcions d'assessorament en matèries jurídic i urbanístiques i assistència en juís en defensa, rebent les retribucions assignades al dit lloc de treball en el capítol 1 del Pressupost General municipal. Segons l'esmentada resolució, el contracte quedaria extingit en el moment en què s'haguera finalitzat el servici per al que va ser contractat, és a dir, amb l'aprovació definitiva del PGOU de Turís. No consta que dit PGOU estiga aprovat.</w:t>
      </w:r>
    </w:p>
    <w:p w14:paraId="5ECE14D8" w14:textId="77777777" w:rsidR="009E1263" w:rsidRPr="009E1263" w:rsidRDefault="009E1263" w:rsidP="009E1263">
      <w:pPr>
        <w:spacing w:after="120" w:line="276" w:lineRule="auto"/>
        <w:ind w:left="709"/>
        <w:jc w:val="both"/>
        <w:rPr>
          <w:rFonts w:ascii="Arial" w:eastAsia="Times New Roman" w:hAnsi="Arial" w:cs="Arial"/>
          <w:color w:val="000000"/>
          <w:sz w:val="21"/>
          <w:szCs w:val="21"/>
        </w:rPr>
      </w:pPr>
      <w:r w:rsidRPr="009E1263">
        <w:rPr>
          <w:rFonts w:ascii="Arial" w:eastAsia="Times New Roman" w:hAnsi="Arial" w:cs="Arial"/>
          <w:color w:val="000000"/>
          <w:sz w:val="21"/>
          <w:szCs w:val="21"/>
        </w:rPr>
        <w:t>En la resolució no es contemplen les retribucions que percebrà el treballador, establint-se en el contracte de treball que percebrà una retribució total “segons acord amb l’Ajuntament”, en concepte de salari base i pagues extraordinàries. No s'indica l'import ni el conveni aplicable per a fixar la retribució. En la resolució, no consta el lloc de la RPT que es va a ocupar o la plaça corresponent de la plantilla municipal.</w:t>
      </w:r>
    </w:p>
    <w:p w14:paraId="2302836E" w14:textId="77777777" w:rsidR="009E1263" w:rsidRPr="009E1263" w:rsidRDefault="009E1263" w:rsidP="008E51E4">
      <w:pPr>
        <w:numPr>
          <w:ilvl w:val="0"/>
          <w:numId w:val="176"/>
        </w:numPr>
        <w:spacing w:after="120" w:line="276" w:lineRule="auto"/>
        <w:jc w:val="both"/>
        <w:rPr>
          <w:rFonts w:ascii="Arial" w:eastAsia="Times New Roman" w:hAnsi="Arial" w:cs="Arial"/>
          <w:color w:val="000000"/>
          <w:sz w:val="21"/>
          <w:szCs w:val="21"/>
        </w:rPr>
      </w:pPr>
      <w:r w:rsidRPr="009E1263">
        <w:rPr>
          <w:rFonts w:ascii="Arial" w:eastAsia="Times New Roman" w:hAnsi="Arial" w:cs="Arial"/>
          <w:color w:val="000000"/>
          <w:sz w:val="21"/>
          <w:szCs w:val="21"/>
        </w:rPr>
        <w:t>A l'Expedient remés, no consta que prèviament a dictar la dita resolució s'haja tramitat cap procés selectiu, que garantisca que s'haja accedit al lloc respectant els principis d'igualtat, mèrit i capacitat, i en la RPT publicada en el portal de transparència de l'Ajuntament, no apareix un lloc d'assessor jurídic urbanístic de caràcter laboral.</w:t>
      </w:r>
    </w:p>
    <w:p w14:paraId="3278C816" w14:textId="77777777" w:rsidR="009E1263" w:rsidRPr="009E1263" w:rsidRDefault="009E1263" w:rsidP="008E51E4">
      <w:pPr>
        <w:numPr>
          <w:ilvl w:val="0"/>
          <w:numId w:val="176"/>
        </w:numPr>
        <w:spacing w:after="120" w:line="276" w:lineRule="auto"/>
        <w:jc w:val="both"/>
        <w:rPr>
          <w:rFonts w:ascii="Arial" w:eastAsia="Times New Roman" w:hAnsi="Arial" w:cs="Arial"/>
          <w:color w:val="000000"/>
          <w:sz w:val="21"/>
          <w:szCs w:val="21"/>
        </w:rPr>
      </w:pPr>
      <w:r w:rsidRPr="009E1263">
        <w:rPr>
          <w:rFonts w:ascii="Arial" w:eastAsia="Times New Roman" w:hAnsi="Arial" w:cs="Arial"/>
          <w:color w:val="000000"/>
          <w:sz w:val="21"/>
          <w:szCs w:val="21"/>
        </w:rPr>
        <w:t>L'Ajuntament de Turís, ha presentat un escrit en període d'al·legacions a l'informe provisional d'investigació, en el que es manifesta la voluntat de regularitzar la situació del lloc d'Assessor jurídic-urbanístic, havent realitzat al dia de la data les següents actuacions:</w:t>
      </w:r>
    </w:p>
    <w:p w14:paraId="5EA0C583" w14:textId="5D19D827" w:rsidR="009E1263" w:rsidRPr="009E1263" w:rsidRDefault="009E1263" w:rsidP="009E1263">
      <w:pPr>
        <w:numPr>
          <w:ilvl w:val="0"/>
          <w:numId w:val="83"/>
        </w:numPr>
        <w:spacing w:after="120" w:line="276" w:lineRule="auto"/>
        <w:ind w:left="1276"/>
        <w:jc w:val="both"/>
        <w:rPr>
          <w:rFonts w:ascii="Arial" w:eastAsia="Times New Roman" w:hAnsi="Arial" w:cs="Arial"/>
          <w:color w:val="000000"/>
          <w:sz w:val="21"/>
          <w:szCs w:val="21"/>
        </w:rPr>
      </w:pPr>
      <w:r w:rsidRPr="009E1263">
        <w:rPr>
          <w:rFonts w:ascii="Arial" w:eastAsia="Times New Roman" w:hAnsi="Arial" w:cs="Arial"/>
          <w:color w:val="000000"/>
          <w:sz w:val="21"/>
          <w:szCs w:val="21"/>
        </w:rPr>
        <w:t>Inici de l'Expedient de modificació de la plantilla de personal funcionari i la consegüent modificació de la RPT, amb la intenció de crear el lloc que està ocupant actualment E.T.A, com a assessor jurídic i urbanístic, codi PF/41 (Expedient núm</w:t>
      </w:r>
      <w:r w:rsidR="00B97862">
        <w:rPr>
          <w:rFonts w:ascii="Arial" w:eastAsia="Times New Roman" w:hAnsi="Arial" w:cs="Arial"/>
          <w:color w:val="000000"/>
          <w:sz w:val="21"/>
          <w:szCs w:val="21"/>
        </w:rPr>
        <w:t>.</w:t>
      </w:r>
      <w:r w:rsidRPr="009E1263">
        <w:rPr>
          <w:rFonts w:ascii="Arial" w:eastAsia="Times New Roman" w:hAnsi="Arial" w:cs="Arial"/>
          <w:color w:val="000000"/>
          <w:sz w:val="21"/>
          <w:szCs w:val="21"/>
        </w:rPr>
        <w:t xml:space="preserve"> 2935/2021).</w:t>
      </w:r>
    </w:p>
    <w:p w14:paraId="58C62468" w14:textId="23CBF802" w:rsidR="009E1263" w:rsidRPr="009E1263" w:rsidRDefault="009E1263" w:rsidP="009E1263">
      <w:pPr>
        <w:numPr>
          <w:ilvl w:val="0"/>
          <w:numId w:val="83"/>
        </w:numPr>
        <w:spacing w:after="120" w:line="276" w:lineRule="auto"/>
        <w:ind w:left="1276"/>
        <w:jc w:val="both"/>
        <w:rPr>
          <w:rFonts w:ascii="Arial" w:eastAsia="Times New Roman" w:hAnsi="Arial" w:cs="Arial"/>
          <w:color w:val="000000"/>
          <w:sz w:val="21"/>
          <w:szCs w:val="21"/>
        </w:rPr>
      </w:pPr>
      <w:r w:rsidRPr="009E1263">
        <w:rPr>
          <w:rFonts w:ascii="Arial" w:eastAsia="Times New Roman" w:hAnsi="Arial" w:cs="Arial"/>
          <w:color w:val="000000"/>
          <w:sz w:val="21"/>
          <w:szCs w:val="21"/>
        </w:rPr>
        <w:t>Inici de l'Expedient d'aprovació d'una OPO per a Consolidació d'Ocupació Temporal incloent el lloc anterior (Expedient amb núm</w:t>
      </w:r>
      <w:r w:rsidR="005C2C78">
        <w:rPr>
          <w:rFonts w:ascii="Arial" w:eastAsia="Times New Roman" w:hAnsi="Arial" w:cs="Arial"/>
          <w:color w:val="000000"/>
          <w:sz w:val="21"/>
          <w:szCs w:val="21"/>
        </w:rPr>
        <w:t>.</w:t>
      </w:r>
      <w:r w:rsidRPr="009E1263">
        <w:rPr>
          <w:rFonts w:ascii="Arial" w:eastAsia="Times New Roman" w:hAnsi="Arial" w:cs="Arial"/>
          <w:color w:val="000000"/>
          <w:sz w:val="21"/>
          <w:szCs w:val="21"/>
        </w:rPr>
        <w:t xml:space="preserve"> 2661/2021).</w:t>
      </w:r>
    </w:p>
    <w:p w14:paraId="446F8040" w14:textId="77777777" w:rsidR="009E1263" w:rsidRPr="009E1263" w:rsidRDefault="009E1263" w:rsidP="008E51E4">
      <w:pPr>
        <w:numPr>
          <w:ilvl w:val="0"/>
          <w:numId w:val="176"/>
        </w:numPr>
        <w:spacing w:after="240" w:line="276" w:lineRule="auto"/>
        <w:jc w:val="both"/>
        <w:rPr>
          <w:rFonts w:ascii="Arial" w:eastAsia="Times New Roman" w:hAnsi="Arial" w:cs="Arial"/>
          <w:color w:val="000000"/>
          <w:sz w:val="21"/>
          <w:szCs w:val="21"/>
        </w:rPr>
      </w:pPr>
      <w:r w:rsidRPr="009E1263">
        <w:rPr>
          <w:rFonts w:ascii="Arial" w:eastAsia="Times New Roman" w:hAnsi="Arial" w:cs="Arial"/>
          <w:color w:val="000000"/>
          <w:sz w:val="21"/>
          <w:szCs w:val="21"/>
        </w:rPr>
        <w:t>S'ha indicat per l'Ajuntament, que es van a iniciar els processos d'estabilització de l'ocupació pública corresponents, de conformitat amb l'article 2.2 del Reial Decret Llei 14/2021.</w:t>
      </w:r>
    </w:p>
    <w:p w14:paraId="0497E242" w14:textId="77777777" w:rsidR="009E1263" w:rsidRPr="009E1263" w:rsidRDefault="009E1263" w:rsidP="009E1263">
      <w:pPr>
        <w:spacing w:after="240" w:line="276" w:lineRule="auto"/>
        <w:jc w:val="both"/>
        <w:rPr>
          <w:rFonts w:ascii="Arial" w:eastAsia="Times New Roman" w:hAnsi="Arial" w:cs="Arial"/>
          <w:color w:val="000000"/>
          <w:sz w:val="21"/>
          <w:szCs w:val="21"/>
        </w:rPr>
      </w:pPr>
      <w:r w:rsidRPr="009E1263">
        <w:rPr>
          <w:rFonts w:ascii="Arial" w:eastAsia="Times New Roman" w:hAnsi="Arial" w:cs="Arial"/>
          <w:b/>
          <w:bCs/>
          <w:color w:val="000000"/>
          <w:sz w:val="21"/>
          <w:szCs w:val="21"/>
        </w:rPr>
        <w:t>Resultat</w:t>
      </w:r>
      <w:r w:rsidRPr="009E1263">
        <w:rPr>
          <w:rFonts w:ascii="Arial" w:eastAsia="Times New Roman" w:hAnsi="Arial" w:cs="Arial"/>
          <w:color w:val="000000"/>
          <w:sz w:val="21"/>
          <w:szCs w:val="21"/>
        </w:rPr>
        <w:t>: S'han efectuat les següents recomanacions:</w:t>
      </w:r>
    </w:p>
    <w:p w14:paraId="51CFAAA2" w14:textId="77777777" w:rsidR="009E1263" w:rsidRPr="009E1263" w:rsidRDefault="009E1263" w:rsidP="008E51E4">
      <w:pPr>
        <w:numPr>
          <w:ilvl w:val="0"/>
          <w:numId w:val="177"/>
        </w:numPr>
        <w:spacing w:after="120" w:line="276" w:lineRule="auto"/>
        <w:ind w:left="709" w:hanging="357"/>
        <w:jc w:val="both"/>
        <w:rPr>
          <w:rFonts w:ascii="Arial" w:eastAsia="Times New Roman" w:hAnsi="Arial" w:cs="Arial"/>
          <w:color w:val="000000"/>
          <w:sz w:val="21"/>
          <w:szCs w:val="21"/>
        </w:rPr>
      </w:pPr>
      <w:r w:rsidRPr="009E1263">
        <w:rPr>
          <w:rFonts w:ascii="Arial" w:eastAsia="Times New Roman" w:hAnsi="Arial" w:cs="Arial"/>
          <w:color w:val="000000"/>
          <w:sz w:val="21"/>
          <w:szCs w:val="21"/>
        </w:rPr>
        <w:t>Que es procedisca a remetre el certificat de l'acord plenari d'aprovació de la modificació de la plantilla de funcionaris i de la Relació de Llocs de Treball municipal, per mitjà del que es crea el lloc d'assessor jurídic i urbanístic, recollint les funcions i les retribucions corresponents al mateix.</w:t>
      </w:r>
    </w:p>
    <w:p w14:paraId="26D1EC95" w14:textId="77777777" w:rsidR="009E1263" w:rsidRPr="009E1263" w:rsidRDefault="009E1263" w:rsidP="008E51E4">
      <w:pPr>
        <w:numPr>
          <w:ilvl w:val="0"/>
          <w:numId w:val="177"/>
        </w:numPr>
        <w:spacing w:after="120" w:line="276" w:lineRule="auto"/>
        <w:ind w:left="709" w:hanging="357"/>
        <w:jc w:val="both"/>
        <w:rPr>
          <w:rFonts w:ascii="Arial" w:eastAsia="Times New Roman" w:hAnsi="Arial" w:cs="Arial"/>
          <w:color w:val="000000"/>
          <w:sz w:val="21"/>
          <w:szCs w:val="21"/>
        </w:rPr>
      </w:pPr>
      <w:r w:rsidRPr="009E1263">
        <w:rPr>
          <w:rFonts w:ascii="Arial" w:eastAsia="Times New Roman" w:hAnsi="Arial" w:cs="Arial"/>
          <w:color w:val="000000"/>
          <w:sz w:val="21"/>
          <w:szCs w:val="21"/>
        </w:rPr>
        <w:t>Que es procedisca a remetre el certificat de l'acord plenari d'aprovació de l'oferta d'ocupació pública per a Consolidació d'Ocupació Temporal, en la que s'incloga el lloc anterior.</w:t>
      </w:r>
    </w:p>
    <w:p w14:paraId="5E6DE0E6" w14:textId="77777777" w:rsidR="009E1263" w:rsidRPr="009E1263" w:rsidRDefault="009E1263" w:rsidP="008E51E4">
      <w:pPr>
        <w:numPr>
          <w:ilvl w:val="0"/>
          <w:numId w:val="177"/>
        </w:numPr>
        <w:spacing w:after="240" w:line="276" w:lineRule="auto"/>
        <w:ind w:left="709"/>
        <w:jc w:val="both"/>
        <w:rPr>
          <w:rFonts w:ascii="Arial" w:eastAsia="Times New Roman" w:hAnsi="Arial" w:cs="Arial"/>
          <w:color w:val="000000"/>
          <w:sz w:val="21"/>
          <w:szCs w:val="21"/>
        </w:rPr>
      </w:pPr>
      <w:r w:rsidRPr="009E1263">
        <w:rPr>
          <w:rFonts w:ascii="Arial" w:eastAsia="Times New Roman" w:hAnsi="Arial" w:cs="Arial"/>
          <w:color w:val="000000"/>
          <w:sz w:val="21"/>
          <w:szCs w:val="21"/>
        </w:rPr>
        <w:t>Que una vegada adoptats els acords anteriors es procedisca a iniciar el procediment selectiu per a la cobertura de l'esmentat lloc de treball de manera definitiva, complint els principis constitucionals de publicitat, capacitat i mèrit.</w:t>
      </w:r>
    </w:p>
    <w:p w14:paraId="3859D06A" w14:textId="77777777" w:rsidR="009E1263" w:rsidRPr="009E1263" w:rsidRDefault="009E1263" w:rsidP="009E1263">
      <w:pPr>
        <w:spacing w:after="240" w:line="276" w:lineRule="auto"/>
        <w:jc w:val="both"/>
        <w:rPr>
          <w:rFonts w:ascii="Arial" w:eastAsia="Times New Roman" w:hAnsi="Arial" w:cs="Arial"/>
          <w:color w:val="000000"/>
          <w:sz w:val="21"/>
          <w:szCs w:val="21"/>
        </w:rPr>
      </w:pPr>
      <w:r w:rsidRPr="009E1263">
        <w:rPr>
          <w:rFonts w:ascii="Arial" w:eastAsia="Times New Roman" w:hAnsi="Arial" w:cs="Arial"/>
          <w:b/>
          <w:bCs/>
          <w:color w:val="000000"/>
          <w:sz w:val="21"/>
          <w:szCs w:val="21"/>
        </w:rPr>
        <w:t>Fase de seguiment:</w:t>
      </w:r>
      <w:r w:rsidRPr="009E1263">
        <w:rPr>
          <w:rFonts w:ascii="Arial" w:eastAsia="Times New Roman" w:hAnsi="Arial" w:cs="Arial"/>
          <w:color w:val="000000"/>
          <w:sz w:val="21"/>
          <w:szCs w:val="21"/>
        </w:rPr>
        <w:t xml:space="preserve"> En tràmit. </w:t>
      </w:r>
    </w:p>
    <w:p w14:paraId="00AB90C5" w14:textId="77777777" w:rsidR="009E1263" w:rsidRPr="009E1263" w:rsidRDefault="009E1263" w:rsidP="009E126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36" w:name="_Toc95209121"/>
      <w:bookmarkStart w:id="337" w:name="_Toc95913913"/>
      <w:bookmarkStart w:id="338" w:name="_Toc99110796"/>
      <w:r w:rsidRPr="009E1263">
        <w:rPr>
          <w:rFonts w:ascii="Arial" w:eastAsia="Times New Roman" w:hAnsi="Arial" w:cs="Arial"/>
          <w:b/>
          <w:color w:val="9D2235"/>
          <w:sz w:val="28"/>
          <w:szCs w:val="28"/>
        </w:rPr>
        <w:t>Denominació: Ajuntament de Benidorm. Hotels oberts al públic sense llicència</w:t>
      </w:r>
      <w:bookmarkEnd w:id="336"/>
      <w:bookmarkEnd w:id="337"/>
      <w:bookmarkEnd w:id="338"/>
      <w:r w:rsidRPr="009E1263">
        <w:rPr>
          <w:rFonts w:ascii="Arial" w:eastAsia="Times New Roman" w:hAnsi="Arial" w:cs="Arial"/>
          <w:b/>
          <w:color w:val="9D2235"/>
          <w:sz w:val="28"/>
          <w:szCs w:val="28"/>
        </w:rPr>
        <w:t xml:space="preserve"> </w:t>
      </w:r>
    </w:p>
    <w:p w14:paraId="50DD77E2" w14:textId="77777777" w:rsidR="009E1263" w:rsidRPr="009E1263" w:rsidRDefault="009E1263" w:rsidP="005272C3">
      <w:pPr>
        <w:spacing w:after="240" w:line="276" w:lineRule="auto"/>
        <w:jc w:val="both"/>
        <w:rPr>
          <w:rFonts w:ascii="Arial" w:eastAsia="Times New Roman" w:hAnsi="Arial" w:cs="Arial"/>
          <w:color w:val="000000"/>
          <w:sz w:val="21"/>
          <w:szCs w:val="21"/>
        </w:rPr>
      </w:pPr>
      <w:r w:rsidRPr="009E1263">
        <w:rPr>
          <w:rFonts w:ascii="Arial" w:eastAsia="Times New Roman" w:hAnsi="Arial" w:cs="Arial"/>
          <w:b/>
          <w:bCs/>
          <w:color w:val="000000"/>
          <w:sz w:val="21"/>
          <w:szCs w:val="21"/>
        </w:rPr>
        <w:t>Expedient</w:t>
      </w:r>
      <w:r w:rsidRPr="009E1263">
        <w:rPr>
          <w:rFonts w:ascii="Arial" w:eastAsia="Times New Roman" w:hAnsi="Arial" w:cs="Arial"/>
          <w:color w:val="000000"/>
          <w:sz w:val="21"/>
          <w:szCs w:val="21"/>
        </w:rPr>
        <w:t>: 2020/G01_01/000269 [23/2019]</w:t>
      </w:r>
    </w:p>
    <w:p w14:paraId="4A500450" w14:textId="77777777" w:rsidR="009E1263" w:rsidRPr="009E1263" w:rsidRDefault="009E1263" w:rsidP="009E1263">
      <w:pPr>
        <w:spacing w:after="240" w:line="276" w:lineRule="auto"/>
        <w:rPr>
          <w:rFonts w:ascii="Arial" w:eastAsia="Times New Roman" w:hAnsi="Arial" w:cs="Arial"/>
          <w:sz w:val="21"/>
          <w:szCs w:val="21"/>
          <w:lang w:eastAsia="es-ES"/>
        </w:rPr>
      </w:pPr>
      <w:r w:rsidRPr="009E1263">
        <w:rPr>
          <w:rFonts w:ascii="Arial" w:eastAsia="Times New Roman" w:hAnsi="Arial" w:cs="Arial"/>
          <w:b/>
          <w:bCs/>
          <w:sz w:val="21"/>
          <w:szCs w:val="21"/>
        </w:rPr>
        <w:t>Enllaç a la publicació:</w:t>
      </w:r>
      <w:r w:rsidRPr="009E1263">
        <w:rPr>
          <w:rFonts w:ascii="Arial" w:eastAsia="Times New Roman" w:hAnsi="Arial" w:cs="Arial"/>
          <w:b/>
          <w:bCs/>
          <w:sz w:val="21"/>
          <w:szCs w:val="21"/>
        </w:rPr>
        <w:br/>
      </w:r>
      <w:hyperlink r:id="rId493" w:history="1">
        <w:r w:rsidRPr="009E1263">
          <w:rPr>
            <w:rFonts w:ascii="Arial" w:eastAsia="Times New Roman" w:hAnsi="Arial" w:cs="Arial"/>
            <w:color w:val="000080"/>
            <w:sz w:val="18"/>
            <w:szCs w:val="18"/>
            <w:u w:val="single"/>
            <w:lang w:eastAsia="es-ES"/>
          </w:rPr>
          <w:t>https://www.antifraucv.es/wp-content/uploads/2022/01/20211230_AJUNTAMENT-DE-BENIDORM.pdf</w:t>
        </w:r>
      </w:hyperlink>
    </w:p>
    <w:p w14:paraId="332A9804" w14:textId="77777777" w:rsidR="009E1263" w:rsidRPr="009E1263" w:rsidRDefault="009E1263" w:rsidP="009E1263">
      <w:pPr>
        <w:spacing w:after="240" w:line="276" w:lineRule="auto"/>
        <w:jc w:val="both"/>
        <w:rPr>
          <w:rFonts w:ascii="Arial" w:eastAsia="Times New Roman" w:hAnsi="Arial" w:cs="Arial"/>
          <w:color w:val="000000"/>
          <w:sz w:val="21"/>
          <w:szCs w:val="21"/>
        </w:rPr>
      </w:pPr>
      <w:r w:rsidRPr="009E1263">
        <w:rPr>
          <w:rFonts w:ascii="Arial" w:eastAsia="Times New Roman" w:hAnsi="Arial" w:cs="Arial"/>
          <w:b/>
          <w:bCs/>
          <w:color w:val="000000"/>
          <w:sz w:val="21"/>
          <w:szCs w:val="21"/>
        </w:rPr>
        <w:t>Descripció</w:t>
      </w:r>
      <w:r w:rsidRPr="009E1263">
        <w:rPr>
          <w:rFonts w:ascii="Arial" w:eastAsia="Times New Roman" w:hAnsi="Arial" w:cs="Arial"/>
          <w:color w:val="000000"/>
          <w:sz w:val="21"/>
          <w:szCs w:val="21"/>
        </w:rPr>
        <w:t xml:space="preserve">: S'informen de l'Agència presumptes irregularitats en relació amb les llicències d'obertura de certs hotels en el municipi de Benidorm. </w:t>
      </w:r>
    </w:p>
    <w:p w14:paraId="04168E99" w14:textId="77777777" w:rsidR="009E1263" w:rsidRPr="009E1263" w:rsidRDefault="009E1263" w:rsidP="009E1263">
      <w:pPr>
        <w:spacing w:after="240" w:line="276" w:lineRule="auto"/>
        <w:jc w:val="both"/>
        <w:rPr>
          <w:rFonts w:ascii="Arial" w:eastAsia="Times New Roman" w:hAnsi="Arial" w:cs="Arial"/>
          <w:color w:val="000000"/>
          <w:sz w:val="21"/>
          <w:szCs w:val="21"/>
        </w:rPr>
      </w:pPr>
      <w:r w:rsidRPr="009E1263">
        <w:rPr>
          <w:rFonts w:ascii="Arial" w:eastAsia="Times New Roman" w:hAnsi="Arial" w:cs="Arial"/>
          <w:color w:val="000000"/>
          <w:sz w:val="21"/>
          <w:szCs w:val="21"/>
        </w:rPr>
        <w:t>Després de la instrucció de l'oportú procediment d'investigació, en el que es va efectuar el preceptiu tràmit d'audiència a l'administració denunciada, es va evidenciar que en el municipi de Benidorm hi ha instal·lacions hoteleres que estan desenrotllant la seua activitat sense disposar de les preceptives llicències.</w:t>
      </w:r>
    </w:p>
    <w:p w14:paraId="70693F72" w14:textId="77777777" w:rsidR="009E1263" w:rsidRPr="009E1263" w:rsidRDefault="009E1263" w:rsidP="009E1263">
      <w:pPr>
        <w:spacing w:after="240" w:line="276" w:lineRule="auto"/>
        <w:jc w:val="both"/>
        <w:rPr>
          <w:rFonts w:ascii="Arial" w:eastAsia="Times New Roman" w:hAnsi="Arial" w:cs="Arial"/>
          <w:color w:val="000000"/>
          <w:sz w:val="21"/>
          <w:szCs w:val="21"/>
        </w:rPr>
      </w:pPr>
      <w:r w:rsidRPr="009E1263">
        <w:rPr>
          <w:rFonts w:ascii="Arial" w:eastAsia="Times New Roman" w:hAnsi="Arial" w:cs="Arial"/>
          <w:b/>
          <w:bCs/>
          <w:color w:val="000000"/>
          <w:sz w:val="21"/>
          <w:szCs w:val="21"/>
        </w:rPr>
        <w:t>Resultat</w:t>
      </w:r>
      <w:r w:rsidRPr="009E1263">
        <w:rPr>
          <w:rFonts w:ascii="Arial" w:eastAsia="Times New Roman" w:hAnsi="Arial" w:cs="Arial"/>
          <w:color w:val="000000"/>
          <w:sz w:val="21"/>
          <w:szCs w:val="21"/>
        </w:rPr>
        <w:t>: Es finalitza l'expedient recomanant que s'adopten les mesures que procedisca davant de les situacions irregulars dels establiments públics en què, segons constata en els informes i llistats municipals, s'exercixen activitats hoteleres sense comptar amb la preceptiva autorització administrativa o sense ajustar-se a les condicions per a les que es disposa de l'oportuna autorització administrativa.</w:t>
      </w:r>
    </w:p>
    <w:p w14:paraId="5570CB67" w14:textId="77777777" w:rsidR="009E1263" w:rsidRDefault="009E1263" w:rsidP="009E1263">
      <w:pPr>
        <w:spacing w:after="240" w:line="276" w:lineRule="auto"/>
        <w:jc w:val="both"/>
        <w:rPr>
          <w:rFonts w:ascii="Arial" w:eastAsia="Times New Roman" w:hAnsi="Arial" w:cs="Arial"/>
          <w:color w:val="000000"/>
          <w:sz w:val="21"/>
          <w:szCs w:val="21"/>
        </w:rPr>
        <w:sectPr w:rsidR="009E1263" w:rsidSect="002B6E00">
          <w:headerReference w:type="default" r:id="rId494"/>
          <w:footerReference w:type="default" r:id="rId495"/>
          <w:headerReference w:type="first" r:id="rId496"/>
          <w:footerReference w:type="first" r:id="rId497"/>
          <w:pgSz w:w="11906" w:h="16838"/>
          <w:pgMar w:top="1134" w:right="1701" w:bottom="1985" w:left="1701" w:header="567" w:footer="567" w:gutter="0"/>
          <w:cols w:space="708"/>
          <w:titlePg/>
          <w:docGrid w:linePitch="360"/>
        </w:sectPr>
      </w:pPr>
      <w:r w:rsidRPr="009E1263">
        <w:rPr>
          <w:rFonts w:ascii="Arial" w:eastAsia="Times New Roman" w:hAnsi="Arial" w:cs="Arial"/>
          <w:b/>
          <w:bCs/>
          <w:color w:val="000000"/>
          <w:sz w:val="21"/>
          <w:szCs w:val="21"/>
        </w:rPr>
        <w:t>Fase de seguiment:</w:t>
      </w:r>
      <w:r w:rsidRPr="009E1263">
        <w:rPr>
          <w:rFonts w:ascii="Arial" w:eastAsia="Times New Roman" w:hAnsi="Arial" w:cs="Arial"/>
          <w:color w:val="000000"/>
          <w:sz w:val="21"/>
          <w:szCs w:val="21"/>
        </w:rPr>
        <w:t xml:space="preserve"> En tràmit.</w:t>
      </w:r>
    </w:p>
    <w:p w14:paraId="0F4B6AC2" w14:textId="18332D19" w:rsidR="00CE1C9E" w:rsidRPr="00CE1C9E" w:rsidRDefault="00CE1C9E" w:rsidP="00CE1C9E">
      <w:pPr>
        <w:pStyle w:val="Descripcin"/>
        <w:keepNext/>
        <w:rPr>
          <w:rFonts w:ascii="Arial" w:hAnsi="Arial" w:cs="Arial"/>
          <w:smallCaps w:val="0"/>
          <w:sz w:val="18"/>
          <w:szCs w:val="18"/>
        </w:rPr>
      </w:pPr>
      <w:bookmarkStart w:id="339" w:name="_Toc99110862"/>
      <w:r w:rsidRPr="00CE1C9E">
        <w:rPr>
          <w:rFonts w:ascii="Arial" w:hAnsi="Arial" w:cs="Arial"/>
          <w:smallCaps w:val="0"/>
          <w:color w:val="9D2235" w:themeColor="accent1"/>
          <w:sz w:val="18"/>
          <w:szCs w:val="18"/>
        </w:rPr>
        <w:t xml:space="preserve">Taula </w:t>
      </w:r>
      <w:r w:rsidRPr="00CE1C9E">
        <w:rPr>
          <w:rFonts w:ascii="Arial" w:hAnsi="Arial" w:cs="Arial"/>
          <w:smallCaps w:val="0"/>
          <w:color w:val="9D2235" w:themeColor="accent1"/>
          <w:sz w:val="18"/>
          <w:szCs w:val="18"/>
        </w:rPr>
        <w:fldChar w:fldCharType="begin" w:fldLock="1"/>
      </w:r>
      <w:r w:rsidRPr="00CE1C9E">
        <w:rPr>
          <w:rFonts w:ascii="Arial" w:hAnsi="Arial" w:cs="Arial"/>
          <w:smallCaps w:val="0"/>
          <w:color w:val="9D2235" w:themeColor="accent1"/>
          <w:sz w:val="18"/>
          <w:szCs w:val="18"/>
        </w:rPr>
        <w:instrText xml:space="preserve"> SEQ Taula \* ARABIC </w:instrText>
      </w:r>
      <w:r w:rsidRPr="00CE1C9E">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17</w:t>
      </w:r>
      <w:r w:rsidRPr="00CE1C9E">
        <w:rPr>
          <w:rFonts w:ascii="Arial" w:hAnsi="Arial" w:cs="Arial"/>
          <w:smallCaps w:val="0"/>
          <w:color w:val="9D2235" w:themeColor="accent1"/>
          <w:sz w:val="18"/>
          <w:szCs w:val="18"/>
        </w:rPr>
        <w:fldChar w:fldCharType="end"/>
      </w:r>
      <w:r w:rsidRPr="00CE1C9E">
        <w:rPr>
          <w:rFonts w:ascii="Arial" w:hAnsi="Arial" w:cs="Arial"/>
          <w:smallCaps w:val="0"/>
          <w:sz w:val="18"/>
          <w:szCs w:val="18"/>
        </w:rPr>
        <w:t>. Quadre resum investigacions finalitzades en 2021</w:t>
      </w:r>
      <w:bookmarkEnd w:id="339"/>
    </w:p>
    <w:tbl>
      <w:tblPr>
        <w:tblW w:w="14123" w:type="dxa"/>
        <w:jc w:val="center"/>
        <w:tblLayout w:type="fixed"/>
        <w:tblCellMar>
          <w:left w:w="70" w:type="dxa"/>
          <w:right w:w="70" w:type="dxa"/>
        </w:tblCellMar>
        <w:tblLook w:val="04A0" w:firstRow="1" w:lastRow="0" w:firstColumn="1" w:lastColumn="0" w:noHBand="0" w:noVBand="1"/>
      </w:tblPr>
      <w:tblGrid>
        <w:gridCol w:w="296"/>
        <w:gridCol w:w="1495"/>
        <w:gridCol w:w="2532"/>
        <w:gridCol w:w="2760"/>
        <w:gridCol w:w="926"/>
        <w:gridCol w:w="1559"/>
        <w:gridCol w:w="1134"/>
        <w:gridCol w:w="992"/>
        <w:gridCol w:w="1183"/>
        <w:gridCol w:w="1246"/>
      </w:tblGrid>
      <w:tr w:rsidR="00CE1C9E" w:rsidRPr="00CE1C9E" w14:paraId="5FA78626" w14:textId="77777777" w:rsidTr="00CE1C9E">
        <w:trPr>
          <w:cantSplit/>
          <w:trHeight w:val="20"/>
          <w:tblHeader/>
          <w:jc w:val="center"/>
        </w:trPr>
        <w:tc>
          <w:tcPr>
            <w:tcW w:w="296" w:type="dxa"/>
            <w:tcBorders>
              <w:top w:val="single" w:sz="4" w:space="0" w:color="auto"/>
              <w:left w:val="single" w:sz="4" w:space="0" w:color="auto"/>
              <w:bottom w:val="single" w:sz="4" w:space="0" w:color="auto"/>
              <w:right w:val="single" w:sz="4" w:space="0" w:color="auto"/>
            </w:tcBorders>
            <w:shd w:val="clear" w:color="000000" w:fill="D1C6C0"/>
            <w:vAlign w:val="center"/>
            <w:hideMark/>
          </w:tcPr>
          <w:p w14:paraId="552DB554"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Nº</w:t>
            </w:r>
          </w:p>
        </w:tc>
        <w:tc>
          <w:tcPr>
            <w:tcW w:w="1495" w:type="dxa"/>
            <w:tcBorders>
              <w:top w:val="single" w:sz="4" w:space="0" w:color="auto"/>
              <w:left w:val="nil"/>
              <w:bottom w:val="single" w:sz="4" w:space="0" w:color="auto"/>
              <w:right w:val="single" w:sz="4" w:space="0" w:color="auto"/>
            </w:tcBorders>
            <w:shd w:val="clear" w:color="000000" w:fill="D1C6C0"/>
            <w:vAlign w:val="center"/>
            <w:hideMark/>
          </w:tcPr>
          <w:p w14:paraId="559240A4"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Expedient</w:t>
            </w:r>
          </w:p>
        </w:tc>
        <w:tc>
          <w:tcPr>
            <w:tcW w:w="2532" w:type="dxa"/>
            <w:tcBorders>
              <w:top w:val="single" w:sz="4" w:space="0" w:color="auto"/>
              <w:left w:val="nil"/>
              <w:bottom w:val="single" w:sz="4" w:space="0" w:color="auto"/>
              <w:right w:val="single" w:sz="4" w:space="0" w:color="auto"/>
            </w:tcBorders>
            <w:shd w:val="clear" w:color="000000" w:fill="D1C6C0"/>
            <w:vAlign w:val="center"/>
            <w:hideMark/>
          </w:tcPr>
          <w:p w14:paraId="66C6A759"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Entitat afectada</w:t>
            </w:r>
          </w:p>
        </w:tc>
        <w:tc>
          <w:tcPr>
            <w:tcW w:w="2760" w:type="dxa"/>
            <w:tcBorders>
              <w:top w:val="single" w:sz="4" w:space="0" w:color="auto"/>
              <w:left w:val="nil"/>
              <w:bottom w:val="single" w:sz="4" w:space="0" w:color="auto"/>
              <w:right w:val="single" w:sz="4" w:space="0" w:color="auto"/>
            </w:tcBorders>
            <w:shd w:val="clear" w:color="000000" w:fill="D1C6C0"/>
            <w:vAlign w:val="center"/>
            <w:hideMark/>
          </w:tcPr>
          <w:p w14:paraId="6E0EDE04"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Matèria</w:t>
            </w:r>
          </w:p>
        </w:tc>
        <w:tc>
          <w:tcPr>
            <w:tcW w:w="926" w:type="dxa"/>
            <w:tcBorders>
              <w:top w:val="single" w:sz="4" w:space="0" w:color="auto"/>
              <w:left w:val="nil"/>
              <w:bottom w:val="single" w:sz="4" w:space="0" w:color="auto"/>
              <w:right w:val="single" w:sz="4" w:space="0" w:color="auto"/>
            </w:tcBorders>
            <w:shd w:val="clear" w:color="000000" w:fill="D1C6C0"/>
            <w:vAlign w:val="center"/>
            <w:hideMark/>
          </w:tcPr>
          <w:p w14:paraId="4B6833BE"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Data RFI</w:t>
            </w:r>
          </w:p>
        </w:tc>
        <w:tc>
          <w:tcPr>
            <w:tcW w:w="1559" w:type="dxa"/>
            <w:tcBorders>
              <w:top w:val="single" w:sz="4" w:space="0" w:color="auto"/>
              <w:left w:val="nil"/>
              <w:bottom w:val="single" w:sz="4" w:space="0" w:color="auto"/>
              <w:right w:val="single" w:sz="4" w:space="0" w:color="auto"/>
            </w:tcBorders>
            <w:shd w:val="clear" w:color="000000" w:fill="D1C6C0"/>
            <w:vAlign w:val="center"/>
            <w:hideMark/>
          </w:tcPr>
          <w:p w14:paraId="7795D643"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Sentit</w:t>
            </w:r>
          </w:p>
        </w:tc>
        <w:tc>
          <w:tcPr>
            <w:tcW w:w="1134" w:type="dxa"/>
            <w:tcBorders>
              <w:top w:val="single" w:sz="4" w:space="0" w:color="auto"/>
              <w:left w:val="nil"/>
              <w:bottom w:val="single" w:sz="4" w:space="0" w:color="auto"/>
              <w:right w:val="single" w:sz="4" w:space="0" w:color="auto"/>
            </w:tcBorders>
            <w:shd w:val="clear" w:color="000000" w:fill="D1C6C0"/>
            <w:vAlign w:val="center"/>
            <w:hideMark/>
          </w:tcPr>
          <w:p w14:paraId="4A49CB2A"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Import recuperable (€)*</w:t>
            </w:r>
          </w:p>
        </w:tc>
        <w:tc>
          <w:tcPr>
            <w:tcW w:w="992" w:type="dxa"/>
            <w:tcBorders>
              <w:top w:val="single" w:sz="4" w:space="0" w:color="auto"/>
              <w:left w:val="nil"/>
              <w:bottom w:val="single" w:sz="4" w:space="0" w:color="auto"/>
              <w:right w:val="single" w:sz="4" w:space="0" w:color="auto"/>
            </w:tcBorders>
            <w:shd w:val="clear" w:color="000000" w:fill="D1C6C0"/>
            <w:vAlign w:val="center"/>
            <w:hideMark/>
          </w:tcPr>
          <w:p w14:paraId="0C03E9CB"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Import recuperat</w:t>
            </w:r>
          </w:p>
          <w:p w14:paraId="0D2CDAEE"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 xml:space="preserve"> (€)</w:t>
            </w:r>
          </w:p>
        </w:tc>
        <w:tc>
          <w:tcPr>
            <w:tcW w:w="1183" w:type="dxa"/>
            <w:tcBorders>
              <w:top w:val="single" w:sz="4" w:space="0" w:color="auto"/>
              <w:left w:val="nil"/>
              <w:bottom w:val="single" w:sz="4" w:space="0" w:color="auto"/>
              <w:right w:val="single" w:sz="4" w:space="0" w:color="auto"/>
            </w:tcBorders>
            <w:shd w:val="clear" w:color="000000" w:fill="D1C6C0"/>
            <w:vAlign w:val="center"/>
            <w:hideMark/>
          </w:tcPr>
          <w:p w14:paraId="0CD78932"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Regularització no quantificable</w:t>
            </w:r>
          </w:p>
        </w:tc>
        <w:tc>
          <w:tcPr>
            <w:tcW w:w="1246" w:type="dxa"/>
            <w:tcBorders>
              <w:top w:val="single" w:sz="4" w:space="0" w:color="auto"/>
              <w:left w:val="nil"/>
              <w:bottom w:val="single" w:sz="4" w:space="0" w:color="auto"/>
              <w:right w:val="single" w:sz="4" w:space="0" w:color="auto"/>
            </w:tcBorders>
            <w:shd w:val="clear" w:color="000000" w:fill="D1C6C0"/>
            <w:vAlign w:val="center"/>
            <w:hideMark/>
          </w:tcPr>
          <w:p w14:paraId="43B70780" w14:textId="77777777" w:rsidR="00CE1C9E" w:rsidRPr="00CE1C9E" w:rsidRDefault="00CE1C9E" w:rsidP="00CE1C9E">
            <w:pPr>
              <w:spacing w:before="60" w:after="60"/>
              <w:jc w:val="center"/>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Altres consideracions</w:t>
            </w:r>
          </w:p>
        </w:tc>
      </w:tr>
      <w:tr w:rsidR="00CE1C9E" w:rsidRPr="00CE1C9E" w14:paraId="178463A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8D2590A"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w:t>
            </w:r>
          </w:p>
        </w:tc>
        <w:tc>
          <w:tcPr>
            <w:tcW w:w="1495" w:type="dxa"/>
            <w:tcBorders>
              <w:top w:val="nil"/>
              <w:left w:val="nil"/>
              <w:bottom w:val="single" w:sz="4" w:space="0" w:color="auto"/>
              <w:right w:val="single" w:sz="4" w:space="0" w:color="auto"/>
            </w:tcBorders>
            <w:shd w:val="clear" w:color="auto" w:fill="auto"/>
            <w:noWrap/>
            <w:vAlign w:val="center"/>
            <w:hideMark/>
          </w:tcPr>
          <w:p w14:paraId="78AEAA6C" w14:textId="10ECCE53"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2020/G01-01/000276</w:t>
            </w:r>
          </w:p>
        </w:tc>
        <w:tc>
          <w:tcPr>
            <w:tcW w:w="2532" w:type="dxa"/>
            <w:tcBorders>
              <w:top w:val="nil"/>
              <w:left w:val="nil"/>
              <w:bottom w:val="single" w:sz="4" w:space="0" w:color="auto"/>
              <w:right w:val="single" w:sz="4" w:space="0" w:color="auto"/>
            </w:tcBorders>
            <w:shd w:val="clear" w:color="auto" w:fill="auto"/>
            <w:noWrap/>
            <w:vAlign w:val="center"/>
            <w:hideMark/>
          </w:tcPr>
          <w:p w14:paraId="5FCCF09C"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543788C8"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71874103"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21/01/2021</w:t>
            </w:r>
          </w:p>
        </w:tc>
        <w:tc>
          <w:tcPr>
            <w:tcW w:w="1559" w:type="dxa"/>
            <w:tcBorders>
              <w:top w:val="nil"/>
              <w:left w:val="nil"/>
              <w:bottom w:val="single" w:sz="4" w:space="0" w:color="auto"/>
              <w:right w:val="single" w:sz="4" w:space="0" w:color="auto"/>
            </w:tcBorders>
            <w:shd w:val="clear" w:color="auto" w:fill="auto"/>
            <w:noWrap/>
            <w:vAlign w:val="center"/>
            <w:hideMark/>
          </w:tcPr>
          <w:p w14:paraId="6CD6008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68E03A26"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992" w:type="dxa"/>
            <w:tcBorders>
              <w:top w:val="nil"/>
              <w:left w:val="nil"/>
              <w:bottom w:val="single" w:sz="4" w:space="0" w:color="auto"/>
              <w:right w:val="single" w:sz="4" w:space="0" w:color="auto"/>
            </w:tcBorders>
            <w:shd w:val="clear" w:color="auto" w:fill="auto"/>
            <w:noWrap/>
            <w:vAlign w:val="center"/>
            <w:hideMark/>
          </w:tcPr>
          <w:p w14:paraId="7D23B9AA" w14:textId="67B4132D"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183" w:type="dxa"/>
            <w:tcBorders>
              <w:top w:val="nil"/>
              <w:left w:val="nil"/>
              <w:bottom w:val="single" w:sz="4" w:space="0" w:color="auto"/>
              <w:right w:val="single" w:sz="4" w:space="0" w:color="auto"/>
            </w:tcBorders>
            <w:shd w:val="clear" w:color="auto" w:fill="auto"/>
            <w:vAlign w:val="center"/>
            <w:hideMark/>
          </w:tcPr>
          <w:p w14:paraId="5E96A43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5427D788"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7358A33F"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CF00969"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w:t>
            </w:r>
          </w:p>
        </w:tc>
        <w:tc>
          <w:tcPr>
            <w:tcW w:w="1495" w:type="dxa"/>
            <w:tcBorders>
              <w:top w:val="nil"/>
              <w:left w:val="nil"/>
              <w:bottom w:val="single" w:sz="4" w:space="0" w:color="auto"/>
              <w:right w:val="single" w:sz="4" w:space="0" w:color="auto"/>
            </w:tcBorders>
            <w:shd w:val="clear" w:color="auto" w:fill="auto"/>
            <w:noWrap/>
            <w:vAlign w:val="center"/>
            <w:hideMark/>
          </w:tcPr>
          <w:p w14:paraId="2FA5D1C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2020/G01_01/000255</w:t>
            </w:r>
          </w:p>
        </w:tc>
        <w:tc>
          <w:tcPr>
            <w:tcW w:w="2532" w:type="dxa"/>
            <w:tcBorders>
              <w:top w:val="nil"/>
              <w:left w:val="nil"/>
              <w:bottom w:val="single" w:sz="4" w:space="0" w:color="auto"/>
              <w:right w:val="single" w:sz="4" w:space="0" w:color="auto"/>
            </w:tcBorders>
            <w:shd w:val="clear" w:color="auto" w:fill="auto"/>
            <w:noWrap/>
            <w:vAlign w:val="center"/>
            <w:hideMark/>
          </w:tcPr>
          <w:p w14:paraId="076D372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Diputació València-DGAL</w:t>
            </w:r>
          </w:p>
        </w:tc>
        <w:tc>
          <w:tcPr>
            <w:tcW w:w="2760" w:type="dxa"/>
            <w:tcBorders>
              <w:top w:val="nil"/>
              <w:left w:val="nil"/>
              <w:bottom w:val="single" w:sz="4" w:space="0" w:color="auto"/>
              <w:right w:val="single" w:sz="4" w:space="0" w:color="auto"/>
            </w:tcBorders>
            <w:shd w:val="clear" w:color="auto" w:fill="auto"/>
            <w:noWrap/>
            <w:vAlign w:val="center"/>
            <w:hideMark/>
          </w:tcPr>
          <w:p w14:paraId="03E8A83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0F88D99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21/01/2021</w:t>
            </w:r>
          </w:p>
        </w:tc>
        <w:tc>
          <w:tcPr>
            <w:tcW w:w="1559" w:type="dxa"/>
            <w:tcBorders>
              <w:top w:val="nil"/>
              <w:left w:val="nil"/>
              <w:bottom w:val="single" w:sz="4" w:space="0" w:color="auto"/>
              <w:right w:val="single" w:sz="4" w:space="0" w:color="auto"/>
            </w:tcBorders>
            <w:shd w:val="clear" w:color="auto" w:fill="auto"/>
            <w:noWrap/>
            <w:vAlign w:val="center"/>
            <w:hideMark/>
          </w:tcPr>
          <w:p w14:paraId="1010000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50DE9AC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06E5D7DC"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A96D28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Circular informativa</w:t>
            </w:r>
          </w:p>
        </w:tc>
        <w:tc>
          <w:tcPr>
            <w:tcW w:w="1246" w:type="dxa"/>
            <w:tcBorders>
              <w:top w:val="nil"/>
              <w:left w:val="nil"/>
              <w:bottom w:val="single" w:sz="4" w:space="0" w:color="auto"/>
              <w:right w:val="single" w:sz="4" w:space="0" w:color="auto"/>
            </w:tcBorders>
            <w:shd w:val="clear" w:color="auto" w:fill="auto"/>
            <w:vAlign w:val="center"/>
            <w:hideMark/>
          </w:tcPr>
          <w:p w14:paraId="4717B3C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2568F64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A7B8C71"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w:t>
            </w:r>
          </w:p>
        </w:tc>
        <w:tc>
          <w:tcPr>
            <w:tcW w:w="1495" w:type="dxa"/>
            <w:tcBorders>
              <w:top w:val="nil"/>
              <w:left w:val="nil"/>
              <w:bottom w:val="single" w:sz="4" w:space="0" w:color="auto"/>
              <w:right w:val="single" w:sz="4" w:space="0" w:color="auto"/>
            </w:tcBorders>
            <w:shd w:val="clear" w:color="auto" w:fill="auto"/>
            <w:noWrap/>
            <w:vAlign w:val="center"/>
            <w:hideMark/>
          </w:tcPr>
          <w:p w14:paraId="60C79BE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2020/G01_01/000117</w:t>
            </w:r>
          </w:p>
        </w:tc>
        <w:tc>
          <w:tcPr>
            <w:tcW w:w="2532" w:type="dxa"/>
            <w:tcBorders>
              <w:top w:val="nil"/>
              <w:left w:val="nil"/>
              <w:bottom w:val="single" w:sz="4" w:space="0" w:color="auto"/>
              <w:right w:val="single" w:sz="4" w:space="0" w:color="auto"/>
            </w:tcBorders>
            <w:shd w:val="clear" w:color="auto" w:fill="auto"/>
            <w:noWrap/>
            <w:vAlign w:val="center"/>
            <w:hideMark/>
          </w:tcPr>
          <w:p w14:paraId="64B4A00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Institut Valencià de Cultura</w:t>
            </w:r>
          </w:p>
        </w:tc>
        <w:tc>
          <w:tcPr>
            <w:tcW w:w="2760" w:type="dxa"/>
            <w:tcBorders>
              <w:top w:val="nil"/>
              <w:left w:val="nil"/>
              <w:bottom w:val="single" w:sz="4" w:space="0" w:color="auto"/>
              <w:right w:val="single" w:sz="4" w:space="0" w:color="auto"/>
            </w:tcBorders>
            <w:shd w:val="clear" w:color="auto" w:fill="auto"/>
            <w:noWrap/>
            <w:vAlign w:val="center"/>
            <w:hideMark/>
          </w:tcPr>
          <w:p w14:paraId="006BB50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3F0BFBB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26/01/2021</w:t>
            </w:r>
          </w:p>
        </w:tc>
        <w:tc>
          <w:tcPr>
            <w:tcW w:w="1559" w:type="dxa"/>
            <w:tcBorders>
              <w:top w:val="nil"/>
              <w:left w:val="nil"/>
              <w:bottom w:val="single" w:sz="4" w:space="0" w:color="auto"/>
              <w:right w:val="single" w:sz="4" w:space="0" w:color="auto"/>
            </w:tcBorders>
            <w:shd w:val="clear" w:color="auto" w:fill="auto"/>
            <w:noWrap/>
            <w:vAlign w:val="center"/>
            <w:hideMark/>
          </w:tcPr>
          <w:p w14:paraId="49C4B48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A4FBAC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FBD1C3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4EF4A9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acceptades</w:t>
            </w:r>
          </w:p>
        </w:tc>
        <w:tc>
          <w:tcPr>
            <w:tcW w:w="1246" w:type="dxa"/>
            <w:tcBorders>
              <w:top w:val="nil"/>
              <w:left w:val="nil"/>
              <w:bottom w:val="single" w:sz="4" w:space="0" w:color="auto"/>
              <w:right w:val="single" w:sz="4" w:space="0" w:color="auto"/>
            </w:tcBorders>
            <w:shd w:val="clear" w:color="auto" w:fill="auto"/>
            <w:vAlign w:val="center"/>
            <w:hideMark/>
          </w:tcPr>
          <w:p w14:paraId="3B0E0F2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Incompliment Recomanacions</w:t>
            </w:r>
          </w:p>
        </w:tc>
      </w:tr>
      <w:tr w:rsidR="00CE1C9E" w:rsidRPr="00CE1C9E" w14:paraId="27599DC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6BD0631"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w:t>
            </w:r>
          </w:p>
        </w:tc>
        <w:tc>
          <w:tcPr>
            <w:tcW w:w="1495" w:type="dxa"/>
            <w:tcBorders>
              <w:top w:val="nil"/>
              <w:left w:val="nil"/>
              <w:bottom w:val="single" w:sz="4" w:space="0" w:color="auto"/>
              <w:right w:val="single" w:sz="4" w:space="0" w:color="auto"/>
            </w:tcBorders>
            <w:shd w:val="clear" w:color="auto" w:fill="auto"/>
            <w:noWrap/>
            <w:vAlign w:val="center"/>
            <w:hideMark/>
          </w:tcPr>
          <w:p w14:paraId="5CA35E1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2020/G01_01/000216</w:t>
            </w:r>
          </w:p>
        </w:tc>
        <w:tc>
          <w:tcPr>
            <w:tcW w:w="2532" w:type="dxa"/>
            <w:tcBorders>
              <w:top w:val="nil"/>
              <w:left w:val="nil"/>
              <w:bottom w:val="single" w:sz="4" w:space="0" w:color="auto"/>
              <w:right w:val="single" w:sz="4" w:space="0" w:color="auto"/>
            </w:tcBorders>
            <w:shd w:val="clear" w:color="auto" w:fill="auto"/>
            <w:noWrap/>
            <w:vAlign w:val="center"/>
            <w:hideMark/>
          </w:tcPr>
          <w:p w14:paraId="025C8AF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Cofrentes</w:t>
            </w:r>
          </w:p>
        </w:tc>
        <w:tc>
          <w:tcPr>
            <w:tcW w:w="2760" w:type="dxa"/>
            <w:tcBorders>
              <w:top w:val="nil"/>
              <w:left w:val="nil"/>
              <w:bottom w:val="single" w:sz="4" w:space="0" w:color="auto"/>
              <w:right w:val="single" w:sz="4" w:space="0" w:color="auto"/>
            </w:tcBorders>
            <w:shd w:val="clear" w:color="auto" w:fill="auto"/>
            <w:noWrap/>
            <w:vAlign w:val="center"/>
            <w:hideMark/>
          </w:tcPr>
          <w:p w14:paraId="334C08F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06FFA58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27/01/2021</w:t>
            </w:r>
          </w:p>
        </w:tc>
        <w:tc>
          <w:tcPr>
            <w:tcW w:w="1559" w:type="dxa"/>
            <w:tcBorders>
              <w:top w:val="nil"/>
              <w:left w:val="nil"/>
              <w:bottom w:val="single" w:sz="4" w:space="0" w:color="auto"/>
              <w:right w:val="single" w:sz="4" w:space="0" w:color="auto"/>
            </w:tcBorders>
            <w:shd w:val="clear" w:color="auto" w:fill="auto"/>
            <w:noWrap/>
            <w:vAlign w:val="center"/>
            <w:hideMark/>
          </w:tcPr>
          <w:p w14:paraId="187ECBD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535EEB1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B6DD87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015A0B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acceptades</w:t>
            </w:r>
          </w:p>
        </w:tc>
        <w:tc>
          <w:tcPr>
            <w:tcW w:w="1246" w:type="dxa"/>
            <w:tcBorders>
              <w:top w:val="nil"/>
              <w:left w:val="nil"/>
              <w:bottom w:val="single" w:sz="4" w:space="0" w:color="auto"/>
              <w:right w:val="single" w:sz="4" w:space="0" w:color="auto"/>
            </w:tcBorders>
            <w:shd w:val="clear" w:color="auto" w:fill="auto"/>
            <w:vAlign w:val="center"/>
            <w:hideMark/>
          </w:tcPr>
          <w:p w14:paraId="18C3B73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Incompliment Recomanacions</w:t>
            </w:r>
          </w:p>
        </w:tc>
      </w:tr>
      <w:tr w:rsidR="00CE1C9E" w:rsidRPr="00CE1C9E" w14:paraId="7ACCE6FF"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407272D"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w:t>
            </w:r>
          </w:p>
        </w:tc>
        <w:tc>
          <w:tcPr>
            <w:tcW w:w="1495" w:type="dxa"/>
            <w:tcBorders>
              <w:top w:val="nil"/>
              <w:left w:val="nil"/>
              <w:bottom w:val="single" w:sz="4" w:space="0" w:color="auto"/>
              <w:right w:val="single" w:sz="4" w:space="0" w:color="auto"/>
            </w:tcBorders>
            <w:shd w:val="clear" w:color="auto" w:fill="auto"/>
            <w:noWrap/>
            <w:vAlign w:val="center"/>
            <w:hideMark/>
          </w:tcPr>
          <w:p w14:paraId="1176A63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2020/G01_01/000239</w:t>
            </w:r>
          </w:p>
        </w:tc>
        <w:tc>
          <w:tcPr>
            <w:tcW w:w="2532" w:type="dxa"/>
            <w:tcBorders>
              <w:top w:val="nil"/>
              <w:left w:val="nil"/>
              <w:bottom w:val="single" w:sz="4" w:space="0" w:color="auto"/>
              <w:right w:val="single" w:sz="4" w:space="0" w:color="auto"/>
            </w:tcBorders>
            <w:shd w:val="clear" w:color="auto" w:fill="auto"/>
            <w:noWrap/>
            <w:vAlign w:val="center"/>
            <w:hideMark/>
          </w:tcPr>
          <w:p w14:paraId="0FD26C2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168C29E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Contractació-encàrrec directe</w:t>
            </w:r>
          </w:p>
        </w:tc>
        <w:tc>
          <w:tcPr>
            <w:tcW w:w="926" w:type="dxa"/>
            <w:tcBorders>
              <w:top w:val="nil"/>
              <w:left w:val="nil"/>
              <w:bottom w:val="single" w:sz="4" w:space="0" w:color="auto"/>
              <w:right w:val="single" w:sz="4" w:space="0" w:color="auto"/>
            </w:tcBorders>
            <w:shd w:val="clear" w:color="auto" w:fill="auto"/>
            <w:noWrap/>
            <w:vAlign w:val="center"/>
            <w:hideMark/>
          </w:tcPr>
          <w:p w14:paraId="1A2F4D1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27/01/2021</w:t>
            </w:r>
          </w:p>
        </w:tc>
        <w:tc>
          <w:tcPr>
            <w:tcW w:w="1559" w:type="dxa"/>
            <w:tcBorders>
              <w:top w:val="nil"/>
              <w:left w:val="nil"/>
              <w:bottom w:val="single" w:sz="4" w:space="0" w:color="auto"/>
              <w:right w:val="single" w:sz="4" w:space="0" w:color="auto"/>
            </w:tcBorders>
            <w:shd w:val="clear" w:color="auto" w:fill="auto"/>
            <w:noWrap/>
            <w:vAlign w:val="center"/>
            <w:hideMark/>
          </w:tcPr>
          <w:p w14:paraId="23AC651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27AEC3A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524.905,59</w:t>
            </w:r>
          </w:p>
        </w:tc>
        <w:tc>
          <w:tcPr>
            <w:tcW w:w="992" w:type="dxa"/>
            <w:tcBorders>
              <w:top w:val="nil"/>
              <w:left w:val="nil"/>
              <w:bottom w:val="single" w:sz="4" w:space="0" w:color="auto"/>
              <w:right w:val="single" w:sz="4" w:space="0" w:color="auto"/>
            </w:tcBorders>
            <w:shd w:val="clear" w:color="auto" w:fill="auto"/>
            <w:noWrap/>
            <w:vAlign w:val="center"/>
            <w:hideMark/>
          </w:tcPr>
          <w:p w14:paraId="76949C2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524.905,59</w:t>
            </w:r>
          </w:p>
        </w:tc>
        <w:tc>
          <w:tcPr>
            <w:tcW w:w="1183" w:type="dxa"/>
            <w:tcBorders>
              <w:top w:val="nil"/>
              <w:left w:val="nil"/>
              <w:bottom w:val="single" w:sz="4" w:space="0" w:color="auto"/>
              <w:right w:val="single" w:sz="4" w:space="0" w:color="auto"/>
            </w:tcBorders>
            <w:shd w:val="clear" w:color="auto" w:fill="auto"/>
            <w:vAlign w:val="center"/>
            <w:hideMark/>
          </w:tcPr>
          <w:p w14:paraId="3E37971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75ACA1E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parcialment Recomanacions</w:t>
            </w:r>
          </w:p>
        </w:tc>
      </w:tr>
      <w:tr w:rsidR="00CE1C9E" w:rsidRPr="00CE1C9E" w14:paraId="0BBB789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1C6C60A"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w:t>
            </w:r>
          </w:p>
        </w:tc>
        <w:tc>
          <w:tcPr>
            <w:tcW w:w="1495" w:type="dxa"/>
            <w:tcBorders>
              <w:top w:val="nil"/>
              <w:left w:val="nil"/>
              <w:bottom w:val="single" w:sz="4" w:space="0" w:color="auto"/>
              <w:right w:val="single" w:sz="4" w:space="0" w:color="auto"/>
            </w:tcBorders>
            <w:shd w:val="clear" w:color="auto" w:fill="auto"/>
            <w:noWrap/>
            <w:vAlign w:val="center"/>
            <w:hideMark/>
          </w:tcPr>
          <w:p w14:paraId="61A83BC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2020/G01_01/000006</w:t>
            </w:r>
          </w:p>
        </w:tc>
        <w:tc>
          <w:tcPr>
            <w:tcW w:w="2532" w:type="dxa"/>
            <w:tcBorders>
              <w:top w:val="nil"/>
              <w:left w:val="nil"/>
              <w:bottom w:val="single" w:sz="4" w:space="0" w:color="auto"/>
              <w:right w:val="single" w:sz="4" w:space="0" w:color="auto"/>
            </w:tcBorders>
            <w:shd w:val="clear" w:color="auto" w:fill="auto"/>
            <w:noWrap/>
            <w:vAlign w:val="center"/>
            <w:hideMark/>
          </w:tcPr>
          <w:p w14:paraId="0E0A52C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Cullera</w:t>
            </w:r>
          </w:p>
        </w:tc>
        <w:tc>
          <w:tcPr>
            <w:tcW w:w="2760" w:type="dxa"/>
            <w:tcBorders>
              <w:top w:val="nil"/>
              <w:left w:val="nil"/>
              <w:bottom w:val="single" w:sz="4" w:space="0" w:color="auto"/>
              <w:right w:val="single" w:sz="4" w:space="0" w:color="auto"/>
            </w:tcBorders>
            <w:shd w:val="clear" w:color="auto" w:fill="auto"/>
            <w:noWrap/>
            <w:vAlign w:val="center"/>
            <w:hideMark/>
          </w:tcPr>
          <w:p w14:paraId="3D1778E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4887495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09/02/2021</w:t>
            </w:r>
          </w:p>
        </w:tc>
        <w:tc>
          <w:tcPr>
            <w:tcW w:w="1559" w:type="dxa"/>
            <w:tcBorders>
              <w:top w:val="nil"/>
              <w:left w:val="nil"/>
              <w:bottom w:val="single" w:sz="4" w:space="0" w:color="auto"/>
              <w:right w:val="single" w:sz="4" w:space="0" w:color="auto"/>
            </w:tcBorders>
            <w:shd w:val="clear" w:color="auto" w:fill="auto"/>
            <w:noWrap/>
            <w:vAlign w:val="center"/>
            <w:hideMark/>
          </w:tcPr>
          <w:p w14:paraId="091519E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99036A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C8C3AF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ABF015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acceptades</w:t>
            </w:r>
          </w:p>
        </w:tc>
        <w:tc>
          <w:tcPr>
            <w:tcW w:w="1246" w:type="dxa"/>
            <w:tcBorders>
              <w:top w:val="nil"/>
              <w:left w:val="nil"/>
              <w:bottom w:val="single" w:sz="4" w:space="0" w:color="auto"/>
              <w:right w:val="single" w:sz="4" w:space="0" w:color="auto"/>
            </w:tcBorders>
            <w:shd w:val="clear" w:color="auto" w:fill="auto"/>
            <w:vAlign w:val="center"/>
            <w:hideMark/>
          </w:tcPr>
          <w:p w14:paraId="7CA2C70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Incompliment Recomanacions</w:t>
            </w:r>
          </w:p>
        </w:tc>
      </w:tr>
      <w:tr w:rsidR="00CE1C9E" w:rsidRPr="00CE1C9E" w14:paraId="649EE3FE"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20E39A9"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7</w:t>
            </w:r>
          </w:p>
        </w:tc>
        <w:tc>
          <w:tcPr>
            <w:tcW w:w="1495" w:type="dxa"/>
            <w:tcBorders>
              <w:top w:val="nil"/>
              <w:left w:val="nil"/>
              <w:bottom w:val="single" w:sz="4" w:space="0" w:color="auto"/>
              <w:right w:val="single" w:sz="4" w:space="0" w:color="auto"/>
            </w:tcBorders>
            <w:shd w:val="clear" w:color="auto" w:fill="auto"/>
            <w:noWrap/>
            <w:vAlign w:val="center"/>
            <w:hideMark/>
          </w:tcPr>
          <w:p w14:paraId="66C6C51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2020/G01_01/000256</w:t>
            </w:r>
          </w:p>
        </w:tc>
        <w:tc>
          <w:tcPr>
            <w:tcW w:w="2532" w:type="dxa"/>
            <w:tcBorders>
              <w:top w:val="nil"/>
              <w:left w:val="nil"/>
              <w:bottom w:val="single" w:sz="4" w:space="0" w:color="auto"/>
              <w:right w:val="single" w:sz="4" w:space="0" w:color="auto"/>
            </w:tcBorders>
            <w:shd w:val="clear" w:color="auto" w:fill="auto"/>
            <w:noWrap/>
            <w:vAlign w:val="center"/>
            <w:hideMark/>
          </w:tcPr>
          <w:p w14:paraId="7283BBC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Rojales</w:t>
            </w:r>
          </w:p>
        </w:tc>
        <w:tc>
          <w:tcPr>
            <w:tcW w:w="2760" w:type="dxa"/>
            <w:tcBorders>
              <w:top w:val="nil"/>
              <w:left w:val="nil"/>
              <w:bottom w:val="single" w:sz="4" w:space="0" w:color="auto"/>
              <w:right w:val="single" w:sz="4" w:space="0" w:color="auto"/>
            </w:tcBorders>
            <w:shd w:val="clear" w:color="auto" w:fill="auto"/>
            <w:noWrap/>
            <w:vAlign w:val="center"/>
            <w:hideMark/>
          </w:tcPr>
          <w:p w14:paraId="42C7928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humans_retribucions</w:t>
            </w:r>
          </w:p>
        </w:tc>
        <w:tc>
          <w:tcPr>
            <w:tcW w:w="926" w:type="dxa"/>
            <w:tcBorders>
              <w:top w:val="nil"/>
              <w:left w:val="nil"/>
              <w:bottom w:val="single" w:sz="4" w:space="0" w:color="auto"/>
              <w:right w:val="single" w:sz="4" w:space="0" w:color="auto"/>
            </w:tcBorders>
            <w:shd w:val="clear" w:color="auto" w:fill="auto"/>
            <w:noWrap/>
            <w:vAlign w:val="center"/>
            <w:hideMark/>
          </w:tcPr>
          <w:p w14:paraId="7D4CA7E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17/02/2021</w:t>
            </w:r>
          </w:p>
        </w:tc>
        <w:tc>
          <w:tcPr>
            <w:tcW w:w="1559" w:type="dxa"/>
            <w:tcBorders>
              <w:top w:val="nil"/>
              <w:left w:val="nil"/>
              <w:bottom w:val="single" w:sz="4" w:space="0" w:color="auto"/>
              <w:right w:val="single" w:sz="4" w:space="0" w:color="auto"/>
            </w:tcBorders>
            <w:shd w:val="clear" w:color="auto" w:fill="auto"/>
            <w:noWrap/>
            <w:vAlign w:val="center"/>
            <w:hideMark/>
          </w:tcPr>
          <w:p w14:paraId="00D1E32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F03CC1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FB9A3C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FCC5C8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RPT</w:t>
            </w:r>
          </w:p>
        </w:tc>
        <w:tc>
          <w:tcPr>
            <w:tcW w:w="1246" w:type="dxa"/>
            <w:tcBorders>
              <w:top w:val="nil"/>
              <w:left w:val="nil"/>
              <w:bottom w:val="single" w:sz="4" w:space="0" w:color="auto"/>
              <w:right w:val="single" w:sz="4" w:space="0" w:color="auto"/>
            </w:tcBorders>
            <w:shd w:val="clear" w:color="auto" w:fill="auto"/>
            <w:vAlign w:val="center"/>
            <w:hideMark/>
          </w:tcPr>
          <w:p w14:paraId="4E06595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7C3BA407"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E9D6708"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8</w:t>
            </w:r>
          </w:p>
        </w:tc>
        <w:tc>
          <w:tcPr>
            <w:tcW w:w="1495" w:type="dxa"/>
            <w:tcBorders>
              <w:top w:val="nil"/>
              <w:left w:val="nil"/>
              <w:bottom w:val="single" w:sz="4" w:space="0" w:color="auto"/>
              <w:right w:val="single" w:sz="4" w:space="0" w:color="auto"/>
            </w:tcBorders>
            <w:shd w:val="clear" w:color="auto" w:fill="auto"/>
            <w:noWrap/>
            <w:vAlign w:val="center"/>
            <w:hideMark/>
          </w:tcPr>
          <w:p w14:paraId="37867CF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2020/G01_01/000161</w:t>
            </w:r>
          </w:p>
        </w:tc>
        <w:tc>
          <w:tcPr>
            <w:tcW w:w="2532" w:type="dxa"/>
            <w:tcBorders>
              <w:top w:val="nil"/>
              <w:left w:val="nil"/>
              <w:bottom w:val="single" w:sz="4" w:space="0" w:color="auto"/>
              <w:right w:val="single" w:sz="4" w:space="0" w:color="auto"/>
            </w:tcBorders>
            <w:shd w:val="clear" w:color="auto" w:fill="auto"/>
            <w:noWrap/>
            <w:vAlign w:val="center"/>
            <w:hideMark/>
          </w:tcPr>
          <w:p w14:paraId="3D75E30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Camporrobles</w:t>
            </w:r>
          </w:p>
        </w:tc>
        <w:tc>
          <w:tcPr>
            <w:tcW w:w="2760" w:type="dxa"/>
            <w:tcBorders>
              <w:top w:val="nil"/>
              <w:left w:val="nil"/>
              <w:bottom w:val="single" w:sz="4" w:space="0" w:color="auto"/>
              <w:right w:val="single" w:sz="4" w:space="0" w:color="auto"/>
            </w:tcBorders>
            <w:shd w:val="clear" w:color="auto" w:fill="auto"/>
            <w:noWrap/>
            <w:vAlign w:val="center"/>
            <w:hideMark/>
          </w:tcPr>
          <w:p w14:paraId="6E92892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06A5B88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23/02/2021</w:t>
            </w:r>
          </w:p>
        </w:tc>
        <w:tc>
          <w:tcPr>
            <w:tcW w:w="1559" w:type="dxa"/>
            <w:tcBorders>
              <w:top w:val="nil"/>
              <w:left w:val="nil"/>
              <w:bottom w:val="single" w:sz="4" w:space="0" w:color="auto"/>
              <w:right w:val="single" w:sz="4" w:space="0" w:color="auto"/>
            </w:tcBorders>
            <w:shd w:val="clear" w:color="auto" w:fill="auto"/>
            <w:noWrap/>
            <w:vAlign w:val="center"/>
            <w:hideMark/>
          </w:tcPr>
          <w:p w14:paraId="1EA4CE9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3397200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7B4487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A4DDA1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7B4C02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278BAAF2"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7108BE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9</w:t>
            </w:r>
          </w:p>
        </w:tc>
        <w:tc>
          <w:tcPr>
            <w:tcW w:w="1495" w:type="dxa"/>
            <w:tcBorders>
              <w:top w:val="nil"/>
              <w:left w:val="nil"/>
              <w:bottom w:val="single" w:sz="4" w:space="0" w:color="auto"/>
              <w:right w:val="single" w:sz="4" w:space="0" w:color="auto"/>
            </w:tcBorders>
            <w:shd w:val="clear" w:color="auto" w:fill="auto"/>
            <w:noWrap/>
            <w:vAlign w:val="center"/>
            <w:hideMark/>
          </w:tcPr>
          <w:p w14:paraId="70D4751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2020/G01_01/000013</w:t>
            </w:r>
          </w:p>
        </w:tc>
        <w:tc>
          <w:tcPr>
            <w:tcW w:w="2532" w:type="dxa"/>
            <w:tcBorders>
              <w:top w:val="nil"/>
              <w:left w:val="nil"/>
              <w:bottom w:val="single" w:sz="4" w:space="0" w:color="auto"/>
              <w:right w:val="single" w:sz="4" w:space="0" w:color="auto"/>
            </w:tcBorders>
            <w:shd w:val="clear" w:color="auto" w:fill="auto"/>
            <w:noWrap/>
            <w:vAlign w:val="center"/>
            <w:hideMark/>
          </w:tcPr>
          <w:p w14:paraId="219CA81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11E9E8D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Subvencions</w:t>
            </w:r>
          </w:p>
        </w:tc>
        <w:tc>
          <w:tcPr>
            <w:tcW w:w="926" w:type="dxa"/>
            <w:tcBorders>
              <w:top w:val="nil"/>
              <w:left w:val="nil"/>
              <w:bottom w:val="single" w:sz="4" w:space="0" w:color="auto"/>
              <w:right w:val="single" w:sz="4" w:space="0" w:color="auto"/>
            </w:tcBorders>
            <w:shd w:val="clear" w:color="auto" w:fill="auto"/>
            <w:noWrap/>
            <w:vAlign w:val="center"/>
            <w:hideMark/>
          </w:tcPr>
          <w:p w14:paraId="5596D34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24/02/2021</w:t>
            </w:r>
          </w:p>
        </w:tc>
        <w:tc>
          <w:tcPr>
            <w:tcW w:w="1559" w:type="dxa"/>
            <w:tcBorders>
              <w:top w:val="nil"/>
              <w:left w:val="nil"/>
              <w:bottom w:val="single" w:sz="4" w:space="0" w:color="auto"/>
              <w:right w:val="single" w:sz="4" w:space="0" w:color="auto"/>
            </w:tcBorders>
            <w:shd w:val="clear" w:color="auto" w:fill="auto"/>
            <w:noWrap/>
            <w:vAlign w:val="center"/>
            <w:hideMark/>
          </w:tcPr>
          <w:p w14:paraId="1633393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462682D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E77459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0B625A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acceptades</w:t>
            </w:r>
          </w:p>
        </w:tc>
        <w:tc>
          <w:tcPr>
            <w:tcW w:w="1246" w:type="dxa"/>
            <w:tcBorders>
              <w:top w:val="nil"/>
              <w:left w:val="nil"/>
              <w:bottom w:val="single" w:sz="4" w:space="0" w:color="auto"/>
              <w:right w:val="single" w:sz="4" w:space="0" w:color="auto"/>
            </w:tcBorders>
            <w:shd w:val="clear" w:color="auto" w:fill="auto"/>
            <w:vAlign w:val="center"/>
            <w:hideMark/>
          </w:tcPr>
          <w:p w14:paraId="76D0139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Incompliment Recomanacions</w:t>
            </w:r>
          </w:p>
        </w:tc>
      </w:tr>
      <w:tr w:rsidR="00CE1C9E" w:rsidRPr="00CE1C9E" w14:paraId="3B20CE2B"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429D6C3"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10</w:t>
            </w:r>
          </w:p>
        </w:tc>
        <w:tc>
          <w:tcPr>
            <w:tcW w:w="1495" w:type="dxa"/>
            <w:tcBorders>
              <w:top w:val="nil"/>
              <w:left w:val="nil"/>
              <w:bottom w:val="single" w:sz="4" w:space="0" w:color="auto"/>
              <w:right w:val="single" w:sz="4" w:space="0" w:color="auto"/>
            </w:tcBorders>
            <w:shd w:val="clear" w:color="auto" w:fill="auto"/>
            <w:noWrap/>
            <w:vAlign w:val="center"/>
            <w:hideMark/>
          </w:tcPr>
          <w:p w14:paraId="4420D04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2020/G01_01/000251</w:t>
            </w:r>
          </w:p>
        </w:tc>
        <w:tc>
          <w:tcPr>
            <w:tcW w:w="2532" w:type="dxa"/>
            <w:tcBorders>
              <w:top w:val="nil"/>
              <w:left w:val="nil"/>
              <w:bottom w:val="single" w:sz="4" w:space="0" w:color="auto"/>
              <w:right w:val="single" w:sz="4" w:space="0" w:color="auto"/>
            </w:tcBorders>
            <w:shd w:val="clear" w:color="auto" w:fill="auto"/>
            <w:noWrap/>
            <w:vAlign w:val="center"/>
            <w:hideMark/>
          </w:tcPr>
          <w:p w14:paraId="39E4158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Rojales</w:t>
            </w:r>
          </w:p>
        </w:tc>
        <w:tc>
          <w:tcPr>
            <w:tcW w:w="2760" w:type="dxa"/>
            <w:tcBorders>
              <w:top w:val="nil"/>
              <w:left w:val="nil"/>
              <w:bottom w:val="single" w:sz="4" w:space="0" w:color="auto"/>
              <w:right w:val="single" w:sz="4" w:space="0" w:color="auto"/>
            </w:tcBorders>
            <w:shd w:val="clear" w:color="auto" w:fill="auto"/>
            <w:noWrap/>
            <w:vAlign w:val="center"/>
            <w:hideMark/>
          </w:tcPr>
          <w:p w14:paraId="7E1ACA09" w14:textId="77777777" w:rsidR="00CE1C9E" w:rsidRPr="00CE1C9E" w:rsidRDefault="00CE1C9E" w:rsidP="00CE1C9E">
            <w:pPr>
              <w:spacing w:before="60" w:after="60"/>
              <w:rPr>
                <w:rFonts w:ascii="Arial" w:eastAsia="Times New Roman" w:hAnsi="Arial"/>
                <w:color w:val="000000"/>
                <w:sz w:val="14"/>
                <w:szCs w:val="14"/>
                <w:lang w:eastAsia="es-ES"/>
              </w:rPr>
            </w:pPr>
          </w:p>
        </w:tc>
        <w:tc>
          <w:tcPr>
            <w:tcW w:w="926" w:type="dxa"/>
            <w:tcBorders>
              <w:top w:val="nil"/>
              <w:left w:val="nil"/>
              <w:bottom w:val="single" w:sz="4" w:space="0" w:color="auto"/>
              <w:right w:val="single" w:sz="4" w:space="0" w:color="auto"/>
            </w:tcBorders>
            <w:shd w:val="clear" w:color="auto" w:fill="auto"/>
            <w:noWrap/>
            <w:vAlign w:val="center"/>
            <w:hideMark/>
          </w:tcPr>
          <w:p w14:paraId="64C5ADFC"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01/03/2021</w:t>
            </w:r>
          </w:p>
        </w:tc>
        <w:tc>
          <w:tcPr>
            <w:tcW w:w="1559" w:type="dxa"/>
            <w:tcBorders>
              <w:top w:val="nil"/>
              <w:left w:val="nil"/>
              <w:bottom w:val="single" w:sz="4" w:space="0" w:color="auto"/>
              <w:right w:val="single" w:sz="4" w:space="0" w:color="auto"/>
            </w:tcBorders>
            <w:shd w:val="clear" w:color="auto" w:fill="auto"/>
            <w:noWrap/>
            <w:vAlign w:val="center"/>
            <w:hideMark/>
          </w:tcPr>
          <w:p w14:paraId="0EB079F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23447F6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5D9725C"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204ED4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Contractació</w:t>
            </w:r>
          </w:p>
        </w:tc>
        <w:tc>
          <w:tcPr>
            <w:tcW w:w="1246" w:type="dxa"/>
            <w:tcBorders>
              <w:top w:val="nil"/>
              <w:left w:val="nil"/>
              <w:bottom w:val="single" w:sz="4" w:space="0" w:color="auto"/>
              <w:right w:val="single" w:sz="4" w:space="0" w:color="auto"/>
            </w:tcBorders>
            <w:shd w:val="clear" w:color="auto" w:fill="auto"/>
            <w:vAlign w:val="center"/>
            <w:hideMark/>
          </w:tcPr>
          <w:p w14:paraId="220F2C3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0BDBE2C1"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4920F53"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11</w:t>
            </w:r>
          </w:p>
        </w:tc>
        <w:tc>
          <w:tcPr>
            <w:tcW w:w="1495" w:type="dxa"/>
            <w:tcBorders>
              <w:top w:val="nil"/>
              <w:left w:val="nil"/>
              <w:bottom w:val="single" w:sz="4" w:space="0" w:color="auto"/>
              <w:right w:val="single" w:sz="4" w:space="0" w:color="auto"/>
            </w:tcBorders>
            <w:shd w:val="clear" w:color="auto" w:fill="auto"/>
            <w:noWrap/>
            <w:vAlign w:val="center"/>
            <w:hideMark/>
          </w:tcPr>
          <w:p w14:paraId="2262DCD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2020/G01_01/000071</w:t>
            </w:r>
          </w:p>
        </w:tc>
        <w:tc>
          <w:tcPr>
            <w:tcW w:w="2532" w:type="dxa"/>
            <w:tcBorders>
              <w:top w:val="nil"/>
              <w:left w:val="nil"/>
              <w:bottom w:val="single" w:sz="4" w:space="0" w:color="auto"/>
              <w:right w:val="single" w:sz="4" w:space="0" w:color="auto"/>
            </w:tcBorders>
            <w:shd w:val="clear" w:color="auto" w:fill="auto"/>
            <w:noWrap/>
            <w:vAlign w:val="center"/>
            <w:hideMark/>
          </w:tcPr>
          <w:p w14:paraId="45BED6F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OAM Parcs i Jardins València</w:t>
            </w:r>
          </w:p>
        </w:tc>
        <w:tc>
          <w:tcPr>
            <w:tcW w:w="2760" w:type="dxa"/>
            <w:tcBorders>
              <w:top w:val="nil"/>
              <w:left w:val="nil"/>
              <w:bottom w:val="single" w:sz="4" w:space="0" w:color="auto"/>
              <w:right w:val="single" w:sz="4" w:space="0" w:color="auto"/>
            </w:tcBorders>
            <w:shd w:val="clear" w:color="auto" w:fill="auto"/>
            <w:noWrap/>
            <w:vAlign w:val="center"/>
            <w:hideMark/>
          </w:tcPr>
          <w:p w14:paraId="454A41D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4CCC82B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04/03/2021</w:t>
            </w:r>
          </w:p>
        </w:tc>
        <w:tc>
          <w:tcPr>
            <w:tcW w:w="1559" w:type="dxa"/>
            <w:tcBorders>
              <w:top w:val="nil"/>
              <w:left w:val="nil"/>
              <w:bottom w:val="single" w:sz="4" w:space="0" w:color="auto"/>
              <w:right w:val="single" w:sz="4" w:space="0" w:color="auto"/>
            </w:tcBorders>
            <w:shd w:val="clear" w:color="auto" w:fill="auto"/>
            <w:noWrap/>
            <w:vAlign w:val="center"/>
            <w:hideMark/>
          </w:tcPr>
          <w:p w14:paraId="5CC057E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59F8876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E6EDEB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E62248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Contractació</w:t>
            </w:r>
          </w:p>
        </w:tc>
        <w:tc>
          <w:tcPr>
            <w:tcW w:w="1246" w:type="dxa"/>
            <w:tcBorders>
              <w:top w:val="nil"/>
              <w:left w:val="nil"/>
              <w:bottom w:val="single" w:sz="4" w:space="0" w:color="auto"/>
              <w:right w:val="single" w:sz="4" w:space="0" w:color="auto"/>
            </w:tcBorders>
            <w:shd w:val="clear" w:color="auto" w:fill="auto"/>
            <w:vAlign w:val="center"/>
            <w:hideMark/>
          </w:tcPr>
          <w:p w14:paraId="4621703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269498C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D96ACA1"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12</w:t>
            </w:r>
          </w:p>
        </w:tc>
        <w:tc>
          <w:tcPr>
            <w:tcW w:w="1495" w:type="dxa"/>
            <w:tcBorders>
              <w:top w:val="nil"/>
              <w:left w:val="nil"/>
              <w:bottom w:val="single" w:sz="4" w:space="0" w:color="auto"/>
              <w:right w:val="single" w:sz="4" w:space="0" w:color="auto"/>
            </w:tcBorders>
            <w:shd w:val="clear" w:color="auto" w:fill="auto"/>
            <w:noWrap/>
            <w:vAlign w:val="center"/>
            <w:hideMark/>
          </w:tcPr>
          <w:p w14:paraId="68695DE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2020/G01_01/000171</w:t>
            </w:r>
          </w:p>
        </w:tc>
        <w:tc>
          <w:tcPr>
            <w:tcW w:w="2532" w:type="dxa"/>
            <w:tcBorders>
              <w:top w:val="nil"/>
              <w:left w:val="nil"/>
              <w:bottom w:val="single" w:sz="4" w:space="0" w:color="auto"/>
              <w:right w:val="single" w:sz="4" w:space="0" w:color="auto"/>
            </w:tcBorders>
            <w:shd w:val="clear" w:color="auto" w:fill="auto"/>
            <w:noWrap/>
            <w:vAlign w:val="center"/>
            <w:hideMark/>
          </w:tcPr>
          <w:p w14:paraId="2D44305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Callosa de Segura</w:t>
            </w:r>
          </w:p>
        </w:tc>
        <w:tc>
          <w:tcPr>
            <w:tcW w:w="2760" w:type="dxa"/>
            <w:tcBorders>
              <w:top w:val="nil"/>
              <w:left w:val="nil"/>
              <w:bottom w:val="single" w:sz="4" w:space="0" w:color="auto"/>
              <w:right w:val="single" w:sz="4" w:space="0" w:color="auto"/>
            </w:tcBorders>
            <w:shd w:val="clear" w:color="auto" w:fill="auto"/>
            <w:noWrap/>
            <w:vAlign w:val="center"/>
            <w:hideMark/>
          </w:tcPr>
          <w:p w14:paraId="2BFFA07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08BC092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04/03/2021</w:t>
            </w:r>
          </w:p>
        </w:tc>
        <w:tc>
          <w:tcPr>
            <w:tcW w:w="1559" w:type="dxa"/>
            <w:tcBorders>
              <w:top w:val="nil"/>
              <w:left w:val="nil"/>
              <w:bottom w:val="single" w:sz="4" w:space="0" w:color="auto"/>
              <w:right w:val="single" w:sz="4" w:space="0" w:color="auto"/>
            </w:tcBorders>
            <w:shd w:val="clear" w:color="auto" w:fill="auto"/>
            <w:noWrap/>
            <w:vAlign w:val="center"/>
            <w:hideMark/>
          </w:tcPr>
          <w:p w14:paraId="30B772F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8C2FD4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B7B241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E24995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D1C6D2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3BDB31B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DB61729"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13</w:t>
            </w:r>
          </w:p>
        </w:tc>
        <w:tc>
          <w:tcPr>
            <w:tcW w:w="1495" w:type="dxa"/>
            <w:tcBorders>
              <w:top w:val="nil"/>
              <w:left w:val="nil"/>
              <w:bottom w:val="single" w:sz="4" w:space="0" w:color="auto"/>
              <w:right w:val="single" w:sz="4" w:space="0" w:color="auto"/>
            </w:tcBorders>
            <w:shd w:val="clear" w:color="auto" w:fill="auto"/>
            <w:noWrap/>
            <w:vAlign w:val="center"/>
            <w:hideMark/>
          </w:tcPr>
          <w:p w14:paraId="3DA345F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2020/G01_01/000016</w:t>
            </w:r>
          </w:p>
        </w:tc>
        <w:tc>
          <w:tcPr>
            <w:tcW w:w="2532" w:type="dxa"/>
            <w:tcBorders>
              <w:top w:val="nil"/>
              <w:left w:val="nil"/>
              <w:bottom w:val="single" w:sz="4" w:space="0" w:color="auto"/>
              <w:right w:val="single" w:sz="4" w:space="0" w:color="auto"/>
            </w:tcBorders>
            <w:shd w:val="clear" w:color="auto" w:fill="auto"/>
            <w:noWrap/>
            <w:vAlign w:val="center"/>
            <w:hideMark/>
          </w:tcPr>
          <w:p w14:paraId="3BBF751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Calp</w:t>
            </w:r>
          </w:p>
        </w:tc>
        <w:tc>
          <w:tcPr>
            <w:tcW w:w="2760" w:type="dxa"/>
            <w:tcBorders>
              <w:top w:val="nil"/>
              <w:left w:val="nil"/>
              <w:bottom w:val="single" w:sz="4" w:space="0" w:color="auto"/>
              <w:right w:val="single" w:sz="4" w:space="0" w:color="auto"/>
            </w:tcBorders>
            <w:shd w:val="clear" w:color="auto" w:fill="auto"/>
            <w:noWrap/>
            <w:vAlign w:val="center"/>
            <w:hideMark/>
          </w:tcPr>
          <w:p w14:paraId="3AFC9A5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Contractació-subvencions</w:t>
            </w:r>
          </w:p>
        </w:tc>
        <w:tc>
          <w:tcPr>
            <w:tcW w:w="926" w:type="dxa"/>
            <w:tcBorders>
              <w:top w:val="nil"/>
              <w:left w:val="nil"/>
              <w:bottom w:val="single" w:sz="4" w:space="0" w:color="auto"/>
              <w:right w:val="single" w:sz="4" w:space="0" w:color="auto"/>
            </w:tcBorders>
            <w:shd w:val="clear" w:color="auto" w:fill="auto"/>
            <w:noWrap/>
            <w:vAlign w:val="center"/>
            <w:hideMark/>
          </w:tcPr>
          <w:p w14:paraId="07BA26B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08/03/2021</w:t>
            </w:r>
          </w:p>
        </w:tc>
        <w:tc>
          <w:tcPr>
            <w:tcW w:w="1559" w:type="dxa"/>
            <w:tcBorders>
              <w:top w:val="nil"/>
              <w:left w:val="nil"/>
              <w:bottom w:val="single" w:sz="4" w:space="0" w:color="auto"/>
              <w:right w:val="single" w:sz="4" w:space="0" w:color="auto"/>
            </w:tcBorders>
            <w:shd w:val="clear" w:color="auto" w:fill="auto"/>
            <w:noWrap/>
            <w:vAlign w:val="center"/>
            <w:hideMark/>
          </w:tcPr>
          <w:p w14:paraId="0B6D1BC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3CF18C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AF562D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2DD3A3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Contractació</w:t>
            </w:r>
          </w:p>
        </w:tc>
        <w:tc>
          <w:tcPr>
            <w:tcW w:w="1246" w:type="dxa"/>
            <w:tcBorders>
              <w:top w:val="nil"/>
              <w:left w:val="nil"/>
              <w:bottom w:val="single" w:sz="4" w:space="0" w:color="auto"/>
              <w:right w:val="single" w:sz="4" w:space="0" w:color="auto"/>
            </w:tcBorders>
            <w:shd w:val="clear" w:color="auto" w:fill="auto"/>
            <w:vAlign w:val="center"/>
            <w:hideMark/>
          </w:tcPr>
          <w:p w14:paraId="5C0EB8F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parcialment Recomanacions</w:t>
            </w:r>
          </w:p>
        </w:tc>
      </w:tr>
      <w:tr w:rsidR="00CE1C9E" w:rsidRPr="00CE1C9E" w14:paraId="451F0CE7"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30F7D6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14</w:t>
            </w:r>
          </w:p>
        </w:tc>
        <w:tc>
          <w:tcPr>
            <w:tcW w:w="1495" w:type="dxa"/>
            <w:tcBorders>
              <w:top w:val="nil"/>
              <w:left w:val="nil"/>
              <w:bottom w:val="single" w:sz="4" w:space="0" w:color="auto"/>
              <w:right w:val="single" w:sz="4" w:space="0" w:color="auto"/>
            </w:tcBorders>
            <w:shd w:val="clear" w:color="auto" w:fill="auto"/>
            <w:noWrap/>
            <w:vAlign w:val="center"/>
            <w:hideMark/>
          </w:tcPr>
          <w:p w14:paraId="644B4B5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2020/G01_01/000298</w:t>
            </w:r>
          </w:p>
        </w:tc>
        <w:tc>
          <w:tcPr>
            <w:tcW w:w="2532" w:type="dxa"/>
            <w:tcBorders>
              <w:top w:val="nil"/>
              <w:left w:val="nil"/>
              <w:bottom w:val="single" w:sz="4" w:space="0" w:color="auto"/>
              <w:right w:val="single" w:sz="4" w:space="0" w:color="auto"/>
            </w:tcBorders>
            <w:shd w:val="clear" w:color="auto" w:fill="auto"/>
            <w:noWrap/>
            <w:vAlign w:val="center"/>
            <w:hideMark/>
          </w:tcPr>
          <w:p w14:paraId="3795F77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Cofrentes</w:t>
            </w:r>
          </w:p>
        </w:tc>
        <w:tc>
          <w:tcPr>
            <w:tcW w:w="2760" w:type="dxa"/>
            <w:tcBorders>
              <w:top w:val="nil"/>
              <w:left w:val="nil"/>
              <w:bottom w:val="single" w:sz="4" w:space="0" w:color="auto"/>
              <w:right w:val="single" w:sz="4" w:space="0" w:color="auto"/>
            </w:tcBorders>
            <w:shd w:val="clear" w:color="auto" w:fill="auto"/>
            <w:noWrap/>
            <w:vAlign w:val="center"/>
            <w:hideMark/>
          </w:tcPr>
          <w:p w14:paraId="0F424B5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7D50552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16/03/2021</w:t>
            </w:r>
          </w:p>
        </w:tc>
        <w:tc>
          <w:tcPr>
            <w:tcW w:w="1559" w:type="dxa"/>
            <w:tcBorders>
              <w:top w:val="nil"/>
              <w:left w:val="nil"/>
              <w:bottom w:val="single" w:sz="4" w:space="0" w:color="auto"/>
              <w:right w:val="single" w:sz="4" w:space="0" w:color="auto"/>
            </w:tcBorders>
            <w:shd w:val="clear" w:color="auto" w:fill="auto"/>
            <w:noWrap/>
            <w:vAlign w:val="center"/>
            <w:hideMark/>
          </w:tcPr>
          <w:p w14:paraId="0DDF237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445F661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ADD4BF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6B9008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255154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6751A82F"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33EE357"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15</w:t>
            </w:r>
          </w:p>
        </w:tc>
        <w:tc>
          <w:tcPr>
            <w:tcW w:w="1495" w:type="dxa"/>
            <w:tcBorders>
              <w:top w:val="nil"/>
              <w:left w:val="nil"/>
              <w:bottom w:val="single" w:sz="4" w:space="0" w:color="auto"/>
              <w:right w:val="single" w:sz="4" w:space="0" w:color="auto"/>
            </w:tcBorders>
            <w:shd w:val="clear" w:color="auto" w:fill="auto"/>
            <w:noWrap/>
            <w:vAlign w:val="center"/>
            <w:hideMark/>
          </w:tcPr>
          <w:p w14:paraId="2EA4704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2020/G01_01/000371</w:t>
            </w:r>
          </w:p>
        </w:tc>
        <w:tc>
          <w:tcPr>
            <w:tcW w:w="2532" w:type="dxa"/>
            <w:tcBorders>
              <w:top w:val="nil"/>
              <w:left w:val="nil"/>
              <w:bottom w:val="single" w:sz="4" w:space="0" w:color="auto"/>
              <w:right w:val="single" w:sz="4" w:space="0" w:color="auto"/>
            </w:tcBorders>
            <w:shd w:val="clear" w:color="auto" w:fill="auto"/>
            <w:noWrap/>
            <w:vAlign w:val="center"/>
            <w:hideMark/>
          </w:tcPr>
          <w:p w14:paraId="7573137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Divalterra</w:t>
            </w:r>
          </w:p>
        </w:tc>
        <w:tc>
          <w:tcPr>
            <w:tcW w:w="2760" w:type="dxa"/>
            <w:tcBorders>
              <w:top w:val="nil"/>
              <w:left w:val="nil"/>
              <w:bottom w:val="single" w:sz="4" w:space="0" w:color="auto"/>
              <w:right w:val="single" w:sz="4" w:space="0" w:color="auto"/>
            </w:tcBorders>
            <w:shd w:val="clear" w:color="auto" w:fill="auto"/>
            <w:noWrap/>
            <w:vAlign w:val="center"/>
            <w:hideMark/>
          </w:tcPr>
          <w:p w14:paraId="5ABE189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49C13AD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16/03/2021</w:t>
            </w:r>
          </w:p>
        </w:tc>
        <w:tc>
          <w:tcPr>
            <w:tcW w:w="1559" w:type="dxa"/>
            <w:tcBorders>
              <w:top w:val="nil"/>
              <w:left w:val="nil"/>
              <w:bottom w:val="single" w:sz="4" w:space="0" w:color="auto"/>
              <w:right w:val="single" w:sz="4" w:space="0" w:color="auto"/>
            </w:tcBorders>
            <w:shd w:val="clear" w:color="auto" w:fill="auto"/>
            <w:noWrap/>
            <w:vAlign w:val="center"/>
            <w:hideMark/>
          </w:tcPr>
          <w:p w14:paraId="14FAD42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75A9765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012CEA5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326576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0F30D4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74A219E2"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2AE0291"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16</w:t>
            </w:r>
          </w:p>
        </w:tc>
        <w:tc>
          <w:tcPr>
            <w:tcW w:w="1495" w:type="dxa"/>
            <w:tcBorders>
              <w:top w:val="nil"/>
              <w:left w:val="nil"/>
              <w:bottom w:val="single" w:sz="4" w:space="0" w:color="auto"/>
              <w:right w:val="single" w:sz="4" w:space="0" w:color="auto"/>
            </w:tcBorders>
            <w:shd w:val="clear" w:color="auto" w:fill="auto"/>
            <w:noWrap/>
            <w:vAlign w:val="center"/>
            <w:hideMark/>
          </w:tcPr>
          <w:p w14:paraId="28A5594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2020/G01_01/000050</w:t>
            </w:r>
          </w:p>
        </w:tc>
        <w:tc>
          <w:tcPr>
            <w:tcW w:w="2532" w:type="dxa"/>
            <w:tcBorders>
              <w:top w:val="nil"/>
              <w:left w:val="nil"/>
              <w:bottom w:val="single" w:sz="4" w:space="0" w:color="auto"/>
              <w:right w:val="single" w:sz="4" w:space="0" w:color="auto"/>
            </w:tcBorders>
            <w:shd w:val="clear" w:color="auto" w:fill="auto"/>
            <w:noWrap/>
            <w:vAlign w:val="center"/>
            <w:hideMark/>
          </w:tcPr>
          <w:p w14:paraId="6A5FDD0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Universitat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7AAE36C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humans_incompatibilitats</w:t>
            </w:r>
          </w:p>
        </w:tc>
        <w:tc>
          <w:tcPr>
            <w:tcW w:w="926" w:type="dxa"/>
            <w:tcBorders>
              <w:top w:val="nil"/>
              <w:left w:val="nil"/>
              <w:bottom w:val="single" w:sz="4" w:space="0" w:color="auto"/>
              <w:right w:val="single" w:sz="4" w:space="0" w:color="auto"/>
            </w:tcBorders>
            <w:shd w:val="clear" w:color="auto" w:fill="auto"/>
            <w:noWrap/>
            <w:vAlign w:val="center"/>
            <w:hideMark/>
          </w:tcPr>
          <w:p w14:paraId="0878016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17/03/2021</w:t>
            </w:r>
          </w:p>
        </w:tc>
        <w:tc>
          <w:tcPr>
            <w:tcW w:w="1559" w:type="dxa"/>
            <w:tcBorders>
              <w:top w:val="nil"/>
              <w:left w:val="nil"/>
              <w:bottom w:val="single" w:sz="4" w:space="0" w:color="auto"/>
              <w:right w:val="single" w:sz="4" w:space="0" w:color="auto"/>
            </w:tcBorders>
            <w:shd w:val="clear" w:color="auto" w:fill="auto"/>
            <w:noWrap/>
            <w:vAlign w:val="center"/>
            <w:hideMark/>
          </w:tcPr>
          <w:p w14:paraId="7ED9A99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F4C37B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A03098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1915EF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Revisió compatibilitats personal docent</w:t>
            </w:r>
          </w:p>
        </w:tc>
        <w:tc>
          <w:tcPr>
            <w:tcW w:w="1246" w:type="dxa"/>
            <w:tcBorders>
              <w:top w:val="nil"/>
              <w:left w:val="nil"/>
              <w:bottom w:val="single" w:sz="4" w:space="0" w:color="auto"/>
              <w:right w:val="single" w:sz="4" w:space="0" w:color="auto"/>
            </w:tcBorders>
            <w:shd w:val="clear" w:color="auto" w:fill="auto"/>
            <w:vAlign w:val="center"/>
            <w:hideMark/>
          </w:tcPr>
          <w:p w14:paraId="50F57BF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49860048"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9C7DAC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17</w:t>
            </w:r>
          </w:p>
        </w:tc>
        <w:tc>
          <w:tcPr>
            <w:tcW w:w="1495" w:type="dxa"/>
            <w:tcBorders>
              <w:top w:val="nil"/>
              <w:left w:val="nil"/>
              <w:bottom w:val="single" w:sz="4" w:space="0" w:color="auto"/>
              <w:right w:val="single" w:sz="4" w:space="0" w:color="auto"/>
            </w:tcBorders>
            <w:shd w:val="clear" w:color="auto" w:fill="auto"/>
            <w:noWrap/>
            <w:vAlign w:val="center"/>
            <w:hideMark/>
          </w:tcPr>
          <w:p w14:paraId="5321D34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2020/G01_01/000051</w:t>
            </w:r>
          </w:p>
        </w:tc>
        <w:tc>
          <w:tcPr>
            <w:tcW w:w="2532" w:type="dxa"/>
            <w:tcBorders>
              <w:top w:val="nil"/>
              <w:left w:val="nil"/>
              <w:bottom w:val="single" w:sz="4" w:space="0" w:color="auto"/>
              <w:right w:val="single" w:sz="4" w:space="0" w:color="auto"/>
            </w:tcBorders>
            <w:shd w:val="clear" w:color="auto" w:fill="auto"/>
            <w:noWrap/>
            <w:vAlign w:val="center"/>
            <w:hideMark/>
          </w:tcPr>
          <w:p w14:paraId="53B3E8D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FAVIDE</w:t>
            </w:r>
          </w:p>
        </w:tc>
        <w:tc>
          <w:tcPr>
            <w:tcW w:w="2760" w:type="dxa"/>
            <w:tcBorders>
              <w:top w:val="nil"/>
              <w:left w:val="nil"/>
              <w:bottom w:val="single" w:sz="4" w:space="0" w:color="auto"/>
              <w:right w:val="single" w:sz="4" w:space="0" w:color="auto"/>
            </w:tcBorders>
            <w:shd w:val="clear" w:color="auto" w:fill="auto"/>
            <w:noWrap/>
            <w:vAlign w:val="center"/>
            <w:hideMark/>
          </w:tcPr>
          <w:p w14:paraId="37F979D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Rendició de comptes</w:t>
            </w:r>
          </w:p>
        </w:tc>
        <w:tc>
          <w:tcPr>
            <w:tcW w:w="926" w:type="dxa"/>
            <w:tcBorders>
              <w:top w:val="nil"/>
              <w:left w:val="nil"/>
              <w:bottom w:val="single" w:sz="4" w:space="0" w:color="auto"/>
              <w:right w:val="single" w:sz="4" w:space="0" w:color="auto"/>
            </w:tcBorders>
            <w:shd w:val="clear" w:color="auto" w:fill="auto"/>
            <w:noWrap/>
            <w:vAlign w:val="center"/>
            <w:hideMark/>
          </w:tcPr>
          <w:p w14:paraId="78C339B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22/03/2021</w:t>
            </w:r>
          </w:p>
        </w:tc>
        <w:tc>
          <w:tcPr>
            <w:tcW w:w="1559" w:type="dxa"/>
            <w:tcBorders>
              <w:top w:val="nil"/>
              <w:left w:val="nil"/>
              <w:bottom w:val="single" w:sz="4" w:space="0" w:color="auto"/>
              <w:right w:val="single" w:sz="4" w:space="0" w:color="auto"/>
            </w:tcBorders>
            <w:shd w:val="clear" w:color="auto" w:fill="auto"/>
            <w:noWrap/>
            <w:vAlign w:val="center"/>
            <w:hideMark/>
          </w:tcPr>
          <w:p w14:paraId="748A05C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6E0DB86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F6932E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1D25A6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1DE3DC4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2F85B90E"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4C5B35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18</w:t>
            </w:r>
          </w:p>
        </w:tc>
        <w:tc>
          <w:tcPr>
            <w:tcW w:w="1495" w:type="dxa"/>
            <w:tcBorders>
              <w:top w:val="nil"/>
              <w:left w:val="nil"/>
              <w:bottom w:val="single" w:sz="4" w:space="0" w:color="auto"/>
              <w:right w:val="single" w:sz="4" w:space="0" w:color="auto"/>
            </w:tcBorders>
            <w:shd w:val="clear" w:color="auto" w:fill="auto"/>
            <w:noWrap/>
            <w:vAlign w:val="center"/>
            <w:hideMark/>
          </w:tcPr>
          <w:p w14:paraId="1F7E84C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2020/G01_01/000026</w:t>
            </w:r>
          </w:p>
        </w:tc>
        <w:tc>
          <w:tcPr>
            <w:tcW w:w="2532" w:type="dxa"/>
            <w:tcBorders>
              <w:top w:val="nil"/>
              <w:left w:val="nil"/>
              <w:bottom w:val="single" w:sz="4" w:space="0" w:color="auto"/>
              <w:right w:val="single" w:sz="4" w:space="0" w:color="auto"/>
            </w:tcBorders>
            <w:shd w:val="clear" w:color="auto" w:fill="auto"/>
            <w:noWrap/>
            <w:vAlign w:val="center"/>
            <w:hideMark/>
          </w:tcPr>
          <w:p w14:paraId="53B95EA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0971E12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Contractació-encàrrec directe</w:t>
            </w:r>
          </w:p>
        </w:tc>
        <w:tc>
          <w:tcPr>
            <w:tcW w:w="926" w:type="dxa"/>
            <w:tcBorders>
              <w:top w:val="nil"/>
              <w:left w:val="nil"/>
              <w:bottom w:val="single" w:sz="4" w:space="0" w:color="auto"/>
              <w:right w:val="single" w:sz="4" w:space="0" w:color="auto"/>
            </w:tcBorders>
            <w:shd w:val="clear" w:color="auto" w:fill="auto"/>
            <w:noWrap/>
            <w:vAlign w:val="center"/>
            <w:hideMark/>
          </w:tcPr>
          <w:p w14:paraId="70D7418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22/03/2021</w:t>
            </w:r>
          </w:p>
        </w:tc>
        <w:tc>
          <w:tcPr>
            <w:tcW w:w="1559" w:type="dxa"/>
            <w:tcBorders>
              <w:top w:val="nil"/>
              <w:left w:val="nil"/>
              <w:bottom w:val="single" w:sz="4" w:space="0" w:color="auto"/>
              <w:right w:val="single" w:sz="4" w:space="0" w:color="auto"/>
            </w:tcBorders>
            <w:shd w:val="clear" w:color="auto" w:fill="auto"/>
            <w:noWrap/>
            <w:vAlign w:val="center"/>
            <w:hideMark/>
          </w:tcPr>
          <w:p w14:paraId="0CF99FE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5F781BE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DD2AB6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6077E3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Contractació</w:t>
            </w:r>
          </w:p>
        </w:tc>
        <w:tc>
          <w:tcPr>
            <w:tcW w:w="1246" w:type="dxa"/>
            <w:tcBorders>
              <w:top w:val="nil"/>
              <w:left w:val="nil"/>
              <w:bottom w:val="single" w:sz="4" w:space="0" w:color="auto"/>
              <w:right w:val="single" w:sz="4" w:space="0" w:color="auto"/>
            </w:tcBorders>
            <w:shd w:val="clear" w:color="auto" w:fill="auto"/>
            <w:vAlign w:val="center"/>
            <w:hideMark/>
          </w:tcPr>
          <w:p w14:paraId="5882DDD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parcialment Recomanacions</w:t>
            </w:r>
          </w:p>
        </w:tc>
      </w:tr>
      <w:tr w:rsidR="00CE1C9E" w:rsidRPr="00CE1C9E" w14:paraId="303B84F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8192527"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19</w:t>
            </w:r>
          </w:p>
        </w:tc>
        <w:tc>
          <w:tcPr>
            <w:tcW w:w="1495" w:type="dxa"/>
            <w:tcBorders>
              <w:top w:val="nil"/>
              <w:left w:val="nil"/>
              <w:bottom w:val="single" w:sz="4" w:space="0" w:color="auto"/>
              <w:right w:val="single" w:sz="4" w:space="0" w:color="auto"/>
            </w:tcBorders>
            <w:shd w:val="clear" w:color="auto" w:fill="auto"/>
            <w:noWrap/>
            <w:vAlign w:val="center"/>
            <w:hideMark/>
          </w:tcPr>
          <w:p w14:paraId="37B3258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2020/G01_01/000210</w:t>
            </w:r>
          </w:p>
        </w:tc>
        <w:tc>
          <w:tcPr>
            <w:tcW w:w="2532" w:type="dxa"/>
            <w:tcBorders>
              <w:top w:val="nil"/>
              <w:left w:val="nil"/>
              <w:bottom w:val="single" w:sz="4" w:space="0" w:color="auto"/>
              <w:right w:val="single" w:sz="4" w:space="0" w:color="auto"/>
            </w:tcBorders>
            <w:shd w:val="clear" w:color="auto" w:fill="auto"/>
            <w:noWrap/>
            <w:vAlign w:val="center"/>
            <w:hideMark/>
          </w:tcPr>
          <w:p w14:paraId="6EB4910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Fundació Universitat Jaume I Empresa</w:t>
            </w:r>
          </w:p>
        </w:tc>
        <w:tc>
          <w:tcPr>
            <w:tcW w:w="2760" w:type="dxa"/>
            <w:tcBorders>
              <w:top w:val="nil"/>
              <w:left w:val="nil"/>
              <w:bottom w:val="single" w:sz="4" w:space="0" w:color="auto"/>
              <w:right w:val="single" w:sz="4" w:space="0" w:color="auto"/>
            </w:tcBorders>
            <w:shd w:val="clear" w:color="auto" w:fill="auto"/>
            <w:noWrap/>
            <w:vAlign w:val="center"/>
            <w:hideMark/>
          </w:tcPr>
          <w:p w14:paraId="202B93BB" w14:textId="3EDF30E2"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humans_contra</w:t>
            </w:r>
            <w:r w:rsidR="005034FB">
              <w:rPr>
                <w:rFonts w:ascii="Arial" w:eastAsia="Times New Roman" w:hAnsi="Arial"/>
                <w:color w:val="000000"/>
                <w:sz w:val="14"/>
                <w:szCs w:val="14"/>
                <w:lang w:eastAsia="es-ES"/>
              </w:rPr>
              <w:t>ctes</w:t>
            </w:r>
            <w:r w:rsidRPr="00CE1C9E">
              <w:rPr>
                <w:rFonts w:ascii="Arial" w:eastAsia="Times New Roman" w:hAnsi="Arial"/>
                <w:color w:val="000000"/>
                <w:sz w:val="14"/>
                <w:szCs w:val="14"/>
                <w:lang w:eastAsia="es-ES"/>
              </w:rPr>
              <w:t xml:space="preserve"> alta direcció</w:t>
            </w:r>
          </w:p>
        </w:tc>
        <w:tc>
          <w:tcPr>
            <w:tcW w:w="926" w:type="dxa"/>
            <w:tcBorders>
              <w:top w:val="nil"/>
              <w:left w:val="nil"/>
              <w:bottom w:val="single" w:sz="4" w:space="0" w:color="auto"/>
              <w:right w:val="single" w:sz="4" w:space="0" w:color="auto"/>
            </w:tcBorders>
            <w:shd w:val="clear" w:color="auto" w:fill="auto"/>
            <w:noWrap/>
            <w:vAlign w:val="center"/>
            <w:hideMark/>
          </w:tcPr>
          <w:p w14:paraId="42CF219C"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23/03/2021</w:t>
            </w:r>
          </w:p>
        </w:tc>
        <w:tc>
          <w:tcPr>
            <w:tcW w:w="1559" w:type="dxa"/>
            <w:tcBorders>
              <w:top w:val="nil"/>
              <w:left w:val="nil"/>
              <w:bottom w:val="single" w:sz="4" w:space="0" w:color="auto"/>
              <w:right w:val="single" w:sz="4" w:space="0" w:color="auto"/>
            </w:tcBorders>
            <w:shd w:val="clear" w:color="auto" w:fill="auto"/>
            <w:noWrap/>
            <w:vAlign w:val="center"/>
            <w:hideMark/>
          </w:tcPr>
          <w:p w14:paraId="1F492BC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5520229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CDAE8E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525795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9AC40B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4C74E14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6690BC9"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w:t>
            </w:r>
          </w:p>
        </w:tc>
        <w:tc>
          <w:tcPr>
            <w:tcW w:w="1495" w:type="dxa"/>
            <w:tcBorders>
              <w:top w:val="nil"/>
              <w:left w:val="nil"/>
              <w:bottom w:val="single" w:sz="4" w:space="0" w:color="auto"/>
              <w:right w:val="single" w:sz="4" w:space="0" w:color="auto"/>
            </w:tcBorders>
            <w:shd w:val="clear" w:color="auto" w:fill="auto"/>
            <w:noWrap/>
            <w:vAlign w:val="center"/>
            <w:hideMark/>
          </w:tcPr>
          <w:p w14:paraId="36F61B3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2020/G01_01/000244</w:t>
            </w:r>
          </w:p>
        </w:tc>
        <w:tc>
          <w:tcPr>
            <w:tcW w:w="2532" w:type="dxa"/>
            <w:tcBorders>
              <w:top w:val="nil"/>
              <w:left w:val="nil"/>
              <w:bottom w:val="single" w:sz="4" w:space="0" w:color="auto"/>
              <w:right w:val="single" w:sz="4" w:space="0" w:color="auto"/>
            </w:tcBorders>
            <w:shd w:val="clear" w:color="auto" w:fill="auto"/>
            <w:noWrap/>
            <w:vAlign w:val="center"/>
            <w:hideMark/>
          </w:tcPr>
          <w:p w14:paraId="1A7F47A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Sedaví</w:t>
            </w:r>
          </w:p>
        </w:tc>
        <w:tc>
          <w:tcPr>
            <w:tcW w:w="2760" w:type="dxa"/>
            <w:tcBorders>
              <w:top w:val="nil"/>
              <w:left w:val="nil"/>
              <w:bottom w:val="single" w:sz="4" w:space="0" w:color="auto"/>
              <w:right w:val="single" w:sz="4" w:space="0" w:color="auto"/>
            </w:tcBorders>
            <w:shd w:val="clear" w:color="auto" w:fill="auto"/>
            <w:noWrap/>
            <w:vAlign w:val="center"/>
            <w:hideMark/>
          </w:tcPr>
          <w:p w14:paraId="1FEBB0E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2FED3C7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19/04/2021</w:t>
            </w:r>
          </w:p>
        </w:tc>
        <w:tc>
          <w:tcPr>
            <w:tcW w:w="1559" w:type="dxa"/>
            <w:tcBorders>
              <w:top w:val="nil"/>
              <w:left w:val="nil"/>
              <w:bottom w:val="single" w:sz="4" w:space="0" w:color="auto"/>
              <w:right w:val="single" w:sz="4" w:space="0" w:color="auto"/>
            </w:tcBorders>
            <w:shd w:val="clear" w:color="auto" w:fill="auto"/>
            <w:noWrap/>
            <w:vAlign w:val="center"/>
            <w:hideMark/>
          </w:tcPr>
          <w:p w14:paraId="3B3693A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37CC2EE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F2F888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D95FA5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DB0A34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42F125DB"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000000" w:fill="FFFFFF"/>
            <w:noWrap/>
            <w:vAlign w:val="center"/>
          </w:tcPr>
          <w:p w14:paraId="3AF3AF72"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21</w:t>
            </w:r>
          </w:p>
        </w:tc>
        <w:tc>
          <w:tcPr>
            <w:tcW w:w="1495" w:type="dxa"/>
            <w:tcBorders>
              <w:top w:val="nil"/>
              <w:left w:val="nil"/>
              <w:bottom w:val="single" w:sz="4" w:space="0" w:color="auto"/>
              <w:right w:val="single" w:sz="4" w:space="0" w:color="auto"/>
            </w:tcBorders>
            <w:shd w:val="clear" w:color="auto" w:fill="auto"/>
            <w:noWrap/>
            <w:vAlign w:val="center"/>
          </w:tcPr>
          <w:p w14:paraId="319E80E8" w14:textId="77777777" w:rsidR="00CE1C9E" w:rsidRPr="00CE1C9E" w:rsidRDefault="00CE1C9E" w:rsidP="00CE1C9E">
            <w:pPr>
              <w:spacing w:before="60" w:after="60"/>
              <w:rPr>
                <w:rFonts w:ascii="Arial" w:eastAsia="Times New Roman" w:hAnsi="Arial"/>
                <w:color w:val="000000"/>
                <w:sz w:val="14"/>
                <w:szCs w:val="14"/>
                <w:lang w:eastAsia="es-ES"/>
              </w:rPr>
            </w:pPr>
          </w:p>
        </w:tc>
        <w:tc>
          <w:tcPr>
            <w:tcW w:w="2532" w:type="dxa"/>
            <w:tcBorders>
              <w:top w:val="nil"/>
              <w:left w:val="nil"/>
              <w:bottom w:val="single" w:sz="4" w:space="0" w:color="auto"/>
              <w:right w:val="single" w:sz="4" w:space="0" w:color="auto"/>
            </w:tcBorders>
            <w:shd w:val="clear" w:color="auto" w:fill="auto"/>
            <w:noWrap/>
            <w:vAlign w:val="center"/>
          </w:tcPr>
          <w:p w14:paraId="28C40B9D" w14:textId="77777777" w:rsidR="00CE1C9E" w:rsidRPr="00CE1C9E" w:rsidRDefault="00CE1C9E" w:rsidP="00CE1C9E">
            <w:pPr>
              <w:spacing w:before="60" w:after="60"/>
              <w:rPr>
                <w:rFonts w:ascii="Arial" w:eastAsia="Times New Roman" w:hAnsi="Arial"/>
                <w:color w:val="000000"/>
                <w:sz w:val="14"/>
                <w:szCs w:val="14"/>
                <w:lang w:eastAsia="es-ES"/>
              </w:rPr>
            </w:pPr>
          </w:p>
        </w:tc>
        <w:tc>
          <w:tcPr>
            <w:tcW w:w="2760" w:type="dxa"/>
            <w:tcBorders>
              <w:top w:val="nil"/>
              <w:left w:val="nil"/>
              <w:bottom w:val="single" w:sz="4" w:space="0" w:color="auto"/>
              <w:right w:val="single" w:sz="4" w:space="0" w:color="auto"/>
            </w:tcBorders>
            <w:shd w:val="clear" w:color="auto" w:fill="auto"/>
            <w:noWrap/>
            <w:vAlign w:val="center"/>
          </w:tcPr>
          <w:p w14:paraId="03FE5CE2" w14:textId="77777777" w:rsidR="00CE1C9E" w:rsidRPr="00CE1C9E" w:rsidRDefault="00CE1C9E" w:rsidP="00CE1C9E">
            <w:pPr>
              <w:spacing w:before="60" w:after="60"/>
              <w:rPr>
                <w:rFonts w:ascii="Arial" w:eastAsia="Times New Roman" w:hAnsi="Arial"/>
                <w:color w:val="000000"/>
                <w:sz w:val="14"/>
                <w:szCs w:val="14"/>
                <w:lang w:eastAsia="es-ES"/>
              </w:rPr>
            </w:pPr>
          </w:p>
        </w:tc>
        <w:tc>
          <w:tcPr>
            <w:tcW w:w="926" w:type="dxa"/>
            <w:tcBorders>
              <w:top w:val="nil"/>
              <w:left w:val="nil"/>
              <w:bottom w:val="single" w:sz="4" w:space="0" w:color="auto"/>
              <w:right w:val="single" w:sz="4" w:space="0" w:color="auto"/>
            </w:tcBorders>
            <w:shd w:val="clear" w:color="auto" w:fill="auto"/>
            <w:noWrap/>
            <w:vAlign w:val="center"/>
          </w:tcPr>
          <w:p w14:paraId="503DEB38" w14:textId="77777777" w:rsidR="00CE1C9E" w:rsidRPr="00CE1C9E" w:rsidRDefault="00CE1C9E" w:rsidP="00CE1C9E">
            <w:pPr>
              <w:spacing w:before="60" w:after="60"/>
              <w:jc w:val="right"/>
              <w:rPr>
                <w:rFonts w:ascii="Arial" w:eastAsia="Times New Roman" w:hAnsi="Arial"/>
                <w:color w:val="000000"/>
                <w:sz w:val="14"/>
                <w:szCs w:val="14"/>
                <w:lang w:eastAsia="es-ES"/>
              </w:rPr>
            </w:pPr>
          </w:p>
        </w:tc>
        <w:tc>
          <w:tcPr>
            <w:tcW w:w="1559" w:type="dxa"/>
            <w:tcBorders>
              <w:top w:val="nil"/>
              <w:left w:val="nil"/>
              <w:bottom w:val="single" w:sz="4" w:space="0" w:color="auto"/>
              <w:right w:val="single" w:sz="4" w:space="0" w:color="auto"/>
            </w:tcBorders>
            <w:shd w:val="clear" w:color="auto" w:fill="auto"/>
            <w:noWrap/>
            <w:vAlign w:val="center"/>
          </w:tcPr>
          <w:p w14:paraId="7275A81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Trasllat al Ministeri Fiscal</w:t>
            </w:r>
          </w:p>
        </w:tc>
        <w:tc>
          <w:tcPr>
            <w:tcW w:w="1134" w:type="dxa"/>
            <w:tcBorders>
              <w:top w:val="nil"/>
              <w:left w:val="nil"/>
              <w:bottom w:val="single" w:sz="4" w:space="0" w:color="auto"/>
              <w:right w:val="single" w:sz="4" w:space="0" w:color="auto"/>
            </w:tcBorders>
            <w:shd w:val="clear" w:color="auto" w:fill="auto"/>
            <w:noWrap/>
            <w:vAlign w:val="center"/>
          </w:tcPr>
          <w:p w14:paraId="26BF92D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30.917,00</w:t>
            </w:r>
          </w:p>
        </w:tc>
        <w:tc>
          <w:tcPr>
            <w:tcW w:w="992" w:type="dxa"/>
            <w:tcBorders>
              <w:top w:val="nil"/>
              <w:left w:val="nil"/>
              <w:bottom w:val="single" w:sz="4" w:space="0" w:color="auto"/>
              <w:right w:val="single" w:sz="4" w:space="0" w:color="auto"/>
            </w:tcBorders>
            <w:shd w:val="clear" w:color="auto" w:fill="auto"/>
            <w:noWrap/>
            <w:vAlign w:val="center"/>
          </w:tcPr>
          <w:p w14:paraId="1E720DD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183" w:type="dxa"/>
            <w:tcBorders>
              <w:top w:val="nil"/>
              <w:left w:val="nil"/>
              <w:bottom w:val="single" w:sz="4" w:space="0" w:color="auto"/>
              <w:right w:val="single" w:sz="4" w:space="0" w:color="auto"/>
            </w:tcBorders>
            <w:shd w:val="clear" w:color="auto" w:fill="auto"/>
            <w:vAlign w:val="center"/>
          </w:tcPr>
          <w:p w14:paraId="1888C32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tcPr>
          <w:p w14:paraId="51B25EF1" w14:textId="77777777" w:rsidR="00CE1C9E" w:rsidRPr="00CE1C9E" w:rsidRDefault="00CE1C9E" w:rsidP="00CE1C9E">
            <w:pPr>
              <w:spacing w:before="60" w:after="60"/>
              <w:rPr>
                <w:rFonts w:ascii="Arial" w:eastAsia="Times New Roman" w:hAnsi="Arial"/>
                <w:color w:val="000000"/>
                <w:sz w:val="14"/>
                <w:szCs w:val="14"/>
                <w:lang w:eastAsia="es-ES"/>
              </w:rPr>
            </w:pPr>
          </w:p>
        </w:tc>
      </w:tr>
      <w:tr w:rsidR="00CE1C9E" w:rsidRPr="00CE1C9E" w14:paraId="10111095"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000000" w:fill="FFFFFF"/>
            <w:noWrap/>
            <w:vAlign w:val="center"/>
          </w:tcPr>
          <w:p w14:paraId="38462863"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22</w:t>
            </w:r>
          </w:p>
        </w:tc>
        <w:tc>
          <w:tcPr>
            <w:tcW w:w="1495" w:type="dxa"/>
            <w:tcBorders>
              <w:top w:val="nil"/>
              <w:left w:val="nil"/>
              <w:bottom w:val="single" w:sz="4" w:space="0" w:color="auto"/>
              <w:right w:val="single" w:sz="4" w:space="0" w:color="auto"/>
            </w:tcBorders>
            <w:shd w:val="clear" w:color="auto" w:fill="auto"/>
            <w:noWrap/>
            <w:vAlign w:val="center"/>
          </w:tcPr>
          <w:p w14:paraId="76883208" w14:textId="77777777" w:rsidR="00CE1C9E" w:rsidRPr="00CE1C9E" w:rsidRDefault="00CE1C9E" w:rsidP="00CE1C9E">
            <w:pPr>
              <w:spacing w:before="60" w:after="60"/>
              <w:rPr>
                <w:rFonts w:ascii="Arial" w:eastAsia="Times New Roman" w:hAnsi="Arial"/>
                <w:color w:val="000000"/>
                <w:sz w:val="14"/>
                <w:szCs w:val="14"/>
                <w:lang w:eastAsia="es-ES"/>
              </w:rPr>
            </w:pPr>
          </w:p>
        </w:tc>
        <w:tc>
          <w:tcPr>
            <w:tcW w:w="2532" w:type="dxa"/>
            <w:tcBorders>
              <w:top w:val="nil"/>
              <w:left w:val="nil"/>
              <w:bottom w:val="single" w:sz="4" w:space="0" w:color="auto"/>
              <w:right w:val="single" w:sz="4" w:space="0" w:color="auto"/>
            </w:tcBorders>
            <w:shd w:val="clear" w:color="auto" w:fill="auto"/>
            <w:noWrap/>
            <w:vAlign w:val="center"/>
          </w:tcPr>
          <w:p w14:paraId="61F45577" w14:textId="77777777" w:rsidR="00CE1C9E" w:rsidRPr="00CE1C9E" w:rsidRDefault="00CE1C9E" w:rsidP="00CE1C9E">
            <w:pPr>
              <w:spacing w:before="60" w:after="60"/>
              <w:rPr>
                <w:rFonts w:ascii="Arial" w:eastAsia="Times New Roman" w:hAnsi="Arial"/>
                <w:color w:val="000000"/>
                <w:sz w:val="14"/>
                <w:szCs w:val="14"/>
                <w:lang w:eastAsia="es-ES"/>
              </w:rPr>
            </w:pPr>
          </w:p>
        </w:tc>
        <w:tc>
          <w:tcPr>
            <w:tcW w:w="2760" w:type="dxa"/>
            <w:tcBorders>
              <w:top w:val="nil"/>
              <w:left w:val="nil"/>
              <w:bottom w:val="single" w:sz="4" w:space="0" w:color="auto"/>
              <w:right w:val="single" w:sz="4" w:space="0" w:color="auto"/>
            </w:tcBorders>
            <w:shd w:val="clear" w:color="auto" w:fill="auto"/>
            <w:noWrap/>
            <w:vAlign w:val="center"/>
          </w:tcPr>
          <w:p w14:paraId="757F9A1B" w14:textId="77777777" w:rsidR="00CE1C9E" w:rsidRPr="00CE1C9E" w:rsidRDefault="00CE1C9E" w:rsidP="00CE1C9E">
            <w:pPr>
              <w:spacing w:before="60" w:after="60"/>
              <w:rPr>
                <w:rFonts w:ascii="Arial" w:eastAsia="Times New Roman" w:hAnsi="Arial"/>
                <w:color w:val="000000"/>
                <w:sz w:val="14"/>
                <w:szCs w:val="14"/>
                <w:lang w:eastAsia="es-ES"/>
              </w:rPr>
            </w:pPr>
          </w:p>
        </w:tc>
        <w:tc>
          <w:tcPr>
            <w:tcW w:w="926" w:type="dxa"/>
            <w:tcBorders>
              <w:top w:val="nil"/>
              <w:left w:val="nil"/>
              <w:bottom w:val="single" w:sz="4" w:space="0" w:color="auto"/>
              <w:right w:val="single" w:sz="4" w:space="0" w:color="auto"/>
            </w:tcBorders>
            <w:shd w:val="clear" w:color="auto" w:fill="auto"/>
            <w:noWrap/>
            <w:vAlign w:val="center"/>
          </w:tcPr>
          <w:p w14:paraId="3B4802E2" w14:textId="77777777" w:rsidR="00CE1C9E" w:rsidRPr="00CE1C9E" w:rsidRDefault="00CE1C9E" w:rsidP="00CE1C9E">
            <w:pPr>
              <w:spacing w:before="60" w:after="60"/>
              <w:jc w:val="right"/>
              <w:rPr>
                <w:rFonts w:ascii="Arial" w:eastAsia="Times New Roman" w:hAnsi="Arial"/>
                <w:color w:val="000000"/>
                <w:sz w:val="14"/>
                <w:szCs w:val="14"/>
                <w:lang w:eastAsia="es-ES"/>
              </w:rPr>
            </w:pPr>
          </w:p>
        </w:tc>
        <w:tc>
          <w:tcPr>
            <w:tcW w:w="1559" w:type="dxa"/>
            <w:tcBorders>
              <w:top w:val="nil"/>
              <w:left w:val="nil"/>
              <w:bottom w:val="single" w:sz="4" w:space="0" w:color="auto"/>
              <w:right w:val="single" w:sz="4" w:space="0" w:color="auto"/>
            </w:tcBorders>
            <w:shd w:val="clear" w:color="auto" w:fill="auto"/>
            <w:noWrap/>
            <w:vAlign w:val="center"/>
          </w:tcPr>
          <w:p w14:paraId="54A3625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Trasllat al Ministeri Fiscal</w:t>
            </w:r>
          </w:p>
        </w:tc>
        <w:tc>
          <w:tcPr>
            <w:tcW w:w="1134" w:type="dxa"/>
            <w:tcBorders>
              <w:top w:val="nil"/>
              <w:left w:val="nil"/>
              <w:bottom w:val="single" w:sz="4" w:space="0" w:color="auto"/>
              <w:right w:val="single" w:sz="4" w:space="0" w:color="auto"/>
            </w:tcBorders>
            <w:shd w:val="clear" w:color="auto" w:fill="auto"/>
            <w:noWrap/>
            <w:vAlign w:val="center"/>
          </w:tcPr>
          <w:p w14:paraId="1B01172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82.327,09</w:t>
            </w:r>
          </w:p>
        </w:tc>
        <w:tc>
          <w:tcPr>
            <w:tcW w:w="992" w:type="dxa"/>
            <w:tcBorders>
              <w:top w:val="nil"/>
              <w:left w:val="nil"/>
              <w:bottom w:val="single" w:sz="4" w:space="0" w:color="auto"/>
              <w:right w:val="single" w:sz="4" w:space="0" w:color="auto"/>
            </w:tcBorders>
            <w:shd w:val="clear" w:color="auto" w:fill="auto"/>
            <w:noWrap/>
            <w:vAlign w:val="center"/>
          </w:tcPr>
          <w:p w14:paraId="13E0E6D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183" w:type="dxa"/>
            <w:tcBorders>
              <w:top w:val="nil"/>
              <w:left w:val="nil"/>
              <w:bottom w:val="single" w:sz="4" w:space="0" w:color="auto"/>
              <w:right w:val="single" w:sz="4" w:space="0" w:color="auto"/>
            </w:tcBorders>
            <w:shd w:val="clear" w:color="auto" w:fill="auto"/>
            <w:vAlign w:val="center"/>
          </w:tcPr>
          <w:p w14:paraId="3604932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tcPr>
          <w:p w14:paraId="688D4EB3" w14:textId="77777777" w:rsidR="00CE1C9E" w:rsidRPr="00CE1C9E" w:rsidRDefault="00CE1C9E" w:rsidP="00CE1C9E">
            <w:pPr>
              <w:spacing w:before="60" w:after="60"/>
              <w:rPr>
                <w:rFonts w:ascii="Arial" w:eastAsia="Times New Roman" w:hAnsi="Arial"/>
                <w:color w:val="000000"/>
                <w:sz w:val="14"/>
                <w:szCs w:val="14"/>
                <w:lang w:eastAsia="es-ES"/>
              </w:rPr>
            </w:pPr>
          </w:p>
        </w:tc>
      </w:tr>
      <w:tr w:rsidR="00CE1C9E" w:rsidRPr="00CE1C9E" w14:paraId="221DFB7B"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79B5D8A7"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23</w:t>
            </w:r>
          </w:p>
        </w:tc>
        <w:tc>
          <w:tcPr>
            <w:tcW w:w="1495" w:type="dxa"/>
            <w:tcBorders>
              <w:top w:val="nil"/>
              <w:left w:val="nil"/>
              <w:bottom w:val="single" w:sz="4" w:space="0" w:color="auto"/>
              <w:right w:val="single" w:sz="4" w:space="0" w:color="auto"/>
            </w:tcBorders>
            <w:shd w:val="clear" w:color="auto" w:fill="auto"/>
            <w:noWrap/>
            <w:vAlign w:val="center"/>
            <w:hideMark/>
          </w:tcPr>
          <w:p w14:paraId="5045652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2020/G01_01/000056</w:t>
            </w:r>
          </w:p>
        </w:tc>
        <w:tc>
          <w:tcPr>
            <w:tcW w:w="2532" w:type="dxa"/>
            <w:tcBorders>
              <w:top w:val="nil"/>
              <w:left w:val="nil"/>
              <w:bottom w:val="single" w:sz="4" w:space="0" w:color="auto"/>
              <w:right w:val="single" w:sz="4" w:space="0" w:color="auto"/>
            </w:tcBorders>
            <w:shd w:val="clear" w:color="auto" w:fill="auto"/>
            <w:noWrap/>
            <w:vAlign w:val="center"/>
            <w:hideMark/>
          </w:tcPr>
          <w:p w14:paraId="11470F0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Generalitat Valenciana Conselleria de Educació, Cultura y Esports</w:t>
            </w:r>
          </w:p>
        </w:tc>
        <w:tc>
          <w:tcPr>
            <w:tcW w:w="2760" w:type="dxa"/>
            <w:tcBorders>
              <w:top w:val="nil"/>
              <w:left w:val="nil"/>
              <w:bottom w:val="single" w:sz="4" w:space="0" w:color="auto"/>
              <w:right w:val="single" w:sz="4" w:space="0" w:color="auto"/>
            </w:tcBorders>
            <w:shd w:val="clear" w:color="auto" w:fill="auto"/>
            <w:noWrap/>
            <w:vAlign w:val="center"/>
            <w:hideMark/>
          </w:tcPr>
          <w:p w14:paraId="6E18EC7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4D34786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21/04/2021</w:t>
            </w:r>
          </w:p>
        </w:tc>
        <w:tc>
          <w:tcPr>
            <w:tcW w:w="1559" w:type="dxa"/>
            <w:tcBorders>
              <w:top w:val="nil"/>
              <w:left w:val="nil"/>
              <w:bottom w:val="single" w:sz="4" w:space="0" w:color="auto"/>
              <w:right w:val="single" w:sz="4" w:space="0" w:color="auto"/>
            </w:tcBorders>
            <w:shd w:val="clear" w:color="auto" w:fill="auto"/>
            <w:noWrap/>
            <w:vAlign w:val="center"/>
            <w:hideMark/>
          </w:tcPr>
          <w:p w14:paraId="70FC0C4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06F686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D0590F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996064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B7BA96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454AC7FF"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3456038"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24</w:t>
            </w:r>
          </w:p>
        </w:tc>
        <w:tc>
          <w:tcPr>
            <w:tcW w:w="1495" w:type="dxa"/>
            <w:tcBorders>
              <w:top w:val="nil"/>
              <w:left w:val="nil"/>
              <w:bottom w:val="single" w:sz="4" w:space="0" w:color="auto"/>
              <w:right w:val="single" w:sz="4" w:space="0" w:color="auto"/>
            </w:tcBorders>
            <w:shd w:val="clear" w:color="auto" w:fill="auto"/>
            <w:noWrap/>
            <w:vAlign w:val="center"/>
            <w:hideMark/>
          </w:tcPr>
          <w:p w14:paraId="4789299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2020/G01_01/000170</w:t>
            </w:r>
          </w:p>
        </w:tc>
        <w:tc>
          <w:tcPr>
            <w:tcW w:w="2532" w:type="dxa"/>
            <w:tcBorders>
              <w:top w:val="nil"/>
              <w:left w:val="nil"/>
              <w:bottom w:val="single" w:sz="4" w:space="0" w:color="auto"/>
              <w:right w:val="single" w:sz="4" w:space="0" w:color="auto"/>
            </w:tcBorders>
            <w:shd w:val="clear" w:color="auto" w:fill="auto"/>
            <w:noWrap/>
            <w:vAlign w:val="center"/>
            <w:hideMark/>
          </w:tcPr>
          <w:p w14:paraId="740CAF2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Los Montesinos</w:t>
            </w:r>
          </w:p>
        </w:tc>
        <w:tc>
          <w:tcPr>
            <w:tcW w:w="2760" w:type="dxa"/>
            <w:tcBorders>
              <w:top w:val="nil"/>
              <w:left w:val="nil"/>
              <w:bottom w:val="single" w:sz="4" w:space="0" w:color="auto"/>
              <w:right w:val="single" w:sz="4" w:space="0" w:color="auto"/>
            </w:tcBorders>
            <w:shd w:val="clear" w:color="auto" w:fill="auto"/>
            <w:noWrap/>
            <w:vAlign w:val="center"/>
            <w:hideMark/>
          </w:tcPr>
          <w:p w14:paraId="25A8B20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53C2936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21/04/2021</w:t>
            </w:r>
          </w:p>
        </w:tc>
        <w:tc>
          <w:tcPr>
            <w:tcW w:w="1559" w:type="dxa"/>
            <w:tcBorders>
              <w:top w:val="nil"/>
              <w:left w:val="nil"/>
              <w:bottom w:val="single" w:sz="4" w:space="0" w:color="auto"/>
              <w:right w:val="single" w:sz="4" w:space="0" w:color="auto"/>
            </w:tcBorders>
            <w:shd w:val="clear" w:color="auto" w:fill="auto"/>
            <w:noWrap/>
            <w:vAlign w:val="center"/>
            <w:hideMark/>
          </w:tcPr>
          <w:p w14:paraId="6A9CCC1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C4ECF7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67925A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0A5437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Contractació. Prestació funcions reservades a funcionaris.</w:t>
            </w:r>
          </w:p>
        </w:tc>
        <w:tc>
          <w:tcPr>
            <w:tcW w:w="1246" w:type="dxa"/>
            <w:tcBorders>
              <w:top w:val="nil"/>
              <w:left w:val="nil"/>
              <w:bottom w:val="single" w:sz="4" w:space="0" w:color="auto"/>
              <w:right w:val="single" w:sz="4" w:space="0" w:color="auto"/>
            </w:tcBorders>
            <w:shd w:val="clear" w:color="auto" w:fill="auto"/>
            <w:vAlign w:val="center"/>
            <w:hideMark/>
          </w:tcPr>
          <w:p w14:paraId="1F1A0BF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31A6F550"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0E7485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25</w:t>
            </w:r>
          </w:p>
        </w:tc>
        <w:tc>
          <w:tcPr>
            <w:tcW w:w="1495" w:type="dxa"/>
            <w:tcBorders>
              <w:top w:val="nil"/>
              <w:left w:val="nil"/>
              <w:bottom w:val="single" w:sz="4" w:space="0" w:color="auto"/>
              <w:right w:val="single" w:sz="4" w:space="0" w:color="auto"/>
            </w:tcBorders>
            <w:shd w:val="clear" w:color="auto" w:fill="auto"/>
            <w:noWrap/>
            <w:vAlign w:val="center"/>
            <w:hideMark/>
          </w:tcPr>
          <w:p w14:paraId="23D029F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2020/G01_01/000197</w:t>
            </w:r>
          </w:p>
        </w:tc>
        <w:tc>
          <w:tcPr>
            <w:tcW w:w="2532" w:type="dxa"/>
            <w:tcBorders>
              <w:top w:val="nil"/>
              <w:left w:val="nil"/>
              <w:bottom w:val="single" w:sz="4" w:space="0" w:color="auto"/>
              <w:right w:val="single" w:sz="4" w:space="0" w:color="auto"/>
            </w:tcBorders>
            <w:shd w:val="clear" w:color="auto" w:fill="auto"/>
            <w:noWrap/>
            <w:vAlign w:val="center"/>
            <w:hideMark/>
          </w:tcPr>
          <w:p w14:paraId="03E6F78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Vinaròs</w:t>
            </w:r>
          </w:p>
        </w:tc>
        <w:tc>
          <w:tcPr>
            <w:tcW w:w="2760" w:type="dxa"/>
            <w:tcBorders>
              <w:top w:val="nil"/>
              <w:left w:val="nil"/>
              <w:bottom w:val="single" w:sz="4" w:space="0" w:color="auto"/>
              <w:right w:val="single" w:sz="4" w:space="0" w:color="auto"/>
            </w:tcBorders>
            <w:shd w:val="clear" w:color="auto" w:fill="auto"/>
            <w:noWrap/>
            <w:vAlign w:val="center"/>
            <w:hideMark/>
          </w:tcPr>
          <w:p w14:paraId="4EB3714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550D8C3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30/04/2021</w:t>
            </w:r>
          </w:p>
        </w:tc>
        <w:tc>
          <w:tcPr>
            <w:tcW w:w="1559" w:type="dxa"/>
            <w:tcBorders>
              <w:top w:val="nil"/>
              <w:left w:val="nil"/>
              <w:bottom w:val="single" w:sz="4" w:space="0" w:color="auto"/>
              <w:right w:val="single" w:sz="4" w:space="0" w:color="auto"/>
            </w:tcBorders>
            <w:shd w:val="clear" w:color="auto" w:fill="auto"/>
            <w:noWrap/>
            <w:vAlign w:val="center"/>
            <w:hideMark/>
          </w:tcPr>
          <w:p w14:paraId="03C897D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4174AFC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488150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39B55B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933C20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6B9C0213"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D1DBA14"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26</w:t>
            </w:r>
          </w:p>
        </w:tc>
        <w:tc>
          <w:tcPr>
            <w:tcW w:w="1495" w:type="dxa"/>
            <w:tcBorders>
              <w:top w:val="nil"/>
              <w:left w:val="nil"/>
              <w:bottom w:val="single" w:sz="4" w:space="0" w:color="auto"/>
              <w:right w:val="single" w:sz="4" w:space="0" w:color="auto"/>
            </w:tcBorders>
            <w:shd w:val="clear" w:color="auto" w:fill="auto"/>
            <w:noWrap/>
            <w:vAlign w:val="center"/>
            <w:hideMark/>
          </w:tcPr>
          <w:p w14:paraId="28787E1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2020/G01_01/000226</w:t>
            </w:r>
          </w:p>
        </w:tc>
        <w:tc>
          <w:tcPr>
            <w:tcW w:w="2532" w:type="dxa"/>
            <w:tcBorders>
              <w:top w:val="nil"/>
              <w:left w:val="nil"/>
              <w:bottom w:val="single" w:sz="4" w:space="0" w:color="auto"/>
              <w:right w:val="single" w:sz="4" w:space="0" w:color="auto"/>
            </w:tcBorders>
            <w:shd w:val="clear" w:color="auto" w:fill="auto"/>
            <w:noWrap/>
            <w:vAlign w:val="center"/>
            <w:hideMark/>
          </w:tcPr>
          <w:p w14:paraId="3188FBC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Diputació de Castelló</w:t>
            </w:r>
          </w:p>
        </w:tc>
        <w:tc>
          <w:tcPr>
            <w:tcW w:w="2760" w:type="dxa"/>
            <w:tcBorders>
              <w:top w:val="nil"/>
              <w:left w:val="nil"/>
              <w:bottom w:val="single" w:sz="4" w:space="0" w:color="auto"/>
              <w:right w:val="single" w:sz="4" w:space="0" w:color="auto"/>
            </w:tcBorders>
            <w:shd w:val="clear" w:color="auto" w:fill="auto"/>
            <w:noWrap/>
            <w:vAlign w:val="center"/>
            <w:hideMark/>
          </w:tcPr>
          <w:p w14:paraId="6F2F3A6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01E0AE6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03/05/2021</w:t>
            </w:r>
          </w:p>
        </w:tc>
        <w:tc>
          <w:tcPr>
            <w:tcW w:w="1559" w:type="dxa"/>
            <w:tcBorders>
              <w:top w:val="nil"/>
              <w:left w:val="nil"/>
              <w:bottom w:val="single" w:sz="4" w:space="0" w:color="auto"/>
              <w:right w:val="single" w:sz="4" w:space="0" w:color="auto"/>
            </w:tcBorders>
            <w:shd w:val="clear" w:color="auto" w:fill="auto"/>
            <w:noWrap/>
            <w:vAlign w:val="center"/>
            <w:hideMark/>
          </w:tcPr>
          <w:p w14:paraId="2390752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7EBF03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16AD5D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A9AF9D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Revisió contracte</w:t>
            </w:r>
          </w:p>
        </w:tc>
        <w:tc>
          <w:tcPr>
            <w:tcW w:w="1246" w:type="dxa"/>
            <w:tcBorders>
              <w:top w:val="nil"/>
              <w:left w:val="nil"/>
              <w:bottom w:val="single" w:sz="4" w:space="0" w:color="auto"/>
              <w:right w:val="single" w:sz="4" w:space="0" w:color="auto"/>
            </w:tcBorders>
            <w:shd w:val="clear" w:color="auto" w:fill="auto"/>
            <w:vAlign w:val="center"/>
            <w:hideMark/>
          </w:tcPr>
          <w:p w14:paraId="566E96C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42879E7B"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B08774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27</w:t>
            </w:r>
          </w:p>
        </w:tc>
        <w:tc>
          <w:tcPr>
            <w:tcW w:w="1495" w:type="dxa"/>
            <w:tcBorders>
              <w:top w:val="nil"/>
              <w:left w:val="nil"/>
              <w:bottom w:val="single" w:sz="4" w:space="0" w:color="auto"/>
              <w:right w:val="single" w:sz="4" w:space="0" w:color="auto"/>
            </w:tcBorders>
            <w:shd w:val="clear" w:color="auto" w:fill="auto"/>
            <w:noWrap/>
            <w:vAlign w:val="center"/>
            <w:hideMark/>
          </w:tcPr>
          <w:p w14:paraId="6ED5D47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2020/G01_01/000288</w:t>
            </w:r>
          </w:p>
        </w:tc>
        <w:tc>
          <w:tcPr>
            <w:tcW w:w="2532" w:type="dxa"/>
            <w:tcBorders>
              <w:top w:val="nil"/>
              <w:left w:val="nil"/>
              <w:bottom w:val="single" w:sz="4" w:space="0" w:color="auto"/>
              <w:right w:val="single" w:sz="4" w:space="0" w:color="auto"/>
            </w:tcBorders>
            <w:shd w:val="clear" w:color="auto" w:fill="auto"/>
            <w:noWrap/>
            <w:vAlign w:val="center"/>
            <w:hideMark/>
          </w:tcPr>
          <w:p w14:paraId="1C4486A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IVAJ</w:t>
            </w:r>
          </w:p>
        </w:tc>
        <w:tc>
          <w:tcPr>
            <w:tcW w:w="2760" w:type="dxa"/>
            <w:tcBorders>
              <w:top w:val="nil"/>
              <w:left w:val="nil"/>
              <w:bottom w:val="single" w:sz="4" w:space="0" w:color="auto"/>
              <w:right w:val="single" w:sz="4" w:space="0" w:color="auto"/>
            </w:tcBorders>
            <w:shd w:val="clear" w:color="auto" w:fill="auto"/>
            <w:noWrap/>
            <w:vAlign w:val="center"/>
            <w:hideMark/>
          </w:tcPr>
          <w:p w14:paraId="0BEDF80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4351E69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10/05/2021</w:t>
            </w:r>
          </w:p>
        </w:tc>
        <w:tc>
          <w:tcPr>
            <w:tcW w:w="1559" w:type="dxa"/>
            <w:tcBorders>
              <w:top w:val="nil"/>
              <w:left w:val="nil"/>
              <w:bottom w:val="single" w:sz="4" w:space="0" w:color="auto"/>
              <w:right w:val="single" w:sz="4" w:space="0" w:color="auto"/>
            </w:tcBorders>
            <w:shd w:val="clear" w:color="auto" w:fill="auto"/>
            <w:noWrap/>
            <w:vAlign w:val="center"/>
            <w:hideMark/>
          </w:tcPr>
          <w:p w14:paraId="3807D67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FBC7CF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D13A7E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61C8F3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Resolución comisiones de servicio</w:t>
            </w:r>
          </w:p>
        </w:tc>
        <w:tc>
          <w:tcPr>
            <w:tcW w:w="1246" w:type="dxa"/>
            <w:tcBorders>
              <w:top w:val="nil"/>
              <w:left w:val="nil"/>
              <w:bottom w:val="single" w:sz="4" w:space="0" w:color="auto"/>
              <w:right w:val="single" w:sz="4" w:space="0" w:color="auto"/>
            </w:tcBorders>
            <w:shd w:val="clear" w:color="auto" w:fill="auto"/>
            <w:vAlign w:val="center"/>
            <w:hideMark/>
          </w:tcPr>
          <w:p w14:paraId="60AF5CC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3A2AC30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7D79A24"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28</w:t>
            </w:r>
          </w:p>
        </w:tc>
        <w:tc>
          <w:tcPr>
            <w:tcW w:w="1495" w:type="dxa"/>
            <w:tcBorders>
              <w:top w:val="nil"/>
              <w:left w:val="nil"/>
              <w:bottom w:val="single" w:sz="4" w:space="0" w:color="auto"/>
              <w:right w:val="single" w:sz="4" w:space="0" w:color="auto"/>
            </w:tcBorders>
            <w:shd w:val="clear" w:color="auto" w:fill="auto"/>
            <w:noWrap/>
            <w:vAlign w:val="center"/>
            <w:hideMark/>
          </w:tcPr>
          <w:p w14:paraId="55413F8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2020/G01_01/000217</w:t>
            </w:r>
          </w:p>
        </w:tc>
        <w:tc>
          <w:tcPr>
            <w:tcW w:w="2532" w:type="dxa"/>
            <w:tcBorders>
              <w:top w:val="nil"/>
              <w:left w:val="nil"/>
              <w:bottom w:val="single" w:sz="4" w:space="0" w:color="auto"/>
              <w:right w:val="single" w:sz="4" w:space="0" w:color="auto"/>
            </w:tcBorders>
            <w:shd w:val="clear" w:color="auto" w:fill="auto"/>
            <w:noWrap/>
            <w:vAlign w:val="center"/>
            <w:hideMark/>
          </w:tcPr>
          <w:p w14:paraId="432EFFD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7D191D1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477CDFB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12/05/2021</w:t>
            </w:r>
          </w:p>
        </w:tc>
        <w:tc>
          <w:tcPr>
            <w:tcW w:w="1559" w:type="dxa"/>
            <w:tcBorders>
              <w:top w:val="nil"/>
              <w:left w:val="nil"/>
              <w:bottom w:val="single" w:sz="4" w:space="0" w:color="auto"/>
              <w:right w:val="single" w:sz="4" w:space="0" w:color="auto"/>
            </w:tcBorders>
            <w:shd w:val="clear" w:color="auto" w:fill="auto"/>
            <w:noWrap/>
            <w:vAlign w:val="center"/>
            <w:hideMark/>
          </w:tcPr>
          <w:p w14:paraId="1C9FD89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3B44A93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41B873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F1EBDE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1967B22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3E87EBC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588F894"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29</w:t>
            </w:r>
          </w:p>
        </w:tc>
        <w:tc>
          <w:tcPr>
            <w:tcW w:w="1495" w:type="dxa"/>
            <w:tcBorders>
              <w:top w:val="nil"/>
              <w:left w:val="nil"/>
              <w:bottom w:val="single" w:sz="4" w:space="0" w:color="auto"/>
              <w:right w:val="single" w:sz="4" w:space="0" w:color="auto"/>
            </w:tcBorders>
            <w:shd w:val="clear" w:color="auto" w:fill="auto"/>
            <w:noWrap/>
            <w:vAlign w:val="center"/>
            <w:hideMark/>
          </w:tcPr>
          <w:p w14:paraId="42B5041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2020/G01_01/000009</w:t>
            </w:r>
          </w:p>
        </w:tc>
        <w:tc>
          <w:tcPr>
            <w:tcW w:w="2532" w:type="dxa"/>
            <w:tcBorders>
              <w:top w:val="nil"/>
              <w:left w:val="nil"/>
              <w:bottom w:val="single" w:sz="4" w:space="0" w:color="auto"/>
              <w:right w:val="single" w:sz="4" w:space="0" w:color="auto"/>
            </w:tcBorders>
            <w:shd w:val="clear" w:color="auto" w:fill="auto"/>
            <w:noWrap/>
            <w:vAlign w:val="center"/>
            <w:hideMark/>
          </w:tcPr>
          <w:p w14:paraId="356B5E7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Benissa</w:t>
            </w:r>
          </w:p>
        </w:tc>
        <w:tc>
          <w:tcPr>
            <w:tcW w:w="2760" w:type="dxa"/>
            <w:tcBorders>
              <w:top w:val="nil"/>
              <w:left w:val="nil"/>
              <w:bottom w:val="single" w:sz="4" w:space="0" w:color="auto"/>
              <w:right w:val="single" w:sz="4" w:space="0" w:color="auto"/>
            </w:tcBorders>
            <w:shd w:val="clear" w:color="auto" w:fill="auto"/>
            <w:noWrap/>
            <w:vAlign w:val="center"/>
            <w:hideMark/>
          </w:tcPr>
          <w:p w14:paraId="7312FEB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w:t>
            </w:r>
          </w:p>
        </w:tc>
        <w:tc>
          <w:tcPr>
            <w:tcW w:w="926" w:type="dxa"/>
            <w:tcBorders>
              <w:top w:val="nil"/>
              <w:left w:val="nil"/>
              <w:bottom w:val="single" w:sz="4" w:space="0" w:color="auto"/>
              <w:right w:val="single" w:sz="4" w:space="0" w:color="auto"/>
            </w:tcBorders>
            <w:shd w:val="clear" w:color="auto" w:fill="auto"/>
            <w:noWrap/>
            <w:vAlign w:val="center"/>
            <w:hideMark/>
          </w:tcPr>
          <w:p w14:paraId="3AC1F73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18/05/2021</w:t>
            </w:r>
          </w:p>
        </w:tc>
        <w:tc>
          <w:tcPr>
            <w:tcW w:w="1559" w:type="dxa"/>
            <w:tcBorders>
              <w:top w:val="nil"/>
              <w:left w:val="nil"/>
              <w:bottom w:val="single" w:sz="4" w:space="0" w:color="auto"/>
              <w:right w:val="single" w:sz="4" w:space="0" w:color="auto"/>
            </w:tcBorders>
            <w:shd w:val="clear" w:color="auto" w:fill="auto"/>
            <w:noWrap/>
            <w:vAlign w:val="center"/>
            <w:hideMark/>
          </w:tcPr>
          <w:p w14:paraId="3E35B8E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2E0300B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43EFF9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FE0038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0FF4D47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6303AEA0"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F6D894F"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30</w:t>
            </w:r>
          </w:p>
        </w:tc>
        <w:tc>
          <w:tcPr>
            <w:tcW w:w="1495" w:type="dxa"/>
            <w:tcBorders>
              <w:top w:val="nil"/>
              <w:left w:val="nil"/>
              <w:bottom w:val="single" w:sz="4" w:space="0" w:color="auto"/>
              <w:right w:val="single" w:sz="4" w:space="0" w:color="auto"/>
            </w:tcBorders>
            <w:shd w:val="clear" w:color="auto" w:fill="auto"/>
            <w:noWrap/>
            <w:vAlign w:val="center"/>
            <w:hideMark/>
          </w:tcPr>
          <w:p w14:paraId="28398F3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2020/G01_01/000165</w:t>
            </w:r>
          </w:p>
        </w:tc>
        <w:tc>
          <w:tcPr>
            <w:tcW w:w="2532" w:type="dxa"/>
            <w:tcBorders>
              <w:top w:val="nil"/>
              <w:left w:val="nil"/>
              <w:bottom w:val="single" w:sz="4" w:space="0" w:color="auto"/>
              <w:right w:val="single" w:sz="4" w:space="0" w:color="auto"/>
            </w:tcBorders>
            <w:shd w:val="clear" w:color="auto" w:fill="auto"/>
            <w:noWrap/>
            <w:vAlign w:val="center"/>
            <w:hideMark/>
          </w:tcPr>
          <w:p w14:paraId="4338F49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CACSA</w:t>
            </w:r>
          </w:p>
        </w:tc>
        <w:tc>
          <w:tcPr>
            <w:tcW w:w="2760" w:type="dxa"/>
            <w:tcBorders>
              <w:top w:val="nil"/>
              <w:left w:val="nil"/>
              <w:bottom w:val="single" w:sz="4" w:space="0" w:color="auto"/>
              <w:right w:val="single" w:sz="4" w:space="0" w:color="auto"/>
            </w:tcBorders>
            <w:shd w:val="clear" w:color="auto" w:fill="auto"/>
            <w:noWrap/>
            <w:vAlign w:val="center"/>
            <w:hideMark/>
          </w:tcPr>
          <w:p w14:paraId="7B0C587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23AAA0A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18/05/2021</w:t>
            </w:r>
          </w:p>
        </w:tc>
        <w:tc>
          <w:tcPr>
            <w:tcW w:w="1559" w:type="dxa"/>
            <w:tcBorders>
              <w:top w:val="nil"/>
              <w:left w:val="nil"/>
              <w:bottom w:val="single" w:sz="4" w:space="0" w:color="auto"/>
              <w:right w:val="single" w:sz="4" w:space="0" w:color="auto"/>
            </w:tcBorders>
            <w:shd w:val="clear" w:color="auto" w:fill="auto"/>
            <w:noWrap/>
            <w:vAlign w:val="center"/>
            <w:hideMark/>
          </w:tcPr>
          <w:p w14:paraId="63E0FA6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48F3514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982076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C62E8D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Liquidació contracte</w:t>
            </w:r>
          </w:p>
        </w:tc>
        <w:tc>
          <w:tcPr>
            <w:tcW w:w="1246" w:type="dxa"/>
            <w:tcBorders>
              <w:top w:val="nil"/>
              <w:left w:val="nil"/>
              <w:bottom w:val="single" w:sz="4" w:space="0" w:color="auto"/>
              <w:right w:val="single" w:sz="4" w:space="0" w:color="auto"/>
            </w:tcBorders>
            <w:shd w:val="clear" w:color="auto" w:fill="auto"/>
            <w:vAlign w:val="center"/>
            <w:hideMark/>
          </w:tcPr>
          <w:p w14:paraId="098C361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46BDAA16"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F4F18A7"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31</w:t>
            </w:r>
          </w:p>
        </w:tc>
        <w:tc>
          <w:tcPr>
            <w:tcW w:w="1495" w:type="dxa"/>
            <w:tcBorders>
              <w:top w:val="nil"/>
              <w:left w:val="nil"/>
              <w:bottom w:val="single" w:sz="4" w:space="0" w:color="auto"/>
              <w:right w:val="single" w:sz="4" w:space="0" w:color="auto"/>
            </w:tcBorders>
            <w:shd w:val="clear" w:color="auto" w:fill="auto"/>
            <w:noWrap/>
            <w:vAlign w:val="center"/>
            <w:hideMark/>
          </w:tcPr>
          <w:p w14:paraId="3871810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2020/G01_01/000199</w:t>
            </w:r>
          </w:p>
        </w:tc>
        <w:tc>
          <w:tcPr>
            <w:tcW w:w="2532" w:type="dxa"/>
            <w:tcBorders>
              <w:top w:val="nil"/>
              <w:left w:val="nil"/>
              <w:bottom w:val="single" w:sz="4" w:space="0" w:color="auto"/>
              <w:right w:val="single" w:sz="4" w:space="0" w:color="auto"/>
            </w:tcBorders>
            <w:shd w:val="clear" w:color="auto" w:fill="auto"/>
            <w:noWrap/>
            <w:vAlign w:val="center"/>
            <w:hideMark/>
          </w:tcPr>
          <w:p w14:paraId="7570CD6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Aigües de Sueca</w:t>
            </w:r>
          </w:p>
        </w:tc>
        <w:tc>
          <w:tcPr>
            <w:tcW w:w="2760" w:type="dxa"/>
            <w:tcBorders>
              <w:top w:val="nil"/>
              <w:left w:val="nil"/>
              <w:bottom w:val="single" w:sz="4" w:space="0" w:color="auto"/>
              <w:right w:val="single" w:sz="4" w:space="0" w:color="auto"/>
            </w:tcBorders>
            <w:shd w:val="clear" w:color="auto" w:fill="auto"/>
            <w:noWrap/>
            <w:vAlign w:val="center"/>
            <w:hideMark/>
          </w:tcPr>
          <w:p w14:paraId="0383CD2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7262B6AC"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10/06/2021</w:t>
            </w:r>
          </w:p>
        </w:tc>
        <w:tc>
          <w:tcPr>
            <w:tcW w:w="1559" w:type="dxa"/>
            <w:tcBorders>
              <w:top w:val="nil"/>
              <w:left w:val="nil"/>
              <w:bottom w:val="single" w:sz="4" w:space="0" w:color="auto"/>
              <w:right w:val="single" w:sz="4" w:space="0" w:color="auto"/>
            </w:tcBorders>
            <w:shd w:val="clear" w:color="auto" w:fill="auto"/>
            <w:noWrap/>
            <w:vAlign w:val="center"/>
            <w:hideMark/>
          </w:tcPr>
          <w:p w14:paraId="5006CC5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2FD9CFC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2055C5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2B434E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65F07D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181439C1"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532F10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32</w:t>
            </w:r>
          </w:p>
        </w:tc>
        <w:tc>
          <w:tcPr>
            <w:tcW w:w="1495" w:type="dxa"/>
            <w:tcBorders>
              <w:top w:val="nil"/>
              <w:left w:val="nil"/>
              <w:bottom w:val="single" w:sz="4" w:space="0" w:color="auto"/>
              <w:right w:val="single" w:sz="4" w:space="0" w:color="auto"/>
            </w:tcBorders>
            <w:shd w:val="clear" w:color="auto" w:fill="auto"/>
            <w:noWrap/>
            <w:vAlign w:val="center"/>
            <w:hideMark/>
          </w:tcPr>
          <w:p w14:paraId="3E56382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2021/G01_02/000114</w:t>
            </w:r>
          </w:p>
        </w:tc>
        <w:tc>
          <w:tcPr>
            <w:tcW w:w="2532" w:type="dxa"/>
            <w:tcBorders>
              <w:top w:val="nil"/>
              <w:left w:val="nil"/>
              <w:bottom w:val="single" w:sz="4" w:space="0" w:color="auto"/>
              <w:right w:val="single" w:sz="4" w:space="0" w:color="auto"/>
            </w:tcBorders>
            <w:shd w:val="clear" w:color="auto" w:fill="auto"/>
            <w:noWrap/>
            <w:vAlign w:val="center"/>
            <w:hideMark/>
          </w:tcPr>
          <w:p w14:paraId="0CB4B4B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Generalitat Valenciana Conselleria de Justícia</w:t>
            </w:r>
          </w:p>
        </w:tc>
        <w:tc>
          <w:tcPr>
            <w:tcW w:w="2760" w:type="dxa"/>
            <w:tcBorders>
              <w:top w:val="nil"/>
              <w:left w:val="nil"/>
              <w:bottom w:val="single" w:sz="4" w:space="0" w:color="auto"/>
              <w:right w:val="single" w:sz="4" w:space="0" w:color="auto"/>
            </w:tcBorders>
            <w:shd w:val="clear" w:color="auto" w:fill="auto"/>
            <w:noWrap/>
            <w:vAlign w:val="center"/>
            <w:hideMark/>
          </w:tcPr>
          <w:p w14:paraId="0B86939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44D82AD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10/06/2021</w:t>
            </w:r>
          </w:p>
        </w:tc>
        <w:tc>
          <w:tcPr>
            <w:tcW w:w="1559" w:type="dxa"/>
            <w:tcBorders>
              <w:top w:val="nil"/>
              <w:left w:val="nil"/>
              <w:bottom w:val="single" w:sz="4" w:space="0" w:color="auto"/>
              <w:right w:val="single" w:sz="4" w:space="0" w:color="auto"/>
            </w:tcBorders>
            <w:shd w:val="clear" w:color="auto" w:fill="auto"/>
            <w:noWrap/>
            <w:vAlign w:val="center"/>
            <w:hideMark/>
          </w:tcPr>
          <w:p w14:paraId="33F176E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516AE66A"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0D16455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A6E72A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Expedient disciplinari</w:t>
            </w:r>
          </w:p>
        </w:tc>
        <w:tc>
          <w:tcPr>
            <w:tcW w:w="1246" w:type="dxa"/>
            <w:tcBorders>
              <w:top w:val="nil"/>
              <w:left w:val="nil"/>
              <w:bottom w:val="single" w:sz="4" w:space="0" w:color="auto"/>
              <w:right w:val="single" w:sz="4" w:space="0" w:color="auto"/>
            </w:tcBorders>
            <w:shd w:val="clear" w:color="auto" w:fill="auto"/>
            <w:vAlign w:val="center"/>
            <w:hideMark/>
          </w:tcPr>
          <w:p w14:paraId="6A31EB1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76DFC8B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AF872A2"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33</w:t>
            </w:r>
          </w:p>
        </w:tc>
        <w:tc>
          <w:tcPr>
            <w:tcW w:w="1495" w:type="dxa"/>
            <w:tcBorders>
              <w:top w:val="nil"/>
              <w:left w:val="nil"/>
              <w:bottom w:val="single" w:sz="4" w:space="0" w:color="auto"/>
              <w:right w:val="single" w:sz="4" w:space="0" w:color="auto"/>
            </w:tcBorders>
            <w:shd w:val="clear" w:color="auto" w:fill="auto"/>
            <w:noWrap/>
            <w:vAlign w:val="center"/>
            <w:hideMark/>
          </w:tcPr>
          <w:p w14:paraId="0852A2A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2020/G01_01/000261</w:t>
            </w:r>
          </w:p>
        </w:tc>
        <w:tc>
          <w:tcPr>
            <w:tcW w:w="2532" w:type="dxa"/>
            <w:tcBorders>
              <w:top w:val="nil"/>
              <w:left w:val="nil"/>
              <w:bottom w:val="single" w:sz="4" w:space="0" w:color="auto"/>
              <w:right w:val="single" w:sz="4" w:space="0" w:color="auto"/>
            </w:tcBorders>
            <w:shd w:val="clear" w:color="auto" w:fill="auto"/>
            <w:noWrap/>
            <w:vAlign w:val="center"/>
            <w:hideMark/>
          </w:tcPr>
          <w:p w14:paraId="6537509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Canet d'en Berenguer</w:t>
            </w:r>
          </w:p>
        </w:tc>
        <w:tc>
          <w:tcPr>
            <w:tcW w:w="2760" w:type="dxa"/>
            <w:tcBorders>
              <w:top w:val="nil"/>
              <w:left w:val="nil"/>
              <w:bottom w:val="single" w:sz="4" w:space="0" w:color="auto"/>
              <w:right w:val="single" w:sz="4" w:space="0" w:color="auto"/>
            </w:tcBorders>
            <w:shd w:val="clear" w:color="auto" w:fill="auto"/>
            <w:noWrap/>
            <w:vAlign w:val="center"/>
            <w:hideMark/>
          </w:tcPr>
          <w:p w14:paraId="161B7BD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376B79F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10/06/2021</w:t>
            </w:r>
          </w:p>
        </w:tc>
        <w:tc>
          <w:tcPr>
            <w:tcW w:w="1559" w:type="dxa"/>
            <w:tcBorders>
              <w:top w:val="nil"/>
              <w:left w:val="nil"/>
              <w:bottom w:val="single" w:sz="4" w:space="0" w:color="auto"/>
              <w:right w:val="single" w:sz="4" w:space="0" w:color="auto"/>
            </w:tcBorders>
            <w:shd w:val="clear" w:color="auto" w:fill="auto"/>
            <w:noWrap/>
            <w:vAlign w:val="center"/>
            <w:hideMark/>
          </w:tcPr>
          <w:p w14:paraId="3131F64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64C1F8E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007794F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69A545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9A1950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0676B854"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tcPr>
          <w:p w14:paraId="02248095"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34</w:t>
            </w:r>
          </w:p>
        </w:tc>
        <w:tc>
          <w:tcPr>
            <w:tcW w:w="1495" w:type="dxa"/>
            <w:tcBorders>
              <w:top w:val="nil"/>
              <w:left w:val="nil"/>
              <w:bottom w:val="single" w:sz="4" w:space="0" w:color="auto"/>
              <w:right w:val="single" w:sz="4" w:space="0" w:color="auto"/>
            </w:tcBorders>
            <w:shd w:val="clear" w:color="auto" w:fill="auto"/>
            <w:noWrap/>
            <w:vAlign w:val="center"/>
          </w:tcPr>
          <w:p w14:paraId="4D659517" w14:textId="77777777" w:rsidR="00CE1C9E" w:rsidRPr="00CE1C9E" w:rsidRDefault="00CE1C9E" w:rsidP="00CE1C9E">
            <w:pPr>
              <w:spacing w:before="60" w:after="60"/>
              <w:rPr>
                <w:rFonts w:ascii="Arial" w:eastAsia="Times New Roman" w:hAnsi="Arial"/>
                <w:color w:val="000000"/>
                <w:sz w:val="14"/>
                <w:szCs w:val="14"/>
                <w:lang w:eastAsia="es-ES"/>
              </w:rPr>
            </w:pPr>
          </w:p>
        </w:tc>
        <w:tc>
          <w:tcPr>
            <w:tcW w:w="2532" w:type="dxa"/>
            <w:tcBorders>
              <w:top w:val="nil"/>
              <w:left w:val="nil"/>
              <w:bottom w:val="single" w:sz="4" w:space="0" w:color="auto"/>
              <w:right w:val="single" w:sz="4" w:space="0" w:color="auto"/>
            </w:tcBorders>
            <w:shd w:val="clear" w:color="auto" w:fill="auto"/>
            <w:noWrap/>
            <w:vAlign w:val="center"/>
          </w:tcPr>
          <w:p w14:paraId="4D157FB4" w14:textId="77777777" w:rsidR="00CE1C9E" w:rsidRPr="00CE1C9E" w:rsidRDefault="00CE1C9E" w:rsidP="00CE1C9E">
            <w:pPr>
              <w:spacing w:before="60" w:after="60"/>
              <w:rPr>
                <w:rFonts w:ascii="Arial" w:eastAsia="Times New Roman" w:hAnsi="Arial"/>
                <w:color w:val="000000"/>
                <w:sz w:val="14"/>
                <w:szCs w:val="14"/>
                <w:lang w:eastAsia="es-ES"/>
              </w:rPr>
            </w:pPr>
          </w:p>
        </w:tc>
        <w:tc>
          <w:tcPr>
            <w:tcW w:w="2760" w:type="dxa"/>
            <w:tcBorders>
              <w:top w:val="nil"/>
              <w:left w:val="nil"/>
              <w:bottom w:val="single" w:sz="4" w:space="0" w:color="auto"/>
              <w:right w:val="single" w:sz="4" w:space="0" w:color="auto"/>
            </w:tcBorders>
            <w:shd w:val="clear" w:color="auto" w:fill="auto"/>
            <w:noWrap/>
            <w:vAlign w:val="center"/>
          </w:tcPr>
          <w:p w14:paraId="4CD0FFE5" w14:textId="77777777" w:rsidR="00CE1C9E" w:rsidRPr="00CE1C9E" w:rsidRDefault="00CE1C9E" w:rsidP="00CE1C9E">
            <w:pPr>
              <w:spacing w:before="60" w:after="60"/>
              <w:rPr>
                <w:rFonts w:ascii="Arial" w:eastAsia="Times New Roman" w:hAnsi="Arial"/>
                <w:color w:val="000000"/>
                <w:sz w:val="14"/>
                <w:szCs w:val="14"/>
                <w:lang w:eastAsia="es-ES"/>
              </w:rPr>
            </w:pPr>
          </w:p>
        </w:tc>
        <w:tc>
          <w:tcPr>
            <w:tcW w:w="926" w:type="dxa"/>
            <w:tcBorders>
              <w:top w:val="nil"/>
              <w:left w:val="nil"/>
              <w:bottom w:val="single" w:sz="4" w:space="0" w:color="auto"/>
              <w:right w:val="single" w:sz="4" w:space="0" w:color="auto"/>
            </w:tcBorders>
            <w:shd w:val="clear" w:color="auto" w:fill="auto"/>
            <w:noWrap/>
            <w:vAlign w:val="center"/>
          </w:tcPr>
          <w:p w14:paraId="08F5D66D" w14:textId="77777777" w:rsidR="00CE1C9E" w:rsidRPr="00CE1C9E" w:rsidRDefault="00CE1C9E" w:rsidP="00CE1C9E">
            <w:pPr>
              <w:spacing w:before="60" w:after="60"/>
              <w:jc w:val="right"/>
              <w:rPr>
                <w:rFonts w:ascii="Arial" w:eastAsia="Times New Roman" w:hAnsi="Arial"/>
                <w:color w:val="000000"/>
                <w:sz w:val="14"/>
                <w:szCs w:val="14"/>
                <w:lang w:eastAsia="es-ES"/>
              </w:rPr>
            </w:pPr>
          </w:p>
        </w:tc>
        <w:tc>
          <w:tcPr>
            <w:tcW w:w="1559" w:type="dxa"/>
            <w:tcBorders>
              <w:top w:val="nil"/>
              <w:left w:val="nil"/>
              <w:bottom w:val="single" w:sz="4" w:space="0" w:color="auto"/>
              <w:right w:val="single" w:sz="4" w:space="0" w:color="auto"/>
            </w:tcBorders>
            <w:shd w:val="clear" w:color="auto" w:fill="auto"/>
            <w:noWrap/>
            <w:vAlign w:val="center"/>
          </w:tcPr>
          <w:p w14:paraId="5A2FCC1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Trasllat al Ministeri Fiscal</w:t>
            </w:r>
          </w:p>
        </w:tc>
        <w:tc>
          <w:tcPr>
            <w:tcW w:w="1134" w:type="dxa"/>
            <w:tcBorders>
              <w:top w:val="nil"/>
              <w:left w:val="nil"/>
              <w:bottom w:val="single" w:sz="4" w:space="0" w:color="auto"/>
              <w:right w:val="single" w:sz="4" w:space="0" w:color="auto"/>
            </w:tcBorders>
            <w:shd w:val="clear" w:color="auto" w:fill="auto"/>
            <w:noWrap/>
            <w:vAlign w:val="center"/>
          </w:tcPr>
          <w:p w14:paraId="76B58CE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tcPr>
          <w:p w14:paraId="2DEB987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tcPr>
          <w:p w14:paraId="4244F48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tcPr>
          <w:p w14:paraId="6A66D7EE" w14:textId="77777777" w:rsidR="00CE1C9E" w:rsidRPr="00CE1C9E" w:rsidRDefault="00CE1C9E" w:rsidP="00CE1C9E">
            <w:pPr>
              <w:spacing w:before="60" w:after="60"/>
              <w:rPr>
                <w:rFonts w:ascii="Arial" w:eastAsia="Times New Roman" w:hAnsi="Arial"/>
                <w:color w:val="000000"/>
                <w:sz w:val="14"/>
                <w:szCs w:val="14"/>
                <w:lang w:eastAsia="es-ES"/>
              </w:rPr>
            </w:pPr>
          </w:p>
        </w:tc>
      </w:tr>
      <w:tr w:rsidR="00CE1C9E" w:rsidRPr="00CE1C9E" w14:paraId="6D1B5872"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38A3374"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35</w:t>
            </w:r>
          </w:p>
        </w:tc>
        <w:tc>
          <w:tcPr>
            <w:tcW w:w="1495" w:type="dxa"/>
            <w:tcBorders>
              <w:top w:val="nil"/>
              <w:left w:val="nil"/>
              <w:bottom w:val="single" w:sz="4" w:space="0" w:color="auto"/>
              <w:right w:val="single" w:sz="4" w:space="0" w:color="auto"/>
            </w:tcBorders>
            <w:shd w:val="clear" w:color="auto" w:fill="auto"/>
            <w:noWrap/>
            <w:vAlign w:val="center"/>
            <w:hideMark/>
          </w:tcPr>
          <w:p w14:paraId="37E4A0D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2020/G01_01/000334</w:t>
            </w:r>
          </w:p>
        </w:tc>
        <w:tc>
          <w:tcPr>
            <w:tcW w:w="2532" w:type="dxa"/>
            <w:tcBorders>
              <w:top w:val="nil"/>
              <w:left w:val="nil"/>
              <w:bottom w:val="single" w:sz="4" w:space="0" w:color="auto"/>
              <w:right w:val="single" w:sz="4" w:space="0" w:color="auto"/>
            </w:tcBorders>
            <w:shd w:val="clear" w:color="auto" w:fill="auto"/>
            <w:noWrap/>
            <w:vAlign w:val="center"/>
            <w:hideMark/>
          </w:tcPr>
          <w:p w14:paraId="58FA23D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Benirredrà</w:t>
            </w:r>
          </w:p>
        </w:tc>
        <w:tc>
          <w:tcPr>
            <w:tcW w:w="2760" w:type="dxa"/>
            <w:tcBorders>
              <w:top w:val="nil"/>
              <w:left w:val="nil"/>
              <w:bottom w:val="single" w:sz="4" w:space="0" w:color="auto"/>
              <w:right w:val="single" w:sz="4" w:space="0" w:color="auto"/>
            </w:tcBorders>
            <w:shd w:val="clear" w:color="auto" w:fill="auto"/>
            <w:noWrap/>
            <w:vAlign w:val="center"/>
            <w:hideMark/>
          </w:tcPr>
          <w:p w14:paraId="0F3D54C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3EEB460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14/06/2021</w:t>
            </w:r>
          </w:p>
        </w:tc>
        <w:tc>
          <w:tcPr>
            <w:tcW w:w="1559" w:type="dxa"/>
            <w:tcBorders>
              <w:top w:val="nil"/>
              <w:left w:val="nil"/>
              <w:bottom w:val="single" w:sz="4" w:space="0" w:color="auto"/>
              <w:right w:val="single" w:sz="4" w:space="0" w:color="auto"/>
            </w:tcBorders>
            <w:shd w:val="clear" w:color="auto" w:fill="auto"/>
            <w:noWrap/>
            <w:vAlign w:val="center"/>
            <w:hideMark/>
          </w:tcPr>
          <w:p w14:paraId="62EADA5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66C79E0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306BC5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4739C1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236D87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1E998F83"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D1CF9FC"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36</w:t>
            </w:r>
          </w:p>
        </w:tc>
        <w:tc>
          <w:tcPr>
            <w:tcW w:w="1495" w:type="dxa"/>
            <w:tcBorders>
              <w:top w:val="nil"/>
              <w:left w:val="nil"/>
              <w:bottom w:val="single" w:sz="4" w:space="0" w:color="auto"/>
              <w:right w:val="single" w:sz="4" w:space="0" w:color="auto"/>
            </w:tcBorders>
            <w:shd w:val="clear" w:color="auto" w:fill="auto"/>
            <w:noWrap/>
            <w:vAlign w:val="center"/>
            <w:hideMark/>
          </w:tcPr>
          <w:p w14:paraId="6BAF1A0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2020/G01_01/000324</w:t>
            </w:r>
          </w:p>
        </w:tc>
        <w:tc>
          <w:tcPr>
            <w:tcW w:w="2532" w:type="dxa"/>
            <w:tcBorders>
              <w:top w:val="nil"/>
              <w:left w:val="nil"/>
              <w:bottom w:val="single" w:sz="4" w:space="0" w:color="auto"/>
              <w:right w:val="single" w:sz="4" w:space="0" w:color="auto"/>
            </w:tcBorders>
            <w:shd w:val="clear" w:color="auto" w:fill="auto"/>
            <w:noWrap/>
            <w:vAlign w:val="center"/>
            <w:hideMark/>
          </w:tcPr>
          <w:p w14:paraId="3786647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La Yesa</w:t>
            </w:r>
          </w:p>
        </w:tc>
        <w:tc>
          <w:tcPr>
            <w:tcW w:w="2760" w:type="dxa"/>
            <w:tcBorders>
              <w:top w:val="nil"/>
              <w:left w:val="nil"/>
              <w:bottom w:val="single" w:sz="4" w:space="0" w:color="auto"/>
              <w:right w:val="single" w:sz="4" w:space="0" w:color="auto"/>
            </w:tcBorders>
            <w:shd w:val="clear" w:color="auto" w:fill="auto"/>
            <w:noWrap/>
            <w:vAlign w:val="center"/>
            <w:hideMark/>
          </w:tcPr>
          <w:p w14:paraId="39C8447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52F6E43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14/06/2021</w:t>
            </w:r>
          </w:p>
        </w:tc>
        <w:tc>
          <w:tcPr>
            <w:tcW w:w="1559" w:type="dxa"/>
            <w:tcBorders>
              <w:top w:val="nil"/>
              <w:left w:val="nil"/>
              <w:bottom w:val="single" w:sz="4" w:space="0" w:color="auto"/>
              <w:right w:val="single" w:sz="4" w:space="0" w:color="auto"/>
            </w:tcBorders>
            <w:shd w:val="clear" w:color="auto" w:fill="auto"/>
            <w:noWrap/>
            <w:vAlign w:val="center"/>
            <w:hideMark/>
          </w:tcPr>
          <w:p w14:paraId="649DF62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AF9571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A8FD3AA"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AB822A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Liquidació contracte</w:t>
            </w:r>
          </w:p>
        </w:tc>
        <w:tc>
          <w:tcPr>
            <w:tcW w:w="1246" w:type="dxa"/>
            <w:tcBorders>
              <w:top w:val="nil"/>
              <w:left w:val="nil"/>
              <w:bottom w:val="single" w:sz="4" w:space="0" w:color="auto"/>
              <w:right w:val="single" w:sz="4" w:space="0" w:color="auto"/>
            </w:tcBorders>
            <w:shd w:val="clear" w:color="auto" w:fill="auto"/>
            <w:vAlign w:val="center"/>
            <w:hideMark/>
          </w:tcPr>
          <w:p w14:paraId="75176C1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454E933B"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4234513"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37</w:t>
            </w:r>
          </w:p>
        </w:tc>
        <w:tc>
          <w:tcPr>
            <w:tcW w:w="1495" w:type="dxa"/>
            <w:tcBorders>
              <w:top w:val="nil"/>
              <w:left w:val="nil"/>
              <w:bottom w:val="single" w:sz="4" w:space="0" w:color="auto"/>
              <w:right w:val="single" w:sz="4" w:space="0" w:color="auto"/>
            </w:tcBorders>
            <w:shd w:val="clear" w:color="auto" w:fill="auto"/>
            <w:noWrap/>
            <w:vAlign w:val="center"/>
            <w:hideMark/>
          </w:tcPr>
          <w:p w14:paraId="581D8B0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2020/G01_01/000088</w:t>
            </w:r>
          </w:p>
        </w:tc>
        <w:tc>
          <w:tcPr>
            <w:tcW w:w="2532" w:type="dxa"/>
            <w:tcBorders>
              <w:top w:val="nil"/>
              <w:left w:val="nil"/>
              <w:bottom w:val="single" w:sz="4" w:space="0" w:color="auto"/>
              <w:right w:val="single" w:sz="4" w:space="0" w:color="auto"/>
            </w:tcBorders>
            <w:shd w:val="clear" w:color="auto" w:fill="auto"/>
            <w:noWrap/>
            <w:vAlign w:val="center"/>
            <w:hideMark/>
          </w:tcPr>
          <w:p w14:paraId="006B239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Generalitat Valenciana Conselleria Agricultura</w:t>
            </w:r>
          </w:p>
        </w:tc>
        <w:tc>
          <w:tcPr>
            <w:tcW w:w="2760" w:type="dxa"/>
            <w:tcBorders>
              <w:top w:val="nil"/>
              <w:left w:val="nil"/>
              <w:bottom w:val="single" w:sz="4" w:space="0" w:color="auto"/>
              <w:right w:val="single" w:sz="4" w:space="0" w:color="auto"/>
            </w:tcBorders>
            <w:shd w:val="clear" w:color="auto" w:fill="auto"/>
            <w:noWrap/>
            <w:vAlign w:val="center"/>
            <w:hideMark/>
          </w:tcPr>
          <w:p w14:paraId="294163D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Subvencions</w:t>
            </w:r>
          </w:p>
        </w:tc>
        <w:tc>
          <w:tcPr>
            <w:tcW w:w="926" w:type="dxa"/>
            <w:tcBorders>
              <w:top w:val="nil"/>
              <w:left w:val="nil"/>
              <w:bottom w:val="single" w:sz="4" w:space="0" w:color="auto"/>
              <w:right w:val="single" w:sz="4" w:space="0" w:color="auto"/>
            </w:tcBorders>
            <w:shd w:val="clear" w:color="auto" w:fill="auto"/>
            <w:noWrap/>
            <w:vAlign w:val="center"/>
            <w:hideMark/>
          </w:tcPr>
          <w:p w14:paraId="4C9F54D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16/06/2021</w:t>
            </w:r>
          </w:p>
        </w:tc>
        <w:tc>
          <w:tcPr>
            <w:tcW w:w="1559" w:type="dxa"/>
            <w:tcBorders>
              <w:top w:val="nil"/>
              <w:left w:val="nil"/>
              <w:bottom w:val="single" w:sz="4" w:space="0" w:color="auto"/>
              <w:right w:val="single" w:sz="4" w:space="0" w:color="auto"/>
            </w:tcBorders>
            <w:shd w:val="clear" w:color="auto" w:fill="auto"/>
            <w:noWrap/>
            <w:vAlign w:val="center"/>
            <w:hideMark/>
          </w:tcPr>
          <w:p w14:paraId="1785BFF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12317D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A565F2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E8D696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3210B07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7DD63C9E"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2731BA4"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38</w:t>
            </w:r>
          </w:p>
        </w:tc>
        <w:tc>
          <w:tcPr>
            <w:tcW w:w="1495" w:type="dxa"/>
            <w:tcBorders>
              <w:top w:val="nil"/>
              <w:left w:val="nil"/>
              <w:bottom w:val="single" w:sz="4" w:space="0" w:color="auto"/>
              <w:right w:val="single" w:sz="4" w:space="0" w:color="auto"/>
            </w:tcBorders>
            <w:shd w:val="clear" w:color="auto" w:fill="auto"/>
            <w:noWrap/>
            <w:vAlign w:val="center"/>
            <w:hideMark/>
          </w:tcPr>
          <w:p w14:paraId="44F8614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2020/G01_01/000023</w:t>
            </w:r>
          </w:p>
        </w:tc>
        <w:tc>
          <w:tcPr>
            <w:tcW w:w="2532" w:type="dxa"/>
            <w:tcBorders>
              <w:top w:val="nil"/>
              <w:left w:val="nil"/>
              <w:bottom w:val="single" w:sz="4" w:space="0" w:color="auto"/>
              <w:right w:val="single" w:sz="4" w:space="0" w:color="auto"/>
            </w:tcBorders>
            <w:shd w:val="clear" w:color="auto" w:fill="auto"/>
            <w:noWrap/>
            <w:vAlign w:val="center"/>
            <w:hideMark/>
          </w:tcPr>
          <w:p w14:paraId="07B8E6F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CIEGSA</w:t>
            </w:r>
          </w:p>
        </w:tc>
        <w:tc>
          <w:tcPr>
            <w:tcW w:w="2760" w:type="dxa"/>
            <w:tcBorders>
              <w:top w:val="nil"/>
              <w:left w:val="nil"/>
              <w:bottom w:val="single" w:sz="4" w:space="0" w:color="auto"/>
              <w:right w:val="single" w:sz="4" w:space="0" w:color="auto"/>
            </w:tcBorders>
            <w:shd w:val="clear" w:color="auto" w:fill="auto"/>
            <w:noWrap/>
            <w:vAlign w:val="center"/>
            <w:hideMark/>
          </w:tcPr>
          <w:p w14:paraId="5B825DF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335B8F5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23/06/2021</w:t>
            </w:r>
          </w:p>
        </w:tc>
        <w:tc>
          <w:tcPr>
            <w:tcW w:w="1559" w:type="dxa"/>
            <w:tcBorders>
              <w:top w:val="nil"/>
              <w:left w:val="nil"/>
              <w:bottom w:val="single" w:sz="4" w:space="0" w:color="auto"/>
              <w:right w:val="single" w:sz="4" w:space="0" w:color="auto"/>
            </w:tcBorders>
            <w:shd w:val="clear" w:color="auto" w:fill="auto"/>
            <w:noWrap/>
            <w:vAlign w:val="center"/>
            <w:hideMark/>
          </w:tcPr>
          <w:p w14:paraId="5A96E8C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6A6DE56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5066D9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2A73D8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Contractació</w:t>
            </w:r>
          </w:p>
        </w:tc>
        <w:tc>
          <w:tcPr>
            <w:tcW w:w="1246" w:type="dxa"/>
            <w:tcBorders>
              <w:top w:val="nil"/>
              <w:left w:val="nil"/>
              <w:bottom w:val="single" w:sz="4" w:space="0" w:color="auto"/>
              <w:right w:val="single" w:sz="4" w:space="0" w:color="auto"/>
            </w:tcBorders>
            <w:shd w:val="clear" w:color="auto" w:fill="auto"/>
            <w:vAlign w:val="center"/>
            <w:hideMark/>
          </w:tcPr>
          <w:p w14:paraId="54EF5D2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2755056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EE07F39"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39</w:t>
            </w:r>
          </w:p>
        </w:tc>
        <w:tc>
          <w:tcPr>
            <w:tcW w:w="1495" w:type="dxa"/>
            <w:tcBorders>
              <w:top w:val="nil"/>
              <w:left w:val="nil"/>
              <w:bottom w:val="single" w:sz="4" w:space="0" w:color="auto"/>
              <w:right w:val="single" w:sz="4" w:space="0" w:color="auto"/>
            </w:tcBorders>
            <w:shd w:val="clear" w:color="auto" w:fill="auto"/>
            <w:noWrap/>
            <w:vAlign w:val="center"/>
            <w:hideMark/>
          </w:tcPr>
          <w:p w14:paraId="257D711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2020/G01_01/000236</w:t>
            </w:r>
          </w:p>
        </w:tc>
        <w:tc>
          <w:tcPr>
            <w:tcW w:w="2532" w:type="dxa"/>
            <w:tcBorders>
              <w:top w:val="nil"/>
              <w:left w:val="nil"/>
              <w:bottom w:val="single" w:sz="4" w:space="0" w:color="auto"/>
              <w:right w:val="single" w:sz="4" w:space="0" w:color="auto"/>
            </w:tcBorders>
            <w:shd w:val="clear" w:color="auto" w:fill="auto"/>
            <w:noWrap/>
            <w:vAlign w:val="center"/>
            <w:hideMark/>
          </w:tcPr>
          <w:p w14:paraId="58677E5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Generalitat valenciana Conselleria de Igualtat y Polítiques Inclusives</w:t>
            </w:r>
          </w:p>
        </w:tc>
        <w:tc>
          <w:tcPr>
            <w:tcW w:w="2760" w:type="dxa"/>
            <w:tcBorders>
              <w:top w:val="nil"/>
              <w:left w:val="nil"/>
              <w:bottom w:val="single" w:sz="4" w:space="0" w:color="auto"/>
              <w:right w:val="single" w:sz="4" w:space="0" w:color="auto"/>
            </w:tcBorders>
            <w:shd w:val="clear" w:color="auto" w:fill="auto"/>
            <w:noWrap/>
            <w:vAlign w:val="center"/>
            <w:hideMark/>
          </w:tcPr>
          <w:p w14:paraId="15663E9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Contractació_concessions</w:t>
            </w:r>
          </w:p>
        </w:tc>
        <w:tc>
          <w:tcPr>
            <w:tcW w:w="926" w:type="dxa"/>
            <w:tcBorders>
              <w:top w:val="nil"/>
              <w:left w:val="nil"/>
              <w:bottom w:val="single" w:sz="4" w:space="0" w:color="auto"/>
              <w:right w:val="single" w:sz="4" w:space="0" w:color="auto"/>
            </w:tcBorders>
            <w:shd w:val="clear" w:color="auto" w:fill="auto"/>
            <w:noWrap/>
            <w:vAlign w:val="center"/>
            <w:hideMark/>
          </w:tcPr>
          <w:p w14:paraId="0E7C448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30/06/2021</w:t>
            </w:r>
          </w:p>
        </w:tc>
        <w:tc>
          <w:tcPr>
            <w:tcW w:w="1559" w:type="dxa"/>
            <w:tcBorders>
              <w:top w:val="nil"/>
              <w:left w:val="nil"/>
              <w:bottom w:val="single" w:sz="4" w:space="0" w:color="auto"/>
              <w:right w:val="single" w:sz="4" w:space="0" w:color="auto"/>
            </w:tcBorders>
            <w:shd w:val="clear" w:color="auto" w:fill="auto"/>
            <w:noWrap/>
            <w:vAlign w:val="center"/>
            <w:hideMark/>
          </w:tcPr>
          <w:p w14:paraId="505CE94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76ED9A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2A1D69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5B1DAF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inspecciones</w:t>
            </w:r>
          </w:p>
        </w:tc>
        <w:tc>
          <w:tcPr>
            <w:tcW w:w="1246" w:type="dxa"/>
            <w:tcBorders>
              <w:top w:val="nil"/>
              <w:left w:val="nil"/>
              <w:bottom w:val="single" w:sz="4" w:space="0" w:color="auto"/>
              <w:right w:val="single" w:sz="4" w:space="0" w:color="auto"/>
            </w:tcBorders>
            <w:shd w:val="clear" w:color="auto" w:fill="auto"/>
            <w:vAlign w:val="center"/>
            <w:hideMark/>
          </w:tcPr>
          <w:p w14:paraId="7329D81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7171F5B8"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3BD7992"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40</w:t>
            </w:r>
          </w:p>
        </w:tc>
        <w:tc>
          <w:tcPr>
            <w:tcW w:w="1495" w:type="dxa"/>
            <w:tcBorders>
              <w:top w:val="nil"/>
              <w:left w:val="nil"/>
              <w:bottom w:val="single" w:sz="4" w:space="0" w:color="auto"/>
              <w:right w:val="single" w:sz="4" w:space="0" w:color="auto"/>
            </w:tcBorders>
            <w:shd w:val="clear" w:color="auto" w:fill="auto"/>
            <w:noWrap/>
            <w:vAlign w:val="center"/>
            <w:hideMark/>
          </w:tcPr>
          <w:p w14:paraId="16ED832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2020/G01_01/000225</w:t>
            </w:r>
          </w:p>
        </w:tc>
        <w:tc>
          <w:tcPr>
            <w:tcW w:w="2532" w:type="dxa"/>
            <w:tcBorders>
              <w:top w:val="nil"/>
              <w:left w:val="nil"/>
              <w:bottom w:val="single" w:sz="4" w:space="0" w:color="auto"/>
              <w:right w:val="single" w:sz="4" w:space="0" w:color="auto"/>
            </w:tcBorders>
            <w:shd w:val="clear" w:color="auto" w:fill="auto"/>
            <w:noWrap/>
            <w:vAlign w:val="center"/>
            <w:hideMark/>
          </w:tcPr>
          <w:p w14:paraId="30CD099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44F6D0C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humans_sous càrrecs electes</w:t>
            </w:r>
          </w:p>
        </w:tc>
        <w:tc>
          <w:tcPr>
            <w:tcW w:w="926" w:type="dxa"/>
            <w:tcBorders>
              <w:top w:val="nil"/>
              <w:left w:val="nil"/>
              <w:bottom w:val="single" w:sz="4" w:space="0" w:color="auto"/>
              <w:right w:val="single" w:sz="4" w:space="0" w:color="auto"/>
            </w:tcBorders>
            <w:shd w:val="clear" w:color="auto" w:fill="auto"/>
            <w:noWrap/>
            <w:vAlign w:val="center"/>
            <w:hideMark/>
          </w:tcPr>
          <w:p w14:paraId="4BB569F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06/07/2021</w:t>
            </w:r>
          </w:p>
        </w:tc>
        <w:tc>
          <w:tcPr>
            <w:tcW w:w="1559" w:type="dxa"/>
            <w:tcBorders>
              <w:top w:val="nil"/>
              <w:left w:val="nil"/>
              <w:bottom w:val="single" w:sz="4" w:space="0" w:color="auto"/>
              <w:right w:val="single" w:sz="4" w:space="0" w:color="auto"/>
            </w:tcBorders>
            <w:shd w:val="clear" w:color="auto" w:fill="auto"/>
            <w:noWrap/>
            <w:vAlign w:val="center"/>
            <w:hideMark/>
          </w:tcPr>
          <w:p w14:paraId="09AE2D1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A04FD2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772.576,36</w:t>
            </w:r>
          </w:p>
        </w:tc>
        <w:tc>
          <w:tcPr>
            <w:tcW w:w="992" w:type="dxa"/>
            <w:tcBorders>
              <w:top w:val="nil"/>
              <w:left w:val="nil"/>
              <w:bottom w:val="single" w:sz="4" w:space="0" w:color="auto"/>
              <w:right w:val="single" w:sz="4" w:space="0" w:color="auto"/>
            </w:tcBorders>
            <w:shd w:val="clear" w:color="auto" w:fill="auto"/>
            <w:noWrap/>
            <w:vAlign w:val="center"/>
            <w:hideMark/>
          </w:tcPr>
          <w:p w14:paraId="2C70E90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02A7C6C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981539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parcialment Recomanacions</w:t>
            </w:r>
          </w:p>
        </w:tc>
      </w:tr>
      <w:tr w:rsidR="00CE1C9E" w:rsidRPr="00CE1C9E" w14:paraId="7CA1E4C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BEC8775"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41</w:t>
            </w:r>
          </w:p>
        </w:tc>
        <w:tc>
          <w:tcPr>
            <w:tcW w:w="1495" w:type="dxa"/>
            <w:tcBorders>
              <w:top w:val="nil"/>
              <w:left w:val="nil"/>
              <w:bottom w:val="single" w:sz="4" w:space="0" w:color="auto"/>
              <w:right w:val="single" w:sz="4" w:space="0" w:color="auto"/>
            </w:tcBorders>
            <w:shd w:val="clear" w:color="auto" w:fill="auto"/>
            <w:noWrap/>
            <w:vAlign w:val="center"/>
            <w:hideMark/>
          </w:tcPr>
          <w:p w14:paraId="7C1577D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2020/G01_01/000096</w:t>
            </w:r>
          </w:p>
        </w:tc>
        <w:tc>
          <w:tcPr>
            <w:tcW w:w="2532" w:type="dxa"/>
            <w:tcBorders>
              <w:top w:val="nil"/>
              <w:left w:val="nil"/>
              <w:bottom w:val="single" w:sz="4" w:space="0" w:color="auto"/>
              <w:right w:val="single" w:sz="4" w:space="0" w:color="auto"/>
            </w:tcBorders>
            <w:shd w:val="clear" w:color="auto" w:fill="auto"/>
            <w:noWrap/>
            <w:vAlign w:val="center"/>
            <w:hideMark/>
          </w:tcPr>
          <w:p w14:paraId="5EA3088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2F8B47D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0D4EBA7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11/07/2021</w:t>
            </w:r>
          </w:p>
        </w:tc>
        <w:tc>
          <w:tcPr>
            <w:tcW w:w="1559" w:type="dxa"/>
            <w:tcBorders>
              <w:top w:val="nil"/>
              <w:left w:val="nil"/>
              <w:bottom w:val="single" w:sz="4" w:space="0" w:color="auto"/>
              <w:right w:val="single" w:sz="4" w:space="0" w:color="auto"/>
            </w:tcBorders>
            <w:shd w:val="clear" w:color="auto" w:fill="auto"/>
            <w:noWrap/>
            <w:vAlign w:val="center"/>
            <w:hideMark/>
          </w:tcPr>
          <w:p w14:paraId="205396F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41D406C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E14FA3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5CF64A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055F4E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569A76F8"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9D2F82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42</w:t>
            </w:r>
          </w:p>
        </w:tc>
        <w:tc>
          <w:tcPr>
            <w:tcW w:w="1495" w:type="dxa"/>
            <w:tcBorders>
              <w:top w:val="nil"/>
              <w:left w:val="nil"/>
              <w:bottom w:val="single" w:sz="4" w:space="0" w:color="auto"/>
              <w:right w:val="single" w:sz="4" w:space="0" w:color="auto"/>
            </w:tcBorders>
            <w:shd w:val="clear" w:color="auto" w:fill="auto"/>
            <w:noWrap/>
            <w:vAlign w:val="center"/>
            <w:hideMark/>
          </w:tcPr>
          <w:p w14:paraId="5D87694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2020/G01_01/000147</w:t>
            </w:r>
          </w:p>
        </w:tc>
        <w:tc>
          <w:tcPr>
            <w:tcW w:w="2532" w:type="dxa"/>
            <w:tcBorders>
              <w:top w:val="nil"/>
              <w:left w:val="nil"/>
              <w:bottom w:val="single" w:sz="4" w:space="0" w:color="auto"/>
              <w:right w:val="single" w:sz="4" w:space="0" w:color="auto"/>
            </w:tcBorders>
            <w:shd w:val="clear" w:color="auto" w:fill="auto"/>
            <w:noWrap/>
            <w:vAlign w:val="center"/>
            <w:hideMark/>
          </w:tcPr>
          <w:p w14:paraId="2EDFAD7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Benidorm</w:t>
            </w:r>
          </w:p>
        </w:tc>
        <w:tc>
          <w:tcPr>
            <w:tcW w:w="2760" w:type="dxa"/>
            <w:tcBorders>
              <w:top w:val="nil"/>
              <w:left w:val="nil"/>
              <w:bottom w:val="single" w:sz="4" w:space="0" w:color="auto"/>
              <w:right w:val="single" w:sz="4" w:space="0" w:color="auto"/>
            </w:tcBorders>
            <w:shd w:val="clear" w:color="auto" w:fill="auto"/>
            <w:noWrap/>
            <w:vAlign w:val="center"/>
            <w:hideMark/>
          </w:tcPr>
          <w:p w14:paraId="560E05F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Altres_tracte de favor</w:t>
            </w:r>
          </w:p>
        </w:tc>
        <w:tc>
          <w:tcPr>
            <w:tcW w:w="926" w:type="dxa"/>
            <w:tcBorders>
              <w:top w:val="nil"/>
              <w:left w:val="nil"/>
              <w:bottom w:val="single" w:sz="4" w:space="0" w:color="auto"/>
              <w:right w:val="single" w:sz="4" w:space="0" w:color="auto"/>
            </w:tcBorders>
            <w:shd w:val="clear" w:color="auto" w:fill="auto"/>
            <w:noWrap/>
            <w:vAlign w:val="center"/>
            <w:hideMark/>
          </w:tcPr>
          <w:p w14:paraId="7308CCB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15/07/2021</w:t>
            </w:r>
          </w:p>
        </w:tc>
        <w:tc>
          <w:tcPr>
            <w:tcW w:w="1559" w:type="dxa"/>
            <w:tcBorders>
              <w:top w:val="nil"/>
              <w:left w:val="nil"/>
              <w:bottom w:val="single" w:sz="4" w:space="0" w:color="auto"/>
              <w:right w:val="single" w:sz="4" w:space="0" w:color="auto"/>
            </w:tcBorders>
            <w:shd w:val="clear" w:color="auto" w:fill="auto"/>
            <w:noWrap/>
            <w:vAlign w:val="center"/>
            <w:hideMark/>
          </w:tcPr>
          <w:p w14:paraId="33A29AD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01A140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037F0AB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BC9D9F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49BC447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437D96A6"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ED2F2B7"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43</w:t>
            </w:r>
          </w:p>
        </w:tc>
        <w:tc>
          <w:tcPr>
            <w:tcW w:w="1495" w:type="dxa"/>
            <w:tcBorders>
              <w:top w:val="nil"/>
              <w:left w:val="nil"/>
              <w:bottom w:val="single" w:sz="4" w:space="0" w:color="auto"/>
              <w:right w:val="single" w:sz="4" w:space="0" w:color="auto"/>
            </w:tcBorders>
            <w:shd w:val="clear" w:color="auto" w:fill="auto"/>
            <w:noWrap/>
            <w:vAlign w:val="center"/>
            <w:hideMark/>
          </w:tcPr>
          <w:p w14:paraId="7DB6428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2020/G01_01/000339</w:t>
            </w:r>
          </w:p>
        </w:tc>
        <w:tc>
          <w:tcPr>
            <w:tcW w:w="2532" w:type="dxa"/>
            <w:tcBorders>
              <w:top w:val="nil"/>
              <w:left w:val="nil"/>
              <w:bottom w:val="single" w:sz="4" w:space="0" w:color="auto"/>
              <w:right w:val="single" w:sz="4" w:space="0" w:color="auto"/>
            </w:tcBorders>
            <w:shd w:val="clear" w:color="auto" w:fill="auto"/>
            <w:noWrap/>
            <w:vAlign w:val="center"/>
            <w:hideMark/>
          </w:tcPr>
          <w:p w14:paraId="54230C2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5F974A8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Contractació_concessions</w:t>
            </w:r>
          </w:p>
        </w:tc>
        <w:tc>
          <w:tcPr>
            <w:tcW w:w="926" w:type="dxa"/>
            <w:tcBorders>
              <w:top w:val="nil"/>
              <w:left w:val="nil"/>
              <w:bottom w:val="single" w:sz="4" w:space="0" w:color="auto"/>
              <w:right w:val="single" w:sz="4" w:space="0" w:color="auto"/>
            </w:tcBorders>
            <w:shd w:val="clear" w:color="auto" w:fill="auto"/>
            <w:noWrap/>
            <w:vAlign w:val="center"/>
            <w:hideMark/>
          </w:tcPr>
          <w:p w14:paraId="4A12122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20/07/2021</w:t>
            </w:r>
          </w:p>
        </w:tc>
        <w:tc>
          <w:tcPr>
            <w:tcW w:w="1559" w:type="dxa"/>
            <w:tcBorders>
              <w:top w:val="nil"/>
              <w:left w:val="nil"/>
              <w:bottom w:val="single" w:sz="4" w:space="0" w:color="auto"/>
              <w:right w:val="single" w:sz="4" w:space="0" w:color="auto"/>
            </w:tcBorders>
            <w:shd w:val="clear" w:color="auto" w:fill="auto"/>
            <w:noWrap/>
            <w:vAlign w:val="center"/>
            <w:hideMark/>
          </w:tcPr>
          <w:p w14:paraId="324E389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DDE6A1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89A22F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C3C59B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Contractació</w:t>
            </w:r>
          </w:p>
        </w:tc>
        <w:tc>
          <w:tcPr>
            <w:tcW w:w="1246" w:type="dxa"/>
            <w:tcBorders>
              <w:top w:val="nil"/>
              <w:left w:val="nil"/>
              <w:bottom w:val="single" w:sz="4" w:space="0" w:color="auto"/>
              <w:right w:val="single" w:sz="4" w:space="0" w:color="auto"/>
            </w:tcBorders>
            <w:shd w:val="clear" w:color="auto" w:fill="auto"/>
            <w:vAlign w:val="center"/>
            <w:hideMark/>
          </w:tcPr>
          <w:p w14:paraId="224B72B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1053C7F3"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4093DEA"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44</w:t>
            </w:r>
          </w:p>
        </w:tc>
        <w:tc>
          <w:tcPr>
            <w:tcW w:w="1495" w:type="dxa"/>
            <w:tcBorders>
              <w:top w:val="nil"/>
              <w:left w:val="nil"/>
              <w:bottom w:val="single" w:sz="4" w:space="0" w:color="auto"/>
              <w:right w:val="single" w:sz="4" w:space="0" w:color="auto"/>
            </w:tcBorders>
            <w:shd w:val="clear" w:color="auto" w:fill="auto"/>
            <w:noWrap/>
            <w:vAlign w:val="center"/>
            <w:hideMark/>
          </w:tcPr>
          <w:p w14:paraId="31990B2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2020/G01_01/000031</w:t>
            </w:r>
          </w:p>
        </w:tc>
        <w:tc>
          <w:tcPr>
            <w:tcW w:w="2532" w:type="dxa"/>
            <w:tcBorders>
              <w:top w:val="nil"/>
              <w:left w:val="nil"/>
              <w:bottom w:val="single" w:sz="4" w:space="0" w:color="auto"/>
              <w:right w:val="single" w:sz="4" w:space="0" w:color="auto"/>
            </w:tcBorders>
            <w:shd w:val="clear" w:color="auto" w:fill="auto"/>
            <w:noWrap/>
            <w:vAlign w:val="center"/>
            <w:hideMark/>
          </w:tcPr>
          <w:p w14:paraId="574DCC8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Diputació de Castellón</w:t>
            </w:r>
          </w:p>
        </w:tc>
        <w:tc>
          <w:tcPr>
            <w:tcW w:w="2760" w:type="dxa"/>
            <w:tcBorders>
              <w:top w:val="nil"/>
              <w:left w:val="nil"/>
              <w:bottom w:val="single" w:sz="4" w:space="0" w:color="auto"/>
              <w:right w:val="single" w:sz="4" w:space="0" w:color="auto"/>
            </w:tcBorders>
            <w:shd w:val="clear" w:color="auto" w:fill="auto"/>
            <w:noWrap/>
            <w:vAlign w:val="center"/>
            <w:hideMark/>
          </w:tcPr>
          <w:p w14:paraId="5EAB5BE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humans_incompatibilitats</w:t>
            </w:r>
          </w:p>
        </w:tc>
        <w:tc>
          <w:tcPr>
            <w:tcW w:w="926" w:type="dxa"/>
            <w:tcBorders>
              <w:top w:val="nil"/>
              <w:left w:val="nil"/>
              <w:bottom w:val="single" w:sz="4" w:space="0" w:color="auto"/>
              <w:right w:val="single" w:sz="4" w:space="0" w:color="auto"/>
            </w:tcBorders>
            <w:shd w:val="clear" w:color="auto" w:fill="auto"/>
            <w:noWrap/>
            <w:vAlign w:val="center"/>
            <w:hideMark/>
          </w:tcPr>
          <w:p w14:paraId="6EF2CF5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24/08/2021</w:t>
            </w:r>
          </w:p>
        </w:tc>
        <w:tc>
          <w:tcPr>
            <w:tcW w:w="1559" w:type="dxa"/>
            <w:tcBorders>
              <w:top w:val="nil"/>
              <w:left w:val="nil"/>
              <w:bottom w:val="single" w:sz="4" w:space="0" w:color="auto"/>
              <w:right w:val="single" w:sz="4" w:space="0" w:color="auto"/>
            </w:tcBorders>
            <w:shd w:val="clear" w:color="auto" w:fill="auto"/>
            <w:noWrap/>
            <w:vAlign w:val="center"/>
            <w:hideMark/>
          </w:tcPr>
          <w:p w14:paraId="74083B0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ACE5FD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A3F167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14DB3F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CFDD15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030E5EAB"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92A7F9A"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45</w:t>
            </w:r>
          </w:p>
        </w:tc>
        <w:tc>
          <w:tcPr>
            <w:tcW w:w="1495" w:type="dxa"/>
            <w:tcBorders>
              <w:top w:val="nil"/>
              <w:left w:val="nil"/>
              <w:bottom w:val="single" w:sz="4" w:space="0" w:color="auto"/>
              <w:right w:val="single" w:sz="4" w:space="0" w:color="auto"/>
            </w:tcBorders>
            <w:shd w:val="clear" w:color="auto" w:fill="auto"/>
            <w:noWrap/>
            <w:vAlign w:val="center"/>
            <w:hideMark/>
          </w:tcPr>
          <w:p w14:paraId="6E6E3E5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2020/G01_01/000242</w:t>
            </w:r>
          </w:p>
        </w:tc>
        <w:tc>
          <w:tcPr>
            <w:tcW w:w="2532" w:type="dxa"/>
            <w:tcBorders>
              <w:top w:val="nil"/>
              <w:left w:val="nil"/>
              <w:bottom w:val="single" w:sz="4" w:space="0" w:color="auto"/>
              <w:right w:val="single" w:sz="4" w:space="0" w:color="auto"/>
            </w:tcBorders>
            <w:shd w:val="clear" w:color="auto" w:fill="auto"/>
            <w:noWrap/>
            <w:vAlign w:val="center"/>
            <w:hideMark/>
          </w:tcPr>
          <w:p w14:paraId="165A722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La Serratella</w:t>
            </w:r>
          </w:p>
        </w:tc>
        <w:tc>
          <w:tcPr>
            <w:tcW w:w="2760" w:type="dxa"/>
            <w:tcBorders>
              <w:top w:val="nil"/>
              <w:left w:val="nil"/>
              <w:bottom w:val="single" w:sz="4" w:space="0" w:color="auto"/>
              <w:right w:val="single" w:sz="4" w:space="0" w:color="auto"/>
            </w:tcBorders>
            <w:shd w:val="clear" w:color="auto" w:fill="auto"/>
            <w:noWrap/>
            <w:vAlign w:val="center"/>
            <w:hideMark/>
          </w:tcPr>
          <w:p w14:paraId="26D97D2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Contractació_empreses públiques</w:t>
            </w:r>
          </w:p>
        </w:tc>
        <w:tc>
          <w:tcPr>
            <w:tcW w:w="926" w:type="dxa"/>
            <w:tcBorders>
              <w:top w:val="nil"/>
              <w:left w:val="nil"/>
              <w:bottom w:val="single" w:sz="4" w:space="0" w:color="auto"/>
              <w:right w:val="single" w:sz="4" w:space="0" w:color="auto"/>
            </w:tcBorders>
            <w:shd w:val="clear" w:color="auto" w:fill="auto"/>
            <w:noWrap/>
            <w:vAlign w:val="center"/>
            <w:hideMark/>
          </w:tcPr>
          <w:p w14:paraId="00A35C9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24/08/2021</w:t>
            </w:r>
          </w:p>
        </w:tc>
        <w:tc>
          <w:tcPr>
            <w:tcW w:w="1559" w:type="dxa"/>
            <w:tcBorders>
              <w:top w:val="nil"/>
              <w:left w:val="nil"/>
              <w:bottom w:val="single" w:sz="4" w:space="0" w:color="auto"/>
              <w:right w:val="single" w:sz="4" w:space="0" w:color="auto"/>
            </w:tcBorders>
            <w:shd w:val="clear" w:color="auto" w:fill="auto"/>
            <w:noWrap/>
            <w:vAlign w:val="center"/>
            <w:hideMark/>
          </w:tcPr>
          <w:p w14:paraId="16231C3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5BFF29C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6F27F8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014856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E4E0B2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0CA4C79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952672A"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46</w:t>
            </w:r>
          </w:p>
        </w:tc>
        <w:tc>
          <w:tcPr>
            <w:tcW w:w="1495" w:type="dxa"/>
            <w:tcBorders>
              <w:top w:val="nil"/>
              <w:left w:val="nil"/>
              <w:bottom w:val="single" w:sz="4" w:space="0" w:color="auto"/>
              <w:right w:val="single" w:sz="4" w:space="0" w:color="auto"/>
            </w:tcBorders>
            <w:shd w:val="clear" w:color="auto" w:fill="auto"/>
            <w:noWrap/>
            <w:vAlign w:val="center"/>
            <w:hideMark/>
          </w:tcPr>
          <w:p w14:paraId="494C941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2020/G01_01/000107</w:t>
            </w:r>
          </w:p>
        </w:tc>
        <w:tc>
          <w:tcPr>
            <w:tcW w:w="2532" w:type="dxa"/>
            <w:tcBorders>
              <w:top w:val="nil"/>
              <w:left w:val="nil"/>
              <w:bottom w:val="single" w:sz="4" w:space="0" w:color="auto"/>
              <w:right w:val="single" w:sz="4" w:space="0" w:color="auto"/>
            </w:tcBorders>
            <w:shd w:val="clear" w:color="auto" w:fill="auto"/>
            <w:noWrap/>
            <w:vAlign w:val="center"/>
            <w:hideMark/>
          </w:tcPr>
          <w:p w14:paraId="19D950E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València_Junta Central Fallera</w:t>
            </w:r>
          </w:p>
        </w:tc>
        <w:tc>
          <w:tcPr>
            <w:tcW w:w="2760" w:type="dxa"/>
            <w:tcBorders>
              <w:top w:val="nil"/>
              <w:left w:val="nil"/>
              <w:bottom w:val="single" w:sz="4" w:space="0" w:color="auto"/>
              <w:right w:val="single" w:sz="4" w:space="0" w:color="auto"/>
            </w:tcBorders>
            <w:shd w:val="clear" w:color="auto" w:fill="auto"/>
            <w:noWrap/>
            <w:vAlign w:val="center"/>
            <w:hideMark/>
          </w:tcPr>
          <w:p w14:paraId="41018A0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73182B4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07/09/2021</w:t>
            </w:r>
          </w:p>
        </w:tc>
        <w:tc>
          <w:tcPr>
            <w:tcW w:w="1559" w:type="dxa"/>
            <w:tcBorders>
              <w:top w:val="nil"/>
              <w:left w:val="nil"/>
              <w:bottom w:val="single" w:sz="4" w:space="0" w:color="auto"/>
              <w:right w:val="single" w:sz="4" w:space="0" w:color="auto"/>
            </w:tcBorders>
            <w:shd w:val="clear" w:color="auto" w:fill="auto"/>
            <w:noWrap/>
            <w:vAlign w:val="center"/>
            <w:hideMark/>
          </w:tcPr>
          <w:p w14:paraId="0140C6E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2D1BD88C"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04F4F0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D97683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484FB2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335D790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88A1D70"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47</w:t>
            </w:r>
          </w:p>
        </w:tc>
        <w:tc>
          <w:tcPr>
            <w:tcW w:w="1495" w:type="dxa"/>
            <w:tcBorders>
              <w:top w:val="nil"/>
              <w:left w:val="nil"/>
              <w:bottom w:val="single" w:sz="4" w:space="0" w:color="auto"/>
              <w:right w:val="single" w:sz="4" w:space="0" w:color="auto"/>
            </w:tcBorders>
            <w:shd w:val="clear" w:color="auto" w:fill="auto"/>
            <w:noWrap/>
            <w:vAlign w:val="center"/>
            <w:hideMark/>
          </w:tcPr>
          <w:p w14:paraId="559817E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2020/G01_01/000347</w:t>
            </w:r>
          </w:p>
        </w:tc>
        <w:tc>
          <w:tcPr>
            <w:tcW w:w="2532" w:type="dxa"/>
            <w:tcBorders>
              <w:top w:val="nil"/>
              <w:left w:val="nil"/>
              <w:bottom w:val="single" w:sz="4" w:space="0" w:color="auto"/>
              <w:right w:val="single" w:sz="4" w:space="0" w:color="auto"/>
            </w:tcBorders>
            <w:shd w:val="clear" w:color="auto" w:fill="auto"/>
            <w:noWrap/>
            <w:vAlign w:val="center"/>
            <w:hideMark/>
          </w:tcPr>
          <w:p w14:paraId="46D98D9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Fundació IIES La Fe</w:t>
            </w:r>
          </w:p>
        </w:tc>
        <w:tc>
          <w:tcPr>
            <w:tcW w:w="2760" w:type="dxa"/>
            <w:tcBorders>
              <w:top w:val="nil"/>
              <w:left w:val="nil"/>
              <w:bottom w:val="single" w:sz="4" w:space="0" w:color="auto"/>
              <w:right w:val="single" w:sz="4" w:space="0" w:color="auto"/>
            </w:tcBorders>
            <w:shd w:val="clear" w:color="auto" w:fill="auto"/>
            <w:noWrap/>
            <w:vAlign w:val="center"/>
            <w:hideMark/>
          </w:tcPr>
          <w:p w14:paraId="231A058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3852781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07/09/2021</w:t>
            </w:r>
          </w:p>
        </w:tc>
        <w:tc>
          <w:tcPr>
            <w:tcW w:w="1559" w:type="dxa"/>
            <w:tcBorders>
              <w:top w:val="nil"/>
              <w:left w:val="nil"/>
              <w:bottom w:val="single" w:sz="4" w:space="0" w:color="auto"/>
              <w:right w:val="single" w:sz="4" w:space="0" w:color="auto"/>
            </w:tcBorders>
            <w:shd w:val="clear" w:color="auto" w:fill="auto"/>
            <w:noWrap/>
            <w:vAlign w:val="center"/>
            <w:hideMark/>
          </w:tcPr>
          <w:p w14:paraId="4ED6BE3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F4CEB8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4F34FF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54F6EA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3353DD4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639BFF54"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3F9329A"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48</w:t>
            </w:r>
          </w:p>
        </w:tc>
        <w:tc>
          <w:tcPr>
            <w:tcW w:w="1495" w:type="dxa"/>
            <w:tcBorders>
              <w:top w:val="nil"/>
              <w:left w:val="nil"/>
              <w:bottom w:val="single" w:sz="4" w:space="0" w:color="auto"/>
              <w:right w:val="single" w:sz="4" w:space="0" w:color="auto"/>
            </w:tcBorders>
            <w:shd w:val="clear" w:color="auto" w:fill="auto"/>
            <w:noWrap/>
            <w:vAlign w:val="center"/>
            <w:hideMark/>
          </w:tcPr>
          <w:p w14:paraId="2A16F9B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2020/G01_01/000282</w:t>
            </w:r>
          </w:p>
        </w:tc>
        <w:tc>
          <w:tcPr>
            <w:tcW w:w="2532" w:type="dxa"/>
            <w:tcBorders>
              <w:top w:val="nil"/>
              <w:left w:val="nil"/>
              <w:bottom w:val="single" w:sz="4" w:space="0" w:color="auto"/>
              <w:right w:val="single" w:sz="4" w:space="0" w:color="auto"/>
            </w:tcBorders>
            <w:shd w:val="clear" w:color="auto" w:fill="auto"/>
            <w:noWrap/>
            <w:vAlign w:val="center"/>
            <w:hideMark/>
          </w:tcPr>
          <w:p w14:paraId="4E779F8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Gavarda</w:t>
            </w:r>
          </w:p>
        </w:tc>
        <w:tc>
          <w:tcPr>
            <w:tcW w:w="2760" w:type="dxa"/>
            <w:tcBorders>
              <w:top w:val="nil"/>
              <w:left w:val="nil"/>
              <w:bottom w:val="single" w:sz="4" w:space="0" w:color="auto"/>
              <w:right w:val="single" w:sz="4" w:space="0" w:color="auto"/>
            </w:tcBorders>
            <w:shd w:val="clear" w:color="auto" w:fill="auto"/>
            <w:noWrap/>
            <w:vAlign w:val="center"/>
            <w:hideMark/>
          </w:tcPr>
          <w:p w14:paraId="5E30C08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humans_sous càrrecs electes</w:t>
            </w:r>
          </w:p>
        </w:tc>
        <w:tc>
          <w:tcPr>
            <w:tcW w:w="926" w:type="dxa"/>
            <w:tcBorders>
              <w:top w:val="nil"/>
              <w:left w:val="nil"/>
              <w:bottom w:val="single" w:sz="4" w:space="0" w:color="auto"/>
              <w:right w:val="single" w:sz="4" w:space="0" w:color="auto"/>
            </w:tcBorders>
            <w:shd w:val="clear" w:color="auto" w:fill="auto"/>
            <w:noWrap/>
            <w:vAlign w:val="center"/>
            <w:hideMark/>
          </w:tcPr>
          <w:p w14:paraId="0F57193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08/09/2021</w:t>
            </w:r>
          </w:p>
        </w:tc>
        <w:tc>
          <w:tcPr>
            <w:tcW w:w="1559" w:type="dxa"/>
            <w:tcBorders>
              <w:top w:val="nil"/>
              <w:left w:val="nil"/>
              <w:bottom w:val="single" w:sz="4" w:space="0" w:color="auto"/>
              <w:right w:val="single" w:sz="4" w:space="0" w:color="auto"/>
            </w:tcBorders>
            <w:shd w:val="clear" w:color="auto" w:fill="auto"/>
            <w:noWrap/>
            <w:vAlign w:val="center"/>
            <w:hideMark/>
          </w:tcPr>
          <w:p w14:paraId="1B6F3DD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5A3C89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196.957,30</w:t>
            </w:r>
          </w:p>
        </w:tc>
        <w:tc>
          <w:tcPr>
            <w:tcW w:w="992" w:type="dxa"/>
            <w:tcBorders>
              <w:top w:val="nil"/>
              <w:left w:val="nil"/>
              <w:bottom w:val="single" w:sz="4" w:space="0" w:color="auto"/>
              <w:right w:val="single" w:sz="4" w:space="0" w:color="auto"/>
            </w:tcBorders>
            <w:shd w:val="clear" w:color="auto" w:fill="auto"/>
            <w:noWrap/>
            <w:vAlign w:val="center"/>
            <w:hideMark/>
          </w:tcPr>
          <w:p w14:paraId="4753ACF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701E49B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4FF5CE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7D755B4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29F2B8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49</w:t>
            </w:r>
          </w:p>
        </w:tc>
        <w:tc>
          <w:tcPr>
            <w:tcW w:w="1495" w:type="dxa"/>
            <w:tcBorders>
              <w:top w:val="nil"/>
              <w:left w:val="nil"/>
              <w:bottom w:val="single" w:sz="4" w:space="0" w:color="auto"/>
              <w:right w:val="single" w:sz="4" w:space="0" w:color="auto"/>
            </w:tcBorders>
            <w:shd w:val="clear" w:color="auto" w:fill="auto"/>
            <w:noWrap/>
            <w:vAlign w:val="center"/>
            <w:hideMark/>
          </w:tcPr>
          <w:p w14:paraId="5F56D1F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2020/G01_01/000093</w:t>
            </w:r>
          </w:p>
        </w:tc>
        <w:tc>
          <w:tcPr>
            <w:tcW w:w="2532" w:type="dxa"/>
            <w:tcBorders>
              <w:top w:val="nil"/>
              <w:left w:val="nil"/>
              <w:bottom w:val="single" w:sz="4" w:space="0" w:color="auto"/>
              <w:right w:val="single" w:sz="4" w:space="0" w:color="auto"/>
            </w:tcBorders>
            <w:shd w:val="clear" w:color="auto" w:fill="auto"/>
            <w:noWrap/>
            <w:vAlign w:val="center"/>
            <w:hideMark/>
          </w:tcPr>
          <w:p w14:paraId="20C1891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Aras de Los Olmos</w:t>
            </w:r>
          </w:p>
        </w:tc>
        <w:tc>
          <w:tcPr>
            <w:tcW w:w="2760" w:type="dxa"/>
            <w:tcBorders>
              <w:top w:val="nil"/>
              <w:left w:val="nil"/>
              <w:bottom w:val="single" w:sz="4" w:space="0" w:color="auto"/>
              <w:right w:val="single" w:sz="4" w:space="0" w:color="auto"/>
            </w:tcBorders>
            <w:shd w:val="clear" w:color="auto" w:fill="auto"/>
            <w:noWrap/>
            <w:vAlign w:val="center"/>
            <w:hideMark/>
          </w:tcPr>
          <w:p w14:paraId="3BB4C5B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2112DF1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14/09/2021</w:t>
            </w:r>
          </w:p>
        </w:tc>
        <w:tc>
          <w:tcPr>
            <w:tcW w:w="1559" w:type="dxa"/>
            <w:tcBorders>
              <w:top w:val="nil"/>
              <w:left w:val="nil"/>
              <w:bottom w:val="single" w:sz="4" w:space="0" w:color="auto"/>
              <w:right w:val="single" w:sz="4" w:space="0" w:color="auto"/>
            </w:tcBorders>
            <w:shd w:val="clear" w:color="auto" w:fill="auto"/>
            <w:noWrap/>
            <w:vAlign w:val="center"/>
            <w:hideMark/>
          </w:tcPr>
          <w:p w14:paraId="6C046F3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12C256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5A34A0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45B496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D1AEFF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15A7C51C"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A3C2C0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50</w:t>
            </w:r>
          </w:p>
        </w:tc>
        <w:tc>
          <w:tcPr>
            <w:tcW w:w="1495" w:type="dxa"/>
            <w:tcBorders>
              <w:top w:val="nil"/>
              <w:left w:val="nil"/>
              <w:bottom w:val="single" w:sz="4" w:space="0" w:color="auto"/>
              <w:right w:val="single" w:sz="4" w:space="0" w:color="auto"/>
            </w:tcBorders>
            <w:shd w:val="clear" w:color="auto" w:fill="auto"/>
            <w:noWrap/>
            <w:vAlign w:val="center"/>
            <w:hideMark/>
          </w:tcPr>
          <w:p w14:paraId="1172718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2020/G01_01/000314</w:t>
            </w:r>
          </w:p>
        </w:tc>
        <w:tc>
          <w:tcPr>
            <w:tcW w:w="2532" w:type="dxa"/>
            <w:tcBorders>
              <w:top w:val="nil"/>
              <w:left w:val="nil"/>
              <w:bottom w:val="single" w:sz="4" w:space="0" w:color="auto"/>
              <w:right w:val="single" w:sz="4" w:space="0" w:color="auto"/>
            </w:tcBorders>
            <w:shd w:val="clear" w:color="auto" w:fill="auto"/>
            <w:noWrap/>
            <w:vAlign w:val="center"/>
            <w:hideMark/>
          </w:tcPr>
          <w:p w14:paraId="6E78E44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Castelló de Rugat</w:t>
            </w:r>
          </w:p>
        </w:tc>
        <w:tc>
          <w:tcPr>
            <w:tcW w:w="2760" w:type="dxa"/>
            <w:tcBorders>
              <w:top w:val="nil"/>
              <w:left w:val="nil"/>
              <w:bottom w:val="single" w:sz="4" w:space="0" w:color="auto"/>
              <w:right w:val="single" w:sz="4" w:space="0" w:color="auto"/>
            </w:tcBorders>
            <w:shd w:val="clear" w:color="auto" w:fill="auto"/>
            <w:noWrap/>
            <w:vAlign w:val="center"/>
            <w:hideMark/>
          </w:tcPr>
          <w:p w14:paraId="2ED9B0F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70679AD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14/09/2021</w:t>
            </w:r>
          </w:p>
        </w:tc>
        <w:tc>
          <w:tcPr>
            <w:tcW w:w="1559" w:type="dxa"/>
            <w:tcBorders>
              <w:top w:val="nil"/>
              <w:left w:val="nil"/>
              <w:bottom w:val="single" w:sz="4" w:space="0" w:color="auto"/>
              <w:right w:val="single" w:sz="4" w:space="0" w:color="auto"/>
            </w:tcBorders>
            <w:shd w:val="clear" w:color="auto" w:fill="auto"/>
            <w:noWrap/>
            <w:vAlign w:val="center"/>
            <w:hideMark/>
          </w:tcPr>
          <w:p w14:paraId="51AD495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FE41B1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CEF7AC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A45D3E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3DDF90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4E7F6416"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04179C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51</w:t>
            </w:r>
          </w:p>
        </w:tc>
        <w:tc>
          <w:tcPr>
            <w:tcW w:w="1495" w:type="dxa"/>
            <w:tcBorders>
              <w:top w:val="nil"/>
              <w:left w:val="nil"/>
              <w:bottom w:val="single" w:sz="4" w:space="0" w:color="auto"/>
              <w:right w:val="single" w:sz="4" w:space="0" w:color="auto"/>
            </w:tcBorders>
            <w:shd w:val="clear" w:color="auto" w:fill="auto"/>
            <w:noWrap/>
            <w:vAlign w:val="center"/>
            <w:hideMark/>
          </w:tcPr>
          <w:p w14:paraId="4AEA4A8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2020/G01_01/000238</w:t>
            </w:r>
          </w:p>
        </w:tc>
        <w:tc>
          <w:tcPr>
            <w:tcW w:w="2532" w:type="dxa"/>
            <w:tcBorders>
              <w:top w:val="nil"/>
              <w:left w:val="nil"/>
              <w:bottom w:val="single" w:sz="4" w:space="0" w:color="auto"/>
              <w:right w:val="single" w:sz="4" w:space="0" w:color="auto"/>
            </w:tcBorders>
            <w:shd w:val="clear" w:color="auto" w:fill="auto"/>
            <w:noWrap/>
            <w:vAlign w:val="center"/>
            <w:hideMark/>
          </w:tcPr>
          <w:p w14:paraId="193AA29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IVAM</w:t>
            </w:r>
          </w:p>
        </w:tc>
        <w:tc>
          <w:tcPr>
            <w:tcW w:w="2760" w:type="dxa"/>
            <w:tcBorders>
              <w:top w:val="nil"/>
              <w:left w:val="nil"/>
              <w:bottom w:val="single" w:sz="4" w:space="0" w:color="auto"/>
              <w:right w:val="single" w:sz="4" w:space="0" w:color="auto"/>
            </w:tcBorders>
            <w:shd w:val="clear" w:color="auto" w:fill="auto"/>
            <w:noWrap/>
            <w:vAlign w:val="center"/>
            <w:hideMark/>
          </w:tcPr>
          <w:p w14:paraId="797D655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5AA64BB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01/10/2021</w:t>
            </w:r>
          </w:p>
        </w:tc>
        <w:tc>
          <w:tcPr>
            <w:tcW w:w="1559" w:type="dxa"/>
            <w:tcBorders>
              <w:top w:val="nil"/>
              <w:left w:val="nil"/>
              <w:bottom w:val="single" w:sz="4" w:space="0" w:color="auto"/>
              <w:right w:val="single" w:sz="4" w:space="0" w:color="auto"/>
            </w:tcBorders>
            <w:shd w:val="clear" w:color="auto" w:fill="auto"/>
            <w:noWrap/>
            <w:vAlign w:val="center"/>
            <w:hideMark/>
          </w:tcPr>
          <w:p w14:paraId="38B3AED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6046E4D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AC4EBB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F92768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0DA371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30A85FAD"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82F82D4"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52</w:t>
            </w:r>
          </w:p>
        </w:tc>
        <w:tc>
          <w:tcPr>
            <w:tcW w:w="1495" w:type="dxa"/>
            <w:tcBorders>
              <w:top w:val="nil"/>
              <w:left w:val="nil"/>
              <w:bottom w:val="single" w:sz="4" w:space="0" w:color="auto"/>
              <w:right w:val="single" w:sz="4" w:space="0" w:color="auto"/>
            </w:tcBorders>
            <w:shd w:val="clear" w:color="auto" w:fill="auto"/>
            <w:noWrap/>
            <w:vAlign w:val="center"/>
            <w:hideMark/>
          </w:tcPr>
          <w:p w14:paraId="21BAADF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2021/G01_02/000022</w:t>
            </w:r>
          </w:p>
        </w:tc>
        <w:tc>
          <w:tcPr>
            <w:tcW w:w="2532" w:type="dxa"/>
            <w:tcBorders>
              <w:top w:val="nil"/>
              <w:left w:val="nil"/>
              <w:bottom w:val="single" w:sz="4" w:space="0" w:color="auto"/>
              <w:right w:val="single" w:sz="4" w:space="0" w:color="auto"/>
            </w:tcBorders>
            <w:shd w:val="clear" w:color="auto" w:fill="auto"/>
            <w:noWrap/>
            <w:vAlign w:val="center"/>
            <w:hideMark/>
          </w:tcPr>
          <w:p w14:paraId="11B1E53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Turís</w:t>
            </w:r>
          </w:p>
        </w:tc>
        <w:tc>
          <w:tcPr>
            <w:tcW w:w="2760" w:type="dxa"/>
            <w:tcBorders>
              <w:top w:val="nil"/>
              <w:left w:val="nil"/>
              <w:bottom w:val="single" w:sz="4" w:space="0" w:color="auto"/>
              <w:right w:val="single" w:sz="4" w:space="0" w:color="auto"/>
            </w:tcBorders>
            <w:shd w:val="clear" w:color="auto" w:fill="auto"/>
            <w:noWrap/>
            <w:vAlign w:val="center"/>
            <w:hideMark/>
          </w:tcPr>
          <w:p w14:paraId="70B2E65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1A3C5BE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06/10/2021</w:t>
            </w:r>
          </w:p>
        </w:tc>
        <w:tc>
          <w:tcPr>
            <w:tcW w:w="1559" w:type="dxa"/>
            <w:tcBorders>
              <w:top w:val="nil"/>
              <w:left w:val="nil"/>
              <w:bottom w:val="single" w:sz="4" w:space="0" w:color="auto"/>
              <w:right w:val="single" w:sz="4" w:space="0" w:color="auto"/>
            </w:tcBorders>
            <w:shd w:val="clear" w:color="auto" w:fill="auto"/>
            <w:noWrap/>
            <w:vAlign w:val="center"/>
            <w:hideMark/>
          </w:tcPr>
          <w:p w14:paraId="189E3F6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9F40D4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2ADCD4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0A92C5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51779C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11330915"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66B3E26"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53</w:t>
            </w:r>
          </w:p>
        </w:tc>
        <w:tc>
          <w:tcPr>
            <w:tcW w:w="1495" w:type="dxa"/>
            <w:tcBorders>
              <w:top w:val="nil"/>
              <w:left w:val="nil"/>
              <w:bottom w:val="single" w:sz="4" w:space="0" w:color="auto"/>
              <w:right w:val="single" w:sz="4" w:space="0" w:color="auto"/>
            </w:tcBorders>
            <w:shd w:val="clear" w:color="auto" w:fill="auto"/>
            <w:noWrap/>
            <w:vAlign w:val="center"/>
            <w:hideMark/>
          </w:tcPr>
          <w:p w14:paraId="1B3C0A8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2020/G01_01/000305</w:t>
            </w:r>
          </w:p>
        </w:tc>
        <w:tc>
          <w:tcPr>
            <w:tcW w:w="2532" w:type="dxa"/>
            <w:tcBorders>
              <w:top w:val="nil"/>
              <w:left w:val="nil"/>
              <w:bottom w:val="single" w:sz="4" w:space="0" w:color="auto"/>
              <w:right w:val="single" w:sz="4" w:space="0" w:color="auto"/>
            </w:tcBorders>
            <w:shd w:val="clear" w:color="auto" w:fill="auto"/>
            <w:noWrap/>
            <w:vAlign w:val="center"/>
            <w:hideMark/>
          </w:tcPr>
          <w:p w14:paraId="696CA4E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d’Orba</w:t>
            </w:r>
          </w:p>
        </w:tc>
        <w:tc>
          <w:tcPr>
            <w:tcW w:w="2760" w:type="dxa"/>
            <w:tcBorders>
              <w:top w:val="nil"/>
              <w:left w:val="nil"/>
              <w:bottom w:val="single" w:sz="4" w:space="0" w:color="auto"/>
              <w:right w:val="single" w:sz="4" w:space="0" w:color="auto"/>
            </w:tcBorders>
            <w:shd w:val="clear" w:color="auto" w:fill="auto"/>
            <w:noWrap/>
            <w:vAlign w:val="center"/>
            <w:hideMark/>
          </w:tcPr>
          <w:p w14:paraId="07FEECD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59CFB88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14/10/2021</w:t>
            </w:r>
          </w:p>
        </w:tc>
        <w:tc>
          <w:tcPr>
            <w:tcW w:w="1559" w:type="dxa"/>
            <w:tcBorders>
              <w:top w:val="nil"/>
              <w:left w:val="nil"/>
              <w:bottom w:val="single" w:sz="4" w:space="0" w:color="auto"/>
              <w:right w:val="single" w:sz="4" w:space="0" w:color="auto"/>
            </w:tcBorders>
            <w:shd w:val="clear" w:color="auto" w:fill="auto"/>
            <w:noWrap/>
            <w:vAlign w:val="center"/>
            <w:hideMark/>
          </w:tcPr>
          <w:p w14:paraId="10E82D5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3620A2A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D0C82B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3FE5F4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098CE6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Acceptades Recomanacions</w:t>
            </w:r>
          </w:p>
        </w:tc>
      </w:tr>
      <w:tr w:rsidR="00CE1C9E" w:rsidRPr="00CE1C9E" w14:paraId="46DFB7DF"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6DF01EED"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54</w:t>
            </w:r>
          </w:p>
        </w:tc>
        <w:tc>
          <w:tcPr>
            <w:tcW w:w="1495" w:type="dxa"/>
            <w:tcBorders>
              <w:top w:val="nil"/>
              <w:left w:val="nil"/>
              <w:bottom w:val="single" w:sz="4" w:space="0" w:color="auto"/>
              <w:right w:val="single" w:sz="4" w:space="0" w:color="auto"/>
            </w:tcBorders>
            <w:shd w:val="clear" w:color="auto" w:fill="auto"/>
            <w:noWrap/>
            <w:vAlign w:val="center"/>
            <w:hideMark/>
          </w:tcPr>
          <w:p w14:paraId="2FDF620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2020/G01_01/000370</w:t>
            </w:r>
          </w:p>
        </w:tc>
        <w:tc>
          <w:tcPr>
            <w:tcW w:w="2532" w:type="dxa"/>
            <w:tcBorders>
              <w:top w:val="nil"/>
              <w:left w:val="nil"/>
              <w:bottom w:val="single" w:sz="4" w:space="0" w:color="auto"/>
              <w:right w:val="single" w:sz="4" w:space="0" w:color="auto"/>
            </w:tcBorders>
            <w:shd w:val="clear" w:color="auto" w:fill="auto"/>
            <w:noWrap/>
            <w:vAlign w:val="center"/>
            <w:hideMark/>
          </w:tcPr>
          <w:p w14:paraId="27C1ABF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Sueca</w:t>
            </w:r>
          </w:p>
        </w:tc>
        <w:tc>
          <w:tcPr>
            <w:tcW w:w="2760" w:type="dxa"/>
            <w:tcBorders>
              <w:top w:val="nil"/>
              <w:left w:val="nil"/>
              <w:bottom w:val="single" w:sz="4" w:space="0" w:color="auto"/>
              <w:right w:val="single" w:sz="4" w:space="0" w:color="auto"/>
            </w:tcBorders>
            <w:shd w:val="clear" w:color="auto" w:fill="auto"/>
            <w:noWrap/>
            <w:vAlign w:val="center"/>
            <w:hideMark/>
          </w:tcPr>
          <w:p w14:paraId="4BEE3C3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0D896AB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18/10/2021</w:t>
            </w:r>
          </w:p>
        </w:tc>
        <w:tc>
          <w:tcPr>
            <w:tcW w:w="1559" w:type="dxa"/>
            <w:tcBorders>
              <w:top w:val="nil"/>
              <w:left w:val="nil"/>
              <w:bottom w:val="single" w:sz="4" w:space="0" w:color="auto"/>
              <w:right w:val="single" w:sz="4" w:space="0" w:color="auto"/>
            </w:tcBorders>
            <w:shd w:val="clear" w:color="auto" w:fill="auto"/>
            <w:noWrap/>
            <w:vAlign w:val="center"/>
            <w:hideMark/>
          </w:tcPr>
          <w:p w14:paraId="6BCED82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94801F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A7FABC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EECFB4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Modificació BEP i instrucció interna</w:t>
            </w:r>
          </w:p>
        </w:tc>
        <w:tc>
          <w:tcPr>
            <w:tcW w:w="1246" w:type="dxa"/>
            <w:tcBorders>
              <w:top w:val="nil"/>
              <w:left w:val="nil"/>
              <w:bottom w:val="single" w:sz="4" w:space="0" w:color="auto"/>
              <w:right w:val="single" w:sz="4" w:space="0" w:color="auto"/>
            </w:tcBorders>
            <w:shd w:val="clear" w:color="auto" w:fill="auto"/>
            <w:vAlign w:val="center"/>
            <w:hideMark/>
          </w:tcPr>
          <w:p w14:paraId="1470CFC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0032DE64"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F9DB0C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55</w:t>
            </w:r>
          </w:p>
        </w:tc>
        <w:tc>
          <w:tcPr>
            <w:tcW w:w="1495" w:type="dxa"/>
            <w:tcBorders>
              <w:top w:val="nil"/>
              <w:left w:val="nil"/>
              <w:bottom w:val="single" w:sz="4" w:space="0" w:color="auto"/>
              <w:right w:val="single" w:sz="4" w:space="0" w:color="auto"/>
            </w:tcBorders>
            <w:shd w:val="clear" w:color="auto" w:fill="auto"/>
            <w:noWrap/>
            <w:vAlign w:val="center"/>
            <w:hideMark/>
          </w:tcPr>
          <w:p w14:paraId="2F9419D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2020/G01_01/000187</w:t>
            </w:r>
          </w:p>
        </w:tc>
        <w:tc>
          <w:tcPr>
            <w:tcW w:w="2532" w:type="dxa"/>
            <w:tcBorders>
              <w:top w:val="nil"/>
              <w:left w:val="nil"/>
              <w:bottom w:val="single" w:sz="4" w:space="0" w:color="auto"/>
              <w:right w:val="single" w:sz="4" w:space="0" w:color="auto"/>
            </w:tcBorders>
            <w:shd w:val="clear" w:color="auto" w:fill="auto"/>
            <w:noWrap/>
            <w:vAlign w:val="center"/>
            <w:hideMark/>
          </w:tcPr>
          <w:p w14:paraId="5FB0FD0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Consorci de Museus de la CV</w:t>
            </w:r>
          </w:p>
        </w:tc>
        <w:tc>
          <w:tcPr>
            <w:tcW w:w="2760" w:type="dxa"/>
            <w:tcBorders>
              <w:top w:val="nil"/>
              <w:left w:val="nil"/>
              <w:bottom w:val="single" w:sz="4" w:space="0" w:color="auto"/>
              <w:right w:val="single" w:sz="4" w:space="0" w:color="auto"/>
            </w:tcBorders>
            <w:shd w:val="clear" w:color="auto" w:fill="auto"/>
            <w:noWrap/>
            <w:vAlign w:val="center"/>
            <w:hideMark/>
          </w:tcPr>
          <w:p w14:paraId="23E7521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Contractació_Recursos_humans</w:t>
            </w:r>
          </w:p>
        </w:tc>
        <w:tc>
          <w:tcPr>
            <w:tcW w:w="926" w:type="dxa"/>
            <w:tcBorders>
              <w:top w:val="nil"/>
              <w:left w:val="nil"/>
              <w:bottom w:val="single" w:sz="4" w:space="0" w:color="auto"/>
              <w:right w:val="single" w:sz="4" w:space="0" w:color="auto"/>
            </w:tcBorders>
            <w:shd w:val="clear" w:color="auto" w:fill="auto"/>
            <w:noWrap/>
            <w:vAlign w:val="center"/>
            <w:hideMark/>
          </w:tcPr>
          <w:p w14:paraId="7C458C8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20/10/2021</w:t>
            </w:r>
          </w:p>
        </w:tc>
        <w:tc>
          <w:tcPr>
            <w:tcW w:w="1559" w:type="dxa"/>
            <w:tcBorders>
              <w:top w:val="nil"/>
              <w:left w:val="nil"/>
              <w:bottom w:val="single" w:sz="4" w:space="0" w:color="auto"/>
              <w:right w:val="single" w:sz="4" w:space="0" w:color="auto"/>
            </w:tcBorders>
            <w:shd w:val="clear" w:color="auto" w:fill="auto"/>
            <w:noWrap/>
            <w:vAlign w:val="center"/>
            <w:hideMark/>
          </w:tcPr>
          <w:p w14:paraId="132C21A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F13059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7C94A9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040590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FA536C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53529880"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A8A4612"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56</w:t>
            </w:r>
          </w:p>
        </w:tc>
        <w:tc>
          <w:tcPr>
            <w:tcW w:w="1495" w:type="dxa"/>
            <w:tcBorders>
              <w:top w:val="nil"/>
              <w:left w:val="nil"/>
              <w:bottom w:val="single" w:sz="4" w:space="0" w:color="auto"/>
              <w:right w:val="single" w:sz="4" w:space="0" w:color="auto"/>
            </w:tcBorders>
            <w:shd w:val="clear" w:color="auto" w:fill="auto"/>
            <w:noWrap/>
            <w:vAlign w:val="center"/>
            <w:hideMark/>
          </w:tcPr>
          <w:p w14:paraId="65AEECA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2020/G01_01/000113</w:t>
            </w:r>
          </w:p>
        </w:tc>
        <w:tc>
          <w:tcPr>
            <w:tcW w:w="2532" w:type="dxa"/>
            <w:tcBorders>
              <w:top w:val="nil"/>
              <w:left w:val="nil"/>
              <w:bottom w:val="single" w:sz="4" w:space="0" w:color="auto"/>
              <w:right w:val="single" w:sz="4" w:space="0" w:color="auto"/>
            </w:tcBorders>
            <w:shd w:val="clear" w:color="auto" w:fill="auto"/>
            <w:noWrap/>
            <w:vAlign w:val="center"/>
            <w:hideMark/>
          </w:tcPr>
          <w:p w14:paraId="02BA32F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Universitat d’Alacant_empresa dependent</w:t>
            </w:r>
          </w:p>
        </w:tc>
        <w:tc>
          <w:tcPr>
            <w:tcW w:w="2760" w:type="dxa"/>
            <w:tcBorders>
              <w:top w:val="nil"/>
              <w:left w:val="nil"/>
              <w:bottom w:val="single" w:sz="4" w:space="0" w:color="auto"/>
              <w:right w:val="single" w:sz="4" w:space="0" w:color="auto"/>
            </w:tcBorders>
            <w:shd w:val="clear" w:color="auto" w:fill="auto"/>
            <w:noWrap/>
            <w:vAlign w:val="center"/>
            <w:hideMark/>
          </w:tcPr>
          <w:p w14:paraId="3C41F53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4968FD6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21/10/2021</w:t>
            </w:r>
          </w:p>
        </w:tc>
        <w:tc>
          <w:tcPr>
            <w:tcW w:w="1559" w:type="dxa"/>
            <w:tcBorders>
              <w:top w:val="nil"/>
              <w:left w:val="nil"/>
              <w:bottom w:val="single" w:sz="4" w:space="0" w:color="auto"/>
              <w:right w:val="single" w:sz="4" w:space="0" w:color="auto"/>
            </w:tcBorders>
            <w:shd w:val="clear" w:color="auto" w:fill="auto"/>
            <w:noWrap/>
            <w:vAlign w:val="center"/>
            <w:hideMark/>
          </w:tcPr>
          <w:p w14:paraId="5BCE084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0A21281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50B19EC"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5EE555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34CC5F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2222EF45"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2B13A32"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57</w:t>
            </w:r>
          </w:p>
        </w:tc>
        <w:tc>
          <w:tcPr>
            <w:tcW w:w="1495" w:type="dxa"/>
            <w:tcBorders>
              <w:top w:val="nil"/>
              <w:left w:val="nil"/>
              <w:bottom w:val="single" w:sz="4" w:space="0" w:color="auto"/>
              <w:right w:val="single" w:sz="4" w:space="0" w:color="auto"/>
            </w:tcBorders>
            <w:shd w:val="clear" w:color="auto" w:fill="auto"/>
            <w:noWrap/>
            <w:vAlign w:val="center"/>
            <w:hideMark/>
          </w:tcPr>
          <w:p w14:paraId="041265E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2020/G01_02/000035</w:t>
            </w:r>
          </w:p>
        </w:tc>
        <w:tc>
          <w:tcPr>
            <w:tcW w:w="2532" w:type="dxa"/>
            <w:tcBorders>
              <w:top w:val="nil"/>
              <w:left w:val="nil"/>
              <w:bottom w:val="single" w:sz="4" w:space="0" w:color="auto"/>
              <w:right w:val="single" w:sz="4" w:space="0" w:color="auto"/>
            </w:tcBorders>
            <w:shd w:val="clear" w:color="auto" w:fill="auto"/>
            <w:noWrap/>
            <w:vAlign w:val="center"/>
            <w:hideMark/>
          </w:tcPr>
          <w:p w14:paraId="50DB612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Pedralba</w:t>
            </w:r>
          </w:p>
        </w:tc>
        <w:tc>
          <w:tcPr>
            <w:tcW w:w="2760" w:type="dxa"/>
            <w:tcBorders>
              <w:top w:val="nil"/>
              <w:left w:val="nil"/>
              <w:bottom w:val="single" w:sz="4" w:space="0" w:color="auto"/>
              <w:right w:val="single" w:sz="4" w:space="0" w:color="auto"/>
            </w:tcBorders>
            <w:shd w:val="clear" w:color="auto" w:fill="auto"/>
            <w:noWrap/>
            <w:vAlign w:val="center"/>
            <w:hideMark/>
          </w:tcPr>
          <w:p w14:paraId="0B2AC4A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Contractació_Recursos_humans</w:t>
            </w:r>
          </w:p>
        </w:tc>
        <w:tc>
          <w:tcPr>
            <w:tcW w:w="926" w:type="dxa"/>
            <w:tcBorders>
              <w:top w:val="nil"/>
              <w:left w:val="nil"/>
              <w:bottom w:val="single" w:sz="4" w:space="0" w:color="auto"/>
              <w:right w:val="single" w:sz="4" w:space="0" w:color="auto"/>
            </w:tcBorders>
            <w:shd w:val="clear" w:color="auto" w:fill="auto"/>
            <w:noWrap/>
            <w:vAlign w:val="center"/>
            <w:hideMark/>
          </w:tcPr>
          <w:p w14:paraId="02C7DA7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26/10/2021</w:t>
            </w:r>
          </w:p>
        </w:tc>
        <w:tc>
          <w:tcPr>
            <w:tcW w:w="1559" w:type="dxa"/>
            <w:tcBorders>
              <w:top w:val="nil"/>
              <w:left w:val="nil"/>
              <w:bottom w:val="single" w:sz="4" w:space="0" w:color="auto"/>
              <w:right w:val="single" w:sz="4" w:space="0" w:color="auto"/>
            </w:tcBorders>
            <w:shd w:val="clear" w:color="auto" w:fill="auto"/>
            <w:noWrap/>
            <w:vAlign w:val="center"/>
            <w:hideMark/>
          </w:tcPr>
          <w:p w14:paraId="4814FB3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67F6741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41.609,74</w:t>
            </w:r>
          </w:p>
        </w:tc>
        <w:tc>
          <w:tcPr>
            <w:tcW w:w="992" w:type="dxa"/>
            <w:tcBorders>
              <w:top w:val="nil"/>
              <w:left w:val="nil"/>
              <w:bottom w:val="single" w:sz="4" w:space="0" w:color="auto"/>
              <w:right w:val="single" w:sz="4" w:space="0" w:color="auto"/>
            </w:tcBorders>
            <w:shd w:val="clear" w:color="auto" w:fill="auto"/>
            <w:noWrap/>
            <w:vAlign w:val="center"/>
            <w:hideMark/>
          </w:tcPr>
          <w:p w14:paraId="74D000D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6ABD800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Planificació Contractació</w:t>
            </w:r>
          </w:p>
        </w:tc>
        <w:tc>
          <w:tcPr>
            <w:tcW w:w="1246" w:type="dxa"/>
            <w:tcBorders>
              <w:top w:val="nil"/>
              <w:left w:val="nil"/>
              <w:bottom w:val="single" w:sz="4" w:space="0" w:color="auto"/>
              <w:right w:val="single" w:sz="4" w:space="0" w:color="auto"/>
            </w:tcBorders>
            <w:shd w:val="clear" w:color="auto" w:fill="auto"/>
            <w:vAlign w:val="center"/>
            <w:hideMark/>
          </w:tcPr>
          <w:p w14:paraId="02E4E49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5C79F602"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141DF32"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58</w:t>
            </w:r>
          </w:p>
        </w:tc>
        <w:tc>
          <w:tcPr>
            <w:tcW w:w="1495" w:type="dxa"/>
            <w:tcBorders>
              <w:top w:val="nil"/>
              <w:left w:val="nil"/>
              <w:bottom w:val="single" w:sz="4" w:space="0" w:color="auto"/>
              <w:right w:val="single" w:sz="4" w:space="0" w:color="auto"/>
            </w:tcBorders>
            <w:shd w:val="clear" w:color="auto" w:fill="auto"/>
            <w:noWrap/>
            <w:vAlign w:val="center"/>
            <w:hideMark/>
          </w:tcPr>
          <w:p w14:paraId="471C435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2021/G01_02/000021</w:t>
            </w:r>
          </w:p>
        </w:tc>
        <w:tc>
          <w:tcPr>
            <w:tcW w:w="2532" w:type="dxa"/>
            <w:tcBorders>
              <w:top w:val="nil"/>
              <w:left w:val="nil"/>
              <w:bottom w:val="single" w:sz="4" w:space="0" w:color="auto"/>
              <w:right w:val="single" w:sz="4" w:space="0" w:color="auto"/>
            </w:tcBorders>
            <w:shd w:val="clear" w:color="auto" w:fill="auto"/>
            <w:noWrap/>
            <w:vAlign w:val="center"/>
            <w:hideMark/>
          </w:tcPr>
          <w:p w14:paraId="224FAFE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Canet d'en Berenguer</w:t>
            </w:r>
          </w:p>
        </w:tc>
        <w:tc>
          <w:tcPr>
            <w:tcW w:w="2760" w:type="dxa"/>
            <w:tcBorders>
              <w:top w:val="nil"/>
              <w:left w:val="nil"/>
              <w:bottom w:val="single" w:sz="4" w:space="0" w:color="auto"/>
              <w:right w:val="single" w:sz="4" w:space="0" w:color="auto"/>
            </w:tcBorders>
            <w:shd w:val="clear" w:color="auto" w:fill="auto"/>
            <w:noWrap/>
            <w:vAlign w:val="center"/>
            <w:hideMark/>
          </w:tcPr>
          <w:p w14:paraId="661C083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Contractació_fraccionament</w:t>
            </w:r>
          </w:p>
        </w:tc>
        <w:tc>
          <w:tcPr>
            <w:tcW w:w="926" w:type="dxa"/>
            <w:tcBorders>
              <w:top w:val="nil"/>
              <w:left w:val="nil"/>
              <w:bottom w:val="single" w:sz="4" w:space="0" w:color="auto"/>
              <w:right w:val="single" w:sz="4" w:space="0" w:color="auto"/>
            </w:tcBorders>
            <w:shd w:val="clear" w:color="auto" w:fill="auto"/>
            <w:noWrap/>
            <w:vAlign w:val="center"/>
            <w:hideMark/>
          </w:tcPr>
          <w:p w14:paraId="5C73CA8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17/11/2021</w:t>
            </w:r>
          </w:p>
        </w:tc>
        <w:tc>
          <w:tcPr>
            <w:tcW w:w="1559" w:type="dxa"/>
            <w:tcBorders>
              <w:top w:val="nil"/>
              <w:left w:val="nil"/>
              <w:bottom w:val="single" w:sz="4" w:space="0" w:color="auto"/>
              <w:right w:val="single" w:sz="4" w:space="0" w:color="auto"/>
            </w:tcBorders>
            <w:shd w:val="clear" w:color="auto" w:fill="auto"/>
            <w:noWrap/>
            <w:vAlign w:val="center"/>
            <w:hideMark/>
          </w:tcPr>
          <w:p w14:paraId="612E28E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42E45A7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D708A8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17F7FC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43562FF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315B1982"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DDF932D"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59</w:t>
            </w:r>
          </w:p>
        </w:tc>
        <w:tc>
          <w:tcPr>
            <w:tcW w:w="1495" w:type="dxa"/>
            <w:tcBorders>
              <w:top w:val="nil"/>
              <w:left w:val="nil"/>
              <w:bottom w:val="single" w:sz="4" w:space="0" w:color="auto"/>
              <w:right w:val="single" w:sz="4" w:space="0" w:color="auto"/>
            </w:tcBorders>
            <w:shd w:val="clear" w:color="auto" w:fill="auto"/>
            <w:noWrap/>
            <w:vAlign w:val="center"/>
            <w:hideMark/>
          </w:tcPr>
          <w:p w14:paraId="151E072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2020/G01_02/000260</w:t>
            </w:r>
          </w:p>
        </w:tc>
        <w:tc>
          <w:tcPr>
            <w:tcW w:w="2532" w:type="dxa"/>
            <w:tcBorders>
              <w:top w:val="nil"/>
              <w:left w:val="nil"/>
              <w:bottom w:val="single" w:sz="4" w:space="0" w:color="auto"/>
              <w:right w:val="single" w:sz="4" w:space="0" w:color="auto"/>
            </w:tcBorders>
            <w:shd w:val="clear" w:color="auto" w:fill="auto"/>
            <w:noWrap/>
            <w:vAlign w:val="center"/>
            <w:hideMark/>
          </w:tcPr>
          <w:p w14:paraId="3C04586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d’Elx</w:t>
            </w:r>
          </w:p>
        </w:tc>
        <w:tc>
          <w:tcPr>
            <w:tcW w:w="2760" w:type="dxa"/>
            <w:tcBorders>
              <w:top w:val="nil"/>
              <w:left w:val="nil"/>
              <w:bottom w:val="single" w:sz="4" w:space="0" w:color="auto"/>
              <w:right w:val="single" w:sz="4" w:space="0" w:color="auto"/>
            </w:tcBorders>
            <w:shd w:val="clear" w:color="auto" w:fill="auto"/>
            <w:noWrap/>
            <w:vAlign w:val="center"/>
            <w:hideMark/>
          </w:tcPr>
          <w:p w14:paraId="0DC031F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Contractació_urbanisme_patrimoni</w:t>
            </w:r>
          </w:p>
        </w:tc>
        <w:tc>
          <w:tcPr>
            <w:tcW w:w="926" w:type="dxa"/>
            <w:tcBorders>
              <w:top w:val="nil"/>
              <w:left w:val="nil"/>
              <w:bottom w:val="single" w:sz="4" w:space="0" w:color="auto"/>
              <w:right w:val="single" w:sz="4" w:space="0" w:color="auto"/>
            </w:tcBorders>
            <w:shd w:val="clear" w:color="auto" w:fill="auto"/>
            <w:noWrap/>
            <w:vAlign w:val="center"/>
            <w:hideMark/>
          </w:tcPr>
          <w:p w14:paraId="2149ED0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19/11/2021</w:t>
            </w:r>
          </w:p>
        </w:tc>
        <w:tc>
          <w:tcPr>
            <w:tcW w:w="1559" w:type="dxa"/>
            <w:tcBorders>
              <w:top w:val="nil"/>
              <w:left w:val="nil"/>
              <w:bottom w:val="single" w:sz="4" w:space="0" w:color="auto"/>
              <w:right w:val="single" w:sz="4" w:space="0" w:color="auto"/>
            </w:tcBorders>
            <w:shd w:val="clear" w:color="auto" w:fill="auto"/>
            <w:noWrap/>
            <w:vAlign w:val="center"/>
            <w:hideMark/>
          </w:tcPr>
          <w:p w14:paraId="2C17220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E80288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59F844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3A3863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35FE82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35B90A00"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EEE602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60</w:t>
            </w:r>
          </w:p>
        </w:tc>
        <w:tc>
          <w:tcPr>
            <w:tcW w:w="1495" w:type="dxa"/>
            <w:tcBorders>
              <w:top w:val="nil"/>
              <w:left w:val="nil"/>
              <w:bottom w:val="single" w:sz="4" w:space="0" w:color="auto"/>
              <w:right w:val="single" w:sz="4" w:space="0" w:color="auto"/>
            </w:tcBorders>
            <w:shd w:val="clear" w:color="auto" w:fill="auto"/>
            <w:noWrap/>
            <w:vAlign w:val="center"/>
            <w:hideMark/>
          </w:tcPr>
          <w:p w14:paraId="69EC70E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2020/G01_01/000357</w:t>
            </w:r>
          </w:p>
        </w:tc>
        <w:tc>
          <w:tcPr>
            <w:tcW w:w="2532" w:type="dxa"/>
            <w:tcBorders>
              <w:top w:val="nil"/>
              <w:left w:val="nil"/>
              <w:bottom w:val="single" w:sz="4" w:space="0" w:color="auto"/>
              <w:right w:val="single" w:sz="4" w:space="0" w:color="auto"/>
            </w:tcBorders>
            <w:shd w:val="clear" w:color="auto" w:fill="auto"/>
            <w:noWrap/>
            <w:vAlign w:val="center"/>
            <w:hideMark/>
          </w:tcPr>
          <w:p w14:paraId="2EB4C7A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Borriana</w:t>
            </w:r>
          </w:p>
        </w:tc>
        <w:tc>
          <w:tcPr>
            <w:tcW w:w="2760" w:type="dxa"/>
            <w:tcBorders>
              <w:top w:val="nil"/>
              <w:left w:val="nil"/>
              <w:bottom w:val="single" w:sz="4" w:space="0" w:color="auto"/>
              <w:right w:val="single" w:sz="4" w:space="0" w:color="auto"/>
            </w:tcBorders>
            <w:shd w:val="clear" w:color="auto" w:fill="auto"/>
            <w:noWrap/>
            <w:vAlign w:val="center"/>
            <w:hideMark/>
          </w:tcPr>
          <w:p w14:paraId="685C3B2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Urbanisme</w:t>
            </w:r>
          </w:p>
        </w:tc>
        <w:tc>
          <w:tcPr>
            <w:tcW w:w="926" w:type="dxa"/>
            <w:tcBorders>
              <w:top w:val="nil"/>
              <w:left w:val="nil"/>
              <w:bottom w:val="single" w:sz="4" w:space="0" w:color="auto"/>
              <w:right w:val="single" w:sz="4" w:space="0" w:color="auto"/>
            </w:tcBorders>
            <w:shd w:val="clear" w:color="auto" w:fill="auto"/>
            <w:noWrap/>
            <w:vAlign w:val="center"/>
            <w:hideMark/>
          </w:tcPr>
          <w:p w14:paraId="3556B0D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30/11/2021</w:t>
            </w:r>
          </w:p>
        </w:tc>
        <w:tc>
          <w:tcPr>
            <w:tcW w:w="1559" w:type="dxa"/>
            <w:tcBorders>
              <w:top w:val="nil"/>
              <w:left w:val="nil"/>
              <w:bottom w:val="single" w:sz="4" w:space="0" w:color="auto"/>
              <w:right w:val="single" w:sz="4" w:space="0" w:color="auto"/>
            </w:tcBorders>
            <w:shd w:val="clear" w:color="auto" w:fill="auto"/>
            <w:noWrap/>
            <w:vAlign w:val="center"/>
            <w:hideMark/>
          </w:tcPr>
          <w:p w14:paraId="59CC231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76B1F8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21.052.095,45</w:t>
            </w:r>
          </w:p>
        </w:tc>
        <w:tc>
          <w:tcPr>
            <w:tcW w:w="992" w:type="dxa"/>
            <w:tcBorders>
              <w:top w:val="nil"/>
              <w:left w:val="nil"/>
              <w:bottom w:val="single" w:sz="4" w:space="0" w:color="auto"/>
              <w:right w:val="single" w:sz="4" w:space="0" w:color="auto"/>
            </w:tcBorders>
            <w:shd w:val="clear" w:color="auto" w:fill="auto"/>
            <w:noWrap/>
            <w:vAlign w:val="center"/>
            <w:hideMark/>
          </w:tcPr>
          <w:p w14:paraId="33A4F5F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5A7C53C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EA7C83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417D53CE"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6C16D02"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61</w:t>
            </w:r>
          </w:p>
        </w:tc>
        <w:tc>
          <w:tcPr>
            <w:tcW w:w="1495" w:type="dxa"/>
            <w:tcBorders>
              <w:top w:val="nil"/>
              <w:left w:val="nil"/>
              <w:bottom w:val="single" w:sz="4" w:space="0" w:color="auto"/>
              <w:right w:val="single" w:sz="4" w:space="0" w:color="auto"/>
            </w:tcBorders>
            <w:shd w:val="clear" w:color="auto" w:fill="auto"/>
            <w:noWrap/>
            <w:vAlign w:val="center"/>
            <w:hideMark/>
          </w:tcPr>
          <w:p w14:paraId="157F926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2020/G01_01/000067</w:t>
            </w:r>
          </w:p>
        </w:tc>
        <w:tc>
          <w:tcPr>
            <w:tcW w:w="2532" w:type="dxa"/>
            <w:tcBorders>
              <w:top w:val="nil"/>
              <w:left w:val="nil"/>
              <w:bottom w:val="single" w:sz="4" w:space="0" w:color="auto"/>
              <w:right w:val="single" w:sz="4" w:space="0" w:color="auto"/>
            </w:tcBorders>
            <w:shd w:val="clear" w:color="auto" w:fill="auto"/>
            <w:noWrap/>
            <w:vAlign w:val="center"/>
            <w:hideMark/>
          </w:tcPr>
          <w:p w14:paraId="5A1F9D5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Generalitat Valenciana_Presidència</w:t>
            </w:r>
          </w:p>
        </w:tc>
        <w:tc>
          <w:tcPr>
            <w:tcW w:w="2760" w:type="dxa"/>
            <w:tcBorders>
              <w:top w:val="nil"/>
              <w:left w:val="nil"/>
              <w:bottom w:val="single" w:sz="4" w:space="0" w:color="auto"/>
              <w:right w:val="single" w:sz="4" w:space="0" w:color="auto"/>
            </w:tcBorders>
            <w:shd w:val="clear" w:color="auto" w:fill="auto"/>
            <w:noWrap/>
            <w:vAlign w:val="center"/>
            <w:hideMark/>
          </w:tcPr>
          <w:p w14:paraId="09E396A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7B17572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30/11/2021</w:t>
            </w:r>
          </w:p>
        </w:tc>
        <w:tc>
          <w:tcPr>
            <w:tcW w:w="1559" w:type="dxa"/>
            <w:tcBorders>
              <w:top w:val="nil"/>
              <w:left w:val="nil"/>
              <w:bottom w:val="single" w:sz="4" w:space="0" w:color="auto"/>
              <w:right w:val="single" w:sz="4" w:space="0" w:color="auto"/>
            </w:tcBorders>
            <w:shd w:val="clear" w:color="auto" w:fill="auto"/>
            <w:noWrap/>
            <w:vAlign w:val="center"/>
            <w:hideMark/>
          </w:tcPr>
          <w:p w14:paraId="4977BF9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1FD31AA"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966F04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D1C52A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029C4E8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56F81A64"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004D99D"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62</w:t>
            </w:r>
          </w:p>
        </w:tc>
        <w:tc>
          <w:tcPr>
            <w:tcW w:w="1495" w:type="dxa"/>
            <w:tcBorders>
              <w:top w:val="nil"/>
              <w:left w:val="nil"/>
              <w:bottom w:val="single" w:sz="4" w:space="0" w:color="auto"/>
              <w:right w:val="single" w:sz="4" w:space="0" w:color="auto"/>
            </w:tcBorders>
            <w:shd w:val="clear" w:color="auto" w:fill="auto"/>
            <w:noWrap/>
            <w:vAlign w:val="center"/>
            <w:hideMark/>
          </w:tcPr>
          <w:p w14:paraId="551D02F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2020/G01_01/000311</w:t>
            </w:r>
          </w:p>
        </w:tc>
        <w:tc>
          <w:tcPr>
            <w:tcW w:w="2532" w:type="dxa"/>
            <w:tcBorders>
              <w:top w:val="nil"/>
              <w:left w:val="nil"/>
              <w:bottom w:val="single" w:sz="4" w:space="0" w:color="auto"/>
              <w:right w:val="single" w:sz="4" w:space="0" w:color="auto"/>
            </w:tcBorders>
            <w:shd w:val="clear" w:color="auto" w:fill="auto"/>
            <w:noWrap/>
            <w:vAlign w:val="center"/>
            <w:hideMark/>
          </w:tcPr>
          <w:p w14:paraId="5508DBD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4FE76BD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Contractació-encàrrec directe</w:t>
            </w:r>
          </w:p>
        </w:tc>
        <w:tc>
          <w:tcPr>
            <w:tcW w:w="926" w:type="dxa"/>
            <w:tcBorders>
              <w:top w:val="nil"/>
              <w:left w:val="nil"/>
              <w:bottom w:val="single" w:sz="4" w:space="0" w:color="auto"/>
              <w:right w:val="single" w:sz="4" w:space="0" w:color="auto"/>
            </w:tcBorders>
            <w:shd w:val="clear" w:color="auto" w:fill="auto"/>
            <w:noWrap/>
            <w:vAlign w:val="center"/>
            <w:hideMark/>
          </w:tcPr>
          <w:p w14:paraId="7C21575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30/11/2021</w:t>
            </w:r>
          </w:p>
        </w:tc>
        <w:tc>
          <w:tcPr>
            <w:tcW w:w="1559" w:type="dxa"/>
            <w:tcBorders>
              <w:top w:val="nil"/>
              <w:left w:val="nil"/>
              <w:bottom w:val="single" w:sz="4" w:space="0" w:color="auto"/>
              <w:right w:val="single" w:sz="4" w:space="0" w:color="auto"/>
            </w:tcBorders>
            <w:shd w:val="clear" w:color="auto" w:fill="auto"/>
            <w:noWrap/>
            <w:vAlign w:val="center"/>
            <w:hideMark/>
          </w:tcPr>
          <w:p w14:paraId="2621B4C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621D57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614.501,85</w:t>
            </w:r>
          </w:p>
        </w:tc>
        <w:tc>
          <w:tcPr>
            <w:tcW w:w="992" w:type="dxa"/>
            <w:tcBorders>
              <w:top w:val="nil"/>
              <w:left w:val="nil"/>
              <w:bottom w:val="single" w:sz="4" w:space="0" w:color="auto"/>
              <w:right w:val="single" w:sz="4" w:space="0" w:color="auto"/>
            </w:tcBorders>
            <w:shd w:val="clear" w:color="auto" w:fill="auto"/>
            <w:noWrap/>
            <w:vAlign w:val="center"/>
            <w:hideMark/>
          </w:tcPr>
          <w:p w14:paraId="0B082562"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528ED59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w:t>
            </w:r>
          </w:p>
        </w:tc>
        <w:tc>
          <w:tcPr>
            <w:tcW w:w="1246" w:type="dxa"/>
            <w:tcBorders>
              <w:top w:val="nil"/>
              <w:left w:val="nil"/>
              <w:bottom w:val="single" w:sz="4" w:space="0" w:color="auto"/>
              <w:right w:val="single" w:sz="4" w:space="0" w:color="auto"/>
            </w:tcBorders>
            <w:shd w:val="clear" w:color="auto" w:fill="auto"/>
            <w:vAlign w:val="center"/>
            <w:hideMark/>
          </w:tcPr>
          <w:p w14:paraId="4CA4525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0621EFFC"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719440D"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63</w:t>
            </w:r>
          </w:p>
        </w:tc>
        <w:tc>
          <w:tcPr>
            <w:tcW w:w="1495" w:type="dxa"/>
            <w:tcBorders>
              <w:top w:val="nil"/>
              <w:left w:val="nil"/>
              <w:bottom w:val="single" w:sz="4" w:space="0" w:color="auto"/>
              <w:right w:val="single" w:sz="4" w:space="0" w:color="auto"/>
            </w:tcBorders>
            <w:shd w:val="clear" w:color="auto" w:fill="auto"/>
            <w:noWrap/>
            <w:vAlign w:val="center"/>
            <w:hideMark/>
          </w:tcPr>
          <w:p w14:paraId="6F54526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2020/G01_01/000002</w:t>
            </w:r>
          </w:p>
        </w:tc>
        <w:tc>
          <w:tcPr>
            <w:tcW w:w="2532" w:type="dxa"/>
            <w:tcBorders>
              <w:top w:val="nil"/>
              <w:left w:val="nil"/>
              <w:bottom w:val="single" w:sz="4" w:space="0" w:color="auto"/>
              <w:right w:val="single" w:sz="4" w:space="0" w:color="auto"/>
            </w:tcBorders>
            <w:shd w:val="clear" w:color="auto" w:fill="auto"/>
            <w:noWrap/>
            <w:vAlign w:val="center"/>
            <w:hideMark/>
          </w:tcPr>
          <w:p w14:paraId="10EA35A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Callosa de Segura</w:t>
            </w:r>
          </w:p>
        </w:tc>
        <w:tc>
          <w:tcPr>
            <w:tcW w:w="2760" w:type="dxa"/>
            <w:tcBorders>
              <w:top w:val="nil"/>
              <w:left w:val="nil"/>
              <w:bottom w:val="single" w:sz="4" w:space="0" w:color="auto"/>
              <w:right w:val="single" w:sz="4" w:space="0" w:color="auto"/>
            </w:tcBorders>
            <w:shd w:val="clear" w:color="auto" w:fill="auto"/>
            <w:noWrap/>
            <w:vAlign w:val="center"/>
            <w:hideMark/>
          </w:tcPr>
          <w:p w14:paraId="0419017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Contractació_fraccionament_urbanisme</w:t>
            </w:r>
          </w:p>
        </w:tc>
        <w:tc>
          <w:tcPr>
            <w:tcW w:w="926" w:type="dxa"/>
            <w:tcBorders>
              <w:top w:val="nil"/>
              <w:left w:val="nil"/>
              <w:bottom w:val="single" w:sz="4" w:space="0" w:color="auto"/>
              <w:right w:val="single" w:sz="4" w:space="0" w:color="auto"/>
            </w:tcBorders>
            <w:shd w:val="clear" w:color="auto" w:fill="auto"/>
            <w:noWrap/>
            <w:vAlign w:val="center"/>
            <w:hideMark/>
          </w:tcPr>
          <w:p w14:paraId="4E59014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02/12/2021</w:t>
            </w:r>
          </w:p>
        </w:tc>
        <w:tc>
          <w:tcPr>
            <w:tcW w:w="1559" w:type="dxa"/>
            <w:tcBorders>
              <w:top w:val="nil"/>
              <w:left w:val="nil"/>
              <w:bottom w:val="single" w:sz="4" w:space="0" w:color="auto"/>
              <w:right w:val="single" w:sz="4" w:space="0" w:color="auto"/>
            </w:tcBorders>
            <w:shd w:val="clear" w:color="auto" w:fill="auto"/>
            <w:noWrap/>
            <w:vAlign w:val="center"/>
            <w:hideMark/>
          </w:tcPr>
          <w:p w14:paraId="4791CCB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3F685C5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1ABE5E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A9F966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3759ABD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2C75303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F0055B6"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64</w:t>
            </w:r>
          </w:p>
        </w:tc>
        <w:tc>
          <w:tcPr>
            <w:tcW w:w="1495" w:type="dxa"/>
            <w:tcBorders>
              <w:top w:val="nil"/>
              <w:left w:val="nil"/>
              <w:bottom w:val="single" w:sz="4" w:space="0" w:color="auto"/>
              <w:right w:val="single" w:sz="4" w:space="0" w:color="auto"/>
            </w:tcBorders>
            <w:shd w:val="clear" w:color="auto" w:fill="auto"/>
            <w:noWrap/>
            <w:vAlign w:val="center"/>
            <w:hideMark/>
          </w:tcPr>
          <w:p w14:paraId="2AE505A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2021/G01_01/000286</w:t>
            </w:r>
          </w:p>
        </w:tc>
        <w:tc>
          <w:tcPr>
            <w:tcW w:w="2532" w:type="dxa"/>
            <w:tcBorders>
              <w:top w:val="nil"/>
              <w:left w:val="nil"/>
              <w:bottom w:val="single" w:sz="4" w:space="0" w:color="auto"/>
              <w:right w:val="single" w:sz="4" w:space="0" w:color="auto"/>
            </w:tcBorders>
            <w:shd w:val="clear" w:color="auto" w:fill="auto"/>
            <w:noWrap/>
            <w:vAlign w:val="center"/>
            <w:hideMark/>
          </w:tcPr>
          <w:p w14:paraId="2F17A08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SAMC y CVMC</w:t>
            </w:r>
          </w:p>
        </w:tc>
        <w:tc>
          <w:tcPr>
            <w:tcW w:w="2760" w:type="dxa"/>
            <w:tcBorders>
              <w:top w:val="nil"/>
              <w:left w:val="nil"/>
              <w:bottom w:val="single" w:sz="4" w:space="0" w:color="auto"/>
              <w:right w:val="single" w:sz="4" w:space="0" w:color="auto"/>
            </w:tcBorders>
            <w:shd w:val="clear" w:color="auto" w:fill="auto"/>
            <w:noWrap/>
            <w:vAlign w:val="center"/>
            <w:hideMark/>
          </w:tcPr>
          <w:p w14:paraId="38763D5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Contractació_Recursos_humans</w:t>
            </w:r>
          </w:p>
        </w:tc>
        <w:tc>
          <w:tcPr>
            <w:tcW w:w="926" w:type="dxa"/>
            <w:tcBorders>
              <w:top w:val="nil"/>
              <w:left w:val="nil"/>
              <w:bottom w:val="single" w:sz="4" w:space="0" w:color="auto"/>
              <w:right w:val="single" w:sz="4" w:space="0" w:color="auto"/>
            </w:tcBorders>
            <w:shd w:val="clear" w:color="auto" w:fill="auto"/>
            <w:noWrap/>
            <w:vAlign w:val="center"/>
            <w:hideMark/>
          </w:tcPr>
          <w:p w14:paraId="2B1C652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07/12/2021</w:t>
            </w:r>
          </w:p>
        </w:tc>
        <w:tc>
          <w:tcPr>
            <w:tcW w:w="1559" w:type="dxa"/>
            <w:tcBorders>
              <w:top w:val="nil"/>
              <w:left w:val="nil"/>
              <w:bottom w:val="single" w:sz="4" w:space="0" w:color="auto"/>
              <w:right w:val="single" w:sz="4" w:space="0" w:color="auto"/>
            </w:tcBorders>
            <w:shd w:val="clear" w:color="auto" w:fill="auto"/>
            <w:noWrap/>
            <w:vAlign w:val="center"/>
            <w:hideMark/>
          </w:tcPr>
          <w:p w14:paraId="7B61A9F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6CC23AE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25B79F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A634A9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E31ED9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36FEB3D9"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6C7B72D"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65</w:t>
            </w:r>
          </w:p>
        </w:tc>
        <w:tc>
          <w:tcPr>
            <w:tcW w:w="1495" w:type="dxa"/>
            <w:tcBorders>
              <w:top w:val="nil"/>
              <w:left w:val="nil"/>
              <w:bottom w:val="single" w:sz="4" w:space="0" w:color="auto"/>
              <w:right w:val="single" w:sz="4" w:space="0" w:color="auto"/>
            </w:tcBorders>
            <w:shd w:val="clear" w:color="auto" w:fill="auto"/>
            <w:noWrap/>
            <w:vAlign w:val="center"/>
            <w:hideMark/>
          </w:tcPr>
          <w:p w14:paraId="56CB033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2020/G01_01/000351</w:t>
            </w:r>
          </w:p>
        </w:tc>
        <w:tc>
          <w:tcPr>
            <w:tcW w:w="2532" w:type="dxa"/>
            <w:tcBorders>
              <w:top w:val="nil"/>
              <w:left w:val="nil"/>
              <w:bottom w:val="single" w:sz="4" w:space="0" w:color="auto"/>
              <w:right w:val="single" w:sz="4" w:space="0" w:color="auto"/>
            </w:tcBorders>
            <w:shd w:val="clear" w:color="auto" w:fill="auto"/>
            <w:noWrap/>
            <w:vAlign w:val="center"/>
            <w:hideMark/>
          </w:tcPr>
          <w:p w14:paraId="4547A5A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68AAF2D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Urbanism_llicències</w:t>
            </w:r>
          </w:p>
        </w:tc>
        <w:tc>
          <w:tcPr>
            <w:tcW w:w="926" w:type="dxa"/>
            <w:tcBorders>
              <w:top w:val="nil"/>
              <w:left w:val="nil"/>
              <w:bottom w:val="single" w:sz="4" w:space="0" w:color="auto"/>
              <w:right w:val="single" w:sz="4" w:space="0" w:color="auto"/>
            </w:tcBorders>
            <w:shd w:val="clear" w:color="auto" w:fill="auto"/>
            <w:noWrap/>
            <w:vAlign w:val="center"/>
            <w:hideMark/>
          </w:tcPr>
          <w:p w14:paraId="0133605A"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09/12/2021</w:t>
            </w:r>
          </w:p>
        </w:tc>
        <w:tc>
          <w:tcPr>
            <w:tcW w:w="1559" w:type="dxa"/>
            <w:tcBorders>
              <w:top w:val="nil"/>
              <w:left w:val="nil"/>
              <w:bottom w:val="single" w:sz="4" w:space="0" w:color="auto"/>
              <w:right w:val="single" w:sz="4" w:space="0" w:color="auto"/>
            </w:tcBorders>
            <w:shd w:val="clear" w:color="auto" w:fill="auto"/>
            <w:noWrap/>
            <w:vAlign w:val="center"/>
            <w:hideMark/>
          </w:tcPr>
          <w:p w14:paraId="2B04174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56FE4D5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4EB128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932EBD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318E311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1E4883CA"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44659E8"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66</w:t>
            </w:r>
          </w:p>
        </w:tc>
        <w:tc>
          <w:tcPr>
            <w:tcW w:w="1495" w:type="dxa"/>
            <w:tcBorders>
              <w:top w:val="nil"/>
              <w:left w:val="nil"/>
              <w:bottom w:val="single" w:sz="4" w:space="0" w:color="auto"/>
              <w:right w:val="single" w:sz="4" w:space="0" w:color="auto"/>
            </w:tcBorders>
            <w:shd w:val="clear" w:color="auto" w:fill="auto"/>
            <w:noWrap/>
            <w:vAlign w:val="center"/>
            <w:hideMark/>
          </w:tcPr>
          <w:p w14:paraId="79F3FD7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2020/G01_01/000151</w:t>
            </w:r>
          </w:p>
        </w:tc>
        <w:tc>
          <w:tcPr>
            <w:tcW w:w="2532" w:type="dxa"/>
            <w:tcBorders>
              <w:top w:val="nil"/>
              <w:left w:val="nil"/>
              <w:bottom w:val="single" w:sz="4" w:space="0" w:color="auto"/>
              <w:right w:val="single" w:sz="4" w:space="0" w:color="auto"/>
            </w:tcBorders>
            <w:shd w:val="clear" w:color="auto" w:fill="auto"/>
            <w:noWrap/>
            <w:vAlign w:val="center"/>
            <w:hideMark/>
          </w:tcPr>
          <w:p w14:paraId="204F6C17" w14:textId="4458277A"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Torrev</w:t>
            </w:r>
            <w:r w:rsidR="005034FB">
              <w:rPr>
                <w:rFonts w:ascii="Arial" w:eastAsia="Times New Roman" w:hAnsi="Arial"/>
                <w:color w:val="000000"/>
                <w:sz w:val="14"/>
                <w:szCs w:val="14"/>
                <w:lang w:eastAsia="es-ES"/>
              </w:rPr>
              <w:t>ella</w:t>
            </w:r>
          </w:p>
        </w:tc>
        <w:tc>
          <w:tcPr>
            <w:tcW w:w="2760" w:type="dxa"/>
            <w:tcBorders>
              <w:top w:val="nil"/>
              <w:left w:val="nil"/>
              <w:bottom w:val="single" w:sz="4" w:space="0" w:color="auto"/>
              <w:right w:val="single" w:sz="4" w:space="0" w:color="auto"/>
            </w:tcBorders>
            <w:shd w:val="clear" w:color="auto" w:fill="auto"/>
            <w:noWrap/>
            <w:vAlign w:val="center"/>
            <w:hideMark/>
          </w:tcPr>
          <w:p w14:paraId="21F2682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6B916F2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10/12/2021</w:t>
            </w:r>
          </w:p>
        </w:tc>
        <w:tc>
          <w:tcPr>
            <w:tcW w:w="1559" w:type="dxa"/>
            <w:tcBorders>
              <w:top w:val="nil"/>
              <w:left w:val="nil"/>
              <w:bottom w:val="single" w:sz="4" w:space="0" w:color="auto"/>
              <w:right w:val="single" w:sz="4" w:space="0" w:color="auto"/>
            </w:tcBorders>
            <w:shd w:val="clear" w:color="auto" w:fill="auto"/>
            <w:noWrap/>
            <w:vAlign w:val="center"/>
            <w:hideMark/>
          </w:tcPr>
          <w:p w14:paraId="45635CE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FF0DDD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67C6B7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E33513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1C00339"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66131D54"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EF4AD4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67</w:t>
            </w:r>
          </w:p>
        </w:tc>
        <w:tc>
          <w:tcPr>
            <w:tcW w:w="1495" w:type="dxa"/>
            <w:tcBorders>
              <w:top w:val="nil"/>
              <w:left w:val="nil"/>
              <w:bottom w:val="single" w:sz="4" w:space="0" w:color="auto"/>
              <w:right w:val="single" w:sz="4" w:space="0" w:color="auto"/>
            </w:tcBorders>
            <w:shd w:val="clear" w:color="auto" w:fill="auto"/>
            <w:noWrap/>
            <w:vAlign w:val="center"/>
            <w:hideMark/>
          </w:tcPr>
          <w:p w14:paraId="6BA969C4"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2020/G01_01/000167</w:t>
            </w:r>
          </w:p>
        </w:tc>
        <w:tc>
          <w:tcPr>
            <w:tcW w:w="2532" w:type="dxa"/>
            <w:tcBorders>
              <w:top w:val="nil"/>
              <w:left w:val="nil"/>
              <w:bottom w:val="single" w:sz="4" w:space="0" w:color="auto"/>
              <w:right w:val="single" w:sz="4" w:space="0" w:color="auto"/>
            </w:tcBorders>
            <w:shd w:val="clear" w:color="auto" w:fill="auto"/>
            <w:noWrap/>
            <w:vAlign w:val="center"/>
            <w:hideMark/>
          </w:tcPr>
          <w:p w14:paraId="5D4B7BA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Tous</w:t>
            </w:r>
          </w:p>
        </w:tc>
        <w:tc>
          <w:tcPr>
            <w:tcW w:w="2760" w:type="dxa"/>
            <w:tcBorders>
              <w:top w:val="nil"/>
              <w:left w:val="nil"/>
              <w:bottom w:val="single" w:sz="4" w:space="0" w:color="auto"/>
              <w:right w:val="single" w:sz="4" w:space="0" w:color="auto"/>
            </w:tcBorders>
            <w:shd w:val="clear" w:color="auto" w:fill="auto"/>
            <w:noWrap/>
            <w:vAlign w:val="center"/>
            <w:hideMark/>
          </w:tcPr>
          <w:p w14:paraId="33D30AB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424FA51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13/12/2021</w:t>
            </w:r>
          </w:p>
        </w:tc>
        <w:tc>
          <w:tcPr>
            <w:tcW w:w="1559" w:type="dxa"/>
            <w:tcBorders>
              <w:top w:val="nil"/>
              <w:left w:val="nil"/>
              <w:bottom w:val="single" w:sz="4" w:space="0" w:color="auto"/>
              <w:right w:val="single" w:sz="4" w:space="0" w:color="auto"/>
            </w:tcBorders>
            <w:shd w:val="clear" w:color="auto" w:fill="auto"/>
            <w:noWrap/>
            <w:vAlign w:val="center"/>
            <w:hideMark/>
          </w:tcPr>
          <w:p w14:paraId="047C3DB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2D5771D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0EB703F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E202A2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52FD9A3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3A7672D1"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659136F"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68</w:t>
            </w:r>
          </w:p>
        </w:tc>
        <w:tc>
          <w:tcPr>
            <w:tcW w:w="1495" w:type="dxa"/>
            <w:tcBorders>
              <w:top w:val="nil"/>
              <w:left w:val="nil"/>
              <w:bottom w:val="single" w:sz="4" w:space="0" w:color="auto"/>
              <w:right w:val="single" w:sz="4" w:space="0" w:color="auto"/>
            </w:tcBorders>
            <w:shd w:val="clear" w:color="auto" w:fill="auto"/>
            <w:noWrap/>
            <w:vAlign w:val="center"/>
            <w:hideMark/>
          </w:tcPr>
          <w:p w14:paraId="224B3CB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2020/G01_01/000235</w:t>
            </w:r>
          </w:p>
        </w:tc>
        <w:tc>
          <w:tcPr>
            <w:tcW w:w="2532" w:type="dxa"/>
            <w:tcBorders>
              <w:top w:val="nil"/>
              <w:left w:val="nil"/>
              <w:bottom w:val="single" w:sz="4" w:space="0" w:color="auto"/>
              <w:right w:val="single" w:sz="4" w:space="0" w:color="auto"/>
            </w:tcBorders>
            <w:shd w:val="clear" w:color="auto" w:fill="auto"/>
            <w:noWrap/>
            <w:vAlign w:val="center"/>
            <w:hideMark/>
          </w:tcPr>
          <w:p w14:paraId="3B65764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Tous</w:t>
            </w:r>
          </w:p>
        </w:tc>
        <w:tc>
          <w:tcPr>
            <w:tcW w:w="2760" w:type="dxa"/>
            <w:tcBorders>
              <w:top w:val="nil"/>
              <w:left w:val="nil"/>
              <w:bottom w:val="single" w:sz="4" w:space="0" w:color="auto"/>
              <w:right w:val="single" w:sz="4" w:space="0" w:color="auto"/>
            </w:tcBorders>
            <w:shd w:val="clear" w:color="auto" w:fill="auto"/>
            <w:noWrap/>
            <w:vAlign w:val="center"/>
            <w:hideMark/>
          </w:tcPr>
          <w:p w14:paraId="3E7738F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7ED0436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14/12/2021</w:t>
            </w:r>
          </w:p>
        </w:tc>
        <w:tc>
          <w:tcPr>
            <w:tcW w:w="1559" w:type="dxa"/>
            <w:tcBorders>
              <w:top w:val="nil"/>
              <w:left w:val="nil"/>
              <w:bottom w:val="single" w:sz="4" w:space="0" w:color="auto"/>
              <w:right w:val="single" w:sz="4" w:space="0" w:color="auto"/>
            </w:tcBorders>
            <w:shd w:val="clear" w:color="auto" w:fill="auto"/>
            <w:noWrap/>
            <w:vAlign w:val="center"/>
            <w:hideMark/>
          </w:tcPr>
          <w:p w14:paraId="16B695B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75998808"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E0487DB"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EDC943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5F2F73B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299FCCB8"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D1F9F21"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69</w:t>
            </w:r>
          </w:p>
        </w:tc>
        <w:tc>
          <w:tcPr>
            <w:tcW w:w="1495" w:type="dxa"/>
            <w:tcBorders>
              <w:top w:val="nil"/>
              <w:left w:val="nil"/>
              <w:bottom w:val="single" w:sz="4" w:space="0" w:color="auto"/>
              <w:right w:val="single" w:sz="4" w:space="0" w:color="auto"/>
            </w:tcBorders>
            <w:shd w:val="clear" w:color="auto" w:fill="auto"/>
            <w:noWrap/>
            <w:vAlign w:val="center"/>
            <w:hideMark/>
          </w:tcPr>
          <w:p w14:paraId="7128A1B5"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2020/G01_01/000169</w:t>
            </w:r>
          </w:p>
        </w:tc>
        <w:tc>
          <w:tcPr>
            <w:tcW w:w="2532" w:type="dxa"/>
            <w:tcBorders>
              <w:top w:val="nil"/>
              <w:left w:val="nil"/>
              <w:bottom w:val="single" w:sz="4" w:space="0" w:color="auto"/>
              <w:right w:val="single" w:sz="4" w:space="0" w:color="auto"/>
            </w:tcBorders>
            <w:shd w:val="clear" w:color="auto" w:fill="auto"/>
            <w:noWrap/>
            <w:vAlign w:val="center"/>
            <w:hideMark/>
          </w:tcPr>
          <w:p w14:paraId="3ED08C2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d’Albaida</w:t>
            </w:r>
          </w:p>
        </w:tc>
        <w:tc>
          <w:tcPr>
            <w:tcW w:w="2760" w:type="dxa"/>
            <w:tcBorders>
              <w:top w:val="nil"/>
              <w:left w:val="nil"/>
              <w:bottom w:val="single" w:sz="4" w:space="0" w:color="auto"/>
              <w:right w:val="single" w:sz="4" w:space="0" w:color="auto"/>
            </w:tcBorders>
            <w:shd w:val="clear" w:color="auto" w:fill="auto"/>
            <w:noWrap/>
            <w:vAlign w:val="center"/>
            <w:hideMark/>
          </w:tcPr>
          <w:p w14:paraId="619E51B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11B1E29A"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14/12/2021</w:t>
            </w:r>
          </w:p>
        </w:tc>
        <w:tc>
          <w:tcPr>
            <w:tcW w:w="1559" w:type="dxa"/>
            <w:tcBorders>
              <w:top w:val="nil"/>
              <w:left w:val="nil"/>
              <w:bottom w:val="single" w:sz="4" w:space="0" w:color="auto"/>
              <w:right w:val="single" w:sz="4" w:space="0" w:color="auto"/>
            </w:tcBorders>
            <w:shd w:val="clear" w:color="auto" w:fill="auto"/>
            <w:noWrap/>
            <w:vAlign w:val="center"/>
            <w:hideMark/>
          </w:tcPr>
          <w:p w14:paraId="704EF0D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F7AE34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86D7C2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B408C7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Instruccions internes</w:t>
            </w:r>
          </w:p>
        </w:tc>
        <w:tc>
          <w:tcPr>
            <w:tcW w:w="1246" w:type="dxa"/>
            <w:tcBorders>
              <w:top w:val="nil"/>
              <w:left w:val="nil"/>
              <w:bottom w:val="single" w:sz="4" w:space="0" w:color="auto"/>
              <w:right w:val="single" w:sz="4" w:space="0" w:color="auto"/>
            </w:tcBorders>
            <w:shd w:val="clear" w:color="auto" w:fill="auto"/>
            <w:vAlign w:val="center"/>
            <w:hideMark/>
          </w:tcPr>
          <w:p w14:paraId="665A19E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758FA31B"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27D6B9C"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70</w:t>
            </w:r>
          </w:p>
        </w:tc>
        <w:tc>
          <w:tcPr>
            <w:tcW w:w="1495" w:type="dxa"/>
            <w:tcBorders>
              <w:top w:val="nil"/>
              <w:left w:val="nil"/>
              <w:bottom w:val="single" w:sz="4" w:space="0" w:color="auto"/>
              <w:right w:val="single" w:sz="4" w:space="0" w:color="auto"/>
            </w:tcBorders>
            <w:shd w:val="clear" w:color="auto" w:fill="auto"/>
            <w:noWrap/>
            <w:vAlign w:val="center"/>
            <w:hideMark/>
          </w:tcPr>
          <w:p w14:paraId="5096256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2020/G01_01/000069</w:t>
            </w:r>
          </w:p>
        </w:tc>
        <w:tc>
          <w:tcPr>
            <w:tcW w:w="2532" w:type="dxa"/>
            <w:tcBorders>
              <w:top w:val="nil"/>
              <w:left w:val="nil"/>
              <w:bottom w:val="single" w:sz="4" w:space="0" w:color="auto"/>
              <w:right w:val="single" w:sz="4" w:space="0" w:color="auto"/>
            </w:tcBorders>
            <w:shd w:val="clear" w:color="auto" w:fill="auto"/>
            <w:noWrap/>
            <w:vAlign w:val="center"/>
            <w:hideMark/>
          </w:tcPr>
          <w:p w14:paraId="2B2693D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Diputació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0202D017"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humans_provisió</w:t>
            </w:r>
          </w:p>
        </w:tc>
        <w:tc>
          <w:tcPr>
            <w:tcW w:w="926" w:type="dxa"/>
            <w:tcBorders>
              <w:top w:val="nil"/>
              <w:left w:val="nil"/>
              <w:bottom w:val="single" w:sz="4" w:space="0" w:color="auto"/>
              <w:right w:val="single" w:sz="4" w:space="0" w:color="auto"/>
            </w:tcBorders>
            <w:shd w:val="clear" w:color="auto" w:fill="auto"/>
            <w:noWrap/>
            <w:vAlign w:val="center"/>
            <w:hideMark/>
          </w:tcPr>
          <w:p w14:paraId="40F5B72E"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15/12/2021</w:t>
            </w:r>
          </w:p>
        </w:tc>
        <w:tc>
          <w:tcPr>
            <w:tcW w:w="1559" w:type="dxa"/>
            <w:tcBorders>
              <w:top w:val="nil"/>
              <w:left w:val="nil"/>
              <w:bottom w:val="single" w:sz="4" w:space="0" w:color="auto"/>
              <w:right w:val="single" w:sz="4" w:space="0" w:color="auto"/>
            </w:tcBorders>
            <w:shd w:val="clear" w:color="auto" w:fill="auto"/>
            <w:noWrap/>
            <w:vAlign w:val="center"/>
            <w:hideMark/>
          </w:tcPr>
          <w:p w14:paraId="2D813BB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Arxiu</w:t>
            </w:r>
          </w:p>
        </w:tc>
        <w:tc>
          <w:tcPr>
            <w:tcW w:w="1134" w:type="dxa"/>
            <w:tcBorders>
              <w:top w:val="nil"/>
              <w:left w:val="nil"/>
              <w:bottom w:val="single" w:sz="4" w:space="0" w:color="auto"/>
              <w:right w:val="single" w:sz="4" w:space="0" w:color="auto"/>
            </w:tcBorders>
            <w:shd w:val="clear" w:color="auto" w:fill="auto"/>
            <w:noWrap/>
            <w:vAlign w:val="center"/>
            <w:hideMark/>
          </w:tcPr>
          <w:p w14:paraId="51DD1B2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A674CB5"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7F695A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9D899C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No procedix seguiment</w:t>
            </w:r>
          </w:p>
        </w:tc>
      </w:tr>
      <w:tr w:rsidR="00CE1C9E" w:rsidRPr="00CE1C9E" w14:paraId="155605C7"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27137C6"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71</w:t>
            </w:r>
          </w:p>
        </w:tc>
        <w:tc>
          <w:tcPr>
            <w:tcW w:w="1495" w:type="dxa"/>
            <w:tcBorders>
              <w:top w:val="nil"/>
              <w:left w:val="nil"/>
              <w:bottom w:val="single" w:sz="4" w:space="0" w:color="auto"/>
              <w:right w:val="single" w:sz="4" w:space="0" w:color="auto"/>
            </w:tcBorders>
            <w:shd w:val="clear" w:color="auto" w:fill="auto"/>
            <w:noWrap/>
            <w:vAlign w:val="center"/>
            <w:hideMark/>
          </w:tcPr>
          <w:p w14:paraId="6C756F3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2020/G01_01/000234</w:t>
            </w:r>
          </w:p>
        </w:tc>
        <w:tc>
          <w:tcPr>
            <w:tcW w:w="2532" w:type="dxa"/>
            <w:tcBorders>
              <w:top w:val="nil"/>
              <w:left w:val="nil"/>
              <w:bottom w:val="single" w:sz="4" w:space="0" w:color="auto"/>
              <w:right w:val="single" w:sz="4" w:space="0" w:color="auto"/>
            </w:tcBorders>
            <w:shd w:val="clear" w:color="auto" w:fill="auto"/>
            <w:noWrap/>
            <w:vAlign w:val="center"/>
            <w:hideMark/>
          </w:tcPr>
          <w:p w14:paraId="7039357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Tous</w:t>
            </w:r>
          </w:p>
        </w:tc>
        <w:tc>
          <w:tcPr>
            <w:tcW w:w="2760" w:type="dxa"/>
            <w:tcBorders>
              <w:top w:val="nil"/>
              <w:left w:val="nil"/>
              <w:bottom w:val="single" w:sz="4" w:space="0" w:color="auto"/>
              <w:right w:val="single" w:sz="4" w:space="0" w:color="auto"/>
            </w:tcBorders>
            <w:shd w:val="clear" w:color="auto" w:fill="auto"/>
            <w:noWrap/>
            <w:vAlign w:val="center"/>
            <w:hideMark/>
          </w:tcPr>
          <w:p w14:paraId="5DC64E2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1BB05814"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16/12/2021</w:t>
            </w:r>
          </w:p>
        </w:tc>
        <w:tc>
          <w:tcPr>
            <w:tcW w:w="1559" w:type="dxa"/>
            <w:tcBorders>
              <w:top w:val="nil"/>
              <w:left w:val="nil"/>
              <w:bottom w:val="single" w:sz="4" w:space="0" w:color="auto"/>
              <w:right w:val="single" w:sz="4" w:space="0" w:color="auto"/>
            </w:tcBorders>
            <w:shd w:val="clear" w:color="auto" w:fill="auto"/>
            <w:noWrap/>
            <w:vAlign w:val="center"/>
            <w:hideMark/>
          </w:tcPr>
          <w:p w14:paraId="572FB60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5C68192A"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09A578C"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C1D4FE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B902E8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7AE15064"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0286C33"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72</w:t>
            </w:r>
          </w:p>
        </w:tc>
        <w:tc>
          <w:tcPr>
            <w:tcW w:w="1495" w:type="dxa"/>
            <w:tcBorders>
              <w:top w:val="nil"/>
              <w:left w:val="nil"/>
              <w:bottom w:val="single" w:sz="4" w:space="0" w:color="auto"/>
              <w:right w:val="single" w:sz="4" w:space="0" w:color="auto"/>
            </w:tcBorders>
            <w:shd w:val="clear" w:color="auto" w:fill="auto"/>
            <w:noWrap/>
            <w:vAlign w:val="center"/>
            <w:hideMark/>
          </w:tcPr>
          <w:p w14:paraId="49CBB04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2020/G01_01/000149</w:t>
            </w:r>
          </w:p>
        </w:tc>
        <w:tc>
          <w:tcPr>
            <w:tcW w:w="2532" w:type="dxa"/>
            <w:tcBorders>
              <w:top w:val="nil"/>
              <w:left w:val="nil"/>
              <w:bottom w:val="single" w:sz="4" w:space="0" w:color="auto"/>
              <w:right w:val="single" w:sz="4" w:space="0" w:color="auto"/>
            </w:tcBorders>
            <w:shd w:val="clear" w:color="auto" w:fill="auto"/>
            <w:noWrap/>
            <w:vAlign w:val="center"/>
            <w:hideMark/>
          </w:tcPr>
          <w:p w14:paraId="26356B48"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d’Orihuela</w:t>
            </w:r>
          </w:p>
        </w:tc>
        <w:tc>
          <w:tcPr>
            <w:tcW w:w="2760" w:type="dxa"/>
            <w:tcBorders>
              <w:top w:val="nil"/>
              <w:left w:val="nil"/>
              <w:bottom w:val="single" w:sz="4" w:space="0" w:color="auto"/>
              <w:right w:val="single" w:sz="4" w:space="0" w:color="auto"/>
            </w:tcBorders>
            <w:shd w:val="clear" w:color="auto" w:fill="auto"/>
            <w:noWrap/>
            <w:vAlign w:val="center"/>
            <w:hideMark/>
          </w:tcPr>
          <w:p w14:paraId="6A616F70"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Patrimoni</w:t>
            </w:r>
          </w:p>
        </w:tc>
        <w:tc>
          <w:tcPr>
            <w:tcW w:w="926" w:type="dxa"/>
            <w:tcBorders>
              <w:top w:val="nil"/>
              <w:left w:val="nil"/>
              <w:bottom w:val="single" w:sz="4" w:space="0" w:color="auto"/>
              <w:right w:val="single" w:sz="4" w:space="0" w:color="auto"/>
            </w:tcBorders>
            <w:shd w:val="clear" w:color="auto" w:fill="auto"/>
            <w:noWrap/>
            <w:vAlign w:val="center"/>
            <w:hideMark/>
          </w:tcPr>
          <w:p w14:paraId="36FD0410"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27/12/2021</w:t>
            </w:r>
          </w:p>
        </w:tc>
        <w:tc>
          <w:tcPr>
            <w:tcW w:w="1559" w:type="dxa"/>
            <w:tcBorders>
              <w:top w:val="nil"/>
              <w:left w:val="nil"/>
              <w:bottom w:val="single" w:sz="4" w:space="0" w:color="auto"/>
              <w:right w:val="single" w:sz="4" w:space="0" w:color="auto"/>
            </w:tcBorders>
            <w:shd w:val="clear" w:color="auto" w:fill="auto"/>
            <w:noWrap/>
            <w:vAlign w:val="center"/>
            <w:hideMark/>
          </w:tcPr>
          <w:p w14:paraId="2391B4A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27CB3DA9"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B09469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DE5487F"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101B1AD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4523C9FF"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0D60590"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73</w:t>
            </w:r>
          </w:p>
        </w:tc>
        <w:tc>
          <w:tcPr>
            <w:tcW w:w="1495" w:type="dxa"/>
            <w:tcBorders>
              <w:top w:val="nil"/>
              <w:left w:val="nil"/>
              <w:bottom w:val="single" w:sz="4" w:space="0" w:color="auto"/>
              <w:right w:val="single" w:sz="4" w:space="0" w:color="auto"/>
            </w:tcBorders>
            <w:shd w:val="clear" w:color="auto" w:fill="auto"/>
            <w:noWrap/>
            <w:vAlign w:val="center"/>
            <w:hideMark/>
          </w:tcPr>
          <w:p w14:paraId="1DA03B4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2020/G01_01/000070</w:t>
            </w:r>
          </w:p>
        </w:tc>
        <w:tc>
          <w:tcPr>
            <w:tcW w:w="2532" w:type="dxa"/>
            <w:tcBorders>
              <w:top w:val="nil"/>
              <w:left w:val="nil"/>
              <w:bottom w:val="single" w:sz="4" w:space="0" w:color="auto"/>
              <w:right w:val="single" w:sz="4" w:space="0" w:color="auto"/>
            </w:tcBorders>
            <w:shd w:val="clear" w:color="auto" w:fill="auto"/>
            <w:noWrap/>
            <w:vAlign w:val="center"/>
            <w:hideMark/>
          </w:tcPr>
          <w:p w14:paraId="270E1391"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Chiva</w:t>
            </w:r>
          </w:p>
        </w:tc>
        <w:tc>
          <w:tcPr>
            <w:tcW w:w="2760" w:type="dxa"/>
            <w:tcBorders>
              <w:top w:val="nil"/>
              <w:left w:val="nil"/>
              <w:bottom w:val="single" w:sz="4" w:space="0" w:color="auto"/>
              <w:right w:val="single" w:sz="4" w:space="0" w:color="auto"/>
            </w:tcBorders>
            <w:shd w:val="clear" w:color="auto" w:fill="auto"/>
            <w:noWrap/>
            <w:vAlign w:val="center"/>
            <w:hideMark/>
          </w:tcPr>
          <w:p w14:paraId="62116B2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Contractació</w:t>
            </w:r>
          </w:p>
        </w:tc>
        <w:tc>
          <w:tcPr>
            <w:tcW w:w="926" w:type="dxa"/>
            <w:tcBorders>
              <w:top w:val="nil"/>
              <w:left w:val="nil"/>
              <w:bottom w:val="single" w:sz="4" w:space="0" w:color="auto"/>
              <w:right w:val="single" w:sz="4" w:space="0" w:color="auto"/>
            </w:tcBorders>
            <w:shd w:val="clear" w:color="auto" w:fill="auto"/>
            <w:noWrap/>
            <w:vAlign w:val="center"/>
            <w:hideMark/>
          </w:tcPr>
          <w:p w14:paraId="5149A4D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29/12/2021</w:t>
            </w:r>
          </w:p>
        </w:tc>
        <w:tc>
          <w:tcPr>
            <w:tcW w:w="1559" w:type="dxa"/>
            <w:tcBorders>
              <w:top w:val="nil"/>
              <w:left w:val="nil"/>
              <w:bottom w:val="single" w:sz="4" w:space="0" w:color="auto"/>
              <w:right w:val="single" w:sz="4" w:space="0" w:color="auto"/>
            </w:tcBorders>
            <w:shd w:val="clear" w:color="auto" w:fill="auto"/>
            <w:noWrap/>
            <w:vAlign w:val="center"/>
            <w:hideMark/>
          </w:tcPr>
          <w:p w14:paraId="1144CF5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17D378FA"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6D4DB06"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EE3449A"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FCBB676"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1A7D18F6"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90922A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74</w:t>
            </w:r>
          </w:p>
        </w:tc>
        <w:tc>
          <w:tcPr>
            <w:tcW w:w="1495" w:type="dxa"/>
            <w:tcBorders>
              <w:top w:val="nil"/>
              <w:left w:val="nil"/>
              <w:bottom w:val="single" w:sz="4" w:space="0" w:color="auto"/>
              <w:right w:val="single" w:sz="4" w:space="0" w:color="auto"/>
            </w:tcBorders>
            <w:shd w:val="clear" w:color="auto" w:fill="auto"/>
            <w:noWrap/>
            <w:vAlign w:val="center"/>
            <w:hideMark/>
          </w:tcPr>
          <w:p w14:paraId="3E83A43B"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2020/G01_01/000017</w:t>
            </w:r>
          </w:p>
        </w:tc>
        <w:tc>
          <w:tcPr>
            <w:tcW w:w="2532" w:type="dxa"/>
            <w:tcBorders>
              <w:top w:val="nil"/>
              <w:left w:val="nil"/>
              <w:bottom w:val="single" w:sz="4" w:space="0" w:color="auto"/>
              <w:right w:val="single" w:sz="4" w:space="0" w:color="auto"/>
            </w:tcBorders>
            <w:shd w:val="clear" w:color="auto" w:fill="auto"/>
            <w:noWrap/>
            <w:vAlign w:val="center"/>
            <w:hideMark/>
          </w:tcPr>
          <w:p w14:paraId="5B40486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Turís</w:t>
            </w:r>
          </w:p>
        </w:tc>
        <w:tc>
          <w:tcPr>
            <w:tcW w:w="2760" w:type="dxa"/>
            <w:tcBorders>
              <w:top w:val="nil"/>
              <w:left w:val="nil"/>
              <w:bottom w:val="single" w:sz="4" w:space="0" w:color="auto"/>
              <w:right w:val="single" w:sz="4" w:space="0" w:color="auto"/>
            </w:tcBorders>
            <w:shd w:val="clear" w:color="auto" w:fill="auto"/>
            <w:noWrap/>
            <w:vAlign w:val="center"/>
            <w:hideMark/>
          </w:tcPr>
          <w:p w14:paraId="4C271AA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Recursos humans_selecció</w:t>
            </w:r>
          </w:p>
        </w:tc>
        <w:tc>
          <w:tcPr>
            <w:tcW w:w="926" w:type="dxa"/>
            <w:tcBorders>
              <w:top w:val="nil"/>
              <w:left w:val="nil"/>
              <w:bottom w:val="single" w:sz="4" w:space="0" w:color="auto"/>
              <w:right w:val="single" w:sz="4" w:space="0" w:color="auto"/>
            </w:tcBorders>
            <w:shd w:val="clear" w:color="auto" w:fill="auto"/>
            <w:noWrap/>
            <w:vAlign w:val="center"/>
            <w:hideMark/>
          </w:tcPr>
          <w:p w14:paraId="1336FE3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31/12/2021</w:t>
            </w:r>
          </w:p>
        </w:tc>
        <w:tc>
          <w:tcPr>
            <w:tcW w:w="1559" w:type="dxa"/>
            <w:tcBorders>
              <w:top w:val="nil"/>
              <w:left w:val="nil"/>
              <w:bottom w:val="single" w:sz="4" w:space="0" w:color="auto"/>
              <w:right w:val="single" w:sz="4" w:space="0" w:color="auto"/>
            </w:tcBorders>
            <w:shd w:val="clear" w:color="auto" w:fill="auto"/>
            <w:noWrap/>
            <w:vAlign w:val="center"/>
            <w:hideMark/>
          </w:tcPr>
          <w:p w14:paraId="3FC46E7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6DCF5C57"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71678E1"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4283292"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528D4E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3839886D" w14:textId="77777777" w:rsidTr="00CE1C9E">
        <w:trPr>
          <w:cantSplit/>
          <w:trHeight w:val="20"/>
          <w:jc w:val="center"/>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C3343D3"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75</w:t>
            </w:r>
          </w:p>
        </w:tc>
        <w:tc>
          <w:tcPr>
            <w:tcW w:w="1495" w:type="dxa"/>
            <w:tcBorders>
              <w:top w:val="nil"/>
              <w:left w:val="nil"/>
              <w:bottom w:val="single" w:sz="4" w:space="0" w:color="auto"/>
              <w:right w:val="single" w:sz="4" w:space="0" w:color="auto"/>
            </w:tcBorders>
            <w:shd w:val="clear" w:color="auto" w:fill="auto"/>
            <w:noWrap/>
            <w:vAlign w:val="center"/>
            <w:hideMark/>
          </w:tcPr>
          <w:p w14:paraId="65BDC0CE" w14:textId="77777777" w:rsidR="00CE1C9E" w:rsidRPr="00CE1C9E" w:rsidRDefault="00CE1C9E" w:rsidP="00CE1C9E">
            <w:pPr>
              <w:spacing w:before="60" w:after="60"/>
              <w:jc w:val="center"/>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2020/G01_01/000269</w:t>
            </w:r>
          </w:p>
        </w:tc>
        <w:tc>
          <w:tcPr>
            <w:tcW w:w="2532" w:type="dxa"/>
            <w:tcBorders>
              <w:top w:val="nil"/>
              <w:left w:val="nil"/>
              <w:bottom w:val="single" w:sz="4" w:space="0" w:color="auto"/>
              <w:right w:val="single" w:sz="4" w:space="0" w:color="auto"/>
            </w:tcBorders>
            <w:shd w:val="clear" w:color="auto" w:fill="auto"/>
            <w:noWrap/>
            <w:vAlign w:val="center"/>
            <w:hideMark/>
          </w:tcPr>
          <w:p w14:paraId="3B9A7FCB"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Ajuntament de Benidorm</w:t>
            </w:r>
          </w:p>
        </w:tc>
        <w:tc>
          <w:tcPr>
            <w:tcW w:w="2760" w:type="dxa"/>
            <w:tcBorders>
              <w:top w:val="nil"/>
              <w:left w:val="nil"/>
              <w:bottom w:val="single" w:sz="4" w:space="0" w:color="auto"/>
              <w:right w:val="single" w:sz="4" w:space="0" w:color="auto"/>
            </w:tcBorders>
            <w:shd w:val="clear" w:color="auto" w:fill="auto"/>
            <w:noWrap/>
            <w:vAlign w:val="center"/>
            <w:hideMark/>
          </w:tcPr>
          <w:p w14:paraId="31256A3C"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Urbanisme_llicències</w:t>
            </w:r>
          </w:p>
        </w:tc>
        <w:tc>
          <w:tcPr>
            <w:tcW w:w="926" w:type="dxa"/>
            <w:tcBorders>
              <w:top w:val="nil"/>
              <w:left w:val="nil"/>
              <w:bottom w:val="single" w:sz="4" w:space="0" w:color="auto"/>
              <w:right w:val="single" w:sz="4" w:space="0" w:color="auto"/>
            </w:tcBorders>
            <w:shd w:val="clear" w:color="auto" w:fill="auto"/>
            <w:noWrap/>
            <w:vAlign w:val="center"/>
            <w:hideMark/>
          </w:tcPr>
          <w:p w14:paraId="03695153"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31/12/2021</w:t>
            </w:r>
          </w:p>
        </w:tc>
        <w:tc>
          <w:tcPr>
            <w:tcW w:w="1559" w:type="dxa"/>
            <w:tcBorders>
              <w:top w:val="nil"/>
              <w:left w:val="nil"/>
              <w:bottom w:val="single" w:sz="4" w:space="0" w:color="auto"/>
              <w:right w:val="single" w:sz="4" w:space="0" w:color="auto"/>
            </w:tcBorders>
            <w:shd w:val="clear" w:color="auto" w:fill="auto"/>
            <w:noWrap/>
            <w:vAlign w:val="center"/>
            <w:hideMark/>
          </w:tcPr>
          <w:p w14:paraId="7A61823D"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Recomanacions</w:t>
            </w:r>
          </w:p>
        </w:tc>
        <w:tc>
          <w:tcPr>
            <w:tcW w:w="1134" w:type="dxa"/>
            <w:tcBorders>
              <w:top w:val="nil"/>
              <w:left w:val="nil"/>
              <w:bottom w:val="single" w:sz="4" w:space="0" w:color="auto"/>
              <w:right w:val="single" w:sz="4" w:space="0" w:color="auto"/>
            </w:tcBorders>
            <w:shd w:val="clear" w:color="auto" w:fill="auto"/>
            <w:noWrap/>
            <w:vAlign w:val="center"/>
            <w:hideMark/>
          </w:tcPr>
          <w:p w14:paraId="09CE5AFF"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C858D6D" w14:textId="77777777" w:rsidR="00CE1C9E" w:rsidRPr="00CE1C9E" w:rsidRDefault="00CE1C9E" w:rsidP="00CE1C9E">
            <w:pPr>
              <w:spacing w:before="60" w:after="60"/>
              <w:jc w:val="right"/>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A8F6F8E"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BB77613" w14:textId="77777777" w:rsidR="00CE1C9E" w:rsidRPr="00CE1C9E" w:rsidRDefault="00CE1C9E" w:rsidP="00CE1C9E">
            <w:pPr>
              <w:spacing w:before="60" w:after="60"/>
              <w:rPr>
                <w:rFonts w:ascii="Arial" w:eastAsia="Times New Roman" w:hAnsi="Arial"/>
                <w:color w:val="000000"/>
                <w:sz w:val="14"/>
                <w:szCs w:val="14"/>
                <w:lang w:eastAsia="es-ES"/>
              </w:rPr>
            </w:pPr>
            <w:r w:rsidRPr="00CE1C9E">
              <w:rPr>
                <w:rFonts w:ascii="Arial" w:eastAsia="Times New Roman" w:hAnsi="Arial"/>
                <w:color w:val="000000"/>
                <w:sz w:val="14"/>
                <w:szCs w:val="14"/>
                <w:lang w:eastAsia="es-ES"/>
              </w:rPr>
              <w:t>En tràmit</w:t>
            </w:r>
          </w:p>
        </w:tc>
      </w:tr>
      <w:tr w:rsidR="00CE1C9E" w:rsidRPr="00CE1C9E" w14:paraId="4A57791D" w14:textId="77777777" w:rsidTr="00CE1C9E">
        <w:trPr>
          <w:cantSplit/>
          <w:trHeight w:val="20"/>
          <w:jc w:val="center"/>
        </w:trPr>
        <w:tc>
          <w:tcPr>
            <w:tcW w:w="296" w:type="dxa"/>
            <w:tcBorders>
              <w:top w:val="nil"/>
              <w:left w:val="nil"/>
              <w:bottom w:val="nil"/>
              <w:right w:val="nil"/>
            </w:tcBorders>
            <w:shd w:val="clear" w:color="auto" w:fill="auto"/>
            <w:noWrap/>
            <w:vAlign w:val="center"/>
            <w:hideMark/>
          </w:tcPr>
          <w:p w14:paraId="1233890E" w14:textId="77777777" w:rsidR="00CE1C9E" w:rsidRPr="00CE1C9E" w:rsidRDefault="00CE1C9E" w:rsidP="00CE1C9E">
            <w:pPr>
              <w:spacing w:before="60" w:after="60"/>
              <w:rPr>
                <w:rFonts w:ascii="Arial" w:eastAsia="Times New Roman" w:hAnsi="Arial"/>
                <w:b/>
                <w:bCs/>
                <w:color w:val="000000"/>
                <w:sz w:val="14"/>
                <w:szCs w:val="14"/>
                <w:lang w:eastAsia="es-ES"/>
              </w:rPr>
            </w:pPr>
          </w:p>
        </w:tc>
        <w:tc>
          <w:tcPr>
            <w:tcW w:w="1495" w:type="dxa"/>
            <w:tcBorders>
              <w:top w:val="nil"/>
              <w:left w:val="nil"/>
              <w:bottom w:val="nil"/>
              <w:right w:val="nil"/>
            </w:tcBorders>
            <w:shd w:val="clear" w:color="auto" w:fill="auto"/>
            <w:noWrap/>
            <w:vAlign w:val="center"/>
            <w:hideMark/>
          </w:tcPr>
          <w:p w14:paraId="5E1D8E30" w14:textId="77777777" w:rsidR="00CE1C9E" w:rsidRPr="00CE1C9E" w:rsidRDefault="00CE1C9E" w:rsidP="00CE1C9E">
            <w:pPr>
              <w:spacing w:before="60" w:after="60"/>
              <w:rPr>
                <w:rFonts w:ascii="Arial" w:eastAsia="Times New Roman" w:hAnsi="Arial"/>
                <w:b/>
                <w:bCs/>
                <w:sz w:val="14"/>
                <w:szCs w:val="14"/>
                <w:lang w:eastAsia="es-ES"/>
              </w:rPr>
            </w:pPr>
          </w:p>
        </w:tc>
        <w:tc>
          <w:tcPr>
            <w:tcW w:w="2532" w:type="dxa"/>
            <w:tcBorders>
              <w:top w:val="nil"/>
              <w:left w:val="nil"/>
              <w:bottom w:val="nil"/>
              <w:right w:val="nil"/>
            </w:tcBorders>
            <w:shd w:val="clear" w:color="auto" w:fill="auto"/>
            <w:noWrap/>
            <w:vAlign w:val="center"/>
            <w:hideMark/>
          </w:tcPr>
          <w:p w14:paraId="2EE4B8CE" w14:textId="77777777" w:rsidR="00CE1C9E" w:rsidRPr="00CE1C9E" w:rsidRDefault="00CE1C9E" w:rsidP="00CE1C9E">
            <w:pPr>
              <w:spacing w:before="60" w:after="60"/>
              <w:rPr>
                <w:rFonts w:ascii="Arial" w:eastAsia="Times New Roman" w:hAnsi="Arial"/>
                <w:b/>
                <w:bCs/>
                <w:sz w:val="14"/>
                <w:szCs w:val="14"/>
                <w:lang w:eastAsia="es-ES"/>
              </w:rPr>
            </w:pPr>
          </w:p>
        </w:tc>
        <w:tc>
          <w:tcPr>
            <w:tcW w:w="2760" w:type="dxa"/>
            <w:tcBorders>
              <w:top w:val="nil"/>
              <w:left w:val="nil"/>
              <w:bottom w:val="nil"/>
              <w:right w:val="nil"/>
            </w:tcBorders>
            <w:shd w:val="clear" w:color="auto" w:fill="auto"/>
            <w:noWrap/>
            <w:vAlign w:val="center"/>
            <w:hideMark/>
          </w:tcPr>
          <w:p w14:paraId="179289DC" w14:textId="77777777" w:rsidR="00CE1C9E" w:rsidRPr="00CE1C9E" w:rsidRDefault="00CE1C9E" w:rsidP="00CE1C9E">
            <w:pPr>
              <w:spacing w:before="60" w:after="60"/>
              <w:rPr>
                <w:rFonts w:ascii="Arial" w:eastAsia="Times New Roman" w:hAnsi="Arial"/>
                <w:b/>
                <w:bCs/>
                <w:sz w:val="14"/>
                <w:szCs w:val="14"/>
                <w:lang w:eastAsia="es-ES"/>
              </w:rPr>
            </w:pPr>
          </w:p>
        </w:tc>
        <w:tc>
          <w:tcPr>
            <w:tcW w:w="926" w:type="dxa"/>
            <w:tcBorders>
              <w:top w:val="nil"/>
              <w:left w:val="nil"/>
              <w:bottom w:val="nil"/>
              <w:right w:val="nil"/>
            </w:tcBorders>
            <w:shd w:val="clear" w:color="auto" w:fill="auto"/>
            <w:noWrap/>
            <w:vAlign w:val="center"/>
            <w:hideMark/>
          </w:tcPr>
          <w:p w14:paraId="6BBF7A49" w14:textId="77777777" w:rsidR="00CE1C9E" w:rsidRPr="00CE1C9E" w:rsidRDefault="00CE1C9E" w:rsidP="00CE1C9E">
            <w:pPr>
              <w:spacing w:before="60" w:after="60"/>
              <w:rPr>
                <w:rFonts w:ascii="Arial" w:eastAsia="Times New Roman" w:hAnsi="Arial"/>
                <w:b/>
                <w:bCs/>
                <w:sz w:val="14"/>
                <w:szCs w:val="14"/>
                <w:lang w:eastAsia="es-ES"/>
              </w:rPr>
            </w:pPr>
          </w:p>
        </w:tc>
        <w:tc>
          <w:tcPr>
            <w:tcW w:w="1559" w:type="dxa"/>
            <w:tcBorders>
              <w:top w:val="nil"/>
              <w:left w:val="nil"/>
              <w:bottom w:val="nil"/>
              <w:right w:val="nil"/>
            </w:tcBorders>
            <w:shd w:val="clear" w:color="auto" w:fill="auto"/>
            <w:noWrap/>
            <w:vAlign w:val="center"/>
            <w:hideMark/>
          </w:tcPr>
          <w:p w14:paraId="2BC339A8" w14:textId="77777777" w:rsidR="00CE1C9E" w:rsidRPr="00CE1C9E" w:rsidRDefault="00CE1C9E" w:rsidP="00CE1C9E">
            <w:pPr>
              <w:spacing w:before="60" w:after="60"/>
              <w:rPr>
                <w:rFonts w:ascii="Arial" w:eastAsia="Times New Roman" w:hAnsi="Arial"/>
                <w:b/>
                <w:bCs/>
                <w:sz w:val="14"/>
                <w:szCs w:val="14"/>
                <w:lang w:eastAsia="es-ES"/>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7B4AD" w14:textId="77777777" w:rsidR="00CE1C9E" w:rsidRPr="00CE1C9E" w:rsidRDefault="00CE1C9E" w:rsidP="00CE1C9E">
            <w:pPr>
              <w:spacing w:before="60" w:after="60"/>
              <w:jc w:val="right"/>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23.315.890,38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02B381A" w14:textId="77777777" w:rsidR="00CE1C9E" w:rsidRPr="00CE1C9E" w:rsidRDefault="00CE1C9E" w:rsidP="00CE1C9E">
            <w:pPr>
              <w:spacing w:before="60" w:after="60"/>
              <w:jc w:val="right"/>
              <w:rPr>
                <w:rFonts w:ascii="Arial" w:eastAsia="Times New Roman" w:hAnsi="Arial"/>
                <w:b/>
                <w:bCs/>
                <w:color w:val="000000"/>
                <w:sz w:val="14"/>
                <w:szCs w:val="14"/>
                <w:lang w:eastAsia="es-ES"/>
              </w:rPr>
            </w:pPr>
            <w:r w:rsidRPr="00CE1C9E">
              <w:rPr>
                <w:rFonts w:ascii="Arial" w:eastAsia="Times New Roman" w:hAnsi="Arial"/>
                <w:b/>
                <w:bCs/>
                <w:color w:val="000000"/>
                <w:sz w:val="14"/>
                <w:szCs w:val="14"/>
                <w:lang w:eastAsia="es-ES"/>
              </w:rPr>
              <w:t>524.905,59</w:t>
            </w:r>
          </w:p>
        </w:tc>
        <w:tc>
          <w:tcPr>
            <w:tcW w:w="1183" w:type="dxa"/>
            <w:tcBorders>
              <w:top w:val="nil"/>
              <w:left w:val="nil"/>
              <w:bottom w:val="nil"/>
              <w:right w:val="nil"/>
            </w:tcBorders>
            <w:shd w:val="clear" w:color="auto" w:fill="auto"/>
            <w:vAlign w:val="center"/>
            <w:hideMark/>
          </w:tcPr>
          <w:p w14:paraId="3513FC9C" w14:textId="77777777" w:rsidR="00CE1C9E" w:rsidRPr="00CE1C9E" w:rsidRDefault="00CE1C9E" w:rsidP="00CE1C9E">
            <w:pPr>
              <w:spacing w:before="60" w:after="60"/>
              <w:jc w:val="right"/>
              <w:rPr>
                <w:rFonts w:ascii="Arial" w:eastAsia="Times New Roman" w:hAnsi="Arial"/>
                <w:b/>
                <w:bCs/>
                <w:color w:val="000000"/>
                <w:sz w:val="14"/>
                <w:szCs w:val="14"/>
                <w:lang w:eastAsia="es-ES"/>
              </w:rPr>
            </w:pPr>
          </w:p>
        </w:tc>
        <w:tc>
          <w:tcPr>
            <w:tcW w:w="1246" w:type="dxa"/>
            <w:tcBorders>
              <w:top w:val="nil"/>
              <w:left w:val="nil"/>
              <w:bottom w:val="nil"/>
              <w:right w:val="nil"/>
            </w:tcBorders>
            <w:shd w:val="clear" w:color="auto" w:fill="auto"/>
            <w:vAlign w:val="center"/>
            <w:hideMark/>
          </w:tcPr>
          <w:p w14:paraId="5ACECB3B" w14:textId="77777777" w:rsidR="00CE1C9E" w:rsidRPr="00CE1C9E" w:rsidRDefault="00CE1C9E" w:rsidP="00CE1C9E">
            <w:pPr>
              <w:spacing w:before="60" w:after="60"/>
              <w:rPr>
                <w:rFonts w:ascii="Arial" w:eastAsia="Times New Roman" w:hAnsi="Arial"/>
                <w:b/>
                <w:bCs/>
                <w:sz w:val="14"/>
                <w:szCs w:val="14"/>
                <w:lang w:eastAsia="es-ES"/>
              </w:rPr>
            </w:pPr>
          </w:p>
        </w:tc>
      </w:tr>
    </w:tbl>
    <w:p w14:paraId="10B3FDA4" w14:textId="77777777" w:rsidR="009E1263" w:rsidRPr="009E1263" w:rsidRDefault="009E1263" w:rsidP="00CE1C9E">
      <w:pPr>
        <w:spacing w:after="240" w:line="276" w:lineRule="auto"/>
        <w:jc w:val="center"/>
        <w:rPr>
          <w:rFonts w:ascii="Arial" w:eastAsia="Times New Roman" w:hAnsi="Arial" w:cs="Arial"/>
          <w:color w:val="000000"/>
          <w:sz w:val="21"/>
          <w:szCs w:val="21"/>
        </w:rPr>
      </w:pPr>
    </w:p>
    <w:p w14:paraId="411F8447" w14:textId="77777777" w:rsidR="00CD1E24" w:rsidRPr="00CD1E24" w:rsidRDefault="00CD1E24" w:rsidP="00CD1E24">
      <w:pPr>
        <w:spacing w:after="240" w:line="276" w:lineRule="auto"/>
        <w:jc w:val="both"/>
        <w:rPr>
          <w:rFonts w:ascii="Arial" w:eastAsia="Times New Roman" w:hAnsi="Arial" w:cs="Arial"/>
          <w:color w:val="000000"/>
          <w:sz w:val="21"/>
          <w:szCs w:val="21"/>
        </w:rPr>
      </w:pPr>
      <w:r w:rsidRPr="00CD1E24">
        <w:rPr>
          <w:rFonts w:ascii="Arial" w:eastAsia="Times New Roman" w:hAnsi="Arial" w:cs="Arial"/>
          <w:color w:val="000000"/>
          <w:sz w:val="21"/>
          <w:szCs w:val="21"/>
        </w:rPr>
        <w:t>En la taula anterior es mostra un quadro resum del detall de les 75 investigacions finalitzades en 2021, en el que s'arreplega, si és el cas, bé l'import susceptible de recuperació quantificat per esta Agència, bé l'import que finalment ha sigut recuperat per l'administració afectada.</w:t>
      </w:r>
    </w:p>
    <w:p w14:paraId="07CF9B5A" w14:textId="77777777" w:rsidR="00CD1E24" w:rsidRDefault="00CD1E24" w:rsidP="00CD1E24">
      <w:pPr>
        <w:spacing w:after="240" w:line="276" w:lineRule="auto"/>
        <w:jc w:val="both"/>
        <w:rPr>
          <w:rFonts w:ascii="Arial" w:eastAsia="Times New Roman" w:hAnsi="Arial" w:cs="Arial"/>
          <w:color w:val="000000"/>
          <w:sz w:val="21"/>
          <w:szCs w:val="21"/>
        </w:rPr>
        <w:sectPr w:rsidR="00CD1E24" w:rsidSect="00CE1C9E">
          <w:pgSz w:w="16838" w:h="11906" w:orient="landscape"/>
          <w:pgMar w:top="1701" w:right="1134" w:bottom="1701" w:left="1985" w:header="567" w:footer="567" w:gutter="0"/>
          <w:cols w:space="708"/>
          <w:titlePg/>
          <w:docGrid w:linePitch="360"/>
        </w:sectPr>
      </w:pPr>
      <w:r w:rsidRPr="00CD1E24">
        <w:rPr>
          <w:rFonts w:ascii="Arial" w:eastAsia="Times New Roman" w:hAnsi="Arial" w:cs="Arial"/>
          <w:color w:val="000000"/>
          <w:sz w:val="21"/>
          <w:szCs w:val="21"/>
        </w:rPr>
        <w:t>Vist l'import total recuperable corresponent a l'exercici 2021 (23.315.890,38 €) i tenint en consideració les obligacions reconegudes netes (ORN), extretes de l'estimació de la liquidació del pressupost de l'AVAF corresponent a l'exercici 2021 (una vegada descomptades les ORN en concepte de devolució dels romanents no empleats de transferències rebudes) , que ascendixen a 3.029.033,82 €, s'obté un ràtio de retorn econòmic estimat anual sobre import recuperable del 769,75%.</w:t>
      </w:r>
    </w:p>
    <w:p w14:paraId="1E858346" w14:textId="77777777" w:rsidR="00CD1E24" w:rsidRPr="00CD1E24" w:rsidRDefault="00CD1E24" w:rsidP="00CD1E24">
      <w:pPr>
        <w:pStyle w:val="Prrafodelista"/>
        <w:keepNext/>
        <w:numPr>
          <w:ilvl w:val="1"/>
          <w:numId w:val="19"/>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340" w:name="_Toc99110797"/>
      <w:r w:rsidRPr="00CD1E24">
        <w:rPr>
          <w:rFonts w:ascii="Arial" w:eastAsia="Times New Roman" w:hAnsi="Arial" w:cs="Arial"/>
          <w:b/>
          <w:color w:val="9D2235"/>
          <w:sz w:val="32"/>
          <w:szCs w:val="32"/>
        </w:rPr>
        <w:t>Administracions i entitats que no han acceptat les Recomanacions de l'Agència en les investigacions finalitzades</w:t>
      </w:r>
      <w:bookmarkEnd w:id="340"/>
    </w:p>
    <w:p w14:paraId="0309C729" w14:textId="77777777" w:rsidR="00CD1E24" w:rsidRPr="00CD1E24" w:rsidRDefault="00CD1E24" w:rsidP="00CD1E24">
      <w:pPr>
        <w:spacing w:after="240" w:line="276" w:lineRule="auto"/>
        <w:jc w:val="both"/>
        <w:rPr>
          <w:rFonts w:ascii="Arial" w:eastAsia="Times New Roman" w:hAnsi="Arial" w:cs="Arial"/>
          <w:color w:val="000000"/>
          <w:sz w:val="21"/>
          <w:szCs w:val="21"/>
        </w:rPr>
      </w:pPr>
      <w:r w:rsidRPr="00CD1E24">
        <w:rPr>
          <w:rFonts w:ascii="Arial" w:eastAsia="Times New Roman" w:hAnsi="Arial" w:cs="Arial"/>
          <w:color w:val="000000"/>
          <w:sz w:val="21"/>
          <w:szCs w:val="21"/>
        </w:rPr>
        <w:t>L'article 40.4 del Reglament de funcionament i règim interior de l'Agència de 27 de juny de 2019 (DOGV núm. 8582, de 2.07.2019) establix que l'Agència comprovarà que les autoritats competents apliquen les mesures administratives, financeres, legislatives o disciplinàries que els ha recomanat, realitzant el seu seguiment per mitjà de les actuacions que considere adequades.</w:t>
      </w:r>
    </w:p>
    <w:p w14:paraId="292A2240" w14:textId="77777777" w:rsidR="00CD1E24" w:rsidRPr="00CD1E24" w:rsidRDefault="00CD1E24" w:rsidP="00CD1E24">
      <w:pPr>
        <w:spacing w:after="240" w:line="276" w:lineRule="auto"/>
        <w:jc w:val="both"/>
        <w:rPr>
          <w:rFonts w:ascii="Arial" w:eastAsia="Times New Roman" w:hAnsi="Arial" w:cs="Arial"/>
          <w:color w:val="000000"/>
          <w:sz w:val="21"/>
          <w:szCs w:val="21"/>
        </w:rPr>
      </w:pPr>
      <w:r w:rsidRPr="00CD1E24">
        <w:rPr>
          <w:rFonts w:ascii="Arial" w:eastAsia="Times New Roman" w:hAnsi="Arial" w:cs="Arial"/>
          <w:color w:val="000000"/>
          <w:sz w:val="21"/>
          <w:szCs w:val="21"/>
        </w:rPr>
        <w:t>L'apartat 5</w:t>
      </w:r>
      <w:r w:rsidRPr="00CD1E24">
        <w:rPr>
          <w:rFonts w:ascii="Arial" w:eastAsia="Times New Roman" w:hAnsi="Arial" w:cs="Arial"/>
          <w:color w:val="000000"/>
          <w:sz w:val="21"/>
          <w:szCs w:val="21"/>
          <w:vertAlign w:val="superscript"/>
        </w:rPr>
        <w:t>é</w:t>
      </w:r>
      <w:r w:rsidRPr="00CD1E24">
        <w:rPr>
          <w:rFonts w:ascii="Arial" w:eastAsia="Times New Roman" w:hAnsi="Arial" w:cs="Arial"/>
          <w:color w:val="000000"/>
          <w:sz w:val="21"/>
          <w:szCs w:val="21"/>
        </w:rPr>
        <w:t xml:space="preserve"> de l'esmentat article arreplega que, en el cas que les autoritats afectades no apliquen les recomanacions proposades ni justifiquen la seua inaplicació, l'Agència ha de fer-ho constar en la Memòria anual o en un informe extraordinari a les Corts, segons corresponga. En tot cas, abans de fer constar expressament l'Incompliment, l'Agència ha de comunicar-ho, amb la proposta de memòria o informe, a la persona o òrgan afectats fi que al·leguen el que creguen convenient.</w:t>
      </w:r>
    </w:p>
    <w:p w14:paraId="5070A720" w14:textId="77777777" w:rsidR="00CD1E24" w:rsidRPr="00CD1E24" w:rsidRDefault="00CD1E24" w:rsidP="00CD1E24">
      <w:pPr>
        <w:spacing w:after="240" w:line="276" w:lineRule="auto"/>
        <w:jc w:val="both"/>
        <w:rPr>
          <w:rFonts w:ascii="Arial" w:eastAsia="Times New Roman" w:hAnsi="Arial" w:cs="Arial"/>
          <w:color w:val="000000"/>
          <w:sz w:val="21"/>
          <w:szCs w:val="21"/>
          <w:lang w:val="ca-ES"/>
        </w:rPr>
      </w:pPr>
      <w:r w:rsidRPr="00CD1E24">
        <w:rPr>
          <w:rFonts w:ascii="Arial" w:eastAsia="Times New Roman" w:hAnsi="Arial" w:cs="Arial"/>
          <w:color w:val="000000"/>
          <w:sz w:val="21"/>
          <w:szCs w:val="21"/>
        </w:rPr>
        <w:t xml:space="preserve">Durant l'any 2021 han sigut 4 administracions i ens públics, referits a 5 expedients, els que no han acceptat i incomplit les recomanacions emeses per l'Agència en les corresponents resolucions de conclusió d'investigacions, havent-se resolt expressament mitjançant Resolució del director fer-ho constar en la Memòria anual de 2021. En concret, les administracions i ens públics que no han acceptat les recomanacions de l'Agència han sigut </w:t>
      </w:r>
      <w:r w:rsidRPr="00CD1E24">
        <w:rPr>
          <w:rFonts w:ascii="Arial" w:eastAsia="Times New Roman" w:hAnsi="Arial" w:cs="Arial"/>
          <w:b/>
          <w:bCs/>
          <w:color w:val="000000"/>
          <w:sz w:val="21"/>
          <w:szCs w:val="21"/>
        </w:rPr>
        <w:t>tres Ajuntaments</w:t>
      </w:r>
      <w:r w:rsidRPr="00CD1E24">
        <w:rPr>
          <w:rFonts w:ascii="Arial" w:eastAsia="Times New Roman" w:hAnsi="Arial" w:cs="Arial"/>
          <w:color w:val="000000"/>
          <w:sz w:val="21"/>
          <w:szCs w:val="21"/>
        </w:rPr>
        <w:t xml:space="preserve">, els de </w:t>
      </w:r>
      <w:r w:rsidRPr="00CD1E24">
        <w:rPr>
          <w:rFonts w:ascii="Arial" w:eastAsia="Times New Roman" w:hAnsi="Arial" w:cs="Arial"/>
          <w:b/>
          <w:bCs/>
          <w:color w:val="000000"/>
          <w:sz w:val="21"/>
          <w:szCs w:val="21"/>
        </w:rPr>
        <w:t>València</w:t>
      </w:r>
      <w:r w:rsidRPr="00CD1E24">
        <w:rPr>
          <w:rFonts w:ascii="Arial" w:eastAsia="Times New Roman" w:hAnsi="Arial" w:cs="Arial"/>
          <w:color w:val="000000"/>
          <w:sz w:val="21"/>
          <w:szCs w:val="21"/>
        </w:rPr>
        <w:t xml:space="preserve"> (en dos investigacions), </w:t>
      </w:r>
      <w:r w:rsidRPr="00CD1E24">
        <w:rPr>
          <w:rFonts w:ascii="Arial" w:eastAsia="Times New Roman" w:hAnsi="Arial" w:cs="Arial"/>
          <w:b/>
          <w:bCs/>
          <w:color w:val="000000"/>
          <w:sz w:val="21"/>
          <w:szCs w:val="21"/>
        </w:rPr>
        <w:t>Cofrentes</w:t>
      </w:r>
      <w:r w:rsidRPr="00CD1E24">
        <w:rPr>
          <w:rFonts w:ascii="Arial" w:eastAsia="Times New Roman" w:hAnsi="Arial" w:cs="Arial"/>
          <w:color w:val="000000"/>
          <w:sz w:val="21"/>
          <w:szCs w:val="21"/>
        </w:rPr>
        <w:t xml:space="preserve"> i </w:t>
      </w:r>
      <w:r w:rsidRPr="00CD1E24">
        <w:rPr>
          <w:rFonts w:ascii="Arial" w:eastAsia="Times New Roman" w:hAnsi="Arial" w:cs="Arial"/>
          <w:b/>
          <w:bCs/>
          <w:color w:val="000000"/>
          <w:sz w:val="21"/>
          <w:szCs w:val="21"/>
        </w:rPr>
        <w:t>Rojales</w:t>
      </w:r>
      <w:r w:rsidRPr="00CD1E24">
        <w:rPr>
          <w:rFonts w:ascii="Arial" w:eastAsia="Times New Roman" w:hAnsi="Arial" w:cs="Arial"/>
          <w:color w:val="000000"/>
          <w:sz w:val="21"/>
          <w:szCs w:val="21"/>
        </w:rPr>
        <w:t xml:space="preserve">, i </w:t>
      </w:r>
      <w:r w:rsidRPr="00CD1E24">
        <w:rPr>
          <w:rFonts w:ascii="Arial" w:eastAsia="Times New Roman" w:hAnsi="Arial" w:cs="Arial"/>
          <w:b/>
          <w:bCs/>
          <w:color w:val="000000"/>
          <w:sz w:val="21"/>
          <w:szCs w:val="21"/>
        </w:rPr>
        <w:t>l'Institut Valencià de Cultura</w:t>
      </w:r>
      <w:r w:rsidRPr="00CD1E24">
        <w:rPr>
          <w:rFonts w:ascii="Arial" w:eastAsia="Times New Roman" w:hAnsi="Arial" w:cs="Arial"/>
          <w:color w:val="000000"/>
          <w:sz w:val="21"/>
          <w:szCs w:val="21"/>
        </w:rPr>
        <w:t xml:space="preserve"> (IVC).</w:t>
      </w:r>
    </w:p>
    <w:p w14:paraId="7700DD3D" w14:textId="77777777" w:rsidR="008E51E4" w:rsidRPr="008E51E4" w:rsidRDefault="008E51E4" w:rsidP="008E51E4">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41" w:name="_Toc95913915"/>
      <w:bookmarkStart w:id="342" w:name="_Toc99110798"/>
      <w:r w:rsidRPr="008E51E4">
        <w:rPr>
          <w:rFonts w:ascii="Arial" w:eastAsia="Times New Roman" w:hAnsi="Arial" w:cs="Arial"/>
          <w:b/>
          <w:color w:val="9D2235"/>
          <w:sz w:val="28"/>
          <w:szCs w:val="28"/>
        </w:rPr>
        <w:t>Incompliments de Recomanacions de l’Ajuntament de València</w:t>
      </w:r>
      <w:bookmarkEnd w:id="341"/>
      <w:bookmarkEnd w:id="342"/>
    </w:p>
    <w:p w14:paraId="77345828" w14:textId="77777777" w:rsidR="008E51E4" w:rsidRPr="008E51E4" w:rsidRDefault="008E51E4" w:rsidP="008E51E4">
      <w:pPr>
        <w:pStyle w:val="Prrafodelista"/>
        <w:keepNext/>
        <w:numPr>
          <w:ilvl w:val="3"/>
          <w:numId w:val="19"/>
        </w:numPr>
        <w:suppressAutoHyphens/>
        <w:spacing w:before="360" w:after="240" w:line="276" w:lineRule="auto"/>
        <w:ind w:left="1134" w:hanging="1134"/>
        <w:contextualSpacing w:val="0"/>
        <w:jc w:val="both"/>
        <w:outlineLvl w:val="3"/>
        <w:rPr>
          <w:rFonts w:ascii="Arial" w:eastAsia="Times New Roman" w:hAnsi="Arial" w:cs="Arial"/>
          <w:b/>
          <w:color w:val="9D2235"/>
          <w:sz w:val="24"/>
          <w:szCs w:val="24"/>
        </w:rPr>
      </w:pPr>
      <w:r w:rsidRPr="008E51E4">
        <w:rPr>
          <w:rFonts w:ascii="Arial" w:eastAsia="Times New Roman" w:hAnsi="Arial" w:cs="Arial"/>
          <w:b/>
          <w:color w:val="9D2235"/>
          <w:sz w:val="24"/>
          <w:szCs w:val="24"/>
        </w:rPr>
        <w:t>Expedient: 2020/G01_01/000055. Ajuntament de València. Despeses realitzades sense respectar el procediment legalment establit en matèria de Contractació</w:t>
      </w:r>
    </w:p>
    <w:p w14:paraId="2E26DF0F" w14:textId="77777777" w:rsidR="008E51E4" w:rsidRPr="008E51E4" w:rsidRDefault="008E51E4" w:rsidP="008E51E4">
      <w:pPr>
        <w:spacing w:after="240" w:line="276" w:lineRule="auto"/>
        <w:jc w:val="both"/>
        <w:rPr>
          <w:rFonts w:ascii="Arial" w:eastAsia="Times New Roman" w:hAnsi="Arial" w:cs="Arial"/>
          <w:color w:val="000000"/>
          <w:sz w:val="21"/>
          <w:szCs w:val="21"/>
        </w:rPr>
      </w:pPr>
      <w:r w:rsidRPr="008E51E4">
        <w:rPr>
          <w:rFonts w:ascii="Arial" w:eastAsia="Times New Roman" w:hAnsi="Arial" w:cs="Arial"/>
          <w:b/>
          <w:bCs/>
          <w:color w:val="000000"/>
          <w:sz w:val="21"/>
          <w:szCs w:val="21"/>
        </w:rPr>
        <w:t>Descripció:</w:t>
      </w:r>
      <w:r w:rsidRPr="008E51E4">
        <w:rPr>
          <w:rFonts w:ascii="Arial" w:eastAsia="Times New Roman" w:hAnsi="Arial" w:cs="Arial"/>
          <w:color w:val="000000"/>
          <w:sz w:val="21"/>
          <w:szCs w:val="21"/>
        </w:rPr>
        <w:t xml:space="preserve"> Els fets denunciats es van concretar en que l'Ajuntament de València és titular de tres Centres Ocupacionals Municipals (COM), en els quals el servici de menjador s'havia gestionat de manera indirecta a través de contracte administratiu de servicis. Després de decidir no prorrogar el contracte formalitzat el 30 de desembre de 2015 amb una mercantil, la regidora delegada de Servicis Socials de l'Ajuntament, per mitjà de moció del 22 de setembre de 2017, realitza l'encàrrec directe del servici de menjador dels COM, des del 2 d'octubre de 2017, a favor d'una altra mercantil, situació que es va mantindre fins al moment en què es va produir l'adjudicació del nou contracte, el 12 de març de 2020.</w:t>
      </w:r>
    </w:p>
    <w:p w14:paraId="244804EA" w14:textId="77777777" w:rsidR="008E51E4" w:rsidRPr="008E51E4" w:rsidRDefault="008E51E4" w:rsidP="008E51E4">
      <w:pPr>
        <w:spacing w:after="240" w:line="276" w:lineRule="auto"/>
        <w:jc w:val="both"/>
        <w:rPr>
          <w:rFonts w:ascii="Arial" w:eastAsia="Times New Roman" w:hAnsi="Arial" w:cs="Arial"/>
          <w:color w:val="000000"/>
          <w:sz w:val="21"/>
          <w:szCs w:val="21"/>
        </w:rPr>
      </w:pPr>
      <w:r w:rsidRPr="008E51E4">
        <w:rPr>
          <w:rFonts w:ascii="Arial" w:eastAsia="Times New Roman" w:hAnsi="Arial" w:cs="Arial"/>
          <w:color w:val="000000"/>
          <w:sz w:val="21"/>
          <w:szCs w:val="21"/>
        </w:rPr>
        <w:t xml:space="preserve">Es va estar prestant el servici sense contracte des de l'1 d'octubre de 2017 fins al 13 de març de 2020, és a dir durant dos anys, quatre mesos i 13 dies, període sense cobertura contractual en què se li va estar abonant un preu unitari de menú superior al marcat pel mercat, prenent com a referència el preu sorgit de l'última licitació en concurrència competitiva ofert per l'adjudicatària. El cost abonat per l'Ajuntament de València, superior al preu de mercat, s'ha quantificat en 91.908,17 € IVA inclòs. </w:t>
      </w:r>
    </w:p>
    <w:p w14:paraId="79F13CE7" w14:textId="77777777" w:rsidR="008E51E4" w:rsidRPr="008E51E4" w:rsidRDefault="008E51E4" w:rsidP="008E51E4">
      <w:pPr>
        <w:spacing w:after="240" w:line="276" w:lineRule="auto"/>
        <w:jc w:val="both"/>
        <w:rPr>
          <w:rFonts w:ascii="Arial" w:eastAsia="Times New Roman" w:hAnsi="Arial" w:cs="Arial"/>
          <w:color w:val="000000"/>
          <w:sz w:val="21"/>
          <w:szCs w:val="21"/>
        </w:rPr>
      </w:pPr>
      <w:r w:rsidRPr="008E51E4">
        <w:rPr>
          <w:rFonts w:ascii="Arial" w:eastAsia="Times New Roman" w:hAnsi="Arial" w:cs="Arial"/>
          <w:color w:val="000000"/>
          <w:sz w:val="21"/>
          <w:szCs w:val="21"/>
        </w:rPr>
        <w:t xml:space="preserve">Es va recomanar la revisió d'ofici i la reclamació del dit import. </w:t>
      </w:r>
    </w:p>
    <w:p w14:paraId="6DDB87AA" w14:textId="77777777" w:rsidR="002F0A03" w:rsidRPr="002F0A03" w:rsidRDefault="002F0A03" w:rsidP="002F0A03">
      <w:pPr>
        <w:pStyle w:val="Prrafodelista"/>
        <w:keepNext/>
        <w:numPr>
          <w:ilvl w:val="3"/>
          <w:numId w:val="19"/>
        </w:numPr>
        <w:suppressAutoHyphens/>
        <w:spacing w:before="360" w:after="240" w:line="276" w:lineRule="auto"/>
        <w:ind w:left="1134" w:hanging="1134"/>
        <w:contextualSpacing w:val="0"/>
        <w:jc w:val="both"/>
        <w:outlineLvl w:val="3"/>
        <w:rPr>
          <w:rFonts w:ascii="Arial" w:eastAsia="Times New Roman" w:hAnsi="Arial" w:cs="Arial"/>
          <w:b/>
          <w:color w:val="9D2235"/>
          <w:sz w:val="24"/>
          <w:szCs w:val="24"/>
        </w:rPr>
      </w:pPr>
      <w:r w:rsidRPr="002F0A03">
        <w:rPr>
          <w:rFonts w:ascii="Arial" w:eastAsia="Times New Roman" w:hAnsi="Arial" w:cs="Arial"/>
          <w:b/>
          <w:color w:val="9D2235"/>
          <w:sz w:val="24"/>
          <w:szCs w:val="24"/>
        </w:rPr>
        <w:t>Expedient: 2020/G01_01/000013. Ajuntament de València. Justificació de subvenció atorgada a l'organització Acció Contra La Fam fora de termini</w:t>
      </w:r>
    </w:p>
    <w:p w14:paraId="19F08603"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b/>
          <w:bCs/>
          <w:color w:val="000000"/>
          <w:sz w:val="21"/>
          <w:szCs w:val="21"/>
        </w:rPr>
        <w:t xml:space="preserve">Descripció: </w:t>
      </w:r>
      <w:r w:rsidRPr="002F0A03">
        <w:rPr>
          <w:rFonts w:ascii="Arial" w:eastAsia="Times New Roman" w:hAnsi="Arial" w:cs="Arial"/>
          <w:color w:val="000000"/>
          <w:sz w:val="21"/>
          <w:szCs w:val="21"/>
        </w:rPr>
        <w:t xml:space="preserve">Els fets denunciats es van concretar en l'incompliment del termini per a justificar la subvenció de 30.000 € atorgada a una entitat. </w:t>
      </w:r>
    </w:p>
    <w:p w14:paraId="3B51E14E"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Després de la instrucció de l'oportú procediment d'investigació, es va acreditar que, finalitzat el termini de justificació de la subvenció, en data 17 de desembre de 2018, esta es va presentar el 29 de gener de 2019. La justificació es va presentar abans de ser cursat requeriment de justificació a l'entitat beneficiària de la subvenció.</w:t>
      </w:r>
    </w:p>
    <w:p w14:paraId="4F3D3A5D" w14:textId="77777777" w:rsidR="002F0A03" w:rsidRPr="002F0A03" w:rsidRDefault="002F0A03" w:rsidP="002F0A03">
      <w:pPr>
        <w:spacing w:after="240" w:line="276" w:lineRule="auto"/>
        <w:jc w:val="both"/>
        <w:rPr>
          <w:rFonts w:ascii="Arial" w:eastAsia="Times New Roman" w:hAnsi="Arial" w:cs="Arial"/>
          <w:color w:val="000000"/>
          <w:sz w:val="21"/>
          <w:szCs w:val="21"/>
          <w:lang w:val="ca-ES"/>
        </w:rPr>
      </w:pPr>
      <w:r w:rsidRPr="002F0A03">
        <w:rPr>
          <w:rFonts w:ascii="Arial" w:eastAsia="Times New Roman" w:hAnsi="Arial" w:cs="Arial"/>
          <w:color w:val="000000"/>
          <w:sz w:val="21"/>
          <w:szCs w:val="21"/>
        </w:rPr>
        <w:t>Es va recomanar a l'Ajuntament de València que es dicten Instruccions internes als servicis gestors de subvencions, que arrepleguen expressament que una vegada transcorregut el termini per a la justificació de la subvenció s'ha d'iniciar el procediment de reintegrament corresponent, i per a això, de forma prèvia, ha de requerir-se al beneficiari perquè en el termini improrrogable de quinze dies siga presentada la justificació. La falta de presentació de la justificació en el termini establit portarà amb si l'exigència del reintegrament i la resta de responsabilitats establides en la Llei General de Subvencions. A més, s'haurà d'acordar l'inici de l'exigència de responsabilitats contra el beneficiari de la subvenció nominativa atorgada en este expedient</w:t>
      </w:r>
      <w:r w:rsidRPr="002F0A03">
        <w:rPr>
          <w:rFonts w:ascii="Arial" w:eastAsia="Times New Roman" w:hAnsi="Arial" w:cs="Arial"/>
          <w:i/>
          <w:iCs/>
          <w:color w:val="000000"/>
          <w:sz w:val="21"/>
          <w:szCs w:val="21"/>
          <w:lang w:val="ca-ES"/>
        </w:rPr>
        <w:t>.</w:t>
      </w:r>
    </w:p>
    <w:p w14:paraId="7DF42855" w14:textId="77777777" w:rsidR="002F0A03" w:rsidRPr="002F0A03" w:rsidRDefault="002F0A03" w:rsidP="002F0A0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43" w:name="_Toc95913916"/>
      <w:bookmarkStart w:id="344" w:name="_Toc99110799"/>
      <w:r w:rsidRPr="002F0A03">
        <w:rPr>
          <w:rFonts w:ascii="Arial" w:eastAsia="Times New Roman" w:hAnsi="Arial" w:cs="Arial"/>
          <w:b/>
          <w:color w:val="9D2235"/>
          <w:sz w:val="28"/>
          <w:szCs w:val="28"/>
        </w:rPr>
        <w:t>Incompliments de Recomanacions de l’Ajuntament de Cofrentes</w:t>
      </w:r>
      <w:bookmarkEnd w:id="343"/>
      <w:bookmarkEnd w:id="344"/>
    </w:p>
    <w:p w14:paraId="1ABC3D97" w14:textId="77777777" w:rsidR="002F0A03" w:rsidRPr="002F0A03" w:rsidRDefault="002F0A03" w:rsidP="002F0A03">
      <w:pPr>
        <w:pStyle w:val="Prrafodelista"/>
        <w:keepNext/>
        <w:numPr>
          <w:ilvl w:val="3"/>
          <w:numId w:val="19"/>
        </w:numPr>
        <w:suppressAutoHyphens/>
        <w:spacing w:before="360" w:after="240" w:line="276" w:lineRule="auto"/>
        <w:ind w:left="1134" w:hanging="1134"/>
        <w:contextualSpacing w:val="0"/>
        <w:jc w:val="both"/>
        <w:outlineLvl w:val="3"/>
        <w:rPr>
          <w:rFonts w:ascii="Arial" w:eastAsia="Times New Roman" w:hAnsi="Arial" w:cs="Arial"/>
          <w:b/>
          <w:color w:val="9D2235"/>
          <w:sz w:val="24"/>
          <w:szCs w:val="24"/>
        </w:rPr>
      </w:pPr>
      <w:r w:rsidRPr="002F0A03">
        <w:rPr>
          <w:rFonts w:ascii="Arial" w:eastAsia="Times New Roman" w:hAnsi="Arial" w:cs="Arial"/>
          <w:b/>
          <w:color w:val="9D2235"/>
          <w:sz w:val="24"/>
          <w:szCs w:val="24"/>
        </w:rPr>
        <w:t>Expedient: 2020/G01_01/000216 [59/2019] Ajuntament de Cofrentes, múltiples irregularitats en procediments de contractació</w:t>
      </w:r>
    </w:p>
    <w:p w14:paraId="4293954F"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b/>
          <w:bCs/>
          <w:color w:val="000000"/>
          <w:sz w:val="21"/>
          <w:szCs w:val="21"/>
        </w:rPr>
        <w:t>Descripció:</w:t>
      </w:r>
      <w:r w:rsidRPr="002F0A03">
        <w:rPr>
          <w:rFonts w:ascii="Arial" w:eastAsia="Times New Roman" w:hAnsi="Arial" w:cs="Arial"/>
          <w:color w:val="000000"/>
          <w:sz w:val="21"/>
          <w:szCs w:val="21"/>
        </w:rPr>
        <w:t xml:space="preserve"> Els fets denunciats es van concretar, d'una banda, en el fraccionament de l'objecte del contracte de xarxes socials des de 2017 a 2020, tres d'ells a més amb la mateixa empresa, i d'altra banda, amb relació als contractes de subministraments de cistelles de Nadal. No va quedar justificada la necessitat dels mateixos, ni el compliment de cap fi públic.</w:t>
      </w:r>
    </w:p>
    <w:p w14:paraId="32D3CE2B"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Després de la instrucció de l'oportú procediment d'investigació, es van aconseguir les conclusions següents: Per una banda, que la decisió de contractar durant quatre anys successius la gestió de xarxes socials de l'Ajuntament de Cofrentes no està emparada pel dret; per una altra i respecte al contracte de subministrament de cistelles de Nadal, que no queda justificada la seua necessitat. L'entrega de cistelles o lots de Nadal no són per a utilització pròpia de l'Ajuntament, sinó que s'adquirixen per a ser entregades a terceres persones, per la qual cosa s'enquadra en una subvenció en espècie, sense haver-se tramitat cap expedient de concessió d'acord amb la Llei General de Subvencions i Reglament de desenvolupament.</w:t>
      </w:r>
    </w:p>
    <w:p w14:paraId="029912A1"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Es va recomanar, en relació amb els expedients de contractació de gestió de xarxes socials, que ha de procedir-se a la realització d'un pla d'implementació amb l'objectiu de donar cobertura contractual a estos servicis de gestió per mitjà del procediment de contractació que legalment corresponga. Respecte als contractes de subministrament de cistelles de Nadal, ha de procedir-se a la realització d'un pla d'implementació, amb l'objectiu d'acreditar la necessitat de contractació d'este tipus de subministraments i gestionar les entregues amb la naturalesa de subvencions en espècie.</w:t>
      </w:r>
    </w:p>
    <w:p w14:paraId="60FE2232" w14:textId="77777777" w:rsidR="002F0A03" w:rsidRPr="002F0A03" w:rsidRDefault="002F0A03" w:rsidP="002F0A0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45" w:name="_Toc95913917"/>
      <w:bookmarkStart w:id="346" w:name="_Toc99110800"/>
      <w:r w:rsidRPr="002F0A03">
        <w:rPr>
          <w:rFonts w:ascii="Arial" w:eastAsia="Times New Roman" w:hAnsi="Arial" w:cs="Arial"/>
          <w:b/>
          <w:color w:val="9D2235"/>
          <w:sz w:val="28"/>
          <w:szCs w:val="28"/>
        </w:rPr>
        <w:t>Incompliments de Recomanacions de l’Ajuntament de Rojales</w:t>
      </w:r>
      <w:bookmarkEnd w:id="345"/>
      <w:bookmarkEnd w:id="346"/>
    </w:p>
    <w:p w14:paraId="1072CDCE" w14:textId="77777777" w:rsidR="002F0A03" w:rsidRPr="002F0A03" w:rsidRDefault="002F0A03" w:rsidP="002F0A03">
      <w:pPr>
        <w:pStyle w:val="Prrafodelista"/>
        <w:keepNext/>
        <w:numPr>
          <w:ilvl w:val="3"/>
          <w:numId w:val="19"/>
        </w:numPr>
        <w:suppressAutoHyphens/>
        <w:spacing w:before="360" w:after="240" w:line="276" w:lineRule="auto"/>
        <w:ind w:left="1134" w:hanging="1134"/>
        <w:contextualSpacing w:val="0"/>
        <w:jc w:val="both"/>
        <w:outlineLvl w:val="3"/>
        <w:rPr>
          <w:rFonts w:ascii="Arial" w:eastAsia="Times New Roman" w:hAnsi="Arial" w:cs="Arial"/>
          <w:b/>
          <w:color w:val="9D2235"/>
          <w:sz w:val="24"/>
          <w:szCs w:val="24"/>
        </w:rPr>
      </w:pPr>
      <w:r w:rsidRPr="002F0A03">
        <w:rPr>
          <w:rFonts w:ascii="Arial" w:eastAsia="Times New Roman" w:hAnsi="Arial" w:cs="Arial"/>
          <w:b/>
          <w:color w:val="9D2235"/>
          <w:sz w:val="24"/>
          <w:szCs w:val="24"/>
        </w:rPr>
        <w:t>Expedient: 2020/G01_01/000256 [151-2019]. Ajuntament de Rojales. Irregularitats en el pagament de servicis extraordinaris a funcionaris amb dedicació exclusiva</w:t>
      </w:r>
    </w:p>
    <w:p w14:paraId="1F4E120F"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b/>
          <w:bCs/>
          <w:color w:val="000000"/>
          <w:sz w:val="21"/>
          <w:szCs w:val="21"/>
        </w:rPr>
        <w:t>Descripció:</w:t>
      </w:r>
      <w:r w:rsidRPr="002F0A03">
        <w:rPr>
          <w:rFonts w:ascii="Arial" w:eastAsia="Times New Roman" w:hAnsi="Arial" w:cs="Arial"/>
          <w:color w:val="000000"/>
          <w:sz w:val="21"/>
          <w:szCs w:val="21"/>
        </w:rPr>
        <w:t xml:space="preserve"> Els fets denunciats es concreten en el pagament del factor d'especial disponibilitat, aprovat per a la Policia Local durant els mesos de juliol de 2017 a juny de 2018, a dos funcionaris municipals, als quals se'ls està retribuint suposadament dos vegades pel mateix concepte. </w:t>
      </w:r>
    </w:p>
    <w:p w14:paraId="11178219"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Després de la instrucció de l'oportú procediment d'investigació, es van obtenir les següents conclusions:</w:t>
      </w:r>
    </w:p>
    <w:p w14:paraId="4DE6B8D8" w14:textId="77777777" w:rsidR="002F0A03" w:rsidRPr="002F0A03" w:rsidRDefault="002F0A03" w:rsidP="002F0A03">
      <w:pPr>
        <w:numPr>
          <w:ilvl w:val="0"/>
          <w:numId w:val="179"/>
        </w:numPr>
        <w:spacing w:after="120" w:line="276" w:lineRule="auto"/>
        <w:ind w:left="714" w:hanging="357"/>
        <w:jc w:val="both"/>
        <w:rPr>
          <w:rFonts w:ascii="Arial" w:eastAsia="Times New Roman" w:hAnsi="Arial" w:cs="Arial"/>
          <w:color w:val="000000"/>
          <w:sz w:val="21"/>
          <w:szCs w:val="21"/>
        </w:rPr>
      </w:pPr>
      <w:r w:rsidRPr="002F0A03">
        <w:rPr>
          <w:rFonts w:ascii="Arial" w:eastAsia="Times New Roman" w:hAnsi="Arial" w:cs="Arial"/>
          <w:color w:val="000000"/>
          <w:sz w:val="21"/>
          <w:szCs w:val="21"/>
        </w:rPr>
        <w:t>En la Relació de Llocs de treball, no es troben definits el detall dels factors i subfactors tinguts en compte a l'hora de valorar i fixar la quantitat del complement específic de cada lloc de treball.</w:t>
      </w:r>
    </w:p>
    <w:p w14:paraId="274E266A" w14:textId="77777777" w:rsidR="002F0A03" w:rsidRPr="002F0A03" w:rsidRDefault="002F0A03" w:rsidP="002F0A03">
      <w:pPr>
        <w:numPr>
          <w:ilvl w:val="0"/>
          <w:numId w:val="179"/>
        </w:numPr>
        <w:spacing w:after="120" w:line="276" w:lineRule="auto"/>
        <w:ind w:left="714" w:hanging="357"/>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L'Ajuntament de Rojales, a l'aprovar al setembre de 2017 un “Reglament de Disponibilitat” aplicable a la policia local, </w:t>
      </w:r>
      <w:r w:rsidRPr="002F0A03">
        <w:rPr>
          <w:rFonts w:ascii="Arial" w:eastAsia="Times New Roman" w:hAnsi="Arial" w:cs="Arial"/>
          <w:i/>
          <w:iCs/>
          <w:color w:val="000000"/>
          <w:sz w:val="21"/>
          <w:szCs w:val="21"/>
        </w:rPr>
        <w:t>de facto</w:t>
      </w:r>
      <w:r w:rsidRPr="002F0A03">
        <w:rPr>
          <w:rFonts w:ascii="Arial" w:eastAsia="Times New Roman" w:hAnsi="Arial" w:cs="Arial"/>
          <w:color w:val="000000"/>
          <w:sz w:val="21"/>
          <w:szCs w:val="21"/>
        </w:rPr>
        <w:t xml:space="preserve"> estava modificant el nombre d'hores anuals a realitzar per este col·lectiu, i regulant una retribució fixa mensual per la realització d'un nombre d'hores anuals per damunt de la jornada ordinària. </w:t>
      </w:r>
    </w:p>
    <w:p w14:paraId="7C247237" w14:textId="77777777" w:rsidR="002F0A03" w:rsidRPr="002F0A03" w:rsidRDefault="002F0A03" w:rsidP="002F0A03">
      <w:pPr>
        <w:numPr>
          <w:ilvl w:val="0"/>
          <w:numId w:val="179"/>
        </w:numPr>
        <w:spacing w:after="120" w:line="276" w:lineRule="auto"/>
        <w:ind w:left="714" w:hanging="357"/>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Les motivacions que pretenen ser cobertes pel Reglament de Disponibilitat responen a situacions que es van a produir ordinàriament en cada exercici, per la qual cosa, al no tindre un caràcter extraordinari, haurien de cobrir-se eixes funcions i la retribució de les mateixa en la RPT de l'Ajuntament. </w:t>
      </w:r>
    </w:p>
    <w:p w14:paraId="1D3EB3A6" w14:textId="77777777" w:rsidR="002F0A03" w:rsidRPr="002F0A03" w:rsidRDefault="002F0A03" w:rsidP="002F0A03">
      <w:pPr>
        <w:numPr>
          <w:ilvl w:val="0"/>
          <w:numId w:val="179"/>
        </w:num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La disponibilitat i la major dedicació, entesa esta última com una major dedicació horària superior a la jornada habitual, han de valorar-se objectivament en el manual de valoració de la RPT i aplicar-se a aquells llocs que per les funcions ordinàries i habituals per al seu exercici així ho requerixen. </w:t>
      </w:r>
    </w:p>
    <w:p w14:paraId="097EB0F6" w14:textId="77777777" w:rsidR="002F0A03" w:rsidRPr="002F0A03" w:rsidRDefault="002F0A03" w:rsidP="002F0A03">
      <w:pPr>
        <w:spacing w:after="240" w:line="276" w:lineRule="auto"/>
        <w:jc w:val="both"/>
        <w:rPr>
          <w:rFonts w:ascii="Arial" w:eastAsia="Times New Roman" w:hAnsi="Arial" w:cs="Arial"/>
          <w:color w:val="000000"/>
          <w:sz w:val="21"/>
          <w:szCs w:val="21"/>
          <w:lang w:val="ca-ES"/>
        </w:rPr>
      </w:pPr>
      <w:r w:rsidRPr="002F0A03">
        <w:rPr>
          <w:rFonts w:ascii="Arial" w:eastAsia="Times New Roman" w:hAnsi="Arial" w:cs="Arial"/>
          <w:color w:val="000000"/>
          <w:sz w:val="21"/>
          <w:szCs w:val="21"/>
        </w:rPr>
        <w:t>Es va recomanar que es procedira a l'aprovació d'una nova relació de llocs de treball ajustada a la legislació vigent i a les necessitats reals de la corporació, i de manera singular que es definiren els factors i subfactors que conformen el complement específic per a evitar les diferents interpretacions subjectives, fixant-se un sistema objectiu de valoració dels distints factors i subfactors que permeten definir els elements retributius i el valor assignat. En la fixació de les retribucions complementàries haurà de realitzar-se una anàlisi prèvia i una valoració objectiva dels llocs, establint nivells de complement de destí i de complement específic ajustats a eixa avaluació</w:t>
      </w:r>
      <w:r w:rsidRPr="002F0A03">
        <w:rPr>
          <w:rFonts w:ascii="Arial" w:eastAsia="Times New Roman" w:hAnsi="Arial" w:cs="Arial"/>
          <w:color w:val="000000"/>
          <w:sz w:val="21"/>
          <w:szCs w:val="21"/>
          <w:lang w:val="ca-ES"/>
        </w:rPr>
        <w:t>.</w:t>
      </w:r>
    </w:p>
    <w:p w14:paraId="0DE30601" w14:textId="77777777" w:rsidR="002F0A03" w:rsidRPr="002F0A03" w:rsidRDefault="002F0A03" w:rsidP="002F0A03">
      <w:pPr>
        <w:pStyle w:val="Prrafodelista"/>
        <w:keepNext/>
        <w:numPr>
          <w:ilvl w:val="2"/>
          <w:numId w:val="19"/>
        </w:numPr>
        <w:suppressAutoHyphens/>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47" w:name="_Toc95913918"/>
      <w:bookmarkStart w:id="348" w:name="_Toc99110801"/>
      <w:r w:rsidRPr="002F0A03">
        <w:rPr>
          <w:rFonts w:ascii="Arial" w:eastAsia="Times New Roman" w:hAnsi="Arial" w:cs="Arial"/>
          <w:b/>
          <w:color w:val="9D2235"/>
          <w:sz w:val="28"/>
          <w:szCs w:val="28"/>
        </w:rPr>
        <w:t>Incompliments de Recomanacions del Institut Valencià de Cultura</w:t>
      </w:r>
      <w:bookmarkEnd w:id="347"/>
      <w:bookmarkEnd w:id="348"/>
    </w:p>
    <w:p w14:paraId="596A042B" w14:textId="77777777" w:rsidR="002F0A03" w:rsidRPr="002F0A03" w:rsidRDefault="002F0A03" w:rsidP="002F0A03">
      <w:pPr>
        <w:pStyle w:val="Prrafodelista"/>
        <w:keepNext/>
        <w:numPr>
          <w:ilvl w:val="3"/>
          <w:numId w:val="19"/>
        </w:numPr>
        <w:suppressAutoHyphens/>
        <w:spacing w:before="360" w:after="240" w:line="276" w:lineRule="auto"/>
        <w:ind w:left="1134" w:hanging="1134"/>
        <w:contextualSpacing w:val="0"/>
        <w:jc w:val="both"/>
        <w:outlineLvl w:val="3"/>
        <w:rPr>
          <w:rFonts w:ascii="Arial" w:eastAsia="Times New Roman" w:hAnsi="Arial" w:cs="Arial"/>
          <w:b/>
          <w:color w:val="9D2235"/>
          <w:sz w:val="24"/>
          <w:szCs w:val="24"/>
        </w:rPr>
      </w:pPr>
      <w:r w:rsidRPr="002F0A03">
        <w:rPr>
          <w:rFonts w:ascii="Arial" w:eastAsia="Times New Roman" w:hAnsi="Arial" w:cs="Arial"/>
          <w:b/>
          <w:color w:val="9D2235"/>
          <w:sz w:val="24"/>
          <w:szCs w:val="24"/>
        </w:rPr>
        <w:t>Expedient: 2020/G01_01/000117 [21-22/2019]. Institut Valencià de Cultura. Irregularitats a la gestió de personal</w:t>
      </w:r>
    </w:p>
    <w:p w14:paraId="532EBB1D"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b/>
          <w:bCs/>
          <w:color w:val="000000"/>
          <w:sz w:val="21"/>
          <w:szCs w:val="21"/>
        </w:rPr>
        <w:t>Descripció:</w:t>
      </w:r>
      <w:r w:rsidRPr="002F0A03">
        <w:rPr>
          <w:rFonts w:ascii="Arial" w:eastAsia="Times New Roman" w:hAnsi="Arial" w:cs="Arial"/>
          <w:color w:val="000000"/>
          <w:sz w:val="21"/>
          <w:szCs w:val="21"/>
        </w:rPr>
        <w:t xml:space="preserve"> Els fets denunciats es concreten en nomenaments provisionals per a ocupar llocs de lliure designació, sense haver-se convocat per a la seua cobertura definitiva en el termini legalment establit. Canvi d'adscripció orgànica de dos llocs de treball per a afavorir interessos personals, restricció de la lliure concurrència en una convocatòria de millora d'ocupació, i proposta d'adscripció d'un lloc de treball al nou Institut Valencià de Conservació Restauració i Investigació (IVCR+I).</w:t>
      </w:r>
    </w:p>
    <w:p w14:paraId="42CD2B0A"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Després de la instrucció de l'oportú procediment d'investigació, es van aconseguir les següents conclusions:</w:t>
      </w:r>
    </w:p>
    <w:p w14:paraId="53F900DD" w14:textId="77777777" w:rsidR="002F0A03" w:rsidRPr="002F0A03" w:rsidRDefault="002F0A03" w:rsidP="002F0A03">
      <w:pPr>
        <w:numPr>
          <w:ilvl w:val="0"/>
          <w:numId w:val="180"/>
        </w:numPr>
        <w:spacing w:after="120" w:line="276" w:lineRule="auto"/>
        <w:ind w:left="714" w:hanging="357"/>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L'Institut Valencià de Cultura es va retardar, més de dos anys, a aprovar i publicar la Relació de Llocs de Treball. </w:t>
      </w:r>
    </w:p>
    <w:p w14:paraId="12A2FD26" w14:textId="77777777" w:rsidR="002F0A03" w:rsidRPr="002F0A03" w:rsidRDefault="002F0A03" w:rsidP="002F0A03">
      <w:pPr>
        <w:numPr>
          <w:ilvl w:val="0"/>
          <w:numId w:val="180"/>
        </w:numPr>
        <w:spacing w:after="120" w:line="276" w:lineRule="auto"/>
        <w:ind w:left="714" w:hanging="357"/>
        <w:jc w:val="both"/>
        <w:rPr>
          <w:rFonts w:ascii="Arial" w:eastAsia="Times New Roman" w:hAnsi="Arial" w:cs="Arial"/>
          <w:color w:val="000000"/>
          <w:sz w:val="21"/>
          <w:szCs w:val="21"/>
        </w:rPr>
      </w:pPr>
      <w:r w:rsidRPr="002F0A03">
        <w:rPr>
          <w:rFonts w:ascii="Arial" w:eastAsia="Times New Roman" w:hAnsi="Arial" w:cs="Arial"/>
          <w:color w:val="000000"/>
          <w:sz w:val="21"/>
          <w:szCs w:val="21"/>
        </w:rPr>
        <w:t>L'Institut Valencià de Cultura va superar el límit temporal, establit en sis mesos, per a la convocatòria pública dels llocs de lliure designació ocupats provisionalment.</w:t>
      </w:r>
    </w:p>
    <w:p w14:paraId="11D64CA3" w14:textId="77777777" w:rsidR="002F0A03" w:rsidRPr="002F0A03" w:rsidRDefault="002F0A03" w:rsidP="002F0A03">
      <w:pPr>
        <w:numPr>
          <w:ilvl w:val="0"/>
          <w:numId w:val="180"/>
        </w:numPr>
        <w:spacing w:after="120" w:line="276" w:lineRule="auto"/>
        <w:ind w:left="714" w:hanging="357"/>
        <w:jc w:val="both"/>
        <w:rPr>
          <w:rFonts w:ascii="Arial" w:eastAsia="Times New Roman" w:hAnsi="Arial" w:cs="Arial"/>
          <w:color w:val="000000"/>
          <w:sz w:val="21"/>
          <w:szCs w:val="21"/>
        </w:rPr>
      </w:pPr>
      <w:r w:rsidRPr="002F0A03">
        <w:rPr>
          <w:rFonts w:ascii="Arial" w:eastAsia="Times New Roman" w:hAnsi="Arial" w:cs="Arial"/>
          <w:color w:val="000000"/>
          <w:sz w:val="21"/>
          <w:szCs w:val="21"/>
        </w:rPr>
        <w:t>El canvi d'adscripció dels llocs no va ser acordat per l'òrgan competent, li corresponia al Consell de Direcció de l'IVC, segons el que establix l'article 8.2 f) del Decret 5/2013, i no al director general, vici invalidant que va ser convalidat per l'acord del Consell de Direcció de 10 de maig de 2019.</w:t>
      </w:r>
    </w:p>
    <w:p w14:paraId="6546B4AC" w14:textId="77777777" w:rsidR="002F0A03" w:rsidRPr="002F0A03" w:rsidRDefault="002F0A03" w:rsidP="002F0A03">
      <w:pPr>
        <w:numPr>
          <w:ilvl w:val="0"/>
          <w:numId w:val="180"/>
        </w:numPr>
        <w:spacing w:after="120" w:line="276" w:lineRule="auto"/>
        <w:ind w:left="714" w:hanging="357"/>
        <w:jc w:val="both"/>
        <w:rPr>
          <w:rFonts w:ascii="Arial" w:eastAsia="Times New Roman" w:hAnsi="Arial" w:cs="Arial"/>
          <w:color w:val="000000"/>
          <w:sz w:val="21"/>
          <w:szCs w:val="21"/>
        </w:rPr>
      </w:pPr>
      <w:r w:rsidRPr="002F0A03">
        <w:rPr>
          <w:rFonts w:ascii="Arial" w:eastAsia="Times New Roman" w:hAnsi="Arial" w:cs="Arial"/>
          <w:color w:val="000000"/>
          <w:sz w:val="21"/>
          <w:szCs w:val="21"/>
        </w:rPr>
        <w:t>El canvi d'adscripció dels llocs no va comptar amb l'adequada i suficient motivació fonamentada en l'interés general.</w:t>
      </w:r>
    </w:p>
    <w:p w14:paraId="648E11CF" w14:textId="77777777" w:rsidR="002F0A03" w:rsidRPr="002F0A03" w:rsidRDefault="002F0A03" w:rsidP="002F0A03">
      <w:pPr>
        <w:numPr>
          <w:ilvl w:val="0"/>
          <w:numId w:val="180"/>
        </w:numPr>
        <w:spacing w:after="120" w:line="276" w:lineRule="auto"/>
        <w:ind w:left="714" w:hanging="357"/>
        <w:jc w:val="both"/>
        <w:rPr>
          <w:rFonts w:ascii="Arial" w:eastAsia="Times New Roman" w:hAnsi="Arial" w:cs="Arial"/>
          <w:color w:val="000000"/>
          <w:sz w:val="21"/>
          <w:szCs w:val="21"/>
        </w:rPr>
      </w:pPr>
      <w:r w:rsidRPr="002F0A03">
        <w:rPr>
          <w:rFonts w:ascii="Arial" w:eastAsia="Times New Roman" w:hAnsi="Arial" w:cs="Arial"/>
          <w:color w:val="000000"/>
          <w:sz w:val="21"/>
          <w:szCs w:val="21"/>
        </w:rPr>
        <w:t>La proposta d'adscripció del lloc n.º 11 de l'IVC al nou Institut Valencià de Conservació Restauració i Investigació (IVCR+I), no va comptar amb la suficient motivació i argumentació acreditativa respecte a les funcions relacionades amb la conservació i restauració.</w:t>
      </w:r>
    </w:p>
    <w:p w14:paraId="394E1E8C" w14:textId="77777777" w:rsidR="002F0A03" w:rsidRPr="002F0A03" w:rsidRDefault="002F0A03" w:rsidP="002F0A03">
      <w:pPr>
        <w:numPr>
          <w:ilvl w:val="0"/>
          <w:numId w:val="180"/>
        </w:num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Segons la informació facilitada per l'IVC, els llocs transferits a l'IVCR+I van ser 32 llocs i, no obstant això, segons la documentació remesa per l'IVCR+I, els llocs transferits van ser 33.</w:t>
      </w:r>
    </w:p>
    <w:p w14:paraId="04F6AD5D"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Es va recomanar instruir l'oportú expedient amb vista a determinar l'exigència de responsabilitat que corresponga. Addicionalment, la direcció de l'IVC haurà d'establir les directrius i Instruccions internes que garantisquen que les convocatòries públiques de llocs de la RPT ocupats provisionalment es tramiten respectant els terminis legals, sense que els dits nomenaments provisionals puguen excedir els terminis màxims previstos en la normativa d'aplicació. I es reitera el requeriment efectuat per la Inspecció General de Servicis, no atés per l'IVC, en relació amb la insuficient motivació i argumentació de les funcions del lloc núm.11, relacionades amb la conservació i restauració que va servir de base per a proposar l'adscripció del mencionat lloc de l'Institut Valencià de Cultura (IVC) a l'Institut Valencià de Conservació, Restauració i Investigació (IVCR+I).</w:t>
      </w:r>
    </w:p>
    <w:p w14:paraId="06E04815" w14:textId="77777777" w:rsidR="002F0A03" w:rsidRPr="002F0A03" w:rsidRDefault="002F0A03" w:rsidP="002F0A03">
      <w:pPr>
        <w:pStyle w:val="Prrafodelista"/>
        <w:keepNext/>
        <w:numPr>
          <w:ilvl w:val="1"/>
          <w:numId w:val="19"/>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349" w:name="_Toc95672336"/>
      <w:bookmarkStart w:id="350" w:name="_Toc95913919"/>
      <w:bookmarkStart w:id="351" w:name="_Toc99110802"/>
      <w:r w:rsidRPr="002F0A03">
        <w:rPr>
          <w:rFonts w:ascii="Arial" w:eastAsia="Times New Roman" w:hAnsi="Arial" w:cs="Arial"/>
          <w:b/>
          <w:color w:val="9D2235"/>
          <w:sz w:val="32"/>
          <w:szCs w:val="32"/>
        </w:rPr>
        <w:t>Col·laboració amb altres institucion</w:t>
      </w:r>
      <w:bookmarkEnd w:id="349"/>
      <w:bookmarkEnd w:id="350"/>
      <w:r w:rsidRPr="002F0A03">
        <w:rPr>
          <w:rFonts w:ascii="Arial" w:eastAsia="Times New Roman" w:hAnsi="Arial" w:cs="Arial"/>
          <w:b/>
          <w:color w:val="9D2235"/>
          <w:sz w:val="32"/>
          <w:szCs w:val="32"/>
        </w:rPr>
        <w:t>s</w:t>
      </w:r>
      <w:bookmarkEnd w:id="351"/>
    </w:p>
    <w:p w14:paraId="653A0F44" w14:textId="794C860A"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S'entén en tot cas que les funcions de l'Agència ho són, sense perjuí de les què </w:t>
      </w:r>
      <w:r w:rsidR="002E168D" w:rsidRPr="002E168D">
        <w:rPr>
          <w:rFonts w:ascii="Arial" w:eastAsia="Times New Roman" w:hAnsi="Arial" w:cs="Arial"/>
          <w:color w:val="000000"/>
          <w:sz w:val="21"/>
          <w:szCs w:val="21"/>
        </w:rPr>
        <w:t>exerceixen</w:t>
      </w:r>
      <w:r w:rsidRPr="002F0A03">
        <w:rPr>
          <w:rFonts w:ascii="Arial" w:eastAsia="Times New Roman" w:hAnsi="Arial" w:cs="Arial"/>
          <w:color w:val="000000"/>
          <w:sz w:val="21"/>
          <w:szCs w:val="21"/>
        </w:rPr>
        <w:t>, d'acord amb la normativa reguladora específica, la Sindicatura de Comptes, el Síndic de Greuges, el Consell de Transparència, Accés a la Informació Pública i Bon Govern, la Intervenció General de la Generalitat, la Inspecció General de Servicis, els òrgans competents en matèria d'incompatibilitats i conflictes d'interessos i els òrgans de control, supervisió i protectorat de les entitats incloses en l'àmbit d'actuació corresponent, i que actua en tot cas en col·laboració amb estes institucions i òrgans. L'Agència aportarà tota la informació que dispose i proporcionarà el suport necessari a la institució o òrgan que duga a terme la investigació o fiscalització corresponent.</w:t>
      </w:r>
    </w:p>
    <w:p w14:paraId="7F688209"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En compliment de les seues tasques, l'Agència podrà proporcionar la col·laboració, l'assistència i l'intercanvi d'informació amb altres institucions, òrgans o entitats públiques per mitjà de plans i programes conjunts, convenis i protocols de col·laboració funcional, en el marc de la normativa aplicable.</w:t>
      </w:r>
    </w:p>
    <w:p w14:paraId="67518768"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L'Agència no té competències en les funcions i matèries que corresponen a l'autoritat judicial, el ministeri fiscal i la policia judicial, ni pot investigar els mateixos fets que han sigut objecte de les seues investigacions. En el cas que l'autoritat judicial o el ministeri fiscal inicien un procediment per a determinar el relleu penal d'uns fets, que constituïxen al mateix temps l'objecte d'actuacions d'investigació de l'Agència, esta haurà d'</w:t>
      </w:r>
      <w:r w:rsidRPr="002F0A03">
        <w:rPr>
          <w:rFonts w:ascii="Arial" w:eastAsia="Times New Roman" w:hAnsi="Arial" w:cs="Arial"/>
          <w:b/>
          <w:bCs/>
          <w:color w:val="000000"/>
          <w:sz w:val="21"/>
          <w:szCs w:val="21"/>
        </w:rPr>
        <w:t>interrompre</w:t>
      </w:r>
      <w:r w:rsidRPr="002F0A03">
        <w:rPr>
          <w:rFonts w:ascii="Arial" w:eastAsia="Times New Roman" w:hAnsi="Arial" w:cs="Arial"/>
          <w:color w:val="000000"/>
          <w:sz w:val="21"/>
          <w:szCs w:val="21"/>
        </w:rPr>
        <w:t xml:space="preserve"> les seues actuacions i aportar immediatament tota la informació de què disposa, a més de proporcionar el suport necessari, sent un òrgan de </w:t>
      </w:r>
      <w:r w:rsidRPr="002F0A03">
        <w:rPr>
          <w:rFonts w:ascii="Arial" w:eastAsia="Times New Roman" w:hAnsi="Arial" w:cs="Arial"/>
          <w:b/>
          <w:bCs/>
          <w:color w:val="000000"/>
          <w:sz w:val="21"/>
          <w:szCs w:val="21"/>
        </w:rPr>
        <w:t>suport i col·laboració</w:t>
      </w:r>
      <w:r w:rsidRPr="002F0A03">
        <w:rPr>
          <w:rFonts w:ascii="Arial" w:eastAsia="Times New Roman" w:hAnsi="Arial" w:cs="Arial"/>
          <w:color w:val="000000"/>
          <w:sz w:val="21"/>
          <w:szCs w:val="21"/>
        </w:rPr>
        <w:t xml:space="preserve"> amb l'autoritat judicial i el ministeri fiscal quan siga requerida. L'Agència sol·licitarà a la fiscalia informació periòdica respecte del tràmit en què es troben les actuacions iniciades a instància seua.</w:t>
      </w:r>
    </w:p>
    <w:p w14:paraId="3DC48F9A"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Dins d'este entorn competencial, un dels àmbits de l'actuació principals de l'Agència, ho constituïx la seua col·laboració amb la fiscalia i amb autoritats judicials en les actuacions que estes desenrotllen en l'àmbit de la investigació criminal. Per a això, la intervenció de l'Agència es realitza a l'empara del que disposa l'article 5 de la Llei 11/2016, de 28 de novembre, de la Generalitat, de l'Agència de Prevenció i Lluita contra el Frau i la Corrupció de la Comunitat Valenciana, que preveu que la mateixa </w:t>
      </w:r>
      <w:r w:rsidRPr="002F0A03">
        <w:rPr>
          <w:rFonts w:ascii="Arial" w:eastAsia="Times New Roman" w:hAnsi="Arial" w:cs="Arial"/>
          <w:b/>
          <w:bCs/>
          <w:color w:val="000000"/>
          <w:sz w:val="21"/>
          <w:szCs w:val="21"/>
        </w:rPr>
        <w:t>puga proporcionar el suport necessari a l'autoritat judicial i al Ministeri Fiscal, sent un òrgan de suport i col·laboració quan siga requerida.</w:t>
      </w:r>
    </w:p>
    <w:p w14:paraId="38C5D339"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En el dit sentit, el Reglament de funcionament i règim interior de l'Agència de 27 de juny de 2019 (DOCV núm. 8582, de 02.07.2019) establix en l'article 10, apartat 3, que “en el context de la realització de diligències d'investigació penal, instrucció de causes i celebració de juís, relacionats amb les funcions de l'Agència i el seu àmbit d'actuació, esta podrà col·laborar amb el Ministeri Fiscal, els Jutjats i els Tribunals, quan així es requerisca, per mitjà de </w:t>
      </w:r>
      <w:r w:rsidRPr="002F0A03">
        <w:rPr>
          <w:rFonts w:ascii="Arial" w:eastAsia="Times New Roman" w:hAnsi="Arial" w:cs="Arial"/>
          <w:b/>
          <w:bCs/>
          <w:color w:val="000000"/>
          <w:sz w:val="21"/>
          <w:szCs w:val="21"/>
        </w:rPr>
        <w:t>l'assistència tècnica i emissió d'informes pericials per personal funcionari al seu servici, especialitzat en matèria juridicoadministrativa, econòmica, comptable i de control administratiu, i amb coneixement profund de les administracions i el seu sector públic i els procediments administratius”</w:t>
      </w:r>
      <w:r w:rsidRPr="002F0A03">
        <w:rPr>
          <w:rFonts w:ascii="Arial" w:eastAsia="Times New Roman" w:hAnsi="Arial" w:cs="Arial"/>
          <w:color w:val="000000"/>
          <w:sz w:val="21"/>
          <w:szCs w:val="21"/>
        </w:rPr>
        <w:t>.</w:t>
      </w:r>
    </w:p>
    <w:p w14:paraId="1845081A"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En compliment de l'esmentada previsió normativa, han sigut elaborats informes pericials requerits per distints òrgans jurisdiccionals i per la fiscalia, conclosos i entregats en els exercicis 2020 i 2021. </w:t>
      </w:r>
    </w:p>
    <w:p w14:paraId="2B54917B"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D'esta manera, l'Agència, fins a la data, </w:t>
      </w:r>
      <w:r w:rsidRPr="002F0A03">
        <w:rPr>
          <w:rFonts w:ascii="Arial" w:eastAsia="Times New Roman" w:hAnsi="Arial" w:cs="Arial"/>
          <w:b/>
          <w:bCs/>
          <w:color w:val="000000"/>
          <w:sz w:val="21"/>
          <w:szCs w:val="21"/>
        </w:rPr>
        <w:t>ha acceptat la seua designació com a pèrit judicial en 12 procediments judicials: 7 d'ells en l'anualitat 2020 i els 5 restants en l'anualitat 2021</w:t>
      </w:r>
      <w:r w:rsidRPr="002F0A03">
        <w:rPr>
          <w:rFonts w:ascii="Arial" w:eastAsia="Times New Roman" w:hAnsi="Arial" w:cs="Arial"/>
          <w:color w:val="000000"/>
          <w:sz w:val="21"/>
          <w:szCs w:val="21"/>
        </w:rPr>
        <w:t>.</w:t>
      </w:r>
    </w:p>
    <w:p w14:paraId="665DF2D3"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Els citats informes-dictàmens es van sol·licitar en set ocasions per Jutjats d'Instrucció de València; en una, per un Jutjat d'Instrucció de Castelló; una altra, per un Jutjat d'Instrucció d'Elx; en una altra, per un Jutjat d'Instrucció d'Orihuela; en una altra, per un Jutjat de Primera Instància i Instrucció de Sagunt; i finalment també en una altra ocasió per la Fiscalia Provincial de València, Secció de Delictes Econòmics.</w:t>
      </w:r>
    </w:p>
    <w:p w14:paraId="3D396C02" w14:textId="77777777" w:rsidR="002F0A03" w:rsidRPr="002F0A03" w:rsidRDefault="002F0A03" w:rsidP="002F0A03">
      <w:pPr>
        <w:spacing w:after="240" w:line="276" w:lineRule="auto"/>
        <w:jc w:val="both"/>
        <w:rPr>
          <w:rFonts w:ascii="Arial" w:eastAsia="Times New Roman" w:hAnsi="Arial" w:cs="Arial"/>
          <w:color w:val="000000"/>
          <w:sz w:val="21"/>
          <w:szCs w:val="21"/>
        </w:rPr>
      </w:pPr>
      <w:r w:rsidRPr="002F0A03">
        <w:rPr>
          <w:rFonts w:ascii="Arial" w:eastAsia="Times New Roman" w:hAnsi="Arial" w:cs="Arial"/>
          <w:color w:val="000000"/>
          <w:sz w:val="21"/>
          <w:szCs w:val="21"/>
        </w:rPr>
        <w:t xml:space="preserve">Durant l'any 2021 s'han entregat els cinc dictàmens pericials encomanats, finalitzant l'exercici sense que cap informe pericial sol·licitat pels òrgans judicial estiga pendent d'emissió ni de remissió als mateixos. </w:t>
      </w:r>
    </w:p>
    <w:p w14:paraId="5EF15D05" w14:textId="77777777" w:rsidR="002F0A03" w:rsidRPr="002F0A03" w:rsidRDefault="002F0A03" w:rsidP="002F0A03">
      <w:pPr>
        <w:spacing w:after="240" w:line="276" w:lineRule="auto"/>
        <w:jc w:val="both"/>
        <w:rPr>
          <w:rFonts w:ascii="Arial" w:eastAsia="Times New Roman" w:hAnsi="Arial" w:cs="Arial"/>
          <w:color w:val="000000"/>
          <w:sz w:val="21"/>
          <w:szCs w:val="21"/>
          <w:lang w:val="ca-ES"/>
        </w:rPr>
      </w:pPr>
      <w:r w:rsidRPr="002F0A03">
        <w:rPr>
          <w:rFonts w:ascii="Arial" w:eastAsia="Times New Roman" w:hAnsi="Arial" w:cs="Arial"/>
          <w:color w:val="000000"/>
          <w:sz w:val="21"/>
          <w:szCs w:val="21"/>
        </w:rPr>
        <w:t>Dels dotze informes pericials emesos fins al moment, dos d'ells s'han ratificat en fase d'instrucció, havent-se sotmès els funcionaris d'esta Agència que actuen com a pèrits a les preguntes i aclariments sol·licitats per les parts en el procés, i l'autoritat judicial</w:t>
      </w:r>
      <w:r w:rsidRPr="002F0A03">
        <w:rPr>
          <w:rFonts w:ascii="Arial" w:eastAsia="Times New Roman" w:hAnsi="Arial" w:cs="Arial"/>
          <w:color w:val="000000"/>
          <w:sz w:val="21"/>
          <w:szCs w:val="21"/>
          <w:lang w:val="ca-ES"/>
        </w:rPr>
        <w:t>.</w:t>
      </w:r>
    </w:p>
    <w:p w14:paraId="7C586BDB" w14:textId="77777777" w:rsidR="002E168D" w:rsidRPr="002E168D" w:rsidRDefault="002E168D" w:rsidP="002E168D">
      <w:pPr>
        <w:pStyle w:val="Prrafodelista"/>
        <w:keepNext/>
        <w:numPr>
          <w:ilvl w:val="1"/>
          <w:numId w:val="19"/>
        </w:numPr>
        <w:suppressAutoHyphens/>
        <w:spacing w:before="360" w:after="240" w:line="276" w:lineRule="auto"/>
        <w:ind w:left="851" w:hanging="851"/>
        <w:jc w:val="both"/>
        <w:outlineLvl w:val="1"/>
        <w:rPr>
          <w:rFonts w:ascii="Arial" w:eastAsia="Times New Roman" w:hAnsi="Arial" w:cs="Arial"/>
          <w:b/>
          <w:color w:val="9D2235"/>
          <w:sz w:val="32"/>
          <w:szCs w:val="32"/>
        </w:rPr>
      </w:pPr>
      <w:bookmarkStart w:id="352" w:name="_Toc95672337"/>
      <w:bookmarkStart w:id="353" w:name="_Toc95913920"/>
      <w:bookmarkStart w:id="354" w:name="_Toc99110803"/>
      <w:r w:rsidRPr="002E168D">
        <w:rPr>
          <w:rFonts w:ascii="Arial" w:eastAsia="Times New Roman" w:hAnsi="Arial" w:cs="Arial"/>
          <w:b/>
          <w:color w:val="9D2235"/>
          <w:sz w:val="32"/>
          <w:szCs w:val="32"/>
        </w:rPr>
        <w:t>Sistemes d’informació</w:t>
      </w:r>
      <w:bookmarkEnd w:id="352"/>
      <w:bookmarkEnd w:id="353"/>
      <w:bookmarkEnd w:id="354"/>
    </w:p>
    <w:p w14:paraId="672E9F3A" w14:textId="77777777" w:rsidR="002E168D" w:rsidRPr="002E168D" w:rsidRDefault="002E168D" w:rsidP="002E168D">
      <w:pPr>
        <w:spacing w:after="240" w:line="276" w:lineRule="auto"/>
        <w:jc w:val="both"/>
        <w:rPr>
          <w:rFonts w:ascii="Arial" w:eastAsia="Times New Roman" w:hAnsi="Arial" w:cs="Arial"/>
          <w:color w:val="000000"/>
          <w:sz w:val="21"/>
          <w:szCs w:val="21"/>
        </w:rPr>
      </w:pPr>
      <w:r w:rsidRPr="002E168D">
        <w:rPr>
          <w:rFonts w:ascii="Arial" w:eastAsia="Times New Roman" w:hAnsi="Arial" w:cs="Arial"/>
          <w:color w:val="000000"/>
          <w:sz w:val="21"/>
          <w:szCs w:val="21"/>
        </w:rPr>
        <w:t>Després de les tres onades de COVID patides en l'exercici 2021, la consolidació del teletreball i la pràctica inexistència d'incidències d'accés durant este temps ha posat de manifest la robustesa, integritat i seguretat de la Xarxa Privada Virtual desplegada en l'Agència. L'accés a la xarxa de l'Agència en mobilitat, per mitjà de mecanismes d'autenticació i confidencialitat segurs, ha facilitat les tasques de les diferents Direccions i ha permés la continuïtat del treball, independentment de la ubicació física dels seus usuaris, aconseguint així una plena independència del lloc i de l'horari de treball.</w:t>
      </w:r>
    </w:p>
    <w:p w14:paraId="029F58DA" w14:textId="77777777" w:rsidR="002E168D" w:rsidRPr="002E168D" w:rsidRDefault="002E168D" w:rsidP="002E168D">
      <w:pPr>
        <w:spacing w:after="240" w:line="276" w:lineRule="auto"/>
        <w:jc w:val="both"/>
        <w:rPr>
          <w:rFonts w:ascii="Arial" w:eastAsia="Times New Roman" w:hAnsi="Arial" w:cs="Arial"/>
          <w:color w:val="000000"/>
          <w:sz w:val="21"/>
          <w:szCs w:val="21"/>
        </w:rPr>
      </w:pPr>
      <w:r w:rsidRPr="002E168D">
        <w:rPr>
          <w:rFonts w:ascii="Arial" w:eastAsia="Times New Roman" w:hAnsi="Arial" w:cs="Arial"/>
          <w:color w:val="000000"/>
          <w:sz w:val="21"/>
          <w:szCs w:val="21"/>
        </w:rPr>
        <w:t>Durant 2021, s'ha aconseguit un percentatge de disponibilitat dels servicis online prestats per l'Agència superior al 99%. Concretament, la Bústia de denúncies, amb un 99,57%, ha sigut el servici que més temps ha romàs actiu. Després d'ell, la seu electrònica amb un 99,43%, i la web amb un 99,12%, han permés l'accés als servicis externs de l'Agència sense cap discontinuïtat en els servicis.</w:t>
      </w:r>
    </w:p>
    <w:p w14:paraId="36206270" w14:textId="77777777" w:rsidR="002E168D" w:rsidRPr="002E168D" w:rsidRDefault="002E168D" w:rsidP="002E168D">
      <w:pPr>
        <w:spacing w:after="240" w:line="276" w:lineRule="auto"/>
        <w:jc w:val="both"/>
        <w:rPr>
          <w:rFonts w:ascii="Arial" w:eastAsia="Times New Roman" w:hAnsi="Arial" w:cs="Arial"/>
          <w:color w:val="000000"/>
          <w:sz w:val="21"/>
          <w:szCs w:val="21"/>
        </w:rPr>
      </w:pPr>
      <w:r w:rsidRPr="002E168D">
        <w:rPr>
          <w:rFonts w:ascii="Arial" w:eastAsia="Times New Roman" w:hAnsi="Arial" w:cs="Arial"/>
          <w:color w:val="000000"/>
          <w:sz w:val="21"/>
          <w:szCs w:val="21"/>
        </w:rPr>
        <w:t>Amb l’objecte de garantir i mantindre els nivells de seguretat requerits per l’activitat de l’Agència, s’ha realitzat la renovació dels llicències d’antivirus i de còpies de seguretat amb què fer front a qualsevol incident que poguera ocasionar una pèrdua o deteriorament de les dades, d’acord amb els Punts i Temps de Recuperació Objectiu adequats als actius que és protegixen.</w:t>
      </w:r>
    </w:p>
    <w:p w14:paraId="136D21DC" w14:textId="77777777" w:rsidR="002E168D" w:rsidRPr="002E168D" w:rsidRDefault="002E168D" w:rsidP="002E168D">
      <w:pPr>
        <w:spacing w:after="240" w:line="276" w:lineRule="auto"/>
        <w:jc w:val="both"/>
        <w:rPr>
          <w:rFonts w:ascii="Arial" w:eastAsia="Times New Roman" w:hAnsi="Arial" w:cs="Arial"/>
          <w:color w:val="000000"/>
          <w:sz w:val="21"/>
          <w:szCs w:val="21"/>
        </w:rPr>
      </w:pPr>
      <w:r w:rsidRPr="002E168D">
        <w:rPr>
          <w:rFonts w:ascii="Arial" w:eastAsia="Times New Roman" w:hAnsi="Arial" w:cs="Arial"/>
          <w:color w:val="000000"/>
          <w:sz w:val="21"/>
          <w:szCs w:val="21"/>
        </w:rPr>
        <w:t xml:space="preserve">En relació amb la seguretat perimetral, </w:t>
      </w:r>
      <w:r w:rsidRPr="002E168D">
        <w:rPr>
          <w:rFonts w:ascii="Arial" w:eastAsia="Times New Roman" w:hAnsi="Arial" w:cs="Arial"/>
          <w:b/>
          <w:bCs/>
          <w:color w:val="000000"/>
          <w:sz w:val="21"/>
          <w:szCs w:val="21"/>
        </w:rPr>
        <w:t>durant l'exercici 2021, es van detectar i van bloquejar un total de 6.123 intents d'intrusió i d'activitats malicioses</w:t>
      </w:r>
      <w:r w:rsidRPr="002E168D">
        <w:rPr>
          <w:rFonts w:ascii="Arial" w:eastAsia="Times New Roman" w:hAnsi="Arial" w:cs="Arial"/>
          <w:color w:val="000000"/>
          <w:sz w:val="21"/>
          <w:szCs w:val="21"/>
        </w:rPr>
        <w:t xml:space="preserve"> dirigides contra els Sistemes d'Informació de l'Agència. </w:t>
      </w:r>
      <w:r w:rsidRPr="002E168D">
        <w:rPr>
          <w:rFonts w:ascii="Arial" w:eastAsia="Times New Roman" w:hAnsi="Arial" w:cs="Arial"/>
          <w:b/>
          <w:bCs/>
          <w:color w:val="000000"/>
          <w:sz w:val="21"/>
          <w:szCs w:val="21"/>
        </w:rPr>
        <w:t>També, van ser bloquejats fins a 784 intents de connexió per mitjà de “botnets” o xarxes de computadores segrestades</w:t>
      </w:r>
      <w:r w:rsidRPr="002E168D">
        <w:rPr>
          <w:rFonts w:ascii="Arial" w:eastAsia="Times New Roman" w:hAnsi="Arial" w:cs="Arial"/>
          <w:color w:val="000000"/>
          <w:sz w:val="21"/>
          <w:szCs w:val="21"/>
        </w:rPr>
        <w:t>. A nivell d'alertes generades per l'antivirus, s'han comptabilitzat un total de 537 deteccions, relacionades majoritàriament amb la presència de components de risc en pàgines web (malware, cookies).</w:t>
      </w:r>
    </w:p>
    <w:p w14:paraId="5CB89DC2" w14:textId="77777777" w:rsidR="002E168D" w:rsidRPr="002E168D" w:rsidRDefault="002E168D" w:rsidP="002E168D">
      <w:pPr>
        <w:spacing w:after="240" w:line="276" w:lineRule="auto"/>
        <w:jc w:val="both"/>
        <w:rPr>
          <w:rFonts w:ascii="Arial" w:eastAsia="Times New Roman" w:hAnsi="Arial" w:cs="Arial"/>
          <w:color w:val="000000"/>
          <w:sz w:val="21"/>
          <w:szCs w:val="21"/>
        </w:rPr>
      </w:pPr>
      <w:r w:rsidRPr="002E168D">
        <w:rPr>
          <w:rFonts w:ascii="Arial" w:eastAsia="Times New Roman" w:hAnsi="Arial" w:cs="Arial"/>
          <w:color w:val="000000"/>
          <w:sz w:val="21"/>
          <w:szCs w:val="21"/>
        </w:rPr>
        <w:t xml:space="preserve">D'altra banda, a la recerca d'una millora en el pla de continuïtat dels sistemes i una millor eficiència en el seu funcionament, s'han realitzat modificacions en l'àmbit de la Virtualització, optimitzant els temps de resposta davant d'incidents per mitjà de la monitorització contínua de l'estat dels servidors físics, màquines virtuals i altres paràmetres de la xarxa. </w:t>
      </w:r>
    </w:p>
    <w:p w14:paraId="3188F518" w14:textId="77777777" w:rsidR="002E168D" w:rsidRPr="002E168D" w:rsidRDefault="002E168D" w:rsidP="002E168D">
      <w:pPr>
        <w:spacing w:after="240" w:line="276" w:lineRule="auto"/>
        <w:jc w:val="both"/>
        <w:rPr>
          <w:rFonts w:ascii="Arial" w:eastAsia="Times New Roman" w:hAnsi="Arial" w:cs="Arial"/>
          <w:color w:val="000000"/>
          <w:sz w:val="21"/>
          <w:szCs w:val="21"/>
        </w:rPr>
      </w:pPr>
      <w:r w:rsidRPr="002E168D">
        <w:rPr>
          <w:rFonts w:ascii="Arial" w:eastAsia="Times New Roman" w:hAnsi="Arial" w:cs="Arial"/>
          <w:color w:val="000000"/>
          <w:sz w:val="21"/>
          <w:szCs w:val="21"/>
        </w:rPr>
        <w:t>A nivell de comunicacions, després de la finalització de l'Acord Marc CESSTIC, l'Agència va licitar els seus servicis de veu i dades en mobilitat, realitzant la portabilitat de totes les seues línies i adequant el número i tipus d'estes a les necessitats actuals, obtenint una millor eficiència tècnica i econòmica en este apartat.</w:t>
      </w:r>
    </w:p>
    <w:p w14:paraId="6E2F567C" w14:textId="77777777" w:rsidR="002E168D" w:rsidRPr="002E168D" w:rsidRDefault="002E168D" w:rsidP="002E168D">
      <w:pPr>
        <w:spacing w:after="240" w:line="276" w:lineRule="auto"/>
        <w:jc w:val="both"/>
        <w:rPr>
          <w:rFonts w:ascii="Arial" w:eastAsia="Times New Roman" w:hAnsi="Arial" w:cs="Arial"/>
          <w:color w:val="000000"/>
          <w:sz w:val="21"/>
          <w:szCs w:val="21"/>
        </w:rPr>
      </w:pPr>
      <w:r w:rsidRPr="002E168D">
        <w:rPr>
          <w:rFonts w:ascii="Arial" w:eastAsia="Times New Roman" w:hAnsi="Arial" w:cs="Arial"/>
          <w:color w:val="000000"/>
          <w:sz w:val="21"/>
          <w:szCs w:val="21"/>
        </w:rPr>
        <w:t>L'electrònica de xarxa de la seu de l'Agència ha sigut objecte de la seua revisió, actualització a últimes versions i ampliació per a dotar de nous llocs físics de treball. De la mateixa manera, s'ha renovat el seu suport i manteniment per a disposar de les últimes versions que solucionen totes les possibles bretxes de seguretat o de funcionament i complir amb això amb les obligacions establides per l'Esquema Nacional de Seguretat.</w:t>
      </w:r>
    </w:p>
    <w:p w14:paraId="2915B8CD" w14:textId="77777777" w:rsidR="002E168D" w:rsidRPr="002E168D" w:rsidRDefault="002E168D" w:rsidP="002E168D">
      <w:pPr>
        <w:spacing w:after="240" w:line="276" w:lineRule="auto"/>
        <w:jc w:val="both"/>
        <w:rPr>
          <w:rFonts w:ascii="Arial" w:eastAsia="Times New Roman" w:hAnsi="Arial" w:cs="Arial"/>
          <w:color w:val="000000"/>
          <w:sz w:val="21"/>
          <w:szCs w:val="21"/>
        </w:rPr>
      </w:pPr>
      <w:r w:rsidRPr="002E168D">
        <w:rPr>
          <w:rFonts w:ascii="Arial" w:eastAsia="Times New Roman" w:hAnsi="Arial" w:cs="Arial"/>
          <w:color w:val="000000"/>
          <w:sz w:val="21"/>
          <w:szCs w:val="21"/>
        </w:rPr>
        <w:t>A nivell intern, s'ha prestat col·laboració en operatius i investigacions de la Direcció d'Anàlisi i Investigació, per mitjà de l'emissió d'informes tècnics, i també participant en l'arreplegada de documentació, així com en la resolució d'altres incidències menors realitzades per la resta del personal de l'Agència en el Gestor de Peticions, on es van registrar un total de 198 tiquets de suport. En relació amb l'Administració electrònica, fins a un total d'11 nous procediments han sigut incorporats al catàleg de tipologies disponible en l'Agència, destacant els relacionats amb “expedients sancionadors” i “assessorament a denunciants”.</w:t>
      </w:r>
    </w:p>
    <w:p w14:paraId="415F5DB9" w14:textId="77777777" w:rsidR="002E168D" w:rsidRPr="002E168D" w:rsidRDefault="002E168D" w:rsidP="00CC66E2">
      <w:pPr>
        <w:spacing w:after="360" w:line="276" w:lineRule="auto"/>
        <w:jc w:val="both"/>
        <w:rPr>
          <w:rFonts w:ascii="Arial" w:eastAsia="Times New Roman" w:hAnsi="Arial" w:cs="Arial"/>
          <w:color w:val="000000"/>
          <w:sz w:val="21"/>
          <w:szCs w:val="21"/>
          <w:lang w:val="ca-ES"/>
        </w:rPr>
      </w:pPr>
      <w:r w:rsidRPr="002E168D">
        <w:rPr>
          <w:rFonts w:ascii="Arial" w:eastAsia="Times New Roman" w:hAnsi="Arial" w:cs="Arial"/>
          <w:color w:val="000000"/>
          <w:sz w:val="21"/>
          <w:szCs w:val="21"/>
        </w:rPr>
        <w:t>L'ús del registre electrònic a través de la seu ha continuat la seua consolidació, augmentant el nombre de registres respecte a anys anteriors, no sols a nivell electrònic sinó també de forma presencial</w:t>
      </w:r>
      <w:r w:rsidRPr="002E168D">
        <w:rPr>
          <w:rFonts w:ascii="Arial" w:eastAsia="Times New Roman" w:hAnsi="Arial" w:cs="Arial"/>
          <w:color w:val="000000"/>
          <w:sz w:val="21"/>
          <w:szCs w:val="21"/>
          <w:lang w:val="ca-ES"/>
        </w:rPr>
        <w:t>.</w:t>
      </w:r>
    </w:p>
    <w:p w14:paraId="75DF65ED" w14:textId="23EDF144" w:rsidR="002E168D" w:rsidRPr="002E168D" w:rsidRDefault="002E168D" w:rsidP="002E168D">
      <w:pPr>
        <w:pStyle w:val="Descripcin"/>
        <w:keepNext/>
        <w:jc w:val="center"/>
        <w:rPr>
          <w:rFonts w:ascii="Arial" w:hAnsi="Arial" w:cs="Arial"/>
          <w:smallCaps w:val="0"/>
          <w:sz w:val="18"/>
          <w:szCs w:val="18"/>
        </w:rPr>
      </w:pPr>
      <w:bookmarkStart w:id="355" w:name="_Toc99110863"/>
      <w:r w:rsidRPr="002E168D">
        <w:rPr>
          <w:rFonts w:ascii="Arial" w:hAnsi="Arial" w:cs="Arial"/>
          <w:smallCaps w:val="0"/>
          <w:color w:val="9D2235" w:themeColor="accent1"/>
          <w:sz w:val="18"/>
          <w:szCs w:val="18"/>
        </w:rPr>
        <w:t xml:space="preserve">Taula </w:t>
      </w:r>
      <w:r w:rsidRPr="002E168D">
        <w:rPr>
          <w:rFonts w:ascii="Arial" w:hAnsi="Arial" w:cs="Arial"/>
          <w:smallCaps w:val="0"/>
          <w:color w:val="9D2235" w:themeColor="accent1"/>
          <w:sz w:val="18"/>
          <w:szCs w:val="18"/>
        </w:rPr>
        <w:fldChar w:fldCharType="begin" w:fldLock="1"/>
      </w:r>
      <w:r w:rsidRPr="002E168D">
        <w:rPr>
          <w:rFonts w:ascii="Arial" w:hAnsi="Arial" w:cs="Arial"/>
          <w:smallCaps w:val="0"/>
          <w:color w:val="9D2235" w:themeColor="accent1"/>
          <w:sz w:val="18"/>
          <w:szCs w:val="18"/>
        </w:rPr>
        <w:instrText xml:space="preserve"> SEQ Taula \* ARABIC </w:instrText>
      </w:r>
      <w:r w:rsidRPr="002E168D">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18</w:t>
      </w:r>
      <w:r w:rsidRPr="002E168D">
        <w:rPr>
          <w:rFonts w:ascii="Arial" w:hAnsi="Arial" w:cs="Arial"/>
          <w:smallCaps w:val="0"/>
          <w:color w:val="9D2235" w:themeColor="accent1"/>
          <w:sz w:val="18"/>
          <w:szCs w:val="18"/>
        </w:rPr>
        <w:fldChar w:fldCharType="end"/>
      </w:r>
      <w:r w:rsidRPr="002E168D">
        <w:rPr>
          <w:rFonts w:ascii="Arial" w:hAnsi="Arial" w:cs="Arial"/>
          <w:smallCaps w:val="0"/>
          <w:sz w:val="18"/>
          <w:szCs w:val="18"/>
        </w:rPr>
        <w:t>. Quadre resum registres d'entrada AVAF</w:t>
      </w:r>
      <w:bookmarkEnd w:id="355"/>
    </w:p>
    <w:tbl>
      <w:tblPr>
        <w:tblStyle w:val="Tablaconcuadrcula42"/>
        <w:tblW w:w="0" w:type="auto"/>
        <w:jc w:val="center"/>
        <w:tblLayout w:type="fixed"/>
        <w:tblLook w:val="04A0" w:firstRow="1" w:lastRow="0" w:firstColumn="1" w:lastColumn="0" w:noHBand="0" w:noVBand="1"/>
      </w:tblPr>
      <w:tblGrid>
        <w:gridCol w:w="5103"/>
        <w:gridCol w:w="851"/>
        <w:gridCol w:w="851"/>
      </w:tblGrid>
      <w:tr w:rsidR="002E168D" w:rsidRPr="002E168D" w14:paraId="43F8D26B" w14:textId="77777777" w:rsidTr="00342917">
        <w:trPr>
          <w:jc w:val="center"/>
        </w:trPr>
        <w:tc>
          <w:tcPr>
            <w:tcW w:w="5103" w:type="dxa"/>
            <w:tcBorders>
              <w:top w:val="nil"/>
              <w:left w:val="nil"/>
              <w:bottom w:val="single" w:sz="4" w:space="0" w:color="auto"/>
              <w:right w:val="single" w:sz="4" w:space="0" w:color="auto"/>
            </w:tcBorders>
          </w:tcPr>
          <w:p w14:paraId="351059C0" w14:textId="77777777" w:rsidR="002E168D" w:rsidRPr="002E168D" w:rsidRDefault="002E168D" w:rsidP="002E168D">
            <w:pPr>
              <w:spacing w:line="276" w:lineRule="auto"/>
              <w:jc w:val="center"/>
              <w:rPr>
                <w:rFonts w:ascii="Arial" w:eastAsia="NSimSun" w:hAnsi="Arial" w:cs="Arial"/>
                <w:kern w:val="2"/>
                <w:sz w:val="18"/>
                <w:szCs w:val="18"/>
                <w:lang w:val="ca-ES" w:eastAsia="zh-CN" w:bidi="hi-IN"/>
              </w:rPr>
            </w:pPr>
          </w:p>
        </w:tc>
        <w:tc>
          <w:tcPr>
            <w:tcW w:w="851" w:type="dxa"/>
            <w:tcBorders>
              <w:left w:val="single" w:sz="4" w:space="0" w:color="auto"/>
            </w:tcBorders>
            <w:shd w:val="clear" w:color="auto" w:fill="E5DEDB"/>
          </w:tcPr>
          <w:p w14:paraId="4F4FF8B6" w14:textId="77777777" w:rsidR="002E168D" w:rsidRPr="002E168D" w:rsidRDefault="002E168D" w:rsidP="002E168D">
            <w:pPr>
              <w:spacing w:line="276" w:lineRule="auto"/>
              <w:jc w:val="center"/>
              <w:rPr>
                <w:rFonts w:ascii="Arial" w:eastAsia="NSimSun" w:hAnsi="Arial" w:cs="Arial"/>
                <w:b/>
                <w:bCs/>
                <w:kern w:val="2"/>
                <w:sz w:val="18"/>
                <w:szCs w:val="18"/>
                <w:lang w:val="ca-ES" w:eastAsia="zh-CN" w:bidi="hi-IN"/>
              </w:rPr>
            </w:pPr>
            <w:r w:rsidRPr="002E168D">
              <w:rPr>
                <w:rFonts w:ascii="Arial" w:eastAsia="NSimSun" w:hAnsi="Arial" w:cs="Arial"/>
                <w:b/>
                <w:bCs/>
                <w:kern w:val="2"/>
                <w:sz w:val="18"/>
                <w:szCs w:val="18"/>
                <w:lang w:val="ca-ES" w:eastAsia="zh-CN" w:bidi="hi-IN"/>
              </w:rPr>
              <w:t>2020</w:t>
            </w:r>
          </w:p>
        </w:tc>
        <w:tc>
          <w:tcPr>
            <w:tcW w:w="851" w:type="dxa"/>
            <w:shd w:val="clear" w:color="auto" w:fill="E5DEDB"/>
          </w:tcPr>
          <w:p w14:paraId="4A052F6A" w14:textId="77777777" w:rsidR="002E168D" w:rsidRPr="002E168D" w:rsidRDefault="002E168D" w:rsidP="002E168D">
            <w:pPr>
              <w:spacing w:line="276" w:lineRule="auto"/>
              <w:jc w:val="center"/>
              <w:rPr>
                <w:rFonts w:ascii="Arial" w:eastAsia="NSimSun" w:hAnsi="Arial" w:cs="Arial"/>
                <w:b/>
                <w:bCs/>
                <w:kern w:val="2"/>
                <w:sz w:val="18"/>
                <w:szCs w:val="18"/>
                <w:lang w:val="ca-ES" w:eastAsia="zh-CN" w:bidi="hi-IN"/>
              </w:rPr>
            </w:pPr>
            <w:r w:rsidRPr="002E168D">
              <w:rPr>
                <w:rFonts w:ascii="Arial" w:eastAsia="NSimSun" w:hAnsi="Arial" w:cs="Arial"/>
                <w:b/>
                <w:bCs/>
                <w:kern w:val="2"/>
                <w:sz w:val="18"/>
                <w:szCs w:val="18"/>
                <w:lang w:val="ca-ES" w:eastAsia="zh-CN" w:bidi="hi-IN"/>
              </w:rPr>
              <w:t>2021</w:t>
            </w:r>
          </w:p>
        </w:tc>
      </w:tr>
      <w:tr w:rsidR="002E168D" w:rsidRPr="002E168D" w14:paraId="3944E390" w14:textId="77777777" w:rsidTr="00342917">
        <w:trPr>
          <w:jc w:val="center"/>
        </w:trPr>
        <w:tc>
          <w:tcPr>
            <w:tcW w:w="5103" w:type="dxa"/>
            <w:tcBorders>
              <w:top w:val="single" w:sz="4" w:space="0" w:color="auto"/>
            </w:tcBorders>
          </w:tcPr>
          <w:p w14:paraId="3BAD35B4" w14:textId="77777777" w:rsidR="002E168D" w:rsidRPr="002E168D" w:rsidRDefault="002E168D" w:rsidP="002E168D">
            <w:pPr>
              <w:spacing w:line="276" w:lineRule="auto"/>
              <w:jc w:val="center"/>
              <w:rPr>
                <w:rFonts w:ascii="Arial" w:eastAsia="NSimSun" w:hAnsi="Arial" w:cs="Arial"/>
                <w:kern w:val="2"/>
                <w:sz w:val="18"/>
                <w:szCs w:val="18"/>
                <w:lang w:val="ca-ES" w:eastAsia="zh-CN" w:bidi="hi-IN"/>
              </w:rPr>
            </w:pPr>
            <w:r w:rsidRPr="002E168D">
              <w:rPr>
                <w:rFonts w:ascii="Arial" w:eastAsia="NSimSun" w:hAnsi="Arial" w:cs="Arial"/>
                <w:kern w:val="2"/>
                <w:sz w:val="18"/>
                <w:szCs w:val="18"/>
                <w:lang w:val="ca-ES" w:eastAsia="zh-CN" w:bidi="hi-IN"/>
              </w:rPr>
              <w:t>Registres d’entrada telemàtic a través de seu electrònica</w:t>
            </w:r>
          </w:p>
        </w:tc>
        <w:tc>
          <w:tcPr>
            <w:tcW w:w="851" w:type="dxa"/>
          </w:tcPr>
          <w:p w14:paraId="7EF20444" w14:textId="77777777" w:rsidR="002E168D" w:rsidRPr="002E168D" w:rsidRDefault="002E168D" w:rsidP="002E168D">
            <w:pPr>
              <w:spacing w:line="276" w:lineRule="auto"/>
              <w:jc w:val="center"/>
              <w:rPr>
                <w:rFonts w:ascii="Arial" w:eastAsia="NSimSun" w:hAnsi="Arial" w:cs="Arial"/>
                <w:kern w:val="2"/>
                <w:sz w:val="18"/>
                <w:szCs w:val="18"/>
                <w:lang w:val="ca-ES" w:eastAsia="zh-CN" w:bidi="hi-IN"/>
              </w:rPr>
            </w:pPr>
            <w:r w:rsidRPr="002E168D">
              <w:rPr>
                <w:rFonts w:ascii="Arial" w:eastAsia="NSimSun" w:hAnsi="Arial" w:cs="Arial"/>
                <w:kern w:val="2"/>
                <w:sz w:val="18"/>
                <w:szCs w:val="18"/>
                <w:lang w:val="ca-ES" w:eastAsia="zh-CN" w:bidi="hi-IN"/>
              </w:rPr>
              <w:t>634</w:t>
            </w:r>
          </w:p>
        </w:tc>
        <w:tc>
          <w:tcPr>
            <w:tcW w:w="851" w:type="dxa"/>
          </w:tcPr>
          <w:p w14:paraId="259AA8A7" w14:textId="77777777" w:rsidR="002E168D" w:rsidRPr="002E168D" w:rsidRDefault="002E168D" w:rsidP="002E168D">
            <w:pPr>
              <w:spacing w:line="276" w:lineRule="auto"/>
              <w:jc w:val="center"/>
              <w:rPr>
                <w:rFonts w:ascii="Arial" w:eastAsia="NSimSun" w:hAnsi="Arial" w:cs="Arial"/>
                <w:kern w:val="2"/>
                <w:sz w:val="18"/>
                <w:szCs w:val="18"/>
                <w:lang w:val="ca-ES" w:eastAsia="zh-CN" w:bidi="hi-IN"/>
              </w:rPr>
            </w:pPr>
            <w:r w:rsidRPr="002E168D">
              <w:rPr>
                <w:rFonts w:ascii="Arial" w:eastAsia="NSimSun" w:hAnsi="Arial" w:cs="Arial"/>
                <w:kern w:val="2"/>
                <w:sz w:val="18"/>
                <w:szCs w:val="18"/>
                <w:lang w:val="ca-ES" w:eastAsia="zh-CN" w:bidi="hi-IN"/>
              </w:rPr>
              <w:t>875</w:t>
            </w:r>
          </w:p>
        </w:tc>
      </w:tr>
      <w:tr w:rsidR="002E168D" w:rsidRPr="002E168D" w14:paraId="66EAE87A" w14:textId="77777777" w:rsidTr="00342917">
        <w:trPr>
          <w:jc w:val="center"/>
        </w:trPr>
        <w:tc>
          <w:tcPr>
            <w:tcW w:w="5103" w:type="dxa"/>
          </w:tcPr>
          <w:p w14:paraId="22DADD70" w14:textId="77777777" w:rsidR="002E168D" w:rsidRPr="002E168D" w:rsidRDefault="002E168D" w:rsidP="002E168D">
            <w:pPr>
              <w:spacing w:line="276" w:lineRule="auto"/>
              <w:jc w:val="center"/>
              <w:rPr>
                <w:rFonts w:ascii="Arial" w:eastAsia="NSimSun" w:hAnsi="Arial" w:cs="Arial"/>
                <w:kern w:val="2"/>
                <w:sz w:val="18"/>
                <w:szCs w:val="18"/>
                <w:lang w:val="ca-ES" w:eastAsia="zh-CN" w:bidi="hi-IN"/>
              </w:rPr>
            </w:pPr>
            <w:r w:rsidRPr="002E168D">
              <w:rPr>
                <w:rFonts w:ascii="Arial" w:eastAsia="NSimSun" w:hAnsi="Arial" w:cs="Arial"/>
                <w:kern w:val="2"/>
                <w:sz w:val="18"/>
                <w:szCs w:val="18"/>
                <w:lang w:val="ca-ES" w:eastAsia="zh-CN" w:bidi="hi-IN"/>
              </w:rPr>
              <w:t>Registres presencials</w:t>
            </w:r>
          </w:p>
        </w:tc>
        <w:tc>
          <w:tcPr>
            <w:tcW w:w="851" w:type="dxa"/>
          </w:tcPr>
          <w:p w14:paraId="416DC829" w14:textId="77777777" w:rsidR="002E168D" w:rsidRPr="002E168D" w:rsidRDefault="002E168D" w:rsidP="002E168D">
            <w:pPr>
              <w:spacing w:line="276" w:lineRule="auto"/>
              <w:jc w:val="center"/>
              <w:rPr>
                <w:rFonts w:ascii="Arial" w:eastAsia="NSimSun" w:hAnsi="Arial" w:cs="Arial"/>
                <w:kern w:val="2"/>
                <w:sz w:val="18"/>
                <w:szCs w:val="18"/>
                <w:lang w:val="ca-ES" w:eastAsia="zh-CN" w:bidi="hi-IN"/>
              </w:rPr>
            </w:pPr>
            <w:r w:rsidRPr="002E168D">
              <w:rPr>
                <w:rFonts w:ascii="Arial" w:eastAsia="NSimSun" w:hAnsi="Arial" w:cs="Arial"/>
                <w:kern w:val="2"/>
                <w:sz w:val="18"/>
                <w:szCs w:val="18"/>
                <w:lang w:val="ca-ES" w:eastAsia="zh-CN" w:bidi="hi-IN"/>
              </w:rPr>
              <w:t>398</w:t>
            </w:r>
          </w:p>
        </w:tc>
        <w:tc>
          <w:tcPr>
            <w:tcW w:w="851" w:type="dxa"/>
          </w:tcPr>
          <w:p w14:paraId="2BA4A8C2" w14:textId="77777777" w:rsidR="002E168D" w:rsidRPr="002E168D" w:rsidRDefault="002E168D" w:rsidP="002E168D">
            <w:pPr>
              <w:spacing w:line="276" w:lineRule="auto"/>
              <w:jc w:val="center"/>
              <w:rPr>
                <w:rFonts w:ascii="Arial" w:eastAsia="NSimSun" w:hAnsi="Arial" w:cs="Arial"/>
                <w:kern w:val="2"/>
                <w:sz w:val="18"/>
                <w:szCs w:val="18"/>
                <w:lang w:val="ca-ES" w:eastAsia="zh-CN" w:bidi="hi-IN"/>
              </w:rPr>
            </w:pPr>
            <w:r w:rsidRPr="002E168D">
              <w:rPr>
                <w:rFonts w:ascii="Arial" w:eastAsia="NSimSun" w:hAnsi="Arial" w:cs="Arial"/>
                <w:kern w:val="2"/>
                <w:sz w:val="18"/>
                <w:szCs w:val="18"/>
                <w:lang w:val="ca-ES" w:eastAsia="zh-CN" w:bidi="hi-IN"/>
              </w:rPr>
              <w:t>461</w:t>
            </w:r>
          </w:p>
        </w:tc>
      </w:tr>
    </w:tbl>
    <w:p w14:paraId="71227B4C" w14:textId="77777777" w:rsidR="00CD1E24" w:rsidRPr="00CD1E24" w:rsidRDefault="00CD1E24" w:rsidP="00CD1E24">
      <w:pPr>
        <w:spacing w:after="240" w:line="276" w:lineRule="auto"/>
        <w:jc w:val="both"/>
        <w:rPr>
          <w:rFonts w:ascii="Arial" w:eastAsia="Times New Roman" w:hAnsi="Arial" w:cs="Arial"/>
          <w:color w:val="000000"/>
          <w:sz w:val="21"/>
          <w:szCs w:val="21"/>
          <w:lang w:val="ca-ES"/>
        </w:rPr>
      </w:pPr>
    </w:p>
    <w:p w14:paraId="72AA8F90" w14:textId="77777777" w:rsidR="00CC66E2" w:rsidRDefault="00CC66E2" w:rsidP="00874D7E">
      <w:pPr>
        <w:spacing w:after="240" w:line="276" w:lineRule="auto"/>
        <w:jc w:val="both"/>
        <w:rPr>
          <w:rFonts w:ascii="Arial" w:eastAsia="Times New Roman" w:hAnsi="Arial" w:cs="Arial"/>
          <w:color w:val="000000"/>
          <w:sz w:val="21"/>
          <w:szCs w:val="21"/>
        </w:rPr>
      </w:pPr>
    </w:p>
    <w:p w14:paraId="39E59D18" w14:textId="45A8AABB" w:rsidR="00874D7E" w:rsidRPr="00874D7E" w:rsidRDefault="00874D7E" w:rsidP="00CC66E2">
      <w:pPr>
        <w:spacing w:after="360" w:line="276" w:lineRule="auto"/>
        <w:jc w:val="both"/>
        <w:rPr>
          <w:rFonts w:ascii="Arial" w:eastAsia="Times New Roman" w:hAnsi="Arial" w:cs="Arial"/>
          <w:color w:val="000000"/>
          <w:sz w:val="21"/>
          <w:szCs w:val="21"/>
        </w:rPr>
      </w:pPr>
      <w:r w:rsidRPr="00874D7E">
        <w:rPr>
          <w:rFonts w:ascii="Arial" w:eastAsia="Times New Roman" w:hAnsi="Arial" w:cs="Arial"/>
          <w:color w:val="000000"/>
          <w:sz w:val="21"/>
          <w:szCs w:val="21"/>
        </w:rPr>
        <w:t>Finalment, cal destacar l'increment que s'ha produït en la pràctica de notificacions a través de la nostra seu electrònica respecte a l'any anterior, la qual cosa intrínsecament suposa un major coneixement de les activitats de l'Agència i dels seus mecanismes d'intercanvi d'informació pels ciutadans i administracions públiques.</w:t>
      </w:r>
    </w:p>
    <w:p w14:paraId="1EB352A2" w14:textId="74AA7D1C" w:rsidR="00874D7E" w:rsidRPr="00874D7E" w:rsidRDefault="00874D7E" w:rsidP="00874D7E">
      <w:pPr>
        <w:pStyle w:val="Descripcin"/>
        <w:keepNext/>
        <w:jc w:val="center"/>
        <w:rPr>
          <w:rFonts w:ascii="Arial" w:hAnsi="Arial" w:cs="Arial"/>
          <w:smallCaps w:val="0"/>
          <w:sz w:val="18"/>
          <w:szCs w:val="18"/>
        </w:rPr>
      </w:pPr>
      <w:bookmarkStart w:id="356" w:name="_Toc99110864"/>
      <w:r w:rsidRPr="00874D7E">
        <w:rPr>
          <w:rFonts w:ascii="Arial" w:hAnsi="Arial" w:cs="Arial"/>
          <w:smallCaps w:val="0"/>
          <w:color w:val="9D2235" w:themeColor="accent1"/>
          <w:sz w:val="18"/>
          <w:szCs w:val="18"/>
        </w:rPr>
        <w:t xml:space="preserve">Taula </w:t>
      </w:r>
      <w:r w:rsidRPr="00874D7E">
        <w:rPr>
          <w:rFonts w:ascii="Arial" w:hAnsi="Arial" w:cs="Arial"/>
          <w:smallCaps w:val="0"/>
          <w:color w:val="9D2235" w:themeColor="accent1"/>
          <w:sz w:val="18"/>
          <w:szCs w:val="18"/>
        </w:rPr>
        <w:fldChar w:fldCharType="begin" w:fldLock="1"/>
      </w:r>
      <w:r w:rsidRPr="00874D7E">
        <w:rPr>
          <w:rFonts w:ascii="Arial" w:hAnsi="Arial" w:cs="Arial"/>
          <w:smallCaps w:val="0"/>
          <w:color w:val="9D2235" w:themeColor="accent1"/>
          <w:sz w:val="18"/>
          <w:szCs w:val="18"/>
        </w:rPr>
        <w:instrText xml:space="preserve"> SEQ Taula \* ARABIC </w:instrText>
      </w:r>
      <w:r w:rsidRPr="00874D7E">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19</w:t>
      </w:r>
      <w:r w:rsidRPr="00874D7E">
        <w:rPr>
          <w:rFonts w:ascii="Arial" w:hAnsi="Arial" w:cs="Arial"/>
          <w:smallCaps w:val="0"/>
          <w:color w:val="9D2235" w:themeColor="accent1"/>
          <w:sz w:val="18"/>
          <w:szCs w:val="18"/>
        </w:rPr>
        <w:fldChar w:fldCharType="end"/>
      </w:r>
      <w:r w:rsidRPr="00874D7E">
        <w:rPr>
          <w:rFonts w:ascii="Arial" w:hAnsi="Arial" w:cs="Arial"/>
          <w:smallCaps w:val="0"/>
          <w:color w:val="9D2235" w:themeColor="accent1"/>
          <w:sz w:val="18"/>
          <w:szCs w:val="18"/>
        </w:rPr>
        <w:t xml:space="preserve">. </w:t>
      </w:r>
      <w:r w:rsidRPr="00874D7E">
        <w:rPr>
          <w:rFonts w:ascii="Arial" w:hAnsi="Arial" w:cs="Arial"/>
          <w:smallCaps w:val="0"/>
          <w:sz w:val="18"/>
          <w:szCs w:val="18"/>
        </w:rPr>
        <w:t>Quadre resum notificacions seu AVAF</w:t>
      </w:r>
      <w:bookmarkEnd w:id="356"/>
    </w:p>
    <w:tbl>
      <w:tblPr>
        <w:tblStyle w:val="Tablaconcuadrcula43"/>
        <w:tblW w:w="0" w:type="auto"/>
        <w:jc w:val="center"/>
        <w:tblLook w:val="04A0" w:firstRow="1" w:lastRow="0" w:firstColumn="1" w:lastColumn="0" w:noHBand="0" w:noVBand="1"/>
      </w:tblPr>
      <w:tblGrid>
        <w:gridCol w:w="1701"/>
        <w:gridCol w:w="851"/>
        <w:gridCol w:w="851"/>
      </w:tblGrid>
      <w:tr w:rsidR="00874D7E" w:rsidRPr="00874D7E" w14:paraId="195BBCEE" w14:textId="77777777" w:rsidTr="00342917">
        <w:trPr>
          <w:jc w:val="center"/>
        </w:trPr>
        <w:tc>
          <w:tcPr>
            <w:tcW w:w="1701" w:type="dxa"/>
            <w:tcBorders>
              <w:top w:val="nil"/>
              <w:left w:val="nil"/>
              <w:bottom w:val="single" w:sz="4" w:space="0" w:color="auto"/>
              <w:right w:val="single" w:sz="4" w:space="0" w:color="auto"/>
            </w:tcBorders>
          </w:tcPr>
          <w:p w14:paraId="030FF738" w14:textId="77777777" w:rsidR="00874D7E" w:rsidRPr="00874D7E" w:rsidRDefault="00874D7E" w:rsidP="00874D7E">
            <w:pPr>
              <w:spacing w:line="276" w:lineRule="auto"/>
              <w:jc w:val="both"/>
              <w:rPr>
                <w:rFonts w:ascii="Arial" w:eastAsia="NSimSun" w:hAnsi="Arial" w:cs="Arial"/>
                <w:kern w:val="2"/>
                <w:sz w:val="18"/>
                <w:szCs w:val="18"/>
                <w:lang w:val="ca-ES" w:eastAsia="zh-CN" w:bidi="hi-IN"/>
              </w:rPr>
            </w:pPr>
          </w:p>
        </w:tc>
        <w:tc>
          <w:tcPr>
            <w:tcW w:w="851" w:type="dxa"/>
            <w:tcBorders>
              <w:left w:val="single" w:sz="4" w:space="0" w:color="auto"/>
            </w:tcBorders>
            <w:shd w:val="clear" w:color="auto" w:fill="E5DEDB"/>
          </w:tcPr>
          <w:p w14:paraId="168BCBDB" w14:textId="77777777" w:rsidR="00874D7E" w:rsidRPr="00874D7E" w:rsidRDefault="00874D7E" w:rsidP="00874D7E">
            <w:pPr>
              <w:spacing w:line="276" w:lineRule="auto"/>
              <w:jc w:val="right"/>
              <w:rPr>
                <w:rFonts w:ascii="Arial" w:eastAsia="NSimSun" w:hAnsi="Arial" w:cs="Arial"/>
                <w:b/>
                <w:bCs/>
                <w:kern w:val="2"/>
                <w:sz w:val="18"/>
                <w:szCs w:val="18"/>
                <w:lang w:val="ca-ES" w:eastAsia="zh-CN" w:bidi="hi-IN"/>
              </w:rPr>
            </w:pPr>
            <w:r w:rsidRPr="00874D7E">
              <w:rPr>
                <w:rFonts w:ascii="Arial" w:eastAsia="NSimSun" w:hAnsi="Arial" w:cs="Arial"/>
                <w:b/>
                <w:bCs/>
                <w:kern w:val="2"/>
                <w:sz w:val="18"/>
                <w:szCs w:val="18"/>
                <w:lang w:val="ca-ES" w:eastAsia="zh-CN" w:bidi="hi-IN"/>
              </w:rPr>
              <w:t>2020</w:t>
            </w:r>
          </w:p>
        </w:tc>
        <w:tc>
          <w:tcPr>
            <w:tcW w:w="851" w:type="dxa"/>
            <w:shd w:val="clear" w:color="auto" w:fill="E5DEDB"/>
          </w:tcPr>
          <w:p w14:paraId="0C183FFE" w14:textId="77777777" w:rsidR="00874D7E" w:rsidRPr="00874D7E" w:rsidRDefault="00874D7E" w:rsidP="00874D7E">
            <w:pPr>
              <w:spacing w:line="276" w:lineRule="auto"/>
              <w:jc w:val="right"/>
              <w:rPr>
                <w:rFonts w:ascii="Arial" w:eastAsia="NSimSun" w:hAnsi="Arial" w:cs="Arial"/>
                <w:b/>
                <w:bCs/>
                <w:kern w:val="2"/>
                <w:sz w:val="18"/>
                <w:szCs w:val="18"/>
                <w:lang w:val="ca-ES" w:eastAsia="zh-CN" w:bidi="hi-IN"/>
              </w:rPr>
            </w:pPr>
            <w:r w:rsidRPr="00874D7E">
              <w:rPr>
                <w:rFonts w:ascii="Arial" w:eastAsia="NSimSun" w:hAnsi="Arial" w:cs="Arial"/>
                <w:b/>
                <w:bCs/>
                <w:kern w:val="2"/>
                <w:sz w:val="18"/>
                <w:szCs w:val="18"/>
                <w:lang w:val="ca-ES" w:eastAsia="zh-CN" w:bidi="hi-IN"/>
              </w:rPr>
              <w:t>2021</w:t>
            </w:r>
          </w:p>
        </w:tc>
      </w:tr>
      <w:tr w:rsidR="00874D7E" w:rsidRPr="00874D7E" w14:paraId="163A968B" w14:textId="77777777" w:rsidTr="00342917">
        <w:trPr>
          <w:jc w:val="center"/>
        </w:trPr>
        <w:tc>
          <w:tcPr>
            <w:tcW w:w="1701" w:type="dxa"/>
            <w:tcBorders>
              <w:top w:val="single" w:sz="4" w:space="0" w:color="auto"/>
            </w:tcBorders>
          </w:tcPr>
          <w:p w14:paraId="6F6BBF24" w14:textId="77777777" w:rsidR="00874D7E" w:rsidRPr="00874D7E" w:rsidRDefault="00874D7E" w:rsidP="00874D7E">
            <w:pPr>
              <w:spacing w:line="276" w:lineRule="auto"/>
              <w:jc w:val="both"/>
              <w:rPr>
                <w:rFonts w:ascii="Arial" w:eastAsia="NSimSun" w:hAnsi="Arial" w:cs="Arial"/>
                <w:kern w:val="2"/>
                <w:sz w:val="18"/>
                <w:szCs w:val="18"/>
                <w:lang w:val="ca-ES" w:eastAsia="zh-CN" w:bidi="hi-IN"/>
              </w:rPr>
            </w:pPr>
            <w:r w:rsidRPr="00874D7E">
              <w:rPr>
                <w:rFonts w:ascii="Arial" w:eastAsia="NSimSun" w:hAnsi="Arial" w:cs="Arial"/>
                <w:kern w:val="2"/>
                <w:sz w:val="18"/>
                <w:szCs w:val="18"/>
                <w:lang w:val="ca-ES" w:eastAsia="zh-CN" w:bidi="hi-IN"/>
              </w:rPr>
              <w:t>Notificacions</w:t>
            </w:r>
          </w:p>
        </w:tc>
        <w:tc>
          <w:tcPr>
            <w:tcW w:w="851" w:type="dxa"/>
          </w:tcPr>
          <w:p w14:paraId="1390A943" w14:textId="77777777" w:rsidR="00874D7E" w:rsidRPr="00874D7E" w:rsidRDefault="00874D7E" w:rsidP="00874D7E">
            <w:pPr>
              <w:spacing w:line="276" w:lineRule="auto"/>
              <w:jc w:val="right"/>
              <w:rPr>
                <w:rFonts w:ascii="Arial" w:eastAsia="NSimSun" w:hAnsi="Arial" w:cs="Arial"/>
                <w:kern w:val="2"/>
                <w:sz w:val="18"/>
                <w:szCs w:val="18"/>
                <w:lang w:val="ca-ES" w:eastAsia="zh-CN" w:bidi="hi-IN"/>
              </w:rPr>
            </w:pPr>
            <w:r w:rsidRPr="00874D7E">
              <w:rPr>
                <w:rFonts w:ascii="Arial" w:eastAsia="NSimSun" w:hAnsi="Arial" w:cs="Arial"/>
                <w:kern w:val="2"/>
                <w:sz w:val="18"/>
                <w:szCs w:val="18"/>
                <w:lang w:val="ca-ES" w:eastAsia="zh-CN" w:bidi="hi-IN"/>
              </w:rPr>
              <w:t>886</w:t>
            </w:r>
          </w:p>
        </w:tc>
        <w:tc>
          <w:tcPr>
            <w:tcW w:w="851" w:type="dxa"/>
          </w:tcPr>
          <w:p w14:paraId="2FBA3972" w14:textId="77777777" w:rsidR="00874D7E" w:rsidRPr="00874D7E" w:rsidRDefault="00874D7E" w:rsidP="00874D7E">
            <w:pPr>
              <w:spacing w:line="276" w:lineRule="auto"/>
              <w:jc w:val="right"/>
              <w:rPr>
                <w:rFonts w:ascii="Arial" w:eastAsia="NSimSun" w:hAnsi="Arial" w:cs="Arial"/>
                <w:kern w:val="2"/>
                <w:sz w:val="18"/>
                <w:szCs w:val="18"/>
                <w:lang w:val="ca-ES" w:eastAsia="zh-CN" w:bidi="hi-IN"/>
              </w:rPr>
            </w:pPr>
            <w:r w:rsidRPr="00874D7E">
              <w:rPr>
                <w:rFonts w:ascii="Arial" w:eastAsia="NSimSun" w:hAnsi="Arial" w:cs="Arial"/>
                <w:kern w:val="2"/>
                <w:sz w:val="18"/>
                <w:szCs w:val="18"/>
                <w:lang w:val="ca-ES" w:eastAsia="zh-CN" w:bidi="hi-IN"/>
              </w:rPr>
              <w:t>1.817</w:t>
            </w:r>
          </w:p>
        </w:tc>
      </w:tr>
    </w:tbl>
    <w:p w14:paraId="4CBAEC8E" w14:textId="3A11E5AB" w:rsidR="00DD3DF0" w:rsidRPr="002D3252" w:rsidRDefault="00DD3DF0" w:rsidP="00DD3DF0">
      <w:pPr>
        <w:spacing w:after="120" w:line="276" w:lineRule="auto"/>
        <w:jc w:val="both"/>
        <w:rPr>
          <w:rFonts w:ascii="Arial" w:eastAsia="Times New Roman" w:hAnsi="Arial" w:cs="Arial"/>
          <w:sz w:val="21"/>
          <w:szCs w:val="21"/>
          <w:highlight w:val="yellow"/>
        </w:rPr>
      </w:pPr>
    </w:p>
    <w:p w14:paraId="5BA4A20B" w14:textId="77777777" w:rsidR="00DD3DF0" w:rsidRPr="002D3252" w:rsidRDefault="00DD3DF0" w:rsidP="00DD3DF0">
      <w:pPr>
        <w:spacing w:after="120" w:line="276" w:lineRule="auto"/>
        <w:jc w:val="both"/>
        <w:rPr>
          <w:rFonts w:ascii="Arial" w:eastAsia="Times New Roman" w:hAnsi="Arial" w:cs="Arial"/>
          <w:sz w:val="21"/>
          <w:szCs w:val="21"/>
          <w:highlight w:val="yellow"/>
        </w:rPr>
      </w:pPr>
    </w:p>
    <w:p w14:paraId="3221CC06" w14:textId="7851BF52" w:rsidR="00FA3AD7" w:rsidRPr="002D3252" w:rsidRDefault="00FA3AD7" w:rsidP="00B81AFA">
      <w:pPr>
        <w:spacing w:after="240" w:line="276" w:lineRule="auto"/>
        <w:jc w:val="both"/>
        <w:rPr>
          <w:rFonts w:ascii="Arial" w:hAnsi="Arial"/>
          <w:sz w:val="21"/>
        </w:rPr>
      </w:pPr>
      <w:r w:rsidRPr="002D3252">
        <w:rPr>
          <w:rFonts w:ascii="Arial" w:hAnsi="Arial"/>
          <w:sz w:val="21"/>
        </w:rPr>
        <w:br w:type="page"/>
      </w:r>
    </w:p>
    <w:p w14:paraId="4E44E00A" w14:textId="7D469C31" w:rsidR="00F9435B" w:rsidRPr="002D3252" w:rsidRDefault="00F9435B" w:rsidP="00422D40">
      <w:pPr>
        <w:pStyle w:val="Prrafodelista"/>
        <w:keepNext/>
        <w:suppressAutoHyphens/>
        <w:spacing w:after="0" w:line="240" w:lineRule="auto"/>
        <w:ind w:left="0"/>
        <w:contextualSpacing w:val="0"/>
        <w:outlineLvl w:val="0"/>
        <w:rPr>
          <w:rFonts w:ascii="Arial" w:hAnsi="Arial"/>
          <w:b/>
          <w:vanish/>
          <w:color w:val="9D2235"/>
          <w:spacing w:val="-14"/>
          <w:sz w:val="20"/>
          <w:szCs w:val="20"/>
        </w:rPr>
      </w:pPr>
    </w:p>
    <w:p w14:paraId="18E30B80" w14:textId="593CDF2D" w:rsidR="00422D40" w:rsidRPr="002D3252" w:rsidRDefault="00422D40" w:rsidP="00422D40">
      <w:pPr>
        <w:pStyle w:val="Prrafodelista"/>
        <w:keepNext/>
        <w:suppressAutoHyphens/>
        <w:spacing w:after="0" w:line="240" w:lineRule="auto"/>
        <w:ind w:left="0"/>
        <w:contextualSpacing w:val="0"/>
        <w:outlineLvl w:val="0"/>
        <w:rPr>
          <w:rFonts w:ascii="Arial" w:hAnsi="Arial"/>
          <w:b/>
          <w:vanish/>
          <w:color w:val="9D2235"/>
          <w:spacing w:val="-14"/>
          <w:sz w:val="20"/>
          <w:szCs w:val="20"/>
        </w:rPr>
      </w:pPr>
    </w:p>
    <w:p w14:paraId="0F4AAB99" w14:textId="77777777" w:rsidR="00422D40" w:rsidRPr="002D3252" w:rsidRDefault="00422D40" w:rsidP="00422D40">
      <w:pPr>
        <w:pStyle w:val="Prrafodelista"/>
        <w:keepNext/>
        <w:suppressAutoHyphens/>
        <w:spacing w:after="0" w:line="240" w:lineRule="auto"/>
        <w:ind w:left="0"/>
        <w:contextualSpacing w:val="0"/>
        <w:outlineLvl w:val="0"/>
        <w:rPr>
          <w:rFonts w:ascii="Arial" w:hAnsi="Arial"/>
          <w:b/>
          <w:vanish/>
          <w:color w:val="9D2235"/>
          <w:spacing w:val="-14"/>
          <w:sz w:val="20"/>
          <w:szCs w:val="20"/>
        </w:rPr>
      </w:pPr>
    </w:p>
    <w:p w14:paraId="0C73EC83" w14:textId="301C3AC3" w:rsidR="00052A44" w:rsidRPr="002D3252" w:rsidRDefault="005D4997" w:rsidP="00EB4ECF">
      <w:pPr>
        <w:pStyle w:val="Prrafodelista"/>
        <w:keepNext/>
        <w:numPr>
          <w:ilvl w:val="0"/>
          <w:numId w:val="16"/>
        </w:numPr>
        <w:suppressAutoHyphens/>
        <w:spacing w:before="360" w:after="240" w:line="240" w:lineRule="auto"/>
        <w:outlineLvl w:val="0"/>
        <w:rPr>
          <w:rFonts w:ascii="Arial" w:eastAsia="Times New Roman" w:hAnsi="Arial" w:cs="Arial"/>
          <w:b/>
          <w:bCs/>
          <w:color w:val="9D2235"/>
          <w:spacing w:val="-24"/>
          <w:kern w:val="2"/>
          <w:sz w:val="80"/>
          <w:szCs w:val="80"/>
          <w:lang w:eastAsia="es-ES" w:bidi="hi-IN"/>
        </w:rPr>
      </w:pPr>
      <w:r w:rsidRPr="002D3252">
        <w:rPr>
          <w:rFonts w:ascii="Arial" w:eastAsia="Times New Roman" w:hAnsi="Arial" w:cs="Arial"/>
          <w:b/>
          <w:bCs/>
          <w:color w:val="9D2235"/>
          <w:spacing w:val="-24"/>
          <w:kern w:val="2"/>
          <w:sz w:val="80"/>
          <w:szCs w:val="80"/>
          <w:lang w:eastAsia="es-ES" w:bidi="hi-IN"/>
        </w:rPr>
        <w:br/>
      </w:r>
      <w:bookmarkStart w:id="357" w:name="_Toc67646217"/>
      <w:bookmarkStart w:id="358" w:name="_Toc95999846"/>
      <w:bookmarkStart w:id="359" w:name="_Toc99110804"/>
      <w:r w:rsidR="00F959CE" w:rsidRPr="002D3252">
        <w:rPr>
          <w:rFonts w:ascii="Arial" w:eastAsia="Times New Roman" w:hAnsi="Arial" w:cs="Arial"/>
          <w:b/>
          <w:bCs/>
          <w:color w:val="9D2235"/>
          <w:spacing w:val="-24"/>
          <w:kern w:val="2"/>
          <w:sz w:val="80"/>
          <w:szCs w:val="80"/>
          <w:lang w:eastAsia="es-ES"/>
        </w:rPr>
        <w:t xml:space="preserve">Prevenció, </w:t>
      </w:r>
      <w:bookmarkStart w:id="360" w:name="_Hlk98935981"/>
      <w:r w:rsidR="00F959CE" w:rsidRPr="002D3252">
        <w:rPr>
          <w:rFonts w:ascii="Arial" w:eastAsia="Times New Roman" w:hAnsi="Arial" w:cs="Arial"/>
          <w:b/>
          <w:bCs/>
          <w:color w:val="9D2235"/>
          <w:spacing w:val="-24"/>
          <w:kern w:val="2"/>
          <w:sz w:val="80"/>
          <w:szCs w:val="80"/>
          <w:lang w:eastAsia="es-ES"/>
        </w:rPr>
        <w:br/>
      </w:r>
      <w:bookmarkEnd w:id="360"/>
      <w:r w:rsidR="00F959CE" w:rsidRPr="002D3252">
        <w:rPr>
          <w:rFonts w:ascii="Arial" w:eastAsia="Times New Roman" w:hAnsi="Arial" w:cs="Arial"/>
          <w:b/>
          <w:bCs/>
          <w:color w:val="9D2235"/>
          <w:spacing w:val="-24"/>
          <w:kern w:val="2"/>
          <w:sz w:val="80"/>
          <w:szCs w:val="80"/>
          <w:lang w:eastAsia="es-ES"/>
        </w:rPr>
        <w:t>formació i documentació</w:t>
      </w:r>
      <w:bookmarkStart w:id="361" w:name="_Hlk98935933"/>
      <w:bookmarkEnd w:id="357"/>
      <w:bookmarkEnd w:id="358"/>
      <w:bookmarkEnd w:id="359"/>
      <w:r w:rsidR="004B6183" w:rsidRPr="002D3252">
        <w:rPr>
          <w:rFonts w:ascii="Arial" w:eastAsia="Times New Roman" w:hAnsi="Arial" w:cs="Arial"/>
          <w:b/>
          <w:bCs/>
          <w:color w:val="9D2235"/>
          <w:spacing w:val="-24"/>
          <w:kern w:val="2"/>
          <w:sz w:val="80"/>
          <w:szCs w:val="80"/>
          <w:lang w:eastAsia="es-ES"/>
        </w:rPr>
        <w:br/>
      </w:r>
    </w:p>
    <w:p w14:paraId="566F51F3" w14:textId="2B0FC53B" w:rsidR="00052A44" w:rsidRPr="002D3252" w:rsidRDefault="00FA3AD7" w:rsidP="00EB4ECF">
      <w:pPr>
        <w:pStyle w:val="Prrafodelista"/>
        <w:keepNext/>
        <w:numPr>
          <w:ilvl w:val="1"/>
          <w:numId w:val="16"/>
        </w:numPr>
        <w:suppressAutoHyphens/>
        <w:spacing w:before="360" w:after="240" w:line="276" w:lineRule="auto"/>
        <w:ind w:left="851" w:hanging="851"/>
        <w:contextualSpacing w:val="0"/>
        <w:outlineLvl w:val="1"/>
        <w:rPr>
          <w:rFonts w:ascii="Arial" w:hAnsi="Arial"/>
          <w:b/>
          <w:color w:val="9D2235"/>
          <w:sz w:val="32"/>
          <w:szCs w:val="32"/>
        </w:rPr>
      </w:pPr>
      <w:bookmarkStart w:id="362" w:name="_Toc99110805"/>
      <w:bookmarkEnd w:id="361"/>
      <w:r w:rsidRPr="002D3252">
        <w:rPr>
          <w:rFonts w:ascii="Arial" w:hAnsi="Arial"/>
          <w:b/>
          <w:color w:val="9D2235"/>
          <w:sz w:val="32"/>
          <w:szCs w:val="32"/>
        </w:rPr>
        <w:t>Introducció</w:t>
      </w:r>
      <w:bookmarkEnd w:id="362"/>
    </w:p>
    <w:p w14:paraId="5CF753FD"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Aquest capítol de la Memòria està destinat a descriure les activitats de la Direcció de Prevenció, Formació i Documentació i dels Serveis adscrits orgànicament a aquesta.</w:t>
      </w:r>
    </w:p>
    <w:p w14:paraId="175DEE6C"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En la Memòria corresponent als anys 2019 i 2020, resumim les actuacions d'aquesta Direcció amb la descripció succinta de les gestions realitzades i de les tasques assignades pendents d'execució fins a completar l'equip humà necessari a aquest efecte.</w:t>
      </w:r>
    </w:p>
    <w:p w14:paraId="09907317"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En aquest exercici, durant el primer semestre, el Servei de Prevenció va funcionar amb la directora de Prevenció, Formació i Documentació, la titular en cap del servei i una tècnica de Prevenció General, incorporant-se en comissió de serveis durant el segon semestre una tècnica de Prevenció Jurídica, quedant vacants i sense cobrir en el Servei dos llocs de tècnic/a i un de suport administratiu. Pel que respecta al Servei de Formació, durant el primer semestre, el Servei va funcionar amb la directora, el cap del Servei, dues tècniques de Formació i un cap de Negociat (aquest últim compartit amb Prevenció). Al seu torn, el Servei de Documentació i Informes, va funcionar amb el seu cap de Servei, i un cap de Negociat. Durant el segon semestre de 2021, el lloc de director/a de Prevenció, Formació i Documentació va quedar vacant, per la qual cosa els tres caps de Servei, de manera coordinada, i informant puntualment el director de l'Agència, han exercit així mateix funcions addicionals a les pròpies consistents en la creació i elaboració d'iniciatives i propostes, supervisió directa del seu personal, representació institucional de l'Agència, assistència a reunions i congressos, trobades de la Xarxa d'Oficines i Agències Antifrau, EPAC, etc.</w:t>
      </w:r>
    </w:p>
    <w:p w14:paraId="059BE245"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Les accions executades durant aquest any, el resum del qual passem a exposar, s'han pogut realitzar gràcies a la progressiva incorporació de nou personal. No en va, els recursos humans, així com la seua necessària formació i especialització en una matèria tan complexa i nova com la prevenció del frau i la corrupció, resulten imprescindibles per a desenvolupar amb el màxim rigor i qualitat les heterogènies funcions assignades a aquesta Direcció.</w:t>
      </w:r>
    </w:p>
    <w:p w14:paraId="48442B49"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La provisió definitiva de tots els llocs de treball assignats a aquesta àrea, prevista durant l'exercici 2021, no s'ha produït. Esperem que puga dur-se a terme durant els primers mesos de l'exercici 2022, amb la finalitat de desenvolupar plenament les nostres funcions i, d'aquesta manera, consolidar el paper prioritari de l'Agència en l'àmbit de la prevenció i del foment de la integritat pública.</w:t>
      </w:r>
    </w:p>
    <w:p w14:paraId="7A3D6E86"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Per part del personal integrant de la DPFD, volem agrair en aquesta Memòria els coneixements i aportacions realitzats durant el primer semestre de l'exercici per la persona titular de la Direcció de l'àrea en aqueix temps.</w:t>
      </w:r>
    </w:p>
    <w:p w14:paraId="21C6172C"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D'acord amb l'article 19 del Reglament de l'Agència, la Direcció de Prevenció, Formació i Documentació té les funcions següents:</w:t>
      </w:r>
    </w:p>
    <w:p w14:paraId="4773BCA4" w14:textId="77777777" w:rsidR="002B0E27" w:rsidRPr="002B0E27" w:rsidRDefault="002B0E27" w:rsidP="00E0155F">
      <w:pPr>
        <w:numPr>
          <w:ilvl w:val="0"/>
          <w:numId w:val="40"/>
        </w:numPr>
        <w:spacing w:after="120" w:line="276" w:lineRule="auto"/>
        <w:ind w:left="714" w:hanging="357"/>
        <w:jc w:val="both"/>
        <w:rPr>
          <w:rFonts w:ascii="Arial" w:hAnsi="Arial"/>
          <w:sz w:val="21"/>
        </w:rPr>
      </w:pPr>
      <w:r w:rsidRPr="002B0E27">
        <w:rPr>
          <w:rFonts w:ascii="Arial" w:hAnsi="Arial"/>
          <w:sz w:val="21"/>
        </w:rPr>
        <w:t xml:space="preserve">Dirigir, coordinar i supervisar el funcionament i l'organització de les unitats dependents. </w:t>
      </w:r>
    </w:p>
    <w:p w14:paraId="3E18A842"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Assessorar en l'elaboració i en l'establiment dels elements que integren les estratègies d'integritat pública, així com en la confecció i l'avaluació dels plans de prevenció. </w:t>
      </w:r>
    </w:p>
    <w:p w14:paraId="52FBCD28"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Avaluar l'eficàcia dels instruments jurídics i les mesures existents en matèria de prevenció i lluita contra el frau i la corrupció. </w:t>
      </w:r>
    </w:p>
    <w:p w14:paraId="20FA67ED"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Proposar criteris previs, clars i estables de control de l'acció pública, així com millores en procediments i pràctiques administratives. </w:t>
      </w:r>
    </w:p>
    <w:p w14:paraId="4171B442"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Desenvolupar estudis i anàlisis de riscos. </w:t>
      </w:r>
    </w:p>
    <w:p w14:paraId="421D148E"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Gestionar i analitzar qualsevol tipus d'informació i documentació publicada sobre les matèries pròpies de l'Agència, així com elaborar els informes, les estadístiques, les publicacions i els estudis tècnics pertinents. </w:t>
      </w:r>
    </w:p>
    <w:p w14:paraId="70AA577C"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Promoure estudis i investigacions en relació amb el frau, amb les causes que l'originen i amb l'impacte social i polític que genera. </w:t>
      </w:r>
    </w:p>
    <w:p w14:paraId="51EB3053" w14:textId="77777777" w:rsidR="002B0E27" w:rsidRPr="002B0E27" w:rsidRDefault="002B0E27" w:rsidP="002B0E27">
      <w:pPr>
        <w:spacing w:after="120" w:line="276" w:lineRule="auto"/>
        <w:ind w:left="709"/>
        <w:jc w:val="both"/>
        <w:rPr>
          <w:rFonts w:ascii="Arial" w:hAnsi="Arial"/>
          <w:sz w:val="21"/>
        </w:rPr>
      </w:pPr>
      <w:r w:rsidRPr="002B0E27">
        <w:rPr>
          <w:rFonts w:ascii="Arial" w:hAnsi="Arial"/>
          <w:sz w:val="21"/>
        </w:rPr>
        <w:t xml:space="preserve">Formular propostes i recomanacions en matèria d'integritat, ètica pública, prevenció i lluita contra la corrupció, sobre disposicions normatives vigents o en tràmit d'aprovació. </w:t>
      </w:r>
    </w:p>
    <w:p w14:paraId="46A9B8CB"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Donar resposta a les consultes no vinculants en matèria de prevenció del frau, la corrupció i les bones pràctiques. </w:t>
      </w:r>
    </w:p>
    <w:p w14:paraId="78231903"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Elaborar i gestionar accions i guies formatives especialitzades en matèria d'integritat i ètica pública, així com de prevenció del frau i de la corrupció. </w:t>
      </w:r>
    </w:p>
    <w:p w14:paraId="75837D0D"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Elaborar i gestionar accions formatives per al personal adscrit a l'Agència perquè dispose de la capacitat tècnica i la formació contínua deguda. </w:t>
      </w:r>
    </w:p>
    <w:p w14:paraId="50614A64"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Proposar, preparar i realitzar els programes de sensibilització de l'Agència. </w:t>
      </w:r>
    </w:p>
    <w:p w14:paraId="3F6FC31B"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Executar i desenvolupar eines per a emmagatzemar, gestionar i posar a disposició, de manera accessible i en format obert, els recursos d'informació en l'àmbit de la lluita contra el frau, la corrupció, la defensa de l'ètica pública i la integritat, per a fomentar la difusió de manera fàcil, gratuïta, lliure, completa, permanent, reutilitzable i contínuament actualitzada. </w:t>
      </w:r>
    </w:p>
    <w:p w14:paraId="3D9CC869"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Establir la política de gestió de documents d'acord amb la normativa vigent i amb els estàndards, recomanacions i bones pràctiques nacionals i internacionals aplicables per a la gestió documental i la Norma tècnica d'interoperabilitat del Catàleg d'estàndards, que garanteixen l'autenticitat, la integritat, la confidencialitat, la disponibilitat i la traçabilitat dels documents i els expedients electrònics que es generen, que permeten la protecció, la recuperació i la conservació física i lògica dels mateixos i del seu context. </w:t>
      </w:r>
    </w:p>
    <w:p w14:paraId="42C149AC" w14:textId="77777777" w:rsidR="002B0E27" w:rsidRPr="002B0E27" w:rsidRDefault="002B0E27" w:rsidP="00E0155F">
      <w:pPr>
        <w:numPr>
          <w:ilvl w:val="0"/>
          <w:numId w:val="40"/>
        </w:numPr>
        <w:spacing w:after="120" w:line="276" w:lineRule="auto"/>
        <w:jc w:val="both"/>
        <w:rPr>
          <w:rFonts w:ascii="Arial" w:hAnsi="Arial"/>
          <w:sz w:val="21"/>
        </w:rPr>
      </w:pPr>
      <w:r w:rsidRPr="002B0E27">
        <w:rPr>
          <w:rFonts w:ascii="Arial" w:hAnsi="Arial"/>
          <w:sz w:val="21"/>
        </w:rPr>
        <w:t xml:space="preserve">Elaborar i proposar el codi ètic i de conducta del personal de l'Agència. </w:t>
      </w:r>
    </w:p>
    <w:p w14:paraId="0C342A0C" w14:textId="77777777" w:rsidR="002B0E27" w:rsidRPr="002B0E27" w:rsidRDefault="002B0E27" w:rsidP="00E0155F">
      <w:pPr>
        <w:numPr>
          <w:ilvl w:val="0"/>
          <w:numId w:val="40"/>
        </w:numPr>
        <w:spacing w:after="240" w:line="276" w:lineRule="auto"/>
        <w:jc w:val="both"/>
        <w:rPr>
          <w:rFonts w:ascii="Arial" w:hAnsi="Arial"/>
          <w:sz w:val="21"/>
        </w:rPr>
      </w:pPr>
      <w:r w:rsidRPr="002B0E27">
        <w:rPr>
          <w:rFonts w:ascii="Arial" w:hAnsi="Arial"/>
          <w:sz w:val="21"/>
        </w:rPr>
        <w:t>Les altres que li assigne el director o directora de l'Agència.</w:t>
      </w:r>
    </w:p>
    <w:p w14:paraId="483DCAAD"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A continuació, passem a descriure les actuacions dels Serveis de Prevenció, Formació i Documentació i Informes, adscrits orgànicament a aquesta Direcció.</w:t>
      </w:r>
    </w:p>
    <w:p w14:paraId="05953128" w14:textId="77777777" w:rsidR="002B0E27" w:rsidRPr="002B0E27" w:rsidRDefault="002B0E27" w:rsidP="007F1F98">
      <w:pPr>
        <w:pStyle w:val="Prrafodelista"/>
        <w:keepNext/>
        <w:numPr>
          <w:ilvl w:val="1"/>
          <w:numId w:val="16"/>
        </w:numPr>
        <w:suppressAutoHyphens/>
        <w:spacing w:before="360" w:after="240" w:line="276" w:lineRule="auto"/>
        <w:ind w:left="851" w:hanging="851"/>
        <w:outlineLvl w:val="1"/>
        <w:rPr>
          <w:rFonts w:ascii="Arial" w:hAnsi="Arial"/>
          <w:b/>
          <w:color w:val="9D2235"/>
          <w:sz w:val="32"/>
          <w:szCs w:val="32"/>
        </w:rPr>
      </w:pPr>
      <w:bookmarkStart w:id="363" w:name="_Toc96517830"/>
      <w:bookmarkStart w:id="364" w:name="_Toc99110806"/>
      <w:r w:rsidRPr="002B0E27">
        <w:rPr>
          <w:rFonts w:ascii="Arial" w:hAnsi="Arial"/>
          <w:b/>
          <w:color w:val="9D2235"/>
          <w:sz w:val="32"/>
          <w:szCs w:val="32"/>
        </w:rPr>
        <w:t>Prevenció</w:t>
      </w:r>
      <w:bookmarkEnd w:id="363"/>
      <w:bookmarkEnd w:id="364"/>
    </w:p>
    <w:p w14:paraId="478B8AFF" w14:textId="4607DE38" w:rsidR="002B0E27" w:rsidRPr="002B0E27" w:rsidRDefault="00E0155F" w:rsidP="002B0E27">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65" w:name="_Toc99110807"/>
      <w:r w:rsidRPr="002B0E27">
        <w:rPr>
          <w:rFonts w:ascii="Arial" w:hAnsi="Arial"/>
          <w:b/>
          <w:color w:val="9D2235"/>
          <w:sz w:val="28"/>
          <w:szCs w:val="28"/>
        </w:rPr>
        <w:t>Missió</w:t>
      </w:r>
      <w:bookmarkEnd w:id="365"/>
    </w:p>
    <w:p w14:paraId="4F602CB5"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El Servei de Prevenció està destinat a complir el mandat encomanat a l'Agència de promoure la integritat i l'ètica públiques per al foment de les bones pràctiques i per a la prevenció dels riscos de la corrupció, en particular, de possibles casos d'ús o destí irregular de fons públics i de conductes oposades a la integritat o contràries als principis d'objectivitat, eficàcia i submissió plena a la llei i al dret.</w:t>
      </w:r>
    </w:p>
    <w:p w14:paraId="379FEDF3"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La prevenció se centra, fonamentalment, en les següents matèries: contractació del sector públic, prestació i gestió de serveis públics, subvencions, urbanisme, funció pública i processos de presa de decisions.</w:t>
      </w:r>
    </w:p>
    <w:p w14:paraId="0D786716"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Les funcions de l'Agència vinculades a les tasques pròpies del Servei de Prevenció estan descrites en l'article 4 de la Llei 11/2016, de 28 de novembre, i desenvolupades en els articles 19 i 27 del Reglament de règim interior i funcionament de l'Agència, enumerades en l'apartat anterior.</w:t>
      </w:r>
    </w:p>
    <w:p w14:paraId="5F17685E" w14:textId="711132F0" w:rsidR="002B0E27" w:rsidRPr="002B0E27" w:rsidRDefault="002B0E27" w:rsidP="002B0E27">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66" w:name="_Toc96517832"/>
      <w:bookmarkStart w:id="367" w:name="_Toc99110808"/>
      <w:r w:rsidRPr="002B0E27">
        <w:rPr>
          <w:rFonts w:ascii="Arial" w:hAnsi="Arial"/>
          <w:b/>
          <w:color w:val="9D2235"/>
          <w:sz w:val="28"/>
          <w:szCs w:val="28"/>
        </w:rPr>
        <w:t>Desenvolupament del Pla Estratègic de Prevenció</w:t>
      </w:r>
      <w:bookmarkEnd w:id="366"/>
      <w:bookmarkEnd w:id="367"/>
    </w:p>
    <w:p w14:paraId="200BD2E4" w14:textId="50857457" w:rsidR="002B0E27" w:rsidRPr="002B0E27" w:rsidRDefault="002B0E27" w:rsidP="002B0E27">
      <w:pPr>
        <w:spacing w:after="240" w:line="276" w:lineRule="auto"/>
        <w:jc w:val="both"/>
        <w:rPr>
          <w:rFonts w:ascii="Arial" w:hAnsi="Arial"/>
          <w:sz w:val="21"/>
        </w:rPr>
      </w:pPr>
      <w:r w:rsidRPr="002B0E27">
        <w:rPr>
          <w:rFonts w:ascii="Arial" w:hAnsi="Arial"/>
          <w:sz w:val="21"/>
        </w:rPr>
        <w:t xml:space="preserve">En la Memòria anual de l’AVAF corresponent a l'exercici 2019, presentem el Pla Estratègic del Servei de Prevenció, de caràcter pluriennal (2020-2024), aprovat pel director de l'Agència, en </w:t>
      </w:r>
      <w:r w:rsidR="00BF7CAF">
        <w:rPr>
          <w:rFonts w:ascii="Arial" w:hAnsi="Arial"/>
          <w:sz w:val="21"/>
        </w:rPr>
        <w:t>R</w:t>
      </w:r>
      <w:r w:rsidRPr="002B0E27">
        <w:rPr>
          <w:rFonts w:ascii="Arial" w:hAnsi="Arial"/>
          <w:sz w:val="21"/>
        </w:rPr>
        <w:t>esolució d'11 de desembre de 2019.</w:t>
      </w:r>
    </w:p>
    <w:p w14:paraId="00A62828"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 xml:space="preserve">El pla estratègic ha servit de full de ruta durant els exercicis 2020 i 2021 per al compliment ordenat de les funcions assignades a l'Agència en l'àmbit de la prevenció, la integritat i l'ètica públiques. Així, des del Servei de Prevenció, s'han anat executant els objectius operatius marcats pel pla, realitzant-se un seguiment periòdic del seu compliment (i això malgrat no comptar amb dos dels quatre tècnics/as necessaris a aquest efecte). Així mateix, alguns dels objectius han sigut actualitzats per a la seua adaptació a les necessitats que han anat sorgint, especialment en relació amb el context motivat, entre altres, per les exigències de la Unió Europea relatives a la necessitat que tota entitat, decisora o executora de fons europeus Next Generation vinculats al Pla de Recuperació, Transformació i Resiliència, per a rebre aquests fons, de comptar plans de mesures antifrau que permeten protegir del frau, la corrupció i els conflictes d'interés, implementant mesures de prevenció, detecció, persecució i correcció d'aquest. </w:t>
      </w:r>
    </w:p>
    <w:p w14:paraId="015F4A45"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En coherència amb la filosofia del pla d'aconseguir cocrear una cultura de la integritat pública i de la prevenció del frau i la corrupció real i efectiva en la Comunitat Valenciana, el pla es va presentar als membres del Consell de Participació de l’AVAF, com a òrgan consultiu i representatiu de les inquietuds de la societat civil, tenint un excel·lent acolliment i sent avalat per aquest òrgan, en la seua sessió d'11 de juny de 2020. Així mateix, els principals materials elaborats pel Servei de Prevenció van ser presentats per la seua prefectura a aquest òrgan consultiu en les sessions celebrades durant 2021.</w:t>
      </w:r>
    </w:p>
    <w:p w14:paraId="3FB0F456" w14:textId="77777777" w:rsidR="002B0E27" w:rsidRPr="002B0E27" w:rsidRDefault="002B0E27" w:rsidP="002B0E27">
      <w:pPr>
        <w:spacing w:after="240" w:line="276" w:lineRule="auto"/>
        <w:jc w:val="both"/>
        <w:rPr>
          <w:rFonts w:ascii="Arial" w:hAnsi="Arial"/>
          <w:sz w:val="21"/>
        </w:rPr>
      </w:pPr>
      <w:r w:rsidRPr="002B0E27">
        <w:rPr>
          <w:rFonts w:ascii="Arial" w:hAnsi="Arial"/>
          <w:sz w:val="21"/>
        </w:rPr>
        <w:t>Recordem ací les onze línies estratègiques d'actuació del pla (sense perjudici dels múltiples objectius estratègics i operatius definits per a cadascuna d'elles), per a després sintetitzar les principals actuacions dutes a terme durant el 2021 en algunes d'elles:</w:t>
      </w:r>
    </w:p>
    <w:p w14:paraId="029A6039" w14:textId="77777777" w:rsidR="002B0E27" w:rsidRPr="002B0E27" w:rsidRDefault="002B0E27" w:rsidP="002B0E27">
      <w:pPr>
        <w:spacing w:after="240" w:line="276" w:lineRule="auto"/>
        <w:jc w:val="center"/>
        <w:rPr>
          <w:rFonts w:ascii="Arial" w:hAnsi="Arial"/>
          <w:b/>
          <w:sz w:val="21"/>
        </w:rPr>
      </w:pPr>
      <w:r w:rsidRPr="002B0E27">
        <w:rPr>
          <w:rFonts w:ascii="Arial" w:hAnsi="Arial"/>
          <w:b/>
          <w:sz w:val="21"/>
        </w:rPr>
        <w:t>LÍNIES ESTRATÈGIQUES</w:t>
      </w:r>
    </w:p>
    <w:p w14:paraId="048A3BC4" w14:textId="5F7EA976" w:rsidR="00633410" w:rsidRPr="00633410" w:rsidRDefault="00633410" w:rsidP="00633410">
      <w:pPr>
        <w:pStyle w:val="Descripcin"/>
        <w:keepNext/>
        <w:rPr>
          <w:rFonts w:ascii="Arial" w:hAnsi="Arial" w:cs="Arial"/>
          <w:smallCaps w:val="0"/>
          <w:sz w:val="18"/>
          <w:szCs w:val="18"/>
        </w:rPr>
      </w:pPr>
      <w:bookmarkStart w:id="368" w:name="_Toc99110865"/>
      <w:r w:rsidRPr="00633410">
        <w:rPr>
          <w:rFonts w:ascii="Arial" w:hAnsi="Arial" w:cs="Arial"/>
          <w:smallCaps w:val="0"/>
          <w:color w:val="9D2235" w:themeColor="accent1"/>
          <w:sz w:val="18"/>
          <w:szCs w:val="18"/>
        </w:rPr>
        <w:t xml:space="preserve">Taula </w:t>
      </w:r>
      <w:r w:rsidRPr="00633410">
        <w:rPr>
          <w:rFonts w:ascii="Arial" w:hAnsi="Arial" w:cs="Arial"/>
          <w:smallCaps w:val="0"/>
          <w:color w:val="9D2235" w:themeColor="accent1"/>
          <w:sz w:val="18"/>
          <w:szCs w:val="18"/>
        </w:rPr>
        <w:fldChar w:fldCharType="begin" w:fldLock="1"/>
      </w:r>
      <w:r w:rsidRPr="00633410">
        <w:rPr>
          <w:rFonts w:ascii="Arial" w:hAnsi="Arial" w:cs="Arial"/>
          <w:smallCaps w:val="0"/>
          <w:color w:val="9D2235" w:themeColor="accent1"/>
          <w:sz w:val="18"/>
          <w:szCs w:val="18"/>
        </w:rPr>
        <w:instrText xml:space="preserve"> SEQ Taula \* ARABIC </w:instrText>
      </w:r>
      <w:r w:rsidRPr="00633410">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20</w:t>
      </w:r>
      <w:r w:rsidRPr="00633410">
        <w:rPr>
          <w:rFonts w:ascii="Arial" w:hAnsi="Arial" w:cs="Arial"/>
          <w:smallCaps w:val="0"/>
          <w:color w:val="9D2235" w:themeColor="accent1"/>
          <w:sz w:val="18"/>
          <w:szCs w:val="18"/>
        </w:rPr>
        <w:fldChar w:fldCharType="end"/>
      </w:r>
      <w:r w:rsidRPr="00633410">
        <w:rPr>
          <w:rFonts w:ascii="Arial" w:hAnsi="Arial" w:cs="Arial"/>
          <w:smallCaps w:val="0"/>
          <w:color w:val="9D2235" w:themeColor="accent1"/>
          <w:sz w:val="18"/>
          <w:szCs w:val="18"/>
        </w:rPr>
        <w:t xml:space="preserve">. </w:t>
      </w:r>
      <w:r w:rsidRPr="00633410">
        <w:rPr>
          <w:rFonts w:ascii="Arial" w:hAnsi="Arial" w:cs="Arial"/>
          <w:smallCaps w:val="0"/>
          <w:sz w:val="18"/>
          <w:szCs w:val="18"/>
        </w:rPr>
        <w:t xml:space="preserve">Línies </w:t>
      </w:r>
      <w:r w:rsidR="00E0155F" w:rsidRPr="00633410">
        <w:rPr>
          <w:rFonts w:ascii="Arial" w:hAnsi="Arial" w:cs="Arial"/>
          <w:smallCaps w:val="0"/>
          <w:sz w:val="18"/>
          <w:szCs w:val="18"/>
        </w:rPr>
        <w:t>estratègiques</w:t>
      </w:r>
      <w:r w:rsidRPr="00633410">
        <w:rPr>
          <w:rFonts w:ascii="Arial" w:hAnsi="Arial" w:cs="Arial"/>
          <w:smallCaps w:val="0"/>
          <w:sz w:val="18"/>
          <w:szCs w:val="18"/>
        </w:rPr>
        <w:t xml:space="preserve"> del Servei de Prevenció</w:t>
      </w:r>
      <w:bookmarkEnd w:id="368"/>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696"/>
        <w:gridCol w:w="7798"/>
      </w:tblGrid>
      <w:tr w:rsidR="002B0E27" w:rsidRPr="002B0E27" w14:paraId="1725626A" w14:textId="77777777" w:rsidTr="00544752">
        <w:trPr>
          <w:tblCellSpacing w:w="0" w:type="dxa"/>
        </w:trPr>
        <w:tc>
          <w:tcPr>
            <w:tcW w:w="0" w:type="auto"/>
            <w:shd w:val="clear" w:color="auto" w:fill="9D2235"/>
            <w:tcMar>
              <w:top w:w="57" w:type="dxa"/>
              <w:left w:w="57" w:type="dxa"/>
              <w:bottom w:w="57" w:type="dxa"/>
              <w:right w:w="0" w:type="dxa"/>
            </w:tcMar>
            <w:hideMark/>
          </w:tcPr>
          <w:p w14:paraId="5D238255" w14:textId="77777777" w:rsidR="002B0E27" w:rsidRPr="002B0E27" w:rsidRDefault="002B0E27" w:rsidP="002B0E27">
            <w:pPr>
              <w:spacing w:before="100" w:beforeAutospacing="1" w:after="142" w:line="276" w:lineRule="auto"/>
              <w:rPr>
                <w:rFonts w:ascii="Arial" w:eastAsia="Times New Roman" w:hAnsi="Arial" w:cs="Arial"/>
                <w:color w:val="FFFFFF"/>
                <w:sz w:val="21"/>
                <w:szCs w:val="21"/>
                <w:lang w:val="es-ES" w:eastAsia="es-ES"/>
              </w:rPr>
            </w:pPr>
            <w:bookmarkStart w:id="369" w:name="_Hlk97710300"/>
            <w:r w:rsidRPr="002B0E27">
              <w:rPr>
                <w:rFonts w:ascii="Arial" w:eastAsia="Times New Roman" w:hAnsi="Arial" w:cs="Arial"/>
                <w:b/>
                <w:bCs/>
                <w:color w:val="FFFFFF"/>
                <w:sz w:val="21"/>
                <w:szCs w:val="21"/>
                <w:lang w:val="es-ES" w:eastAsia="es-ES"/>
              </w:rPr>
              <w:t>L. E.1</w:t>
            </w:r>
          </w:p>
        </w:tc>
        <w:tc>
          <w:tcPr>
            <w:tcW w:w="0" w:type="auto"/>
            <w:shd w:val="clear" w:color="auto" w:fill="9D2235"/>
            <w:tcMar>
              <w:top w:w="57" w:type="dxa"/>
              <w:left w:w="57" w:type="dxa"/>
              <w:bottom w:w="57" w:type="dxa"/>
              <w:right w:w="57" w:type="dxa"/>
            </w:tcMar>
            <w:hideMark/>
          </w:tcPr>
          <w:p w14:paraId="364BDB35"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Reunir un equip tècnic especialitzat en les funcions de Prevenció.</w:t>
            </w:r>
          </w:p>
        </w:tc>
      </w:tr>
      <w:bookmarkEnd w:id="369"/>
      <w:tr w:rsidR="002B0E27" w:rsidRPr="002B0E27" w14:paraId="48298493" w14:textId="77777777" w:rsidTr="00544752">
        <w:trPr>
          <w:tblCellSpacing w:w="0" w:type="dxa"/>
        </w:trPr>
        <w:tc>
          <w:tcPr>
            <w:tcW w:w="0" w:type="auto"/>
            <w:shd w:val="clear" w:color="auto" w:fill="5B6770"/>
            <w:tcMar>
              <w:top w:w="0" w:type="dxa"/>
              <w:left w:w="57" w:type="dxa"/>
              <w:bottom w:w="57" w:type="dxa"/>
              <w:right w:w="0" w:type="dxa"/>
            </w:tcMar>
            <w:hideMark/>
          </w:tcPr>
          <w:p w14:paraId="103D2E0A"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L.E.2</w:t>
            </w:r>
          </w:p>
        </w:tc>
        <w:tc>
          <w:tcPr>
            <w:tcW w:w="0" w:type="auto"/>
            <w:shd w:val="clear" w:color="auto" w:fill="5B6770"/>
            <w:tcMar>
              <w:top w:w="0" w:type="dxa"/>
              <w:left w:w="57" w:type="dxa"/>
              <w:bottom w:w="57" w:type="dxa"/>
              <w:right w:w="57" w:type="dxa"/>
            </w:tcMar>
            <w:hideMark/>
          </w:tcPr>
          <w:p w14:paraId="161BEB96"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Elaborar i publicar recomanacions generals sobre prevenció, marcs d'integritat i ètica pública.</w:t>
            </w:r>
          </w:p>
        </w:tc>
      </w:tr>
      <w:tr w:rsidR="002B0E27" w:rsidRPr="002B0E27" w14:paraId="1423A5D0" w14:textId="77777777" w:rsidTr="00544752">
        <w:trPr>
          <w:tblCellSpacing w:w="0" w:type="dxa"/>
        </w:trPr>
        <w:tc>
          <w:tcPr>
            <w:tcW w:w="0" w:type="auto"/>
            <w:shd w:val="clear" w:color="auto" w:fill="9D2235"/>
            <w:tcMar>
              <w:top w:w="0" w:type="dxa"/>
              <w:left w:w="57" w:type="dxa"/>
              <w:bottom w:w="57" w:type="dxa"/>
              <w:right w:w="0" w:type="dxa"/>
            </w:tcMar>
            <w:hideMark/>
          </w:tcPr>
          <w:p w14:paraId="7BCFE63F"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L.E.3</w:t>
            </w:r>
          </w:p>
        </w:tc>
        <w:tc>
          <w:tcPr>
            <w:tcW w:w="0" w:type="auto"/>
            <w:shd w:val="clear" w:color="auto" w:fill="9D2235"/>
            <w:tcMar>
              <w:top w:w="0" w:type="dxa"/>
              <w:left w:w="57" w:type="dxa"/>
              <w:bottom w:w="57" w:type="dxa"/>
              <w:right w:w="57" w:type="dxa"/>
            </w:tcMar>
            <w:hideMark/>
          </w:tcPr>
          <w:p w14:paraId="71C0FFD6"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Elaborar recomanacions específiques en els expedients derivats per l'àrea d'anàlisi i investigació.</w:t>
            </w:r>
          </w:p>
        </w:tc>
      </w:tr>
      <w:tr w:rsidR="002B0E27" w:rsidRPr="002B0E27" w14:paraId="6FC1F542" w14:textId="77777777" w:rsidTr="00544752">
        <w:trPr>
          <w:tblCellSpacing w:w="0" w:type="dxa"/>
        </w:trPr>
        <w:tc>
          <w:tcPr>
            <w:tcW w:w="0" w:type="auto"/>
            <w:shd w:val="clear" w:color="auto" w:fill="5B6770"/>
            <w:tcMar>
              <w:top w:w="0" w:type="dxa"/>
              <w:left w:w="57" w:type="dxa"/>
              <w:bottom w:w="57" w:type="dxa"/>
              <w:right w:w="0" w:type="dxa"/>
            </w:tcMar>
            <w:hideMark/>
          </w:tcPr>
          <w:p w14:paraId="369CD3C9"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L.E.4</w:t>
            </w:r>
          </w:p>
        </w:tc>
        <w:tc>
          <w:tcPr>
            <w:tcW w:w="0" w:type="auto"/>
            <w:shd w:val="clear" w:color="auto" w:fill="5B6770"/>
            <w:tcMar>
              <w:top w:w="0" w:type="dxa"/>
              <w:left w:w="57" w:type="dxa"/>
              <w:bottom w:w="57" w:type="dxa"/>
              <w:right w:w="57" w:type="dxa"/>
            </w:tcMar>
            <w:hideMark/>
          </w:tcPr>
          <w:p w14:paraId="39759AD7"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Identificar sectors de risc contrastat de corrupció.</w:t>
            </w:r>
          </w:p>
        </w:tc>
      </w:tr>
      <w:tr w:rsidR="002B0E27" w:rsidRPr="002B0E27" w14:paraId="2A1AB767" w14:textId="77777777" w:rsidTr="00544752">
        <w:trPr>
          <w:tblCellSpacing w:w="0" w:type="dxa"/>
        </w:trPr>
        <w:tc>
          <w:tcPr>
            <w:tcW w:w="0" w:type="auto"/>
            <w:shd w:val="clear" w:color="auto" w:fill="9D2235"/>
            <w:tcMar>
              <w:top w:w="0" w:type="dxa"/>
              <w:left w:w="57" w:type="dxa"/>
              <w:bottom w:w="57" w:type="dxa"/>
              <w:right w:w="0" w:type="dxa"/>
            </w:tcMar>
            <w:hideMark/>
          </w:tcPr>
          <w:p w14:paraId="7EEAC5EE"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L.E.5</w:t>
            </w:r>
          </w:p>
        </w:tc>
        <w:tc>
          <w:tcPr>
            <w:tcW w:w="0" w:type="auto"/>
            <w:shd w:val="clear" w:color="auto" w:fill="9D2235"/>
            <w:tcMar>
              <w:top w:w="0" w:type="dxa"/>
              <w:left w:w="57" w:type="dxa"/>
              <w:bottom w:w="57" w:type="dxa"/>
              <w:right w:w="57" w:type="dxa"/>
            </w:tcMar>
            <w:hideMark/>
          </w:tcPr>
          <w:p w14:paraId="0FB83D77"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Dissenyar una estratègia d'integritat pública com a marc i base d'elaboració d'eines de foment de marcs d'integritat i prevenció exportables a les organitzacions.</w:t>
            </w:r>
          </w:p>
        </w:tc>
      </w:tr>
      <w:tr w:rsidR="002B0E27" w:rsidRPr="002B0E27" w14:paraId="2EF54289" w14:textId="77777777" w:rsidTr="00544752">
        <w:trPr>
          <w:tblCellSpacing w:w="0" w:type="dxa"/>
        </w:trPr>
        <w:tc>
          <w:tcPr>
            <w:tcW w:w="0" w:type="auto"/>
            <w:shd w:val="clear" w:color="auto" w:fill="5B6770"/>
            <w:tcMar>
              <w:top w:w="0" w:type="dxa"/>
              <w:left w:w="57" w:type="dxa"/>
              <w:bottom w:w="57" w:type="dxa"/>
              <w:right w:w="0" w:type="dxa"/>
            </w:tcMar>
            <w:hideMark/>
          </w:tcPr>
          <w:p w14:paraId="5DFAB498"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L.E.6</w:t>
            </w:r>
          </w:p>
        </w:tc>
        <w:tc>
          <w:tcPr>
            <w:tcW w:w="0" w:type="auto"/>
            <w:shd w:val="clear" w:color="auto" w:fill="5B6770"/>
            <w:tcMar>
              <w:top w:w="0" w:type="dxa"/>
              <w:left w:w="57" w:type="dxa"/>
              <w:bottom w:w="57" w:type="dxa"/>
              <w:right w:w="57" w:type="dxa"/>
            </w:tcMar>
            <w:hideMark/>
          </w:tcPr>
          <w:p w14:paraId="75EF24AD"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 xml:space="preserve">Elaborar Eines de foment de marcs d'integritat i prevenció (I): </w:t>
            </w:r>
          </w:p>
          <w:p w14:paraId="725EEB8B"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 Metodologia general i exportable d'anàlisi de riscos.</w:t>
            </w:r>
          </w:p>
          <w:p w14:paraId="3E7F2683"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p>
        </w:tc>
      </w:tr>
      <w:tr w:rsidR="002B0E27" w:rsidRPr="002B0E27" w14:paraId="4A61AC73" w14:textId="77777777" w:rsidTr="00544752">
        <w:trPr>
          <w:tblCellSpacing w:w="0" w:type="dxa"/>
        </w:trPr>
        <w:tc>
          <w:tcPr>
            <w:tcW w:w="0" w:type="auto"/>
            <w:shd w:val="clear" w:color="auto" w:fill="9D2235"/>
            <w:tcMar>
              <w:top w:w="0" w:type="dxa"/>
              <w:left w:w="57" w:type="dxa"/>
              <w:bottom w:w="57" w:type="dxa"/>
              <w:right w:w="0" w:type="dxa"/>
            </w:tcMar>
            <w:hideMark/>
          </w:tcPr>
          <w:p w14:paraId="12065E89"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L.E.7</w:t>
            </w:r>
          </w:p>
        </w:tc>
        <w:tc>
          <w:tcPr>
            <w:tcW w:w="0" w:type="auto"/>
            <w:shd w:val="clear" w:color="auto" w:fill="9D2235"/>
            <w:tcMar>
              <w:top w:w="0" w:type="dxa"/>
              <w:left w:w="57" w:type="dxa"/>
              <w:bottom w:w="57" w:type="dxa"/>
              <w:right w:w="57" w:type="dxa"/>
            </w:tcMar>
            <w:hideMark/>
          </w:tcPr>
          <w:p w14:paraId="19655C4D"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Elaborar Eines de foment de marcs d'integritat i prevenció (II):</w:t>
            </w:r>
          </w:p>
          <w:p w14:paraId="6092C818"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 Contingut mínim dels Plans de Prevenció de corrupció.</w:t>
            </w:r>
          </w:p>
          <w:p w14:paraId="7A131D8D"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 Elaboració d'un codi ètic.</w:t>
            </w:r>
          </w:p>
        </w:tc>
      </w:tr>
      <w:tr w:rsidR="002B0E27" w:rsidRPr="002B0E27" w14:paraId="60AB00FC" w14:textId="77777777" w:rsidTr="00544752">
        <w:trPr>
          <w:tblCellSpacing w:w="0" w:type="dxa"/>
        </w:trPr>
        <w:tc>
          <w:tcPr>
            <w:tcW w:w="0" w:type="auto"/>
            <w:shd w:val="clear" w:color="auto" w:fill="5B6770"/>
            <w:tcMar>
              <w:top w:w="0" w:type="dxa"/>
              <w:left w:w="57" w:type="dxa"/>
              <w:bottom w:w="57" w:type="dxa"/>
              <w:right w:w="0" w:type="dxa"/>
            </w:tcMar>
            <w:hideMark/>
          </w:tcPr>
          <w:p w14:paraId="202185EE"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L.E.8</w:t>
            </w:r>
          </w:p>
        </w:tc>
        <w:tc>
          <w:tcPr>
            <w:tcW w:w="0" w:type="auto"/>
            <w:shd w:val="clear" w:color="auto" w:fill="5B6770"/>
            <w:tcMar>
              <w:top w:w="0" w:type="dxa"/>
              <w:left w:w="57" w:type="dxa"/>
              <w:bottom w:w="57" w:type="dxa"/>
              <w:right w:w="57" w:type="dxa"/>
            </w:tcMar>
            <w:hideMark/>
          </w:tcPr>
          <w:p w14:paraId="411BC03F"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Realitzar investigacions, estudis i publicacions sobre sectors específics de risc de frau i corrupció en la Comunitat Valenciana.</w:t>
            </w:r>
          </w:p>
        </w:tc>
      </w:tr>
      <w:tr w:rsidR="002B0E27" w:rsidRPr="002B0E27" w14:paraId="3C7306E0" w14:textId="77777777" w:rsidTr="00544752">
        <w:trPr>
          <w:trHeight w:val="600"/>
          <w:tblCellSpacing w:w="0" w:type="dxa"/>
        </w:trPr>
        <w:tc>
          <w:tcPr>
            <w:tcW w:w="0" w:type="auto"/>
            <w:shd w:val="clear" w:color="auto" w:fill="9D2235"/>
            <w:tcMar>
              <w:top w:w="0" w:type="dxa"/>
              <w:left w:w="57" w:type="dxa"/>
              <w:bottom w:w="57" w:type="dxa"/>
              <w:right w:w="0" w:type="dxa"/>
            </w:tcMar>
            <w:hideMark/>
          </w:tcPr>
          <w:p w14:paraId="1B51A40F"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bookmarkStart w:id="370" w:name="_Hlk62569562"/>
            <w:r w:rsidRPr="002B0E27">
              <w:rPr>
                <w:rFonts w:ascii="Arial" w:eastAsia="Times New Roman" w:hAnsi="Arial" w:cs="Arial"/>
                <w:b/>
                <w:bCs/>
                <w:color w:val="FFFFFF"/>
                <w:sz w:val="21"/>
                <w:szCs w:val="21"/>
                <w:lang w:val="es-ES" w:eastAsia="es-ES"/>
              </w:rPr>
              <w:t>L.E.9</w:t>
            </w:r>
          </w:p>
        </w:tc>
        <w:tc>
          <w:tcPr>
            <w:tcW w:w="0" w:type="auto"/>
            <w:shd w:val="clear" w:color="auto" w:fill="9D2235"/>
            <w:tcMar>
              <w:top w:w="0" w:type="dxa"/>
              <w:left w:w="57" w:type="dxa"/>
              <w:bottom w:w="57" w:type="dxa"/>
              <w:right w:w="57" w:type="dxa"/>
            </w:tcMar>
            <w:hideMark/>
          </w:tcPr>
          <w:p w14:paraId="260F8521" w14:textId="77777777" w:rsidR="002B0E27" w:rsidRPr="002B0E27" w:rsidRDefault="002B0E27" w:rsidP="002B0E27">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val="es-ES" w:eastAsia="es-ES"/>
              </w:rPr>
            </w:pPr>
            <w:r w:rsidRPr="002B0E27">
              <w:rPr>
                <w:rFonts w:ascii="Arial" w:eastAsia="Calibri" w:hAnsi="Arial" w:cs="Tahoma"/>
                <w:color w:val="FFFFFF"/>
                <w:sz w:val="21"/>
                <w:szCs w:val="21"/>
                <w:lang w:val="es-ES" w:eastAsia="es-ES"/>
              </w:rPr>
              <w:t>Efectuar al·legacions o suggeriments durant els processos d'elaboració de normes que afecten l'àmbit subjectiu de l'Agència.</w:t>
            </w:r>
          </w:p>
        </w:tc>
      </w:tr>
      <w:tr w:rsidR="002B0E27" w:rsidRPr="002B0E27" w14:paraId="5F56A054" w14:textId="77777777" w:rsidTr="00544752">
        <w:trPr>
          <w:trHeight w:val="600"/>
          <w:tblCellSpacing w:w="0" w:type="dxa"/>
        </w:trPr>
        <w:tc>
          <w:tcPr>
            <w:tcW w:w="0" w:type="auto"/>
            <w:shd w:val="clear" w:color="auto" w:fill="5B6770"/>
            <w:tcMar>
              <w:top w:w="0" w:type="dxa"/>
              <w:left w:w="57" w:type="dxa"/>
              <w:bottom w:w="57" w:type="dxa"/>
              <w:right w:w="0" w:type="dxa"/>
            </w:tcMar>
          </w:tcPr>
          <w:p w14:paraId="23DB8895"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L.E.10</w:t>
            </w:r>
          </w:p>
        </w:tc>
        <w:tc>
          <w:tcPr>
            <w:tcW w:w="0" w:type="auto"/>
            <w:shd w:val="clear" w:color="auto" w:fill="5B6770"/>
            <w:tcMar>
              <w:top w:w="0" w:type="dxa"/>
              <w:left w:w="57" w:type="dxa"/>
              <w:bottom w:w="57" w:type="dxa"/>
              <w:right w:w="57" w:type="dxa"/>
            </w:tcMar>
          </w:tcPr>
          <w:p w14:paraId="3813815D" w14:textId="77777777" w:rsidR="002B0E27" w:rsidRPr="002B0E27" w:rsidRDefault="002B0E27" w:rsidP="002B0E27">
            <w:pPr>
              <w:widowControl w:val="0"/>
              <w:suppressAutoHyphens/>
              <w:autoSpaceDN w:val="0"/>
              <w:spacing w:after="240" w:line="276" w:lineRule="auto"/>
              <w:jc w:val="both"/>
              <w:textAlignment w:val="baseline"/>
              <w:rPr>
                <w:rFonts w:ascii="Arial" w:eastAsia="Calibri" w:hAnsi="Arial" w:cs="Tahoma"/>
                <w:color w:val="FFFFFF"/>
                <w:sz w:val="21"/>
                <w:szCs w:val="21"/>
                <w:lang w:val="es-ES" w:eastAsia="es-ES"/>
              </w:rPr>
            </w:pPr>
            <w:r w:rsidRPr="002B0E27">
              <w:rPr>
                <w:rFonts w:ascii="Arial" w:eastAsia="Calibri" w:hAnsi="Arial" w:cs="Tahoma"/>
                <w:color w:val="FFFFFF"/>
                <w:sz w:val="21"/>
                <w:szCs w:val="21"/>
                <w:lang w:val="es-ES" w:eastAsia="es-ES"/>
              </w:rPr>
              <w:t>Prestar assessorament i donar resposta a consultes sobre prevenció del frau, la corrupció i el foment de la integritat pública.</w:t>
            </w:r>
          </w:p>
        </w:tc>
      </w:tr>
      <w:tr w:rsidR="002B0E27" w:rsidRPr="002B0E27" w14:paraId="25E12BB2" w14:textId="77777777" w:rsidTr="00544752">
        <w:trPr>
          <w:trHeight w:val="600"/>
          <w:tblCellSpacing w:w="0" w:type="dxa"/>
        </w:trPr>
        <w:tc>
          <w:tcPr>
            <w:tcW w:w="0" w:type="auto"/>
            <w:shd w:val="clear" w:color="auto" w:fill="9D2235"/>
            <w:tcMar>
              <w:top w:w="0" w:type="dxa"/>
              <w:left w:w="57" w:type="dxa"/>
              <w:bottom w:w="57" w:type="dxa"/>
              <w:right w:w="0" w:type="dxa"/>
            </w:tcMar>
          </w:tcPr>
          <w:p w14:paraId="1951A4AA" w14:textId="77777777" w:rsidR="002B0E27" w:rsidRPr="002B0E27" w:rsidRDefault="002B0E27" w:rsidP="002B0E27">
            <w:pPr>
              <w:spacing w:before="100" w:beforeAutospacing="1" w:after="142" w:line="276" w:lineRule="auto"/>
              <w:rPr>
                <w:rFonts w:ascii="Arial" w:eastAsia="Times New Roman" w:hAnsi="Arial" w:cs="Arial"/>
                <w:b/>
                <w:bCs/>
                <w:color w:val="FFFFFF"/>
                <w:sz w:val="21"/>
                <w:szCs w:val="21"/>
                <w:lang w:val="es-ES" w:eastAsia="es-ES"/>
              </w:rPr>
            </w:pPr>
            <w:r w:rsidRPr="002B0E27">
              <w:rPr>
                <w:rFonts w:ascii="Arial" w:eastAsia="Times New Roman" w:hAnsi="Arial" w:cs="Arial"/>
                <w:b/>
                <w:bCs/>
                <w:color w:val="FFFFFF"/>
                <w:sz w:val="21"/>
                <w:szCs w:val="21"/>
                <w:lang w:val="es-ES" w:eastAsia="es-ES"/>
              </w:rPr>
              <w:t>L.E.11</w:t>
            </w:r>
          </w:p>
        </w:tc>
        <w:tc>
          <w:tcPr>
            <w:tcW w:w="0" w:type="auto"/>
            <w:shd w:val="clear" w:color="auto" w:fill="9D2235"/>
            <w:tcMar>
              <w:top w:w="0" w:type="dxa"/>
              <w:left w:w="57" w:type="dxa"/>
              <w:bottom w:w="57" w:type="dxa"/>
              <w:right w:w="57" w:type="dxa"/>
            </w:tcMar>
          </w:tcPr>
          <w:p w14:paraId="6C26C1AE" w14:textId="77777777" w:rsidR="002B0E27" w:rsidRPr="002B0E27" w:rsidRDefault="002B0E27" w:rsidP="002B0E27">
            <w:pPr>
              <w:widowControl w:val="0"/>
              <w:suppressAutoHyphens/>
              <w:autoSpaceDN w:val="0"/>
              <w:spacing w:after="240" w:line="276" w:lineRule="auto"/>
              <w:jc w:val="both"/>
              <w:textAlignment w:val="baseline"/>
              <w:rPr>
                <w:rFonts w:ascii="Arial" w:eastAsia="Calibri" w:hAnsi="Arial" w:cs="Tahoma"/>
                <w:color w:val="FFFFFF"/>
                <w:sz w:val="21"/>
                <w:szCs w:val="21"/>
                <w:lang w:val="es-ES" w:eastAsia="es-ES"/>
              </w:rPr>
            </w:pPr>
            <w:r w:rsidRPr="002B0E27">
              <w:rPr>
                <w:rFonts w:ascii="Arial" w:eastAsia="Calibri" w:hAnsi="Arial" w:cs="Tahoma"/>
                <w:color w:val="FFFFFF"/>
                <w:sz w:val="21"/>
                <w:szCs w:val="21"/>
                <w:lang w:val="es-ES" w:eastAsia="es-ES"/>
              </w:rPr>
              <w:t>Col·laborar amb persones, entitats interessades, universitats i organismes de control en investigacions de Prevenció, la seua difusió, així com a proposar criteris previs, clars i estables de control de l'acció pública.</w:t>
            </w:r>
          </w:p>
        </w:tc>
      </w:tr>
      <w:bookmarkEnd w:id="370"/>
    </w:tbl>
    <w:p w14:paraId="75252D08" w14:textId="2E3D7A47" w:rsidR="00DD3DF0" w:rsidRPr="002B0E27" w:rsidRDefault="00DD3DF0" w:rsidP="009A48F2">
      <w:pPr>
        <w:spacing w:after="240" w:line="276" w:lineRule="auto"/>
        <w:jc w:val="both"/>
        <w:rPr>
          <w:rFonts w:ascii="Arial" w:hAnsi="Arial"/>
          <w:sz w:val="21"/>
          <w:lang w:val="es-ES"/>
        </w:rPr>
      </w:pPr>
    </w:p>
    <w:p w14:paraId="47A03D73" w14:textId="77777777" w:rsidR="00611C40" w:rsidRPr="00611C40" w:rsidRDefault="00611C40" w:rsidP="00611C40">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71" w:name="_Toc96517833"/>
      <w:bookmarkStart w:id="372" w:name="_Toc99110809"/>
      <w:r w:rsidRPr="00611C40">
        <w:rPr>
          <w:rFonts w:ascii="Arial" w:hAnsi="Arial"/>
          <w:b/>
          <w:color w:val="9D2235"/>
          <w:sz w:val="28"/>
          <w:szCs w:val="28"/>
        </w:rPr>
        <w:t>Recomanacions, guies i manuals</w:t>
      </w:r>
      <w:bookmarkEnd w:id="371"/>
      <w:bookmarkEnd w:id="372"/>
    </w:p>
    <w:p w14:paraId="69622EA8" w14:textId="77777777" w:rsidR="00611C40" w:rsidRPr="00611C40" w:rsidRDefault="00611C40" w:rsidP="00611C40">
      <w:pPr>
        <w:spacing w:after="240" w:line="276" w:lineRule="auto"/>
        <w:jc w:val="both"/>
        <w:rPr>
          <w:rFonts w:ascii="Arial" w:eastAsia="Times New Roman" w:hAnsi="Arial" w:cs="Arial"/>
          <w:sz w:val="21"/>
          <w:szCs w:val="21"/>
        </w:rPr>
      </w:pPr>
      <w:r w:rsidRPr="00611C40">
        <w:rPr>
          <w:rFonts w:ascii="Arial" w:eastAsia="Times New Roman" w:hAnsi="Arial" w:cs="Arial"/>
          <w:sz w:val="21"/>
          <w:szCs w:val="21"/>
        </w:rPr>
        <w:t>En l'àmbit de les funcions d'assessorament preventiu de l’AVAF, el Pla Estratègic del Servei contempla l'elaboració i posada a la disposició d'institucions i ciutadania en general, tant de recomanacions generals sobre prevenció com d'altres materials d'interés en funció de cada context, que faciliten la implementació de marcs d'integritat i ètica pública, contribuint així a dissipar dubtes en matèria de prevenció del frau, la corrupció i la integritat pública.</w:t>
      </w:r>
    </w:p>
    <w:p w14:paraId="76A4C09D" w14:textId="77777777" w:rsidR="00611C40" w:rsidRPr="00611C40" w:rsidRDefault="00611C40" w:rsidP="00611C40">
      <w:pPr>
        <w:spacing w:after="240" w:line="276" w:lineRule="auto"/>
        <w:jc w:val="both"/>
        <w:rPr>
          <w:rFonts w:ascii="Arial" w:eastAsia="Times New Roman" w:hAnsi="Arial" w:cs="Arial"/>
          <w:sz w:val="21"/>
          <w:szCs w:val="21"/>
        </w:rPr>
      </w:pPr>
      <w:r w:rsidRPr="00611C40">
        <w:rPr>
          <w:rFonts w:ascii="Arial" w:eastAsia="Times New Roman" w:hAnsi="Arial" w:cs="Arial"/>
          <w:sz w:val="21"/>
          <w:szCs w:val="21"/>
        </w:rPr>
        <w:t xml:space="preserve">Durant 2021 s'han fet treballs d'estudi, sistematització i redacció d'una proposta de </w:t>
      </w:r>
      <w:r w:rsidRPr="00611C40">
        <w:rPr>
          <w:rFonts w:ascii="Arial" w:eastAsia="Times New Roman" w:hAnsi="Arial" w:cs="Arial"/>
          <w:b/>
          <w:bCs/>
          <w:sz w:val="21"/>
          <w:szCs w:val="21"/>
        </w:rPr>
        <w:t>Recomanació general</w:t>
      </w:r>
      <w:r w:rsidRPr="00611C40">
        <w:rPr>
          <w:rFonts w:ascii="Arial" w:eastAsia="Times New Roman" w:hAnsi="Arial" w:cs="Arial"/>
          <w:sz w:val="21"/>
          <w:szCs w:val="21"/>
        </w:rPr>
        <w:t xml:space="preserve">, que serà publicada durant el primer semestre de 2022, relacionada amb la prevenció de la corrupció durant la fase d'execució dels contractes del sector públic, abordant aspectes com ara la contractació d'emergència, en l'encara present context socioeconòmic conseqüència de la pandèmia SARS2/COVID-19, o els riscos motivats per fugides d'informació i ciberatacs, entre molts altres. </w:t>
      </w:r>
    </w:p>
    <w:p w14:paraId="0788BEB4" w14:textId="5F215BBA" w:rsidR="00DD3DF0" w:rsidRPr="00611C40" w:rsidRDefault="00611C40" w:rsidP="00611C40">
      <w:pPr>
        <w:spacing w:after="240" w:line="276" w:lineRule="auto"/>
        <w:jc w:val="both"/>
        <w:rPr>
          <w:rFonts w:ascii="Arial" w:eastAsia="Times New Roman" w:hAnsi="Arial" w:cs="Arial"/>
          <w:sz w:val="21"/>
          <w:szCs w:val="21"/>
        </w:rPr>
      </w:pPr>
      <w:r w:rsidRPr="00611C40">
        <w:rPr>
          <w:rFonts w:ascii="Arial" w:eastAsia="Times New Roman" w:hAnsi="Arial" w:cs="Arial"/>
          <w:sz w:val="21"/>
          <w:szCs w:val="21"/>
        </w:rPr>
        <w:t xml:space="preserve">La missió de servei públic de qualsevol entitat pública està orientada a la consecució de l'interés general en el seu concret àmbit competencial. D'ací, l'extraordinària importància que es practique la cultura de la integritat pública a tots els nivells de cada organització, i això passa necessàriament per comptar amb els principals marcs d'integritat: plans d'integritat, codis ètics, canals de comunicacions i denúncies i pràctiques formatives, tots ells tendents a minimitzar els riscos i irregularitats (tant penals com administratius) derivats de pràctiques contràries a l'interés general, mitjançant la prevenció i detecció del frau, la corrupció i els conflictes d'interés, i l'adopció de mesures tendents a la seua correcció. Per això, l'exercici 2021 ha culminat amb l'elaboració, per part del Servei de Prevenció, de </w:t>
      </w:r>
      <w:r w:rsidRPr="00611C40">
        <w:rPr>
          <w:rFonts w:ascii="Arial" w:eastAsia="Times New Roman" w:hAnsi="Arial" w:cs="Arial"/>
          <w:b/>
          <w:bCs/>
          <w:sz w:val="21"/>
          <w:szCs w:val="21"/>
        </w:rPr>
        <w:t>dos nous tipus de materials preventius</w:t>
      </w:r>
      <w:r w:rsidRPr="00611C40">
        <w:rPr>
          <w:rFonts w:ascii="Arial" w:eastAsia="Times New Roman" w:hAnsi="Arial" w:cs="Arial"/>
          <w:sz w:val="21"/>
          <w:szCs w:val="21"/>
        </w:rPr>
        <w:t xml:space="preserve"> que l'Agència ha posat a la disposició de qualsevol entitat o persona interessada: la primera </w:t>
      </w:r>
      <w:r w:rsidRPr="00611C40">
        <w:rPr>
          <w:rFonts w:ascii="Arial" w:eastAsia="Times New Roman" w:hAnsi="Arial" w:cs="Arial"/>
          <w:b/>
          <w:bCs/>
          <w:sz w:val="21"/>
          <w:szCs w:val="21"/>
        </w:rPr>
        <w:t>Guia AVAF: El Pla d'Integritat Pública: Full de ruta i Annexos</w:t>
      </w:r>
      <w:r w:rsidRPr="00611C40">
        <w:rPr>
          <w:rFonts w:ascii="Arial" w:eastAsia="Times New Roman" w:hAnsi="Arial" w:cs="Arial"/>
          <w:sz w:val="21"/>
          <w:szCs w:val="21"/>
        </w:rPr>
        <w:t xml:space="preserve"> </w:t>
      </w:r>
      <w:r w:rsidRPr="00611C40">
        <w:rPr>
          <w:rFonts w:ascii="Arial" w:eastAsia="Times New Roman" w:hAnsi="Arial" w:cs="Arial"/>
          <w:b/>
          <w:sz w:val="21"/>
          <w:szCs w:val="21"/>
        </w:rPr>
        <w:t>Facilitadors</w:t>
      </w:r>
      <w:r w:rsidRPr="00611C40">
        <w:rPr>
          <w:rFonts w:ascii="Arial" w:eastAsia="Times New Roman" w:hAnsi="Arial" w:cs="Arial"/>
          <w:sz w:val="21"/>
          <w:szCs w:val="21"/>
        </w:rPr>
        <w:t>,</w:t>
      </w:r>
      <w:r w:rsidRPr="00611C40">
        <w:rPr>
          <w:rFonts w:ascii="Arial" w:eastAsia="Times New Roman" w:hAnsi="Arial" w:cs="Arial"/>
          <w:b/>
          <w:bCs/>
          <w:sz w:val="21"/>
          <w:szCs w:val="21"/>
        </w:rPr>
        <w:t xml:space="preserve"> </w:t>
      </w:r>
      <w:r w:rsidRPr="00611C40">
        <w:rPr>
          <w:rFonts w:ascii="Arial" w:eastAsia="Times New Roman" w:hAnsi="Arial" w:cs="Arial"/>
          <w:sz w:val="21"/>
          <w:szCs w:val="21"/>
        </w:rPr>
        <w:t>[</w:t>
      </w:r>
      <w:hyperlink r:id="rId498" w:history="1">
        <w:r w:rsidRPr="00611C40">
          <w:rPr>
            <w:rStyle w:val="Hipervnculo"/>
            <w:rFonts w:ascii="Arial" w:eastAsia="Times New Roman" w:hAnsi="Arial" w:cs="Arial"/>
            <w:sz w:val="21"/>
            <w:szCs w:val="21"/>
          </w:rPr>
          <w:t>https://www.antifraucv.es/wp-content/uploads/2021/11/Guia_avaf_plan_de_integridad_publica.pdf</w:t>
        </w:r>
      </w:hyperlink>
      <w:r w:rsidRPr="00611C40">
        <w:rPr>
          <w:rFonts w:ascii="Arial" w:eastAsia="Times New Roman" w:hAnsi="Arial" w:cs="Arial"/>
          <w:sz w:val="21"/>
          <w:szCs w:val="21"/>
        </w:rPr>
        <w:t xml:space="preserve">]; y el </w:t>
      </w:r>
      <w:bookmarkStart w:id="373" w:name="_Hlk94877682"/>
      <w:r w:rsidRPr="00611C40">
        <w:rPr>
          <w:rFonts w:ascii="Arial" w:eastAsia="Times New Roman" w:hAnsi="Arial" w:cs="Arial"/>
          <w:b/>
          <w:bCs/>
          <w:sz w:val="21"/>
          <w:szCs w:val="21"/>
        </w:rPr>
        <w:t>primer manual didáctic visual: Els conflictes d’interés en clau d’integritat</w:t>
      </w:r>
      <w:r w:rsidRPr="00611C40">
        <w:rPr>
          <w:rFonts w:ascii="Arial" w:eastAsia="Times New Roman" w:hAnsi="Arial" w:cs="Arial"/>
          <w:sz w:val="21"/>
          <w:szCs w:val="21"/>
        </w:rPr>
        <w:t xml:space="preserve"> [</w:t>
      </w:r>
      <w:hyperlink r:id="rId499" w:history="1">
        <w:r w:rsidRPr="00611C40">
          <w:rPr>
            <w:rStyle w:val="Hipervnculo"/>
            <w:rFonts w:ascii="Arial" w:eastAsia="Times New Roman" w:hAnsi="Arial" w:cs="Arial"/>
            <w:sz w:val="21"/>
            <w:szCs w:val="21"/>
          </w:rPr>
          <w:t>https://www.antifraucv.es/wp-content/uploads/2021/11/Manual-Didactivo-Visual.pdfjunto</w:t>
        </w:r>
      </w:hyperlink>
      <w:r w:rsidRPr="00611C40">
        <w:rPr>
          <w:rFonts w:ascii="Arial" w:eastAsia="Times New Roman" w:hAnsi="Arial" w:cs="Arial"/>
          <w:sz w:val="21"/>
          <w:szCs w:val="21"/>
        </w:rPr>
        <w:t xml:space="preserve">], </w:t>
      </w:r>
      <w:bookmarkEnd w:id="373"/>
      <w:r w:rsidRPr="00611C40">
        <w:rPr>
          <w:rFonts w:ascii="Arial" w:eastAsia="Times New Roman" w:hAnsi="Arial" w:cs="Arial"/>
          <w:sz w:val="21"/>
          <w:szCs w:val="21"/>
        </w:rPr>
        <w:t xml:space="preserve">amb </w:t>
      </w:r>
      <w:r w:rsidRPr="00611C40">
        <w:rPr>
          <w:rFonts w:ascii="Arial" w:eastAsia="Times New Roman" w:hAnsi="Arial" w:cs="Arial"/>
          <w:b/>
          <w:bCs/>
          <w:sz w:val="21"/>
          <w:szCs w:val="21"/>
        </w:rPr>
        <w:t>catàlegs de riscos</w:t>
      </w:r>
      <w:r w:rsidRPr="00611C40">
        <w:rPr>
          <w:rFonts w:ascii="Arial" w:eastAsia="Times New Roman" w:hAnsi="Arial" w:cs="Arial"/>
          <w:sz w:val="21"/>
          <w:szCs w:val="21"/>
        </w:rPr>
        <w:t xml:space="preserve"> [</w:t>
      </w:r>
      <w:hyperlink r:id="rId500" w:history="1">
        <w:r w:rsidRPr="00611C40">
          <w:rPr>
            <w:rStyle w:val="Hipervnculo"/>
            <w:rFonts w:ascii="Arial" w:eastAsia="Times New Roman" w:hAnsi="Arial" w:cs="Arial"/>
            <w:sz w:val="21"/>
            <w:szCs w:val="21"/>
          </w:rPr>
          <w:t>https://www.antifraucv.es/wp-content/uploads/2021/12/Catalogo-de-riesgos.pdf</w:t>
        </w:r>
      </w:hyperlink>
      <w:r w:rsidRPr="00611C40">
        <w:rPr>
          <w:rFonts w:ascii="Arial" w:eastAsia="Times New Roman" w:hAnsi="Arial" w:cs="Arial"/>
          <w:sz w:val="21"/>
          <w:szCs w:val="21"/>
        </w:rPr>
        <w:t>]</w:t>
      </w:r>
    </w:p>
    <w:p w14:paraId="03E591A5" w14:textId="77777777" w:rsidR="007F1F98" w:rsidRDefault="0020097D" w:rsidP="007F1F98">
      <w:pPr>
        <w:widowControl w:val="0"/>
        <w:suppressAutoHyphens/>
        <w:spacing w:after="240" w:line="276" w:lineRule="auto"/>
        <w:contextualSpacing/>
        <w:jc w:val="both"/>
        <w:textAlignment w:val="baseline"/>
        <w:rPr>
          <w:rFonts w:ascii="Arial" w:eastAsia="NSimSun" w:hAnsi="Arial" w:cs="Arial"/>
          <w:b/>
          <w:bCs/>
          <w:sz w:val="21"/>
          <w:szCs w:val="21"/>
          <w:lang w:eastAsia="zh-CN" w:bidi="hi-IN"/>
        </w:rPr>
      </w:pPr>
      <w:r w:rsidRPr="0020097D">
        <w:rPr>
          <w:rFonts w:ascii="Arial" w:eastAsia="NSimSun" w:hAnsi="Arial" w:cs="Arial"/>
          <w:bCs/>
          <w:noProof/>
          <w:sz w:val="21"/>
          <w:szCs w:val="21"/>
          <w:lang w:eastAsia="zh-CN" w:bidi="hi-IN"/>
        </w:rPr>
        <mc:AlternateContent>
          <mc:Choice Requires="wps">
            <w:drawing>
              <wp:anchor distT="45720" distB="45720" distL="114300" distR="114300" simplePos="0" relativeHeight="252003328" behindDoc="0" locked="0" layoutInCell="1" allowOverlap="1" wp14:anchorId="3118FAE4" wp14:editId="42143ED1">
                <wp:simplePos x="0" y="0"/>
                <wp:positionH relativeFrom="margin">
                  <wp:posOffset>-6985</wp:posOffset>
                </wp:positionH>
                <wp:positionV relativeFrom="paragraph">
                  <wp:posOffset>442595</wp:posOffset>
                </wp:positionV>
                <wp:extent cx="2133600" cy="2368550"/>
                <wp:effectExtent l="0" t="0" r="0" b="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368550"/>
                        </a:xfrm>
                        <a:prstGeom prst="rect">
                          <a:avLst/>
                        </a:prstGeom>
                        <a:solidFill>
                          <a:srgbClr val="FFFFFF"/>
                        </a:solidFill>
                        <a:ln w="9525">
                          <a:noFill/>
                          <a:miter lim="800000"/>
                          <a:headEnd/>
                          <a:tailEnd/>
                        </a:ln>
                      </wps:spPr>
                      <wps:txbx>
                        <w:txbxContent>
                          <w:p w14:paraId="5A6A7E7E" w14:textId="77777777" w:rsidR="0020097D" w:rsidRDefault="0020097D" w:rsidP="0020097D">
                            <w:pPr>
                              <w:keepNext/>
                              <w:jc w:val="center"/>
                            </w:pPr>
                            <w:r>
                              <w:rPr>
                                <w:noProof/>
                              </w:rPr>
                              <w:drawing>
                                <wp:inline distT="0" distB="0" distL="0" distR="0" wp14:anchorId="2CD77F44" wp14:editId="45ABA232">
                                  <wp:extent cx="1439703" cy="1752600"/>
                                  <wp:effectExtent l="0" t="0" r="8255" b="0"/>
                                  <wp:docPr id="28" name="Imagen 28" descr="https://www.antifraucv.es/wp-content/uploads/2022/01/banner_guia-av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https://www.antifraucv.es/wp-content/uploads/2022/01/banner_guia-avaf.jpg"/>
                                          <pic:cNvPicPr>
                                            <a:picLocks noChangeAspect="1"/>
                                          </pic:cNvPicPr>
                                        </pic:nvPicPr>
                                        <pic:blipFill rotWithShape="1">
                                          <a:blip r:embed="rId501" cstate="print">
                                            <a:extLst>
                                              <a:ext uri="{28A0092B-C50C-407E-A947-70E740481C1C}">
                                                <a14:useLocalDpi xmlns:a14="http://schemas.microsoft.com/office/drawing/2010/main" val="0"/>
                                              </a:ext>
                                            </a:extLst>
                                          </a:blip>
                                          <a:srcRect l="22813" r="23213"/>
                                          <a:stretch/>
                                        </pic:blipFill>
                                        <pic:spPr bwMode="auto">
                                          <a:xfrm>
                                            <a:off x="0" y="0"/>
                                            <a:ext cx="1471393" cy="1791178"/>
                                          </a:xfrm>
                                          <a:prstGeom prst="rect">
                                            <a:avLst/>
                                          </a:prstGeom>
                                          <a:noFill/>
                                          <a:ln>
                                            <a:noFill/>
                                          </a:ln>
                                          <a:extLst>
                                            <a:ext uri="{53640926-AAD7-44D8-BBD7-CCE9431645EC}">
                                              <a14:shadowObscured xmlns:a14="http://schemas.microsoft.com/office/drawing/2010/main"/>
                                            </a:ext>
                                          </a:extLst>
                                        </pic:spPr>
                                      </pic:pic>
                                    </a:graphicData>
                                  </a:graphic>
                                </wp:inline>
                              </w:drawing>
                            </w:r>
                          </w:p>
                          <w:p w14:paraId="42838A74" w14:textId="238EDD98" w:rsidR="0020097D" w:rsidRPr="0020097D" w:rsidRDefault="0020097D" w:rsidP="0020097D">
                            <w:pPr>
                              <w:pStyle w:val="Descripcin"/>
                              <w:jc w:val="center"/>
                              <w:rPr>
                                <w:rFonts w:ascii="Arial" w:hAnsi="Arial" w:cs="Arial"/>
                                <w:smallCaps w:val="0"/>
                                <w:sz w:val="18"/>
                                <w:szCs w:val="18"/>
                              </w:rPr>
                            </w:pPr>
                            <w:bookmarkStart w:id="374" w:name="_Toc99110897"/>
                            <w:r w:rsidRPr="0020097D">
                              <w:rPr>
                                <w:rFonts w:ascii="Arial" w:hAnsi="Arial" w:cs="Arial"/>
                                <w:smallCaps w:val="0"/>
                                <w:color w:val="9D2235" w:themeColor="accent1"/>
                                <w:sz w:val="18"/>
                                <w:szCs w:val="18"/>
                              </w:rPr>
                              <w:t xml:space="preserve">Imatge </w:t>
                            </w:r>
                            <w:r w:rsidRPr="0020097D">
                              <w:rPr>
                                <w:rFonts w:ascii="Arial" w:hAnsi="Arial" w:cs="Arial"/>
                                <w:smallCaps w:val="0"/>
                                <w:color w:val="9D2235" w:themeColor="accent1"/>
                                <w:sz w:val="18"/>
                                <w:szCs w:val="18"/>
                              </w:rPr>
                              <w:fldChar w:fldCharType="begin"/>
                            </w:r>
                            <w:r w:rsidRPr="0020097D">
                              <w:rPr>
                                <w:rFonts w:ascii="Arial" w:hAnsi="Arial" w:cs="Arial"/>
                                <w:smallCaps w:val="0"/>
                                <w:color w:val="9D2235" w:themeColor="accent1"/>
                                <w:sz w:val="18"/>
                                <w:szCs w:val="18"/>
                              </w:rPr>
                              <w:instrText xml:space="preserve"> SEQ Imatge \* ARABIC </w:instrText>
                            </w:r>
                            <w:r w:rsidRPr="0020097D">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8</w:t>
                            </w:r>
                            <w:r w:rsidRPr="0020097D">
                              <w:rPr>
                                <w:rFonts w:ascii="Arial" w:hAnsi="Arial" w:cs="Arial"/>
                                <w:smallCaps w:val="0"/>
                                <w:color w:val="9D2235" w:themeColor="accent1"/>
                                <w:sz w:val="18"/>
                                <w:szCs w:val="18"/>
                              </w:rPr>
                              <w:fldChar w:fldCharType="end"/>
                            </w:r>
                            <w:r w:rsidRPr="0020097D">
                              <w:rPr>
                                <w:rFonts w:ascii="Arial" w:hAnsi="Arial" w:cs="Arial"/>
                                <w:smallCaps w:val="0"/>
                                <w:color w:val="9D2235" w:themeColor="accent1"/>
                                <w:sz w:val="18"/>
                                <w:szCs w:val="18"/>
                              </w:rPr>
                              <w:t xml:space="preserve">. </w:t>
                            </w:r>
                            <w:r w:rsidR="00E0155F" w:rsidRPr="0020097D">
                              <w:rPr>
                                <w:rFonts w:ascii="Arial" w:hAnsi="Arial" w:cs="Arial"/>
                                <w:smallCaps w:val="0"/>
                                <w:sz w:val="18"/>
                                <w:szCs w:val="18"/>
                              </w:rPr>
                              <w:t>Guia</w:t>
                            </w:r>
                            <w:r w:rsidRPr="0020097D">
                              <w:rPr>
                                <w:rFonts w:ascii="Arial" w:hAnsi="Arial" w:cs="Arial"/>
                                <w:smallCaps w:val="0"/>
                                <w:sz w:val="18"/>
                                <w:szCs w:val="18"/>
                              </w:rPr>
                              <w:t xml:space="preserve"> AVAF. El Pla d'integritat Pública: Full de Ruta i Annexos Facilitadors</w:t>
                            </w:r>
                            <w:bookmarkEnd w:id="374"/>
                          </w:p>
                          <w:p w14:paraId="123A2186" w14:textId="05BA62BC" w:rsidR="0020097D" w:rsidRDefault="0020097D" w:rsidP="0020097D">
                            <w:pPr>
                              <w:keepNext/>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8FAE4" id="Cuadro de texto 2" o:spid="_x0000_s1035" type="#_x0000_t202" style="position:absolute;left:0;text-align:left;margin-left:-.55pt;margin-top:34.85pt;width:168pt;height:186.5pt;z-index:25200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" stroked="f">
                <v:textbox>
                  <w:txbxContent>
                    <w:p w14:paraId="5A6A7E7E" w14:textId="77777777" w:rsidR="0020097D" w:rsidRDefault="0020097D" w:rsidP="0020097D">
                      <w:pPr>
                        <w:keepNext/>
                        <w:jc w:val="center"/>
                      </w:pPr>
                      <w:r>
                        <w:rPr>
                          <w:noProof/>
                        </w:rPr>
                        <w:drawing>
                          <wp:inline distT="0" distB="0" distL="0" distR="0" wp14:anchorId="2CD77F44" wp14:editId="45ABA232">
                            <wp:extent cx="1439703" cy="1752600"/>
                            <wp:effectExtent l="0" t="0" r="8255" b="0"/>
                            <wp:docPr id="28" name="Imagen 28" descr="https://www.antifraucv.es/wp-content/uploads/2022/01/banner_guia-av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https://www.antifraucv.es/wp-content/uploads/2022/01/banner_guia-avaf.jpg"/>
                                    <pic:cNvPicPr>
                                      <a:picLocks noChangeAspect="1"/>
                                    </pic:cNvPicPr>
                                  </pic:nvPicPr>
                                  <pic:blipFill rotWithShape="1">
                                    <a:blip r:embed="rId502" cstate="print">
                                      <a:extLst>
                                        <a:ext uri="{28A0092B-C50C-407E-A947-70E740481C1C}">
                                          <a14:useLocalDpi xmlns:a14="http://schemas.microsoft.com/office/drawing/2010/main" val="0"/>
                                        </a:ext>
                                      </a:extLst>
                                    </a:blip>
                                    <a:srcRect l="22813" r="23213"/>
                                    <a:stretch/>
                                  </pic:blipFill>
                                  <pic:spPr bwMode="auto">
                                    <a:xfrm>
                                      <a:off x="0" y="0"/>
                                      <a:ext cx="1471393" cy="1791178"/>
                                    </a:xfrm>
                                    <a:prstGeom prst="rect">
                                      <a:avLst/>
                                    </a:prstGeom>
                                    <a:noFill/>
                                    <a:ln>
                                      <a:noFill/>
                                    </a:ln>
                                    <a:extLst>
                                      <a:ext uri="{53640926-AAD7-44D8-BBD7-CCE9431645EC}">
                                        <a14:shadowObscured xmlns:a14="http://schemas.microsoft.com/office/drawing/2010/main"/>
                                      </a:ext>
                                    </a:extLst>
                                  </pic:spPr>
                                </pic:pic>
                              </a:graphicData>
                            </a:graphic>
                          </wp:inline>
                        </w:drawing>
                      </w:r>
                    </w:p>
                    <w:p w14:paraId="42838A74" w14:textId="238EDD98" w:rsidR="0020097D" w:rsidRPr="0020097D" w:rsidRDefault="0020097D" w:rsidP="0020097D">
                      <w:pPr>
                        <w:pStyle w:val="Descripcin"/>
                        <w:jc w:val="center"/>
                        <w:rPr>
                          <w:rFonts w:ascii="Arial" w:hAnsi="Arial" w:cs="Arial"/>
                          <w:smallCaps w:val="0"/>
                          <w:sz w:val="18"/>
                          <w:szCs w:val="18"/>
                        </w:rPr>
                      </w:pPr>
                      <w:bookmarkStart w:id="384" w:name="_Toc99110897"/>
                      <w:r w:rsidRPr="0020097D">
                        <w:rPr>
                          <w:rFonts w:ascii="Arial" w:hAnsi="Arial" w:cs="Arial"/>
                          <w:smallCaps w:val="0"/>
                          <w:color w:val="9D2235" w:themeColor="accent1"/>
                          <w:sz w:val="18"/>
                          <w:szCs w:val="18"/>
                        </w:rPr>
                        <w:t xml:space="preserve">Imatge </w:t>
                      </w:r>
                      <w:r w:rsidRPr="0020097D">
                        <w:rPr>
                          <w:rFonts w:ascii="Arial" w:hAnsi="Arial" w:cs="Arial"/>
                          <w:smallCaps w:val="0"/>
                          <w:color w:val="9D2235" w:themeColor="accent1"/>
                          <w:sz w:val="18"/>
                          <w:szCs w:val="18"/>
                        </w:rPr>
                        <w:fldChar w:fldCharType="begin"/>
                      </w:r>
                      <w:r w:rsidRPr="0020097D">
                        <w:rPr>
                          <w:rFonts w:ascii="Arial" w:hAnsi="Arial" w:cs="Arial"/>
                          <w:smallCaps w:val="0"/>
                          <w:color w:val="9D2235" w:themeColor="accent1"/>
                          <w:sz w:val="18"/>
                          <w:szCs w:val="18"/>
                        </w:rPr>
                        <w:instrText xml:space="preserve"> SEQ Imatge \* ARABIC </w:instrText>
                      </w:r>
                      <w:r w:rsidRPr="0020097D">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8</w:t>
                      </w:r>
                      <w:r w:rsidRPr="0020097D">
                        <w:rPr>
                          <w:rFonts w:ascii="Arial" w:hAnsi="Arial" w:cs="Arial"/>
                          <w:smallCaps w:val="0"/>
                          <w:color w:val="9D2235" w:themeColor="accent1"/>
                          <w:sz w:val="18"/>
                          <w:szCs w:val="18"/>
                        </w:rPr>
                        <w:fldChar w:fldCharType="end"/>
                      </w:r>
                      <w:r w:rsidRPr="0020097D">
                        <w:rPr>
                          <w:rFonts w:ascii="Arial" w:hAnsi="Arial" w:cs="Arial"/>
                          <w:smallCaps w:val="0"/>
                          <w:color w:val="9D2235" w:themeColor="accent1"/>
                          <w:sz w:val="18"/>
                          <w:szCs w:val="18"/>
                        </w:rPr>
                        <w:t xml:space="preserve">. </w:t>
                      </w:r>
                      <w:r w:rsidR="00E0155F" w:rsidRPr="0020097D">
                        <w:rPr>
                          <w:rFonts w:ascii="Arial" w:hAnsi="Arial" w:cs="Arial"/>
                          <w:smallCaps w:val="0"/>
                          <w:sz w:val="18"/>
                          <w:szCs w:val="18"/>
                        </w:rPr>
                        <w:t>Guia</w:t>
                      </w:r>
                      <w:r w:rsidRPr="0020097D">
                        <w:rPr>
                          <w:rFonts w:ascii="Arial" w:hAnsi="Arial" w:cs="Arial"/>
                          <w:smallCaps w:val="0"/>
                          <w:sz w:val="18"/>
                          <w:szCs w:val="18"/>
                        </w:rPr>
                        <w:t xml:space="preserve"> AVAF. El Pla d'integritat Pública: Full de Ruta i Annexos Facilitadors</w:t>
                      </w:r>
                      <w:bookmarkEnd w:id="384"/>
                    </w:p>
                    <w:p w14:paraId="123A2186" w14:textId="05BA62BC" w:rsidR="0020097D" w:rsidRDefault="0020097D" w:rsidP="0020097D">
                      <w:pPr>
                        <w:keepNext/>
                        <w:jc w:val="center"/>
                      </w:pPr>
                    </w:p>
                  </w:txbxContent>
                </v:textbox>
                <w10:wrap type="square" anchorx="margin"/>
              </v:shape>
            </w:pict>
          </mc:Fallback>
        </mc:AlternateContent>
      </w:r>
      <w:bookmarkStart w:id="375" w:name="_Hlk97710638"/>
      <w:r w:rsidRPr="0020097D">
        <w:rPr>
          <w:rFonts w:ascii="Arial" w:eastAsia="NSimSun" w:hAnsi="Arial" w:cs="Arial"/>
          <w:bCs/>
          <w:noProof/>
          <w:sz w:val="21"/>
          <w:szCs w:val="21"/>
          <w:lang w:eastAsia="zh-CN" w:bidi="hi-IN"/>
        </w:rPr>
        <w:t xml:space="preserve">La primera de les nostres </w:t>
      </w:r>
      <w:r w:rsidRPr="0020097D">
        <w:rPr>
          <w:rFonts w:ascii="Arial" w:eastAsia="NSimSun" w:hAnsi="Arial" w:cs="Arial"/>
          <w:b/>
          <w:noProof/>
          <w:sz w:val="21"/>
          <w:szCs w:val="21"/>
          <w:lang w:eastAsia="zh-CN" w:bidi="hi-IN"/>
        </w:rPr>
        <w:t>Guies AVAF: El Pla d'Integritat Pública: Full de ruta i Annexos Facilitadors</w:t>
      </w:r>
      <w:r w:rsidRPr="0020097D">
        <w:rPr>
          <w:rFonts w:ascii="Arial" w:eastAsia="NSimSun" w:hAnsi="Arial" w:cs="Arial"/>
          <w:bCs/>
          <w:noProof/>
          <w:sz w:val="21"/>
          <w:szCs w:val="21"/>
          <w:lang w:eastAsia="zh-CN" w:bidi="hi-IN"/>
        </w:rPr>
        <w:t xml:space="preserve"> , ha sigut aprovat per Resolució del director núm. 821, de 15 de novembre, en coherència amb el nostre pla estratègic, així com amb la Recomanació del Consell General de l'OCDE sobre Integritat Pública i amb la Convenció de Nacions Unides contra la Corrupció, ratificada per l'Estat espanyol (BOE núm. 171, de 19 de juny de 2006), que anima als Estats al fet que adopten mesures i instruments encaminats a previndre i combatre el frau, la corrupció, i a promoure la integritat. En aqueix sentit, la Llei Anticorrupció italiana 190/2012, configura com a obligatoris els plans d'integritat o prevenció. D'igual manera, l'IV Pla de Govern Obert (2020-2024), del Ministeri de Política Territorial i Funció Pública, està orientat a la construcció d'un sistema d'Integritat pública, enfortint valors ètics i mecanismes per a afermar la integritat de les institucions públiques i reforçar la confiança de la ciutadania. </w:t>
      </w:r>
      <w:r w:rsidRPr="0020097D">
        <w:rPr>
          <w:rFonts w:ascii="Arial" w:eastAsia="NSimSun" w:hAnsi="Arial" w:cs="Arial"/>
          <w:b/>
          <w:noProof/>
          <w:sz w:val="21"/>
          <w:szCs w:val="21"/>
          <w:lang w:eastAsia="zh-CN" w:bidi="hi-IN"/>
        </w:rPr>
        <w:t>Guia AVAF: El Pla d'Integritat Pública: Full de ruta i Annexos Facilitadors</w:t>
      </w:r>
      <w:r w:rsidRPr="0020097D">
        <w:rPr>
          <w:rFonts w:ascii="Arial" w:eastAsia="NSimSun" w:hAnsi="Arial" w:cs="Arial"/>
          <w:b/>
          <w:bCs/>
          <w:sz w:val="21"/>
          <w:szCs w:val="21"/>
          <w:lang w:eastAsia="zh-CN" w:bidi="hi-IN"/>
        </w:rPr>
        <w:t xml:space="preserve"> </w:t>
      </w:r>
    </w:p>
    <w:p w14:paraId="695D086C" w14:textId="012858DC" w:rsidR="0020097D" w:rsidRPr="007F1F98" w:rsidRDefault="0020097D" w:rsidP="0020097D">
      <w:pPr>
        <w:widowControl w:val="0"/>
        <w:suppressAutoHyphens/>
        <w:spacing w:after="240" w:line="276" w:lineRule="auto"/>
        <w:jc w:val="both"/>
        <w:textAlignment w:val="baseline"/>
        <w:rPr>
          <w:rFonts w:ascii="Arial" w:eastAsia="NSimSun" w:hAnsi="Arial" w:cs="Arial"/>
          <w:sz w:val="19"/>
          <w:szCs w:val="19"/>
          <w:lang w:eastAsia="zh-CN" w:bidi="hi-IN"/>
        </w:rPr>
      </w:pPr>
      <w:r w:rsidRPr="007F1F98">
        <w:rPr>
          <w:rFonts w:ascii="Arial" w:eastAsia="NSimSun" w:hAnsi="Arial" w:cs="Arial"/>
          <w:sz w:val="19"/>
          <w:szCs w:val="19"/>
          <w:lang w:eastAsia="zh-CN" w:bidi="hi-IN"/>
        </w:rPr>
        <w:t>[</w:t>
      </w:r>
      <w:hyperlink r:id="rId503" w:history="1">
        <w:r w:rsidRPr="007F1F98">
          <w:rPr>
            <w:rFonts w:ascii="Arial" w:eastAsia="NSimSun" w:hAnsi="Arial" w:cs="Arial"/>
            <w:color w:val="000080"/>
            <w:sz w:val="19"/>
            <w:szCs w:val="19"/>
            <w:u w:val="single"/>
            <w:lang w:eastAsia="zh-CN" w:bidi="hi-IN"/>
          </w:rPr>
          <w:t>https://www.antifraucv.es/wp-content/uploads/2021/11/Guia_avaf_plan_de_integridad_publica.pdf</w:t>
        </w:r>
      </w:hyperlink>
      <w:r w:rsidRPr="007F1F98">
        <w:rPr>
          <w:rFonts w:ascii="Arial" w:eastAsia="NSimSun" w:hAnsi="Arial" w:cs="Arial"/>
          <w:sz w:val="19"/>
          <w:szCs w:val="19"/>
          <w:lang w:eastAsia="zh-CN" w:bidi="hi-IN"/>
        </w:rPr>
        <w:t>]</w:t>
      </w:r>
      <w:bookmarkEnd w:id="375"/>
    </w:p>
    <w:p w14:paraId="7A4EA874"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A tot l'anterior se suma la constant i creixent preocupació de la Unió Europea per la manera i manera en què els Estats membres gestionen els fons del seu pressupost. Així, en data 30 de setembre de 2021 (BOE núm. 234), es va publicar l'Ordre del Ministeri d'Hisenda i Funció Pública HFP/1030/2021, de 29 de setembre, per la qual es configura el sistema de gestió del Pla de Recuperació, Transformació i Resiliència (PRTR). Aquesta Ordre pretén protegir els interessos financers de la UE exigint a les entitats decisores i executores a incorporar al seu àmbit intern de gestió i control els principis o criteris de gestió específics del PRTR i, entre ells, el “Reforç de mecanismes per a la prevenció, detecció i correcció del frau, la corrupció i els conflictes d'interés”, obligant a tota entitat, decisora o executora, que participe en l'execució de les mesures del PRTR a disposar d'un “</w:t>
      </w:r>
      <w:r w:rsidRPr="00FC0C74">
        <w:rPr>
          <w:rFonts w:ascii="Arial" w:eastAsia="Times New Roman" w:hAnsi="Arial" w:cs="Arial"/>
          <w:b/>
          <w:bCs/>
          <w:sz w:val="21"/>
          <w:szCs w:val="21"/>
        </w:rPr>
        <w:t>Pla de mesures antifrau</w:t>
      </w:r>
      <w:r w:rsidRPr="00FC0C74">
        <w:rPr>
          <w:rFonts w:ascii="Arial" w:eastAsia="Times New Roman" w:hAnsi="Arial" w:cs="Arial"/>
          <w:sz w:val="21"/>
          <w:szCs w:val="21"/>
        </w:rPr>
        <w:t xml:space="preserve">” que li permeta garantir i declarar que, en el seu respectiu àmbit d'actuació, els fons corresponents s'han utilitzat de conformitat amb les normes aplicables, en particular, pel que fa a la prevenció, detecció i correcció del frau, la corrupció i els conflictes d'interessos. </w:t>
      </w:r>
    </w:p>
    <w:p w14:paraId="36A15DAE"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 xml:space="preserve">A la vista de l'anterior, l’AVAF posa a la disposició de tota entitat o persona, inclosa en el seu àmbit d'actuació, la present Guia que, com el seu nom indica, pretén servir de full de ruta quant als continguts mínims dels plans d'integritat pública, havent integrat entre les seues línies generals les exigències i orientacions relacionades amb els Fons Next Generation. La Guia, com s'ha indicat, pretén establir unes pautes i orientar als organismes que decidisquen implantar un pla d'integritat en la seua organització en aquesta comesa. A aquest efecte, es proporcionen unes orientacions perquè delimiten el seu contingut, concreten els destinataris del pla i establisquen un marc conceptual d'aquest. Prendre consciència que el pla és un dels principals marcs d'integritat resulta essencial, per la qual cosa haurà de configurar-se com una autèntica eina de planificació, amb la finalitat de previndre la corrupció institucional, assumint per part de tots els integrants i organismes o personal que es relacionen amb l'entitat promotora, un compromís de tolerància zero contra la corrupció. Tot pla d'integritat haurà de disposar d'encarregats del seguiment d'aquest, actualitzant-lo de manera concorde als riscos detectats. Riscos que es detectaran de conformitat a l'autodiagnòstic realitzat per la mateixa institució, procedint a la seua avaluació i establint indicadors d'aquests, per a això hauran d'implementar-se les eines d'avaluació corresponents per a graduar els riscos de frau, estructurant les mesures i controls atenuants que procedisquen, de manera proporcionada, per a reduir el seu impacte a un nivell acceptable. Tot això sense oblidar que el conjunt del pla haurà de girar entorn dels quatre elements clau del denominat cicle antifrau: prevenció, detecció, correcció i persecució.  </w:t>
      </w:r>
    </w:p>
    <w:p w14:paraId="6793B9A5"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La Guia incideix en la importància de realitzar una formació periòdica i sensibilitzar a tot el personal i als òrgans decisoris en matèria d'integritat pública, així com en la d'establir un canal de comunicacions i denúncies d'obligatori compliment, respectuós amb les exigències de la Directiva Europea 2019/1937 de protecció de les persones que informen sobre infraccions del Dret de la Unió.</w:t>
      </w:r>
    </w:p>
    <w:p w14:paraId="2945DC30"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Altres recomanacions de la guia exigeixen definir un protocol d'actuació contingent dels riscos que es materialitzen o elaborar un codi ètic que integre la identificació, detecció i gestió dels conflictes d'interés, entre altres.</w:t>
      </w:r>
    </w:p>
    <w:p w14:paraId="781CF0D4"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 xml:space="preserve">Al mateix temps, la guia pretén brindar un acompanyament en el complex procés d'elaboració i implementació d'aquests plans, incorporant fins a </w:t>
      </w:r>
      <w:r w:rsidRPr="00FC0C74">
        <w:rPr>
          <w:rFonts w:ascii="Arial" w:eastAsia="Times New Roman" w:hAnsi="Arial" w:cs="Arial"/>
          <w:b/>
          <w:bCs/>
          <w:sz w:val="21"/>
          <w:szCs w:val="21"/>
        </w:rPr>
        <w:t>XXI ANNEXOS FACILITADORS</w:t>
      </w:r>
      <w:r w:rsidRPr="00FC0C74">
        <w:rPr>
          <w:rFonts w:ascii="Arial" w:eastAsia="Times New Roman" w:hAnsi="Arial" w:cs="Arial"/>
          <w:sz w:val="21"/>
          <w:szCs w:val="21"/>
        </w:rPr>
        <w:t xml:space="preserve"> d'aquesta encomiable tasca, que permeten a les entitats públiques valencianes posicionar-se a favor de la cultura de la integritat pública, amb tolerància zero cap a la corrupció, en aquest cas, a través de l'elaboració, aprovació i posada en pràctica del seu pla d'integritat en relació amb totes les seues àrees de pràctica, redundant en una millora del control (intern i extern) dels pressupostos públics de les entitats valencianes, i no sols els procedents del pressupost financer de la Unió europea. La Guia es presenta com un document susceptible d'actualització periòdica i de caràcter orientatiu, sent responsabilitat de cada entitat pública o subjectes destinataris la selecció i, si és el cas, ampliació dels continguts proposats per a la seua adaptació a les seues necessitats, recursos i organització. Enumerem a continuació els annexos facilitadors per a l'elaboració del pla:</w:t>
      </w:r>
    </w:p>
    <w:p w14:paraId="6EA5A009" w14:textId="77777777" w:rsidR="00FC0C74" w:rsidRPr="00FC0C74" w:rsidRDefault="00FC0C74" w:rsidP="007F1F98">
      <w:pPr>
        <w:numPr>
          <w:ilvl w:val="0"/>
          <w:numId w:val="42"/>
        </w:numPr>
        <w:tabs>
          <w:tab w:val="left" w:pos="1843"/>
        </w:tabs>
        <w:spacing w:after="120" w:line="276" w:lineRule="auto"/>
        <w:ind w:hanging="644"/>
        <w:jc w:val="both"/>
        <w:rPr>
          <w:rFonts w:ascii="Arial" w:eastAsia="Calibri" w:hAnsi="Arial" w:cs="Arial"/>
          <w:kern w:val="2"/>
          <w:sz w:val="21"/>
          <w:szCs w:val="21"/>
        </w:rPr>
      </w:pPr>
      <w:bookmarkStart w:id="376" w:name="_Hlk97712580"/>
      <w:r w:rsidRPr="00FC0C74">
        <w:rPr>
          <w:rFonts w:ascii="Helvetica" w:hAnsi="Helvetica"/>
          <w:color w:val="373737"/>
          <w:sz w:val="21"/>
          <w:szCs w:val="21"/>
          <w:shd w:val="clear" w:color="auto" w:fill="FFFFFF"/>
        </w:rPr>
        <w:t>Declaració institucional d'integritat</w:t>
      </w:r>
      <w:r w:rsidRPr="00FC0C74">
        <w:rPr>
          <w:rFonts w:ascii="Arial" w:eastAsia="Calibri" w:hAnsi="Arial" w:cs="Arial"/>
          <w:kern w:val="2"/>
          <w:sz w:val="21"/>
          <w:szCs w:val="21"/>
        </w:rPr>
        <w:t>.</w:t>
      </w:r>
    </w:p>
    <w:bookmarkEnd w:id="376"/>
    <w:p w14:paraId="62F972F4" w14:textId="77777777" w:rsidR="00FC0C74" w:rsidRPr="00FC0C74" w:rsidRDefault="00FC0C74" w:rsidP="007F1F98">
      <w:pPr>
        <w:numPr>
          <w:ilvl w:val="0"/>
          <w:numId w:val="42"/>
        </w:numPr>
        <w:tabs>
          <w:tab w:val="left" w:pos="1843"/>
        </w:tabs>
        <w:spacing w:after="120" w:line="276" w:lineRule="auto"/>
        <w:ind w:hanging="644"/>
        <w:jc w:val="both"/>
        <w:rPr>
          <w:rFonts w:ascii="Arial" w:eastAsia="Calibri" w:hAnsi="Arial" w:cs="Arial"/>
          <w:kern w:val="2"/>
          <w:sz w:val="21"/>
          <w:szCs w:val="21"/>
        </w:rPr>
      </w:pPr>
      <w:r w:rsidRPr="00FC0C74">
        <w:rPr>
          <w:rFonts w:ascii="Helvetica" w:hAnsi="Helvetica"/>
          <w:color w:val="373737"/>
          <w:sz w:val="21"/>
          <w:szCs w:val="21"/>
          <w:shd w:val="clear" w:color="auto" w:fill="FFFFFF"/>
        </w:rPr>
        <w:t>Plantilla de responsabilitats en els processos de gestió de risc</w:t>
      </w:r>
      <w:r w:rsidRPr="00FC0C74">
        <w:rPr>
          <w:rFonts w:ascii="Arial" w:eastAsia="Calibri" w:hAnsi="Arial" w:cs="Arial"/>
          <w:kern w:val="2"/>
          <w:sz w:val="21"/>
          <w:szCs w:val="21"/>
        </w:rPr>
        <w:t xml:space="preserve">. </w:t>
      </w:r>
    </w:p>
    <w:p w14:paraId="16BBD3E2" w14:textId="77777777" w:rsidR="00FC0C74" w:rsidRPr="00FC0C74" w:rsidRDefault="00FC0C74" w:rsidP="007F1F98">
      <w:pPr>
        <w:numPr>
          <w:ilvl w:val="0"/>
          <w:numId w:val="42"/>
        </w:numPr>
        <w:tabs>
          <w:tab w:val="left" w:pos="1843"/>
          <w:tab w:val="left" w:pos="1871"/>
        </w:tabs>
        <w:spacing w:after="120" w:line="276" w:lineRule="auto"/>
        <w:ind w:left="1843" w:hanging="1417"/>
        <w:jc w:val="both"/>
        <w:rPr>
          <w:rFonts w:ascii="Arial" w:eastAsia="Calibri" w:hAnsi="Arial" w:cs="Arial"/>
          <w:kern w:val="2"/>
          <w:sz w:val="21"/>
          <w:szCs w:val="21"/>
        </w:rPr>
      </w:pPr>
      <w:r w:rsidRPr="00FC0C74">
        <w:rPr>
          <w:rFonts w:ascii="Helvetica" w:hAnsi="Helvetica"/>
          <w:color w:val="373737"/>
          <w:sz w:val="21"/>
          <w:szCs w:val="21"/>
          <w:shd w:val="clear" w:color="auto" w:fill="FFFFFF"/>
        </w:rPr>
        <w:t>Declaració d'absència de conflicte d'interés (DACI). Annex IV.A de l'Ordre HFP/1030/2021</w:t>
      </w:r>
      <w:r w:rsidRPr="00FC0C74">
        <w:rPr>
          <w:rFonts w:ascii="Arial" w:eastAsia="Calibri" w:hAnsi="Arial" w:cs="Arial"/>
          <w:kern w:val="2"/>
          <w:sz w:val="21"/>
          <w:szCs w:val="21"/>
        </w:rPr>
        <w:t>.</w:t>
      </w:r>
    </w:p>
    <w:p w14:paraId="3EBC4564" w14:textId="77777777" w:rsidR="00FC0C74" w:rsidRPr="00FC0C74" w:rsidRDefault="00FC0C74" w:rsidP="007F1F98">
      <w:pPr>
        <w:numPr>
          <w:ilvl w:val="0"/>
          <w:numId w:val="42"/>
        </w:numPr>
        <w:tabs>
          <w:tab w:val="left" w:pos="1843"/>
          <w:tab w:val="left" w:pos="1871"/>
        </w:tabs>
        <w:spacing w:after="120" w:line="276" w:lineRule="auto"/>
        <w:ind w:left="1843" w:hanging="1417"/>
        <w:jc w:val="both"/>
        <w:rPr>
          <w:rFonts w:ascii="Arial" w:eastAsia="Calibri" w:hAnsi="Arial" w:cs="Arial"/>
          <w:kern w:val="2"/>
          <w:sz w:val="21"/>
          <w:szCs w:val="21"/>
        </w:rPr>
      </w:pPr>
      <w:r w:rsidRPr="00FC0C74">
        <w:rPr>
          <w:rFonts w:ascii="Helvetica" w:hAnsi="Helvetica"/>
          <w:color w:val="373737"/>
          <w:sz w:val="21"/>
          <w:szCs w:val="21"/>
          <w:shd w:val="clear" w:color="auto" w:fill="FFFFFF"/>
        </w:rPr>
        <w:t>Manual didàctic visual AVAF “Els conflictes d'interés en clau d'integritat pública” i altres instruments d'utilitat</w:t>
      </w:r>
      <w:r w:rsidRPr="00FC0C74">
        <w:rPr>
          <w:rFonts w:ascii="Arial" w:eastAsia="Calibri" w:hAnsi="Arial" w:cs="Arial"/>
          <w:kern w:val="2"/>
          <w:sz w:val="21"/>
          <w:szCs w:val="21"/>
        </w:rPr>
        <w:t>.</w:t>
      </w:r>
    </w:p>
    <w:p w14:paraId="57BEE152" w14:textId="77777777" w:rsidR="00FC0C74" w:rsidRPr="00FC0C74" w:rsidRDefault="00FC0C74" w:rsidP="007F1F98">
      <w:pPr>
        <w:numPr>
          <w:ilvl w:val="0"/>
          <w:numId w:val="42"/>
        </w:numPr>
        <w:tabs>
          <w:tab w:val="left" w:pos="1843"/>
          <w:tab w:val="left" w:pos="1871"/>
        </w:tabs>
        <w:spacing w:after="120" w:line="276" w:lineRule="auto"/>
        <w:ind w:hanging="644"/>
        <w:jc w:val="both"/>
        <w:rPr>
          <w:rFonts w:ascii="Arial" w:eastAsia="Calibri" w:hAnsi="Arial" w:cs="Arial"/>
          <w:kern w:val="2"/>
          <w:sz w:val="21"/>
          <w:szCs w:val="21"/>
        </w:rPr>
      </w:pPr>
      <w:r w:rsidRPr="00FC0C74">
        <w:rPr>
          <w:rFonts w:ascii="Helvetica" w:hAnsi="Helvetica"/>
          <w:color w:val="373737"/>
          <w:sz w:val="21"/>
          <w:szCs w:val="21"/>
          <w:shd w:val="clear" w:color="auto" w:fill="FFFFFF"/>
        </w:rPr>
        <w:t>Proposta de contingut orientatiu del codi ètic</w:t>
      </w:r>
      <w:r w:rsidRPr="00FC0C74">
        <w:rPr>
          <w:rFonts w:ascii="Arial" w:eastAsia="Calibri" w:hAnsi="Arial" w:cs="Arial"/>
          <w:kern w:val="2"/>
          <w:sz w:val="21"/>
          <w:szCs w:val="21"/>
        </w:rPr>
        <w:t xml:space="preserve">. </w:t>
      </w:r>
    </w:p>
    <w:p w14:paraId="50D6F861" w14:textId="77777777" w:rsidR="00FC0C74" w:rsidRPr="00FC0C74" w:rsidRDefault="00FC0C74" w:rsidP="007F1F98">
      <w:pPr>
        <w:numPr>
          <w:ilvl w:val="0"/>
          <w:numId w:val="42"/>
        </w:numPr>
        <w:tabs>
          <w:tab w:val="left" w:pos="1843"/>
          <w:tab w:val="left" w:pos="1871"/>
        </w:tabs>
        <w:spacing w:after="120" w:line="276" w:lineRule="auto"/>
        <w:ind w:hanging="644"/>
        <w:jc w:val="both"/>
        <w:rPr>
          <w:rFonts w:ascii="Arial" w:eastAsia="Calibri" w:hAnsi="Arial" w:cs="Arial"/>
          <w:kern w:val="2"/>
          <w:sz w:val="21"/>
          <w:szCs w:val="21"/>
        </w:rPr>
      </w:pPr>
      <w:r w:rsidRPr="00FC0C74">
        <w:rPr>
          <w:rFonts w:ascii="Helvetica" w:hAnsi="Helvetica"/>
          <w:color w:val="373737"/>
          <w:sz w:val="21"/>
          <w:szCs w:val="21"/>
          <w:shd w:val="clear" w:color="auto" w:fill="FFFFFF"/>
        </w:rPr>
        <w:t>Qüestionari bàsic autodiagnòstic AVAF</w:t>
      </w:r>
      <w:r w:rsidRPr="00FC0C74">
        <w:rPr>
          <w:rFonts w:ascii="Arial" w:eastAsia="Calibri" w:hAnsi="Arial" w:cs="Arial"/>
          <w:kern w:val="2"/>
          <w:sz w:val="21"/>
          <w:szCs w:val="21"/>
        </w:rPr>
        <w:t>.</w:t>
      </w:r>
    </w:p>
    <w:p w14:paraId="62038929" w14:textId="77777777" w:rsidR="00FC0C74" w:rsidRPr="00FC0C74" w:rsidRDefault="00FC0C74" w:rsidP="007F1F98">
      <w:pPr>
        <w:numPr>
          <w:ilvl w:val="0"/>
          <w:numId w:val="42"/>
        </w:numPr>
        <w:tabs>
          <w:tab w:val="left" w:pos="1843"/>
          <w:tab w:val="left" w:pos="1871"/>
        </w:tabs>
        <w:spacing w:after="120" w:line="276" w:lineRule="auto"/>
        <w:ind w:hanging="644"/>
        <w:jc w:val="both"/>
        <w:rPr>
          <w:rFonts w:ascii="Arial" w:eastAsia="Calibri" w:hAnsi="Arial" w:cs="Arial"/>
          <w:kern w:val="2"/>
          <w:sz w:val="21"/>
          <w:szCs w:val="21"/>
        </w:rPr>
      </w:pPr>
      <w:r w:rsidRPr="00FC0C74">
        <w:rPr>
          <w:rFonts w:ascii="Helvetica" w:hAnsi="Helvetica"/>
          <w:color w:val="373737"/>
          <w:sz w:val="21"/>
          <w:szCs w:val="21"/>
          <w:shd w:val="clear" w:color="auto" w:fill="FFFFFF"/>
        </w:rPr>
        <w:t>Test d'autoavaluació. Annex II.B.5 Ordre HFP/1030/2021</w:t>
      </w:r>
      <w:r w:rsidRPr="00FC0C74">
        <w:rPr>
          <w:rFonts w:ascii="Arial" w:eastAsia="Calibri" w:hAnsi="Arial" w:cs="Arial"/>
          <w:color w:val="333333"/>
          <w:kern w:val="2"/>
          <w:sz w:val="21"/>
          <w:szCs w:val="21"/>
        </w:rPr>
        <w:t xml:space="preserve">. </w:t>
      </w:r>
    </w:p>
    <w:p w14:paraId="3CB1E7A0" w14:textId="77777777" w:rsidR="00FC0C74" w:rsidRPr="00FC0C74" w:rsidRDefault="00FC0C74" w:rsidP="007F1F98">
      <w:pPr>
        <w:numPr>
          <w:ilvl w:val="0"/>
          <w:numId w:val="42"/>
        </w:numPr>
        <w:tabs>
          <w:tab w:val="left" w:pos="1843"/>
          <w:tab w:val="left" w:pos="1871"/>
        </w:tabs>
        <w:spacing w:after="120" w:line="276" w:lineRule="auto"/>
        <w:ind w:hanging="644"/>
        <w:jc w:val="both"/>
        <w:rPr>
          <w:rFonts w:ascii="Arial" w:eastAsia="Calibri" w:hAnsi="Arial" w:cs="Arial"/>
          <w:kern w:val="2"/>
          <w:sz w:val="21"/>
          <w:szCs w:val="21"/>
        </w:rPr>
      </w:pPr>
      <w:r w:rsidRPr="00FC0C74">
        <w:rPr>
          <w:rFonts w:ascii="Helvetica" w:hAnsi="Helvetica"/>
          <w:color w:val="373737"/>
          <w:sz w:val="21"/>
          <w:szCs w:val="21"/>
          <w:shd w:val="clear" w:color="auto" w:fill="FFFFFF"/>
        </w:rPr>
        <w:t>Eines per a l'avaluació del risc de frau: Matriu de risc</w:t>
      </w:r>
      <w:r w:rsidRPr="00FC0C74">
        <w:rPr>
          <w:rFonts w:ascii="Arial" w:eastAsia="Calibri" w:hAnsi="Arial" w:cs="Arial"/>
          <w:kern w:val="2"/>
          <w:sz w:val="21"/>
          <w:szCs w:val="21"/>
        </w:rPr>
        <w:t>.</w:t>
      </w:r>
    </w:p>
    <w:p w14:paraId="100FB706" w14:textId="77777777" w:rsidR="00FC0C74" w:rsidRPr="00FC0C74" w:rsidRDefault="00FC0C74" w:rsidP="007F1F98">
      <w:pPr>
        <w:numPr>
          <w:ilvl w:val="0"/>
          <w:numId w:val="42"/>
        </w:numPr>
        <w:tabs>
          <w:tab w:val="left" w:pos="1843"/>
          <w:tab w:val="left" w:pos="1871"/>
        </w:tabs>
        <w:spacing w:after="120" w:line="276" w:lineRule="auto"/>
        <w:ind w:hanging="644"/>
        <w:jc w:val="both"/>
        <w:rPr>
          <w:rFonts w:ascii="Arial" w:eastAsia="Calibri" w:hAnsi="Arial" w:cs="Arial"/>
          <w:kern w:val="2"/>
          <w:sz w:val="21"/>
          <w:szCs w:val="21"/>
        </w:rPr>
      </w:pPr>
      <w:r w:rsidRPr="00FC0C74">
        <w:rPr>
          <w:rFonts w:ascii="Helvetica" w:hAnsi="Helvetica"/>
          <w:color w:val="373737"/>
          <w:sz w:val="21"/>
          <w:szCs w:val="21"/>
          <w:shd w:val="clear" w:color="auto" w:fill="FFFFFF"/>
        </w:rPr>
        <w:t>Model quadre d'indicadors de seguiment i avaluació</w:t>
      </w:r>
      <w:r w:rsidRPr="00FC0C74">
        <w:rPr>
          <w:rFonts w:ascii="Arial" w:eastAsia="Calibri" w:hAnsi="Arial" w:cs="Arial"/>
          <w:kern w:val="2"/>
          <w:sz w:val="21"/>
          <w:szCs w:val="21"/>
        </w:rPr>
        <w:t>.</w:t>
      </w:r>
    </w:p>
    <w:p w14:paraId="45ED291C" w14:textId="77777777" w:rsidR="00FC0C74" w:rsidRPr="00FC0C74" w:rsidRDefault="00FC0C74" w:rsidP="007F1F98">
      <w:pPr>
        <w:numPr>
          <w:ilvl w:val="0"/>
          <w:numId w:val="42"/>
        </w:numPr>
        <w:tabs>
          <w:tab w:val="left" w:pos="1843"/>
          <w:tab w:val="left" w:pos="1871"/>
        </w:tabs>
        <w:spacing w:after="120" w:line="276" w:lineRule="auto"/>
        <w:ind w:left="1843" w:hanging="1417"/>
        <w:jc w:val="both"/>
        <w:rPr>
          <w:rFonts w:ascii="Arial" w:eastAsia="Calibri" w:hAnsi="Arial" w:cs="Arial"/>
          <w:kern w:val="2"/>
          <w:sz w:val="21"/>
          <w:szCs w:val="21"/>
        </w:rPr>
      </w:pPr>
      <w:r w:rsidRPr="00FC0C74">
        <w:rPr>
          <w:rFonts w:ascii="Helvetica" w:hAnsi="Helvetica"/>
          <w:color w:val="373737"/>
          <w:sz w:val="21"/>
          <w:szCs w:val="21"/>
          <w:shd w:val="clear" w:color="auto" w:fill="FFFFFF"/>
        </w:rPr>
        <w:t>Metodologia d'anàlisi de riscos: Descripció general de la norma ISO 31000</w:t>
      </w:r>
      <w:r w:rsidRPr="00FC0C74">
        <w:rPr>
          <w:rFonts w:ascii="Arial" w:eastAsia="Calibri" w:hAnsi="Arial" w:cs="Arial"/>
          <w:kern w:val="2"/>
          <w:sz w:val="21"/>
          <w:szCs w:val="21"/>
        </w:rPr>
        <w:t>.</w:t>
      </w:r>
    </w:p>
    <w:p w14:paraId="364EFF66" w14:textId="77777777" w:rsidR="00FC0C74" w:rsidRPr="00FC0C74" w:rsidRDefault="00FC0C74" w:rsidP="007F1F98">
      <w:pPr>
        <w:numPr>
          <w:ilvl w:val="0"/>
          <w:numId w:val="42"/>
        </w:numPr>
        <w:tabs>
          <w:tab w:val="left" w:pos="1843"/>
          <w:tab w:val="left" w:pos="1871"/>
        </w:tabs>
        <w:spacing w:after="120" w:line="276" w:lineRule="auto"/>
        <w:ind w:hanging="644"/>
        <w:jc w:val="both"/>
        <w:rPr>
          <w:rFonts w:ascii="Arial" w:eastAsia="Calibri" w:hAnsi="Arial" w:cs="Arial"/>
          <w:kern w:val="2"/>
          <w:sz w:val="21"/>
          <w:szCs w:val="21"/>
        </w:rPr>
      </w:pPr>
      <w:r w:rsidRPr="00FC0C74">
        <w:rPr>
          <w:rFonts w:ascii="Helvetica" w:hAnsi="Helvetica"/>
          <w:color w:val="373737"/>
          <w:sz w:val="21"/>
          <w:szCs w:val="21"/>
          <w:shd w:val="clear" w:color="auto" w:fill="FFFFFF"/>
        </w:rPr>
        <w:t>Metodologia AVAF d’anàlisis de riscos</w:t>
      </w:r>
      <w:r w:rsidRPr="00FC0C74">
        <w:rPr>
          <w:rFonts w:ascii="Arial" w:eastAsia="Calibri" w:hAnsi="Arial" w:cs="Arial"/>
          <w:kern w:val="2"/>
          <w:sz w:val="21"/>
          <w:szCs w:val="21"/>
        </w:rPr>
        <w:t>.</w:t>
      </w:r>
    </w:p>
    <w:p w14:paraId="0FA8B8EF" w14:textId="77777777" w:rsidR="00FC0C74" w:rsidRPr="00FC0C74" w:rsidRDefault="00FC0C74" w:rsidP="007F1F98">
      <w:pPr>
        <w:numPr>
          <w:ilvl w:val="0"/>
          <w:numId w:val="42"/>
        </w:numPr>
        <w:tabs>
          <w:tab w:val="left" w:pos="1843"/>
          <w:tab w:val="left" w:pos="1871"/>
        </w:tabs>
        <w:spacing w:after="120" w:line="276" w:lineRule="auto"/>
        <w:ind w:hanging="644"/>
        <w:jc w:val="both"/>
        <w:rPr>
          <w:rFonts w:ascii="Arial" w:eastAsia="Calibri" w:hAnsi="Arial" w:cs="Arial"/>
          <w:kern w:val="2"/>
          <w:sz w:val="21"/>
          <w:szCs w:val="21"/>
        </w:rPr>
      </w:pPr>
      <w:r w:rsidRPr="00FC0C74">
        <w:rPr>
          <w:rFonts w:ascii="Helvetica" w:hAnsi="Helvetica"/>
          <w:color w:val="373737"/>
          <w:sz w:val="21"/>
          <w:szCs w:val="21"/>
          <w:shd w:val="clear" w:color="auto" w:fill="FFFFFF"/>
        </w:rPr>
        <w:t>Catàleg AVAF de riscos en els processos de presa de decisions</w:t>
      </w:r>
      <w:r w:rsidRPr="00FC0C74">
        <w:rPr>
          <w:rFonts w:ascii="Arial" w:eastAsia="Calibri" w:hAnsi="Arial" w:cs="Arial"/>
          <w:kern w:val="2"/>
          <w:sz w:val="21"/>
          <w:szCs w:val="21"/>
        </w:rPr>
        <w:t>.</w:t>
      </w:r>
    </w:p>
    <w:p w14:paraId="56CB6A3C" w14:textId="77777777" w:rsidR="00FC0C74" w:rsidRPr="00FC0C74" w:rsidRDefault="00FC0C74" w:rsidP="007F1F98">
      <w:pPr>
        <w:numPr>
          <w:ilvl w:val="0"/>
          <w:numId w:val="42"/>
        </w:numPr>
        <w:tabs>
          <w:tab w:val="left" w:pos="1843"/>
          <w:tab w:val="left" w:pos="1871"/>
        </w:tabs>
        <w:spacing w:after="120" w:line="276" w:lineRule="auto"/>
        <w:ind w:left="1071" w:hanging="646"/>
        <w:contextualSpacing/>
        <w:jc w:val="both"/>
        <w:rPr>
          <w:rFonts w:ascii="Arial" w:eastAsia="Calibri" w:hAnsi="Arial" w:cs="Arial"/>
          <w:kern w:val="2"/>
          <w:sz w:val="21"/>
          <w:szCs w:val="21"/>
        </w:rPr>
      </w:pPr>
      <w:r w:rsidRPr="00FC0C74">
        <w:rPr>
          <w:rFonts w:ascii="Arial" w:eastAsia="Calibri" w:hAnsi="Arial" w:cs="Arial"/>
          <w:kern w:val="2"/>
          <w:sz w:val="21"/>
          <w:szCs w:val="21"/>
        </w:rPr>
        <w:t>Control intern:</w:t>
      </w:r>
    </w:p>
    <w:p w14:paraId="54B76F97" w14:textId="77777777" w:rsidR="00FC0C74" w:rsidRPr="00FC0C74" w:rsidRDefault="00FC0C74" w:rsidP="007F1F98">
      <w:pPr>
        <w:widowControl w:val="0"/>
        <w:numPr>
          <w:ilvl w:val="0"/>
          <w:numId w:val="41"/>
        </w:numPr>
        <w:tabs>
          <w:tab w:val="left" w:pos="1134"/>
        </w:tabs>
        <w:spacing w:after="120" w:line="276" w:lineRule="auto"/>
        <w:ind w:left="851" w:hanging="142"/>
        <w:contextualSpacing/>
        <w:jc w:val="both"/>
        <w:rPr>
          <w:rFonts w:ascii="Arial" w:eastAsia="Droid Sans Fallback" w:hAnsi="Arial" w:cs="Arial"/>
          <w:kern w:val="2"/>
          <w:sz w:val="21"/>
          <w:szCs w:val="21"/>
        </w:rPr>
      </w:pPr>
      <w:r w:rsidRPr="00FC0C74">
        <w:rPr>
          <w:rFonts w:ascii="Arial" w:eastAsia="Droid Sans Fallback" w:hAnsi="Arial" w:cs="Arial"/>
          <w:kern w:val="2"/>
          <w:sz w:val="21"/>
          <w:szCs w:val="21"/>
        </w:rPr>
        <w:t>Relació de resolucions i circulars de la IGAE</w:t>
      </w:r>
    </w:p>
    <w:p w14:paraId="1C40CDFF" w14:textId="77777777" w:rsidR="00FC0C74" w:rsidRPr="00FC0C74" w:rsidRDefault="00FC0C74" w:rsidP="007F1F98">
      <w:pPr>
        <w:widowControl w:val="0"/>
        <w:numPr>
          <w:ilvl w:val="0"/>
          <w:numId w:val="41"/>
        </w:numPr>
        <w:tabs>
          <w:tab w:val="left" w:pos="1134"/>
        </w:tabs>
        <w:spacing w:after="120" w:line="276" w:lineRule="auto"/>
        <w:ind w:left="851" w:hanging="142"/>
        <w:jc w:val="both"/>
        <w:rPr>
          <w:rFonts w:ascii="Arial" w:eastAsia="Droid Sans Fallback" w:hAnsi="Arial" w:cs="Arial"/>
          <w:kern w:val="2"/>
          <w:sz w:val="21"/>
          <w:szCs w:val="21"/>
        </w:rPr>
      </w:pPr>
      <w:r w:rsidRPr="00FC0C74">
        <w:rPr>
          <w:rFonts w:ascii="Arial" w:eastAsia="Droid Sans Fallback" w:hAnsi="Arial" w:cs="Arial"/>
          <w:kern w:val="2"/>
          <w:sz w:val="21"/>
          <w:szCs w:val="21"/>
        </w:rPr>
        <w:t>Pla Anual de la IGS-VA-2020/2021</w:t>
      </w:r>
    </w:p>
    <w:p w14:paraId="7D2B76D1" w14:textId="77777777" w:rsidR="00FC0C74" w:rsidRPr="00FC0C74" w:rsidRDefault="00FC0C74" w:rsidP="007F1F98">
      <w:pPr>
        <w:numPr>
          <w:ilvl w:val="0"/>
          <w:numId w:val="42"/>
        </w:numPr>
        <w:tabs>
          <w:tab w:val="left" w:pos="1871"/>
        </w:tabs>
        <w:spacing w:after="120" w:line="276" w:lineRule="auto"/>
        <w:ind w:left="1071" w:hanging="646"/>
        <w:contextualSpacing/>
        <w:jc w:val="both"/>
        <w:rPr>
          <w:rFonts w:ascii="Arial" w:eastAsia="Calibri" w:hAnsi="Arial" w:cs="Arial"/>
          <w:color w:val="9A0000"/>
          <w:spacing w:val="-2"/>
          <w:kern w:val="2"/>
          <w:sz w:val="21"/>
          <w:szCs w:val="21"/>
        </w:rPr>
      </w:pPr>
      <w:r w:rsidRPr="00FC0C74">
        <w:rPr>
          <w:rFonts w:ascii="Arial" w:eastAsia="Calibri" w:hAnsi="Arial" w:cs="Arial"/>
          <w:kern w:val="2"/>
          <w:sz w:val="21"/>
          <w:szCs w:val="21"/>
        </w:rPr>
        <w:t>Control extern:</w:t>
      </w:r>
    </w:p>
    <w:p w14:paraId="077A1F33" w14:textId="77777777" w:rsidR="00FC0C74" w:rsidRPr="00FC0C74" w:rsidRDefault="00FC0C74" w:rsidP="007F1F98">
      <w:pPr>
        <w:numPr>
          <w:ilvl w:val="1"/>
          <w:numId w:val="43"/>
        </w:numPr>
        <w:tabs>
          <w:tab w:val="left" w:pos="1134"/>
        </w:tabs>
        <w:spacing w:after="120" w:line="276" w:lineRule="auto"/>
        <w:ind w:left="1134" w:hanging="447"/>
        <w:contextualSpacing/>
        <w:jc w:val="both"/>
        <w:rPr>
          <w:rFonts w:ascii="Arial" w:eastAsia="Calibri" w:hAnsi="Arial" w:cs="Arial"/>
          <w:color w:val="9A0000"/>
          <w:spacing w:val="-2"/>
          <w:kern w:val="2"/>
          <w:sz w:val="21"/>
          <w:szCs w:val="21"/>
        </w:rPr>
      </w:pPr>
      <w:r w:rsidRPr="00FC0C74">
        <w:rPr>
          <w:rFonts w:ascii="Arial" w:eastAsia="Calibri" w:hAnsi="Arial" w:cs="Arial"/>
          <w:kern w:val="2"/>
          <w:sz w:val="21"/>
          <w:szCs w:val="21"/>
        </w:rPr>
        <w:t>Enllaços a recomanacions generals de l’AVAF del Servei de Prevenció en matèria d'integritat pública.</w:t>
      </w:r>
    </w:p>
    <w:p w14:paraId="730B90F6" w14:textId="77777777" w:rsidR="00FC0C74" w:rsidRPr="00FC0C74" w:rsidRDefault="00FC0C74" w:rsidP="007F1F98">
      <w:pPr>
        <w:numPr>
          <w:ilvl w:val="1"/>
          <w:numId w:val="43"/>
        </w:numPr>
        <w:tabs>
          <w:tab w:val="left" w:pos="1134"/>
        </w:tabs>
        <w:spacing w:after="120" w:line="276" w:lineRule="auto"/>
        <w:ind w:left="1134" w:hanging="447"/>
        <w:contextualSpacing/>
        <w:jc w:val="both"/>
        <w:rPr>
          <w:rFonts w:ascii="Arial" w:eastAsia="Calibri" w:hAnsi="Arial" w:cs="Arial"/>
          <w:color w:val="9A0000"/>
          <w:spacing w:val="-2"/>
          <w:kern w:val="2"/>
          <w:sz w:val="21"/>
          <w:szCs w:val="21"/>
        </w:rPr>
      </w:pPr>
      <w:r w:rsidRPr="00FC0C74">
        <w:rPr>
          <w:rFonts w:ascii="Arial" w:eastAsia="Calibri" w:hAnsi="Arial" w:cs="Arial"/>
          <w:kern w:val="2"/>
          <w:sz w:val="21"/>
          <w:szCs w:val="21"/>
        </w:rPr>
        <w:t>Enllaços a les diferents eines i models del manual de la Sindicatura de Comptes de la Comunitat Valenciana:</w:t>
      </w:r>
    </w:p>
    <w:p w14:paraId="1DC5185E"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kern w:val="2"/>
          <w:sz w:val="21"/>
          <w:szCs w:val="21"/>
        </w:rPr>
      </w:pPr>
      <w:r w:rsidRPr="00FC0C74">
        <w:rPr>
          <w:rFonts w:ascii="Arial" w:eastAsia="Calibri" w:hAnsi="Arial" w:cs="Arial"/>
          <w:kern w:val="2"/>
          <w:sz w:val="21"/>
          <w:szCs w:val="21"/>
        </w:rPr>
        <w:t>1315 (Identificació i valoració de riscos) / 1317 (Guía)</w:t>
      </w:r>
    </w:p>
    <w:p w14:paraId="2D449050"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kern w:val="2"/>
          <w:sz w:val="21"/>
          <w:szCs w:val="21"/>
        </w:rPr>
      </w:pPr>
      <w:r w:rsidRPr="00FC0C74">
        <w:rPr>
          <w:rFonts w:ascii="Arial" w:eastAsia="Calibri" w:hAnsi="Arial" w:cs="Arial"/>
          <w:kern w:val="2"/>
          <w:sz w:val="21"/>
          <w:szCs w:val="21"/>
        </w:rPr>
        <w:t>1316 (control intern)</w:t>
      </w:r>
    </w:p>
    <w:p w14:paraId="3A610F73"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kern w:val="2"/>
          <w:sz w:val="21"/>
          <w:szCs w:val="21"/>
        </w:rPr>
      </w:pPr>
      <w:r w:rsidRPr="00FC0C74">
        <w:rPr>
          <w:rFonts w:ascii="Arial" w:eastAsia="Calibri" w:hAnsi="Arial" w:cs="Arial"/>
          <w:kern w:val="2"/>
          <w:sz w:val="21"/>
          <w:szCs w:val="21"/>
        </w:rPr>
        <w:t>1731 (Models i formats d'informes de fiscalització</w:t>
      </w:r>
    </w:p>
    <w:p w14:paraId="389A8612"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kern w:val="2"/>
          <w:sz w:val="21"/>
          <w:szCs w:val="21"/>
        </w:rPr>
      </w:pPr>
      <w:r w:rsidRPr="00FC0C74">
        <w:rPr>
          <w:rFonts w:ascii="Arial" w:eastAsia="Calibri" w:hAnsi="Arial" w:cs="Arial"/>
          <w:kern w:val="2"/>
          <w:sz w:val="21"/>
          <w:szCs w:val="21"/>
        </w:rPr>
        <w:t>2812 (com realitzar mapes de processos i fluxogrames)</w:t>
      </w:r>
    </w:p>
    <w:p w14:paraId="1B162B78"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kern w:val="2"/>
          <w:sz w:val="21"/>
          <w:szCs w:val="21"/>
        </w:rPr>
      </w:pPr>
      <w:r w:rsidRPr="00FC0C74">
        <w:rPr>
          <w:rFonts w:ascii="Arial" w:eastAsia="Calibri" w:hAnsi="Arial" w:cs="Arial"/>
          <w:kern w:val="2"/>
          <w:sz w:val="21"/>
          <w:szCs w:val="21"/>
        </w:rPr>
        <w:t>2861(Guia de fiscalització de despeses de personal</w:t>
      </w:r>
    </w:p>
    <w:p w14:paraId="3C8E66A6"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kern w:val="2"/>
          <w:sz w:val="21"/>
          <w:szCs w:val="21"/>
        </w:rPr>
      </w:pPr>
      <w:r w:rsidRPr="00FC0C74">
        <w:rPr>
          <w:rFonts w:ascii="Arial" w:eastAsia="Calibri" w:hAnsi="Arial" w:cs="Arial"/>
          <w:kern w:val="2"/>
          <w:sz w:val="21"/>
          <w:szCs w:val="21"/>
        </w:rPr>
        <w:t>2862 (Guia de fiscalització àrea de compres, despeses i proveïdors)</w:t>
      </w:r>
    </w:p>
    <w:p w14:paraId="3E04AFCB"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kern w:val="2"/>
          <w:sz w:val="21"/>
          <w:szCs w:val="21"/>
        </w:rPr>
      </w:pPr>
      <w:r w:rsidRPr="00FC0C74">
        <w:rPr>
          <w:rFonts w:ascii="Arial" w:eastAsia="Calibri" w:hAnsi="Arial" w:cs="Arial"/>
          <w:kern w:val="2"/>
          <w:sz w:val="21"/>
          <w:szCs w:val="21"/>
        </w:rPr>
        <w:t>4800 (Fiscalització de contractes)</w:t>
      </w:r>
    </w:p>
    <w:p w14:paraId="54D8CF25"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kern w:val="2"/>
          <w:sz w:val="21"/>
          <w:szCs w:val="21"/>
        </w:rPr>
      </w:pPr>
      <w:r w:rsidRPr="00FC0C74">
        <w:rPr>
          <w:rFonts w:ascii="Arial" w:eastAsia="Calibri" w:hAnsi="Arial" w:cs="Arial"/>
          <w:kern w:val="2"/>
          <w:sz w:val="21"/>
          <w:szCs w:val="21"/>
        </w:rPr>
        <w:t>4900 (Guia de fiscalització de subvencions)</w:t>
      </w:r>
    </w:p>
    <w:p w14:paraId="1C8F9476" w14:textId="77777777" w:rsidR="00FC0C74" w:rsidRPr="00FC0C74" w:rsidRDefault="00FC0C74" w:rsidP="007F1F98">
      <w:pPr>
        <w:numPr>
          <w:ilvl w:val="0"/>
          <w:numId w:val="45"/>
        </w:numPr>
        <w:tabs>
          <w:tab w:val="left" w:pos="1134"/>
          <w:tab w:val="left" w:pos="1871"/>
        </w:tabs>
        <w:spacing w:after="120" w:line="276" w:lineRule="auto"/>
        <w:contextualSpacing/>
        <w:jc w:val="both"/>
        <w:rPr>
          <w:rFonts w:ascii="Arial" w:eastAsia="Calibri" w:hAnsi="Arial" w:cs="Arial"/>
          <w:color w:val="9A0000"/>
          <w:spacing w:val="-2"/>
          <w:kern w:val="2"/>
          <w:sz w:val="21"/>
          <w:szCs w:val="21"/>
        </w:rPr>
      </w:pPr>
      <w:r w:rsidRPr="00FC0C74">
        <w:rPr>
          <w:rFonts w:ascii="Arial" w:eastAsia="Calibri" w:hAnsi="Arial" w:cs="Arial"/>
          <w:kern w:val="2"/>
          <w:sz w:val="21"/>
          <w:szCs w:val="21"/>
        </w:rPr>
        <w:t>5313.2 (Qüestionari de ciberseguretat).</w:t>
      </w:r>
    </w:p>
    <w:p w14:paraId="4B3F3A6C" w14:textId="77777777" w:rsidR="00FC0C74" w:rsidRPr="00FC0C74" w:rsidRDefault="00FC0C74" w:rsidP="007F1F98">
      <w:pPr>
        <w:numPr>
          <w:ilvl w:val="0"/>
          <w:numId w:val="44"/>
        </w:numPr>
        <w:tabs>
          <w:tab w:val="left" w:pos="1871"/>
        </w:tabs>
        <w:spacing w:after="120" w:line="276" w:lineRule="auto"/>
        <w:ind w:left="1066" w:hanging="357"/>
        <w:jc w:val="both"/>
        <w:rPr>
          <w:rFonts w:ascii="Arial" w:eastAsia="Calibri" w:hAnsi="Arial" w:cs="Arial"/>
          <w:color w:val="9A0000"/>
          <w:spacing w:val="-2"/>
          <w:kern w:val="2"/>
          <w:sz w:val="21"/>
          <w:szCs w:val="21"/>
        </w:rPr>
      </w:pPr>
      <w:r w:rsidRPr="00FC0C74">
        <w:rPr>
          <w:rFonts w:ascii="Arial" w:eastAsia="Calibri" w:hAnsi="Arial" w:cs="Arial"/>
          <w:kern w:val="2"/>
          <w:sz w:val="21"/>
          <w:szCs w:val="21"/>
        </w:rPr>
        <w:t>Agència Espanyola de Protecció de Dades.</w:t>
      </w:r>
    </w:p>
    <w:p w14:paraId="53B12CFB" w14:textId="77777777" w:rsidR="00FC0C74" w:rsidRPr="00FC0C74" w:rsidRDefault="00FC0C74" w:rsidP="007F1F98">
      <w:pPr>
        <w:numPr>
          <w:ilvl w:val="0"/>
          <w:numId w:val="42"/>
        </w:numPr>
        <w:tabs>
          <w:tab w:val="left" w:pos="1871"/>
        </w:tabs>
        <w:spacing w:after="120" w:line="276" w:lineRule="auto"/>
        <w:ind w:left="1843" w:hanging="1417"/>
        <w:jc w:val="both"/>
        <w:rPr>
          <w:rFonts w:ascii="Arial" w:eastAsia="Calibri" w:hAnsi="Arial" w:cs="Arial"/>
          <w:kern w:val="2"/>
          <w:sz w:val="21"/>
          <w:szCs w:val="21"/>
        </w:rPr>
      </w:pPr>
      <w:r w:rsidRPr="00FC0C74">
        <w:rPr>
          <w:rFonts w:ascii="Arial" w:eastAsia="Calibri" w:hAnsi="Arial" w:cs="Arial"/>
          <w:spacing w:val="-2"/>
          <w:kern w:val="2"/>
          <w:sz w:val="21"/>
          <w:szCs w:val="21"/>
        </w:rPr>
        <w:t>Mesures de prevenció, detecció, correcció i persecució d'acord amb l'Ordre HFP/1030/2021.</w:t>
      </w:r>
    </w:p>
    <w:p w14:paraId="4F177AAA" w14:textId="77777777" w:rsidR="00FC0C74" w:rsidRPr="00FC0C74" w:rsidRDefault="00FC0C74" w:rsidP="007F1F98">
      <w:pPr>
        <w:widowControl w:val="0"/>
        <w:numPr>
          <w:ilvl w:val="0"/>
          <w:numId w:val="42"/>
        </w:numPr>
        <w:tabs>
          <w:tab w:val="left" w:pos="1871"/>
        </w:tabs>
        <w:spacing w:after="120" w:line="276" w:lineRule="auto"/>
        <w:ind w:left="1843" w:hanging="1417"/>
        <w:jc w:val="both"/>
        <w:rPr>
          <w:rFonts w:ascii="Arial" w:eastAsia="Droid Sans Fallback" w:hAnsi="Arial" w:cs="Arial"/>
          <w:kern w:val="2"/>
          <w:sz w:val="21"/>
          <w:szCs w:val="21"/>
        </w:rPr>
      </w:pPr>
      <w:r w:rsidRPr="00FC0C74">
        <w:rPr>
          <w:rFonts w:ascii="Arial" w:eastAsia="Times New Roman" w:hAnsi="Arial" w:cs="Arial"/>
          <w:sz w:val="21"/>
          <w:szCs w:val="21"/>
          <w:lang w:eastAsia="es-ES"/>
        </w:rPr>
        <w:t xml:space="preserve">Documents d'orientació i ajuda per a la definició i posada en pràctica de les mesures antifrau segons l'Ordre HFP/1030/2021. </w:t>
      </w:r>
    </w:p>
    <w:p w14:paraId="52C9B1A9" w14:textId="77777777" w:rsidR="00FC0C74" w:rsidRPr="00FC0C74" w:rsidRDefault="00FC0C74" w:rsidP="007F1F98">
      <w:pPr>
        <w:numPr>
          <w:ilvl w:val="0"/>
          <w:numId w:val="42"/>
        </w:numPr>
        <w:tabs>
          <w:tab w:val="left" w:pos="1871"/>
        </w:tabs>
        <w:spacing w:after="120" w:line="276" w:lineRule="auto"/>
        <w:ind w:hanging="644"/>
        <w:jc w:val="both"/>
        <w:rPr>
          <w:rFonts w:ascii="Arial" w:eastAsia="Calibri" w:hAnsi="Arial" w:cs="Arial"/>
          <w:kern w:val="2"/>
          <w:sz w:val="21"/>
          <w:szCs w:val="21"/>
        </w:rPr>
      </w:pPr>
      <w:r w:rsidRPr="00FC0C74">
        <w:rPr>
          <w:rFonts w:ascii="Arial" w:eastAsia="Calibri" w:hAnsi="Arial" w:cs="Arial"/>
          <w:color w:val="231F20"/>
          <w:spacing w:val="-2"/>
          <w:kern w:val="2"/>
          <w:sz w:val="21"/>
          <w:szCs w:val="21"/>
        </w:rPr>
        <w:t>Altres models i bones pràctiques en l'elaboració de plans antifrau</w:t>
      </w:r>
    </w:p>
    <w:p w14:paraId="1EB17B6F" w14:textId="77777777" w:rsidR="00FC0C74" w:rsidRPr="00FC0C74" w:rsidRDefault="00FC0C74" w:rsidP="007F1F98">
      <w:pPr>
        <w:numPr>
          <w:ilvl w:val="0"/>
          <w:numId w:val="42"/>
        </w:numPr>
        <w:tabs>
          <w:tab w:val="left" w:pos="1871"/>
        </w:tabs>
        <w:spacing w:after="120" w:line="276" w:lineRule="auto"/>
        <w:ind w:left="1843" w:hanging="1417"/>
        <w:jc w:val="both"/>
        <w:rPr>
          <w:rFonts w:ascii="Arial" w:eastAsia="Calibri" w:hAnsi="Arial" w:cs="Arial"/>
          <w:kern w:val="2"/>
          <w:sz w:val="21"/>
          <w:szCs w:val="21"/>
        </w:rPr>
      </w:pPr>
      <w:r w:rsidRPr="00FC0C74">
        <w:rPr>
          <w:rFonts w:ascii="Arial" w:eastAsia="Calibri" w:hAnsi="Arial" w:cs="Arial"/>
          <w:kern w:val="2"/>
          <w:sz w:val="21"/>
          <w:szCs w:val="21"/>
        </w:rPr>
        <w:t>Documents útils per a la supervisió, control, gestió de fons europeus.</w:t>
      </w:r>
    </w:p>
    <w:p w14:paraId="19D91F67" w14:textId="77777777" w:rsidR="00FC0C74" w:rsidRPr="00FC0C74" w:rsidRDefault="00FC0C74" w:rsidP="007F1F98">
      <w:pPr>
        <w:numPr>
          <w:ilvl w:val="0"/>
          <w:numId w:val="42"/>
        </w:numPr>
        <w:tabs>
          <w:tab w:val="left" w:pos="1871"/>
        </w:tabs>
        <w:spacing w:after="120" w:line="276" w:lineRule="auto"/>
        <w:ind w:hanging="644"/>
        <w:jc w:val="both"/>
        <w:rPr>
          <w:rFonts w:ascii="Arial" w:eastAsia="Calibri" w:hAnsi="Arial" w:cs="Arial"/>
          <w:kern w:val="2"/>
          <w:sz w:val="21"/>
          <w:szCs w:val="21"/>
        </w:rPr>
      </w:pPr>
      <w:r w:rsidRPr="00FC0C74">
        <w:rPr>
          <w:rFonts w:ascii="Arial" w:eastAsia="Calibri" w:hAnsi="Arial" w:cs="Arial"/>
          <w:kern w:val="2"/>
          <w:sz w:val="21"/>
          <w:szCs w:val="21"/>
        </w:rPr>
        <w:t>Guies marc del Servei Nacional de Coordinació Antifrau (SNCA).</w:t>
      </w:r>
    </w:p>
    <w:p w14:paraId="3996703C" w14:textId="77777777" w:rsidR="00FC0C74" w:rsidRPr="00FC0C74" w:rsidRDefault="00FC0C74" w:rsidP="007F1F98">
      <w:pPr>
        <w:numPr>
          <w:ilvl w:val="0"/>
          <w:numId w:val="42"/>
        </w:numPr>
        <w:tabs>
          <w:tab w:val="left" w:pos="1871"/>
        </w:tabs>
        <w:spacing w:after="120" w:line="276" w:lineRule="auto"/>
        <w:ind w:hanging="644"/>
        <w:jc w:val="both"/>
        <w:rPr>
          <w:rFonts w:ascii="Arial" w:eastAsia="Calibri" w:hAnsi="Arial" w:cs="Arial"/>
          <w:kern w:val="2"/>
          <w:sz w:val="21"/>
          <w:szCs w:val="21"/>
        </w:rPr>
      </w:pPr>
      <w:r w:rsidRPr="00FC0C74">
        <w:rPr>
          <w:rFonts w:ascii="Arial" w:eastAsia="Calibri" w:hAnsi="Arial" w:cs="Arial"/>
          <w:kern w:val="2"/>
          <w:sz w:val="21"/>
          <w:szCs w:val="21"/>
        </w:rPr>
        <w:t>Glossari de termes força del pla.</w:t>
      </w:r>
    </w:p>
    <w:p w14:paraId="5B5C8204" w14:textId="77777777" w:rsidR="00FC0C74" w:rsidRPr="00FC0C74" w:rsidRDefault="00FC0C74" w:rsidP="00E0155F">
      <w:pPr>
        <w:numPr>
          <w:ilvl w:val="0"/>
          <w:numId w:val="42"/>
        </w:numPr>
        <w:tabs>
          <w:tab w:val="left" w:pos="1871"/>
        </w:tabs>
        <w:spacing w:after="240" w:line="276" w:lineRule="auto"/>
        <w:ind w:hanging="644"/>
        <w:contextualSpacing/>
        <w:jc w:val="both"/>
        <w:rPr>
          <w:rFonts w:ascii="Arial" w:eastAsia="Times New Roman" w:hAnsi="Arial" w:cs="Arial"/>
          <w:sz w:val="21"/>
          <w:szCs w:val="21"/>
          <w:lang w:eastAsia="es-ES"/>
        </w:rPr>
      </w:pPr>
      <w:r w:rsidRPr="00FC0C74">
        <w:rPr>
          <w:rFonts w:ascii="Arial" w:eastAsia="Calibri" w:hAnsi="Arial" w:cs="Arial"/>
          <w:kern w:val="2"/>
          <w:sz w:val="21"/>
          <w:szCs w:val="21"/>
        </w:rPr>
        <w:t>Fonts, normes i bibliografia de consulta.</w:t>
      </w:r>
    </w:p>
    <w:p w14:paraId="5D644E50"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b/>
          <w:noProof/>
          <w:sz w:val="21"/>
          <w:szCs w:val="21"/>
        </w:rPr>
        <mc:AlternateContent>
          <mc:Choice Requires="wps">
            <w:drawing>
              <wp:anchor distT="45720" distB="45720" distL="114300" distR="114300" simplePos="0" relativeHeight="252006400" behindDoc="0" locked="0" layoutInCell="1" allowOverlap="1" wp14:anchorId="0A8A0EE3" wp14:editId="6D69D1D6">
                <wp:simplePos x="0" y="0"/>
                <wp:positionH relativeFrom="margin">
                  <wp:posOffset>-4445</wp:posOffset>
                </wp:positionH>
                <wp:positionV relativeFrom="paragraph">
                  <wp:posOffset>434975</wp:posOffset>
                </wp:positionV>
                <wp:extent cx="2133600" cy="2208530"/>
                <wp:effectExtent l="0" t="0" r="0" b="1270"/>
                <wp:wrapSquare wrapText="bothSides"/>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208530"/>
                        </a:xfrm>
                        <a:prstGeom prst="rect">
                          <a:avLst/>
                        </a:prstGeom>
                        <a:solidFill>
                          <a:srgbClr val="FFFFFF"/>
                        </a:solidFill>
                        <a:ln w="9525">
                          <a:noFill/>
                          <a:miter lim="800000"/>
                          <a:headEnd/>
                          <a:tailEnd/>
                        </a:ln>
                      </wps:spPr>
                      <wps:txbx>
                        <w:txbxContent>
                          <w:p w14:paraId="1C1A141E" w14:textId="77777777" w:rsidR="00633410" w:rsidRDefault="00FC0C74" w:rsidP="00633410">
                            <w:pPr>
                              <w:keepNext/>
                              <w:jc w:val="center"/>
                            </w:pPr>
                            <w:r>
                              <w:rPr>
                                <w:noProof/>
                              </w:rPr>
                              <w:drawing>
                                <wp:inline distT="0" distB="0" distL="0" distR="0" wp14:anchorId="366AAE93" wp14:editId="35B80050">
                                  <wp:extent cx="1554480" cy="1463040"/>
                                  <wp:effectExtent l="0" t="0" r="7620" b="3810"/>
                                  <wp:docPr id="36" name="Imagen 36" descr="https://www.antifraucv.es/wp-content/uploads/2021/11/Presentacion-manual-didactico-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https://www.antifraucv.es/wp-content/uploads/2021/11/Presentacion-manual-didactico-300x169.jpg"/>
                                          <pic:cNvPicPr>
                                            <a:picLocks noChangeAspect="1"/>
                                          </pic:cNvPicPr>
                                        </pic:nvPicPr>
                                        <pic:blipFill rotWithShape="1">
                                          <a:blip r:embed="rId504">
                                            <a:extLst>
                                              <a:ext uri="{28A0092B-C50C-407E-A947-70E740481C1C}">
                                                <a14:useLocalDpi xmlns:a14="http://schemas.microsoft.com/office/drawing/2010/main" val="0"/>
                                              </a:ext>
                                            </a:extLst>
                                          </a:blip>
                                          <a:srcRect l="11556" r="-444"/>
                                          <a:stretch/>
                                        </pic:blipFill>
                                        <pic:spPr bwMode="auto">
                                          <a:xfrm>
                                            <a:off x="0" y="0"/>
                                            <a:ext cx="1554480" cy="1463040"/>
                                          </a:xfrm>
                                          <a:prstGeom prst="rect">
                                            <a:avLst/>
                                          </a:prstGeom>
                                          <a:noFill/>
                                          <a:ln>
                                            <a:noFill/>
                                          </a:ln>
                                          <a:extLst>
                                            <a:ext uri="{53640926-AAD7-44D8-BBD7-CCE9431645EC}">
                                              <a14:shadowObscured xmlns:a14="http://schemas.microsoft.com/office/drawing/2010/main"/>
                                            </a:ext>
                                          </a:extLst>
                                        </pic:spPr>
                                      </pic:pic>
                                    </a:graphicData>
                                  </a:graphic>
                                </wp:inline>
                              </w:drawing>
                            </w:r>
                          </w:p>
                          <w:p w14:paraId="2F828210" w14:textId="698370C4" w:rsidR="00633410" w:rsidRPr="00633410" w:rsidRDefault="00633410" w:rsidP="001E427A">
                            <w:pPr>
                              <w:pStyle w:val="Descripcin"/>
                              <w:jc w:val="both"/>
                              <w:rPr>
                                <w:rFonts w:ascii="Arial" w:hAnsi="Arial" w:cs="Arial"/>
                                <w:smallCaps w:val="0"/>
                                <w:sz w:val="18"/>
                                <w:szCs w:val="18"/>
                              </w:rPr>
                            </w:pPr>
                            <w:bookmarkStart w:id="377" w:name="_Toc99110898"/>
                            <w:r w:rsidRPr="00633410">
                              <w:rPr>
                                <w:rFonts w:ascii="Arial" w:hAnsi="Arial" w:cs="Arial"/>
                                <w:smallCaps w:val="0"/>
                                <w:color w:val="9D2235" w:themeColor="accent1"/>
                                <w:sz w:val="18"/>
                                <w:szCs w:val="18"/>
                              </w:rPr>
                              <w:t xml:space="preserve">Imatge </w:t>
                            </w:r>
                            <w:r w:rsidRPr="00633410">
                              <w:rPr>
                                <w:rFonts w:ascii="Arial" w:hAnsi="Arial" w:cs="Arial"/>
                                <w:smallCaps w:val="0"/>
                                <w:color w:val="9D2235" w:themeColor="accent1"/>
                                <w:sz w:val="18"/>
                                <w:szCs w:val="18"/>
                              </w:rPr>
                              <w:fldChar w:fldCharType="begin"/>
                            </w:r>
                            <w:r w:rsidRPr="00633410">
                              <w:rPr>
                                <w:rFonts w:ascii="Arial" w:hAnsi="Arial" w:cs="Arial"/>
                                <w:smallCaps w:val="0"/>
                                <w:color w:val="9D2235" w:themeColor="accent1"/>
                                <w:sz w:val="18"/>
                                <w:szCs w:val="18"/>
                              </w:rPr>
                              <w:instrText xml:space="preserve"> SEQ Imatge \* ARABIC </w:instrText>
                            </w:r>
                            <w:r w:rsidRPr="00633410">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9</w:t>
                            </w:r>
                            <w:r w:rsidRPr="00633410">
                              <w:rPr>
                                <w:rFonts w:ascii="Arial" w:hAnsi="Arial" w:cs="Arial"/>
                                <w:smallCaps w:val="0"/>
                                <w:color w:val="9D2235" w:themeColor="accent1"/>
                                <w:sz w:val="18"/>
                                <w:szCs w:val="18"/>
                              </w:rPr>
                              <w:fldChar w:fldCharType="end"/>
                            </w:r>
                            <w:r w:rsidRPr="00633410">
                              <w:rPr>
                                <w:rFonts w:ascii="Arial" w:hAnsi="Arial" w:cs="Arial"/>
                                <w:smallCaps w:val="0"/>
                                <w:color w:val="9D2235" w:themeColor="accent1"/>
                                <w:sz w:val="18"/>
                                <w:szCs w:val="18"/>
                              </w:rPr>
                              <w:t xml:space="preserve">. </w:t>
                            </w:r>
                            <w:r w:rsidRPr="00633410">
                              <w:rPr>
                                <w:rFonts w:ascii="Arial" w:hAnsi="Arial" w:cs="Arial"/>
                                <w:smallCaps w:val="0"/>
                                <w:sz w:val="18"/>
                                <w:szCs w:val="18"/>
                              </w:rPr>
                              <w:t xml:space="preserve">Manual </w:t>
                            </w:r>
                            <w:r w:rsidR="00E0155F" w:rsidRPr="00633410">
                              <w:rPr>
                                <w:rFonts w:ascii="Arial" w:hAnsi="Arial" w:cs="Arial"/>
                                <w:smallCaps w:val="0"/>
                                <w:sz w:val="18"/>
                                <w:szCs w:val="18"/>
                              </w:rPr>
                              <w:t>didàctic</w:t>
                            </w:r>
                            <w:r w:rsidRPr="00633410">
                              <w:rPr>
                                <w:rFonts w:ascii="Arial" w:hAnsi="Arial" w:cs="Arial"/>
                                <w:smallCaps w:val="0"/>
                                <w:sz w:val="18"/>
                                <w:szCs w:val="18"/>
                              </w:rPr>
                              <w:t xml:space="preserve"> visual. Els conflictes d'interés en clau d'integritat pública</w:t>
                            </w:r>
                            <w:bookmarkEnd w:id="377"/>
                          </w:p>
                          <w:p w14:paraId="3EB18D0A" w14:textId="7693B881" w:rsidR="00FC0C74" w:rsidRDefault="00FC0C74" w:rsidP="00FC0C74">
                            <w:pPr>
                              <w:keepNext/>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A0EE3" id="_x0000_s1036" type="#_x0000_t202" style="position:absolute;left:0;text-align:left;margin-left:-.35pt;margin-top:34.25pt;width:168pt;height:173.9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" stroked="f">
                <v:textbox>
                  <w:txbxContent>
                    <w:p w14:paraId="1C1A141E" w14:textId="77777777" w:rsidR="00633410" w:rsidRDefault="00FC0C74" w:rsidP="00633410">
                      <w:pPr>
                        <w:keepNext/>
                        <w:jc w:val="center"/>
                      </w:pPr>
                      <w:r>
                        <w:rPr>
                          <w:noProof/>
                        </w:rPr>
                        <w:drawing>
                          <wp:inline distT="0" distB="0" distL="0" distR="0" wp14:anchorId="366AAE93" wp14:editId="35B80050">
                            <wp:extent cx="1554480" cy="1463040"/>
                            <wp:effectExtent l="0" t="0" r="7620" b="3810"/>
                            <wp:docPr id="36" name="Imagen 36" descr="https://www.antifraucv.es/wp-content/uploads/2021/11/Presentacion-manual-didactico-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https://www.antifraucv.es/wp-content/uploads/2021/11/Presentacion-manual-didactico-300x169.jpg"/>
                                    <pic:cNvPicPr>
                                      <a:picLocks noChangeAspect="1"/>
                                    </pic:cNvPicPr>
                                  </pic:nvPicPr>
                                  <pic:blipFill rotWithShape="1">
                                    <a:blip r:embed="rId505">
                                      <a:extLst>
                                        <a:ext uri="{28A0092B-C50C-407E-A947-70E740481C1C}">
                                          <a14:useLocalDpi xmlns:a14="http://schemas.microsoft.com/office/drawing/2010/main" val="0"/>
                                        </a:ext>
                                      </a:extLst>
                                    </a:blip>
                                    <a:srcRect l="11556" r="-444"/>
                                    <a:stretch/>
                                  </pic:blipFill>
                                  <pic:spPr bwMode="auto">
                                    <a:xfrm>
                                      <a:off x="0" y="0"/>
                                      <a:ext cx="1554480" cy="1463040"/>
                                    </a:xfrm>
                                    <a:prstGeom prst="rect">
                                      <a:avLst/>
                                    </a:prstGeom>
                                    <a:noFill/>
                                    <a:ln>
                                      <a:noFill/>
                                    </a:ln>
                                    <a:extLst>
                                      <a:ext uri="{53640926-AAD7-44D8-BBD7-CCE9431645EC}">
                                        <a14:shadowObscured xmlns:a14="http://schemas.microsoft.com/office/drawing/2010/main"/>
                                      </a:ext>
                                    </a:extLst>
                                  </pic:spPr>
                                </pic:pic>
                              </a:graphicData>
                            </a:graphic>
                          </wp:inline>
                        </w:drawing>
                      </w:r>
                    </w:p>
                    <w:p w14:paraId="2F828210" w14:textId="698370C4" w:rsidR="00633410" w:rsidRPr="00633410" w:rsidRDefault="00633410" w:rsidP="001E427A">
                      <w:pPr>
                        <w:pStyle w:val="Descripcin"/>
                        <w:jc w:val="both"/>
                        <w:rPr>
                          <w:rFonts w:ascii="Arial" w:hAnsi="Arial" w:cs="Arial"/>
                          <w:smallCaps w:val="0"/>
                          <w:sz w:val="18"/>
                          <w:szCs w:val="18"/>
                        </w:rPr>
                      </w:pPr>
                      <w:bookmarkStart w:id="388" w:name="_Toc99110898"/>
                      <w:r w:rsidRPr="00633410">
                        <w:rPr>
                          <w:rFonts w:ascii="Arial" w:hAnsi="Arial" w:cs="Arial"/>
                          <w:smallCaps w:val="0"/>
                          <w:color w:val="9D2235" w:themeColor="accent1"/>
                          <w:sz w:val="18"/>
                          <w:szCs w:val="18"/>
                        </w:rPr>
                        <w:t xml:space="preserve">Imatge </w:t>
                      </w:r>
                      <w:r w:rsidRPr="00633410">
                        <w:rPr>
                          <w:rFonts w:ascii="Arial" w:hAnsi="Arial" w:cs="Arial"/>
                          <w:smallCaps w:val="0"/>
                          <w:color w:val="9D2235" w:themeColor="accent1"/>
                          <w:sz w:val="18"/>
                          <w:szCs w:val="18"/>
                        </w:rPr>
                        <w:fldChar w:fldCharType="begin"/>
                      </w:r>
                      <w:r w:rsidRPr="00633410">
                        <w:rPr>
                          <w:rFonts w:ascii="Arial" w:hAnsi="Arial" w:cs="Arial"/>
                          <w:smallCaps w:val="0"/>
                          <w:color w:val="9D2235" w:themeColor="accent1"/>
                          <w:sz w:val="18"/>
                          <w:szCs w:val="18"/>
                        </w:rPr>
                        <w:instrText xml:space="preserve"> SEQ Imatge \* ARABIC </w:instrText>
                      </w:r>
                      <w:r w:rsidRPr="00633410">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9</w:t>
                      </w:r>
                      <w:r w:rsidRPr="00633410">
                        <w:rPr>
                          <w:rFonts w:ascii="Arial" w:hAnsi="Arial" w:cs="Arial"/>
                          <w:smallCaps w:val="0"/>
                          <w:color w:val="9D2235" w:themeColor="accent1"/>
                          <w:sz w:val="18"/>
                          <w:szCs w:val="18"/>
                        </w:rPr>
                        <w:fldChar w:fldCharType="end"/>
                      </w:r>
                      <w:r w:rsidRPr="00633410">
                        <w:rPr>
                          <w:rFonts w:ascii="Arial" w:hAnsi="Arial" w:cs="Arial"/>
                          <w:smallCaps w:val="0"/>
                          <w:color w:val="9D2235" w:themeColor="accent1"/>
                          <w:sz w:val="18"/>
                          <w:szCs w:val="18"/>
                        </w:rPr>
                        <w:t xml:space="preserve">. </w:t>
                      </w:r>
                      <w:r w:rsidRPr="00633410">
                        <w:rPr>
                          <w:rFonts w:ascii="Arial" w:hAnsi="Arial" w:cs="Arial"/>
                          <w:smallCaps w:val="0"/>
                          <w:sz w:val="18"/>
                          <w:szCs w:val="18"/>
                        </w:rPr>
                        <w:t xml:space="preserve">Manual </w:t>
                      </w:r>
                      <w:r w:rsidR="00E0155F" w:rsidRPr="00633410">
                        <w:rPr>
                          <w:rFonts w:ascii="Arial" w:hAnsi="Arial" w:cs="Arial"/>
                          <w:smallCaps w:val="0"/>
                          <w:sz w:val="18"/>
                          <w:szCs w:val="18"/>
                        </w:rPr>
                        <w:t>didàctic</w:t>
                      </w:r>
                      <w:r w:rsidRPr="00633410">
                        <w:rPr>
                          <w:rFonts w:ascii="Arial" w:hAnsi="Arial" w:cs="Arial"/>
                          <w:smallCaps w:val="0"/>
                          <w:sz w:val="18"/>
                          <w:szCs w:val="18"/>
                        </w:rPr>
                        <w:t xml:space="preserve"> visual. Els conflictes d'interés en clau d'integritat pública</w:t>
                      </w:r>
                      <w:bookmarkEnd w:id="388"/>
                    </w:p>
                    <w:p w14:paraId="3EB18D0A" w14:textId="7693B881" w:rsidR="00FC0C74" w:rsidRDefault="00FC0C74" w:rsidP="00FC0C74">
                      <w:pPr>
                        <w:keepNext/>
                        <w:jc w:val="center"/>
                      </w:pPr>
                    </w:p>
                  </w:txbxContent>
                </v:textbox>
                <w10:wrap type="square" anchorx="margin"/>
              </v:shape>
            </w:pict>
          </mc:Fallback>
        </mc:AlternateContent>
      </w:r>
      <w:r w:rsidRPr="00FC0C74">
        <w:rPr>
          <w:rFonts w:ascii="Arial" w:eastAsia="Times New Roman" w:hAnsi="Arial" w:cs="Arial"/>
          <w:bCs/>
          <w:sz w:val="21"/>
          <w:szCs w:val="21"/>
        </w:rPr>
        <w:t>Per Resolució del director núm. 808, de 10 de novembre, es va aprovar, a proposta del Servei de Prevenció</w:t>
      </w:r>
      <w:r w:rsidRPr="00FC0C74">
        <w:rPr>
          <w:rFonts w:ascii="Arial" w:eastAsia="Times New Roman" w:hAnsi="Arial" w:cs="Arial"/>
          <w:b/>
          <w:sz w:val="21"/>
          <w:szCs w:val="21"/>
        </w:rPr>
        <w:t>, el primer manual didàctic visual: Els conflictes d'interés en clau d'integritat</w:t>
      </w:r>
      <w:r w:rsidRPr="00FC0C74">
        <w:rPr>
          <w:rFonts w:ascii="Arial" w:eastAsia="Times New Roman" w:hAnsi="Arial" w:cs="Arial"/>
          <w:sz w:val="21"/>
          <w:szCs w:val="21"/>
        </w:rPr>
        <w:t xml:space="preserve"> [</w:t>
      </w:r>
      <w:hyperlink r:id="rId506" w:history="1">
        <w:r w:rsidRPr="00FC0C74">
          <w:rPr>
            <w:rStyle w:val="Hipervnculo"/>
            <w:rFonts w:ascii="Arial" w:eastAsia="Times New Roman" w:hAnsi="Arial" w:cs="Arial"/>
            <w:sz w:val="21"/>
            <w:szCs w:val="21"/>
          </w:rPr>
          <w:t>https://www.antifraucv.es/wp-content/uploads/2021/11/Manual-Didactivo-Visual.pdfjunto</w:t>
        </w:r>
      </w:hyperlink>
      <w:r w:rsidRPr="00FC0C74">
        <w:rPr>
          <w:rFonts w:ascii="Arial" w:eastAsia="Times New Roman" w:hAnsi="Arial" w:cs="Arial"/>
          <w:sz w:val="21"/>
          <w:szCs w:val="21"/>
        </w:rPr>
        <w:t xml:space="preserve">], per a identificar, previndre, minimitzar i controlar els riscos de frau i corrupció motivats pels conflictes d'interés i la seua falta de gestió institucional: </w:t>
      </w:r>
      <w:r w:rsidRPr="00FC0C74">
        <w:rPr>
          <w:rFonts w:ascii="Arial" w:eastAsia="Times New Roman" w:hAnsi="Arial" w:cs="Arial"/>
          <w:b/>
          <w:bCs/>
          <w:sz w:val="21"/>
          <w:szCs w:val="21"/>
        </w:rPr>
        <w:t>“Els conflictes d'interés en clau d'integritat pública”</w:t>
      </w:r>
      <w:r w:rsidRPr="00FC0C74">
        <w:rPr>
          <w:rFonts w:ascii="Arial" w:eastAsia="Times New Roman" w:hAnsi="Arial" w:cs="Arial"/>
          <w:sz w:val="21"/>
          <w:szCs w:val="21"/>
        </w:rPr>
        <w:t xml:space="preserve">, incloent les principals orientacions i guies de la Comissió Europea i de la OLAF sobre el tractament dels conflictes d'interés en la gestió i control dels fons europeus, tot això en un format power point que ha possibilitat la seua exposició en diverses activitats formatives. El manual il·lustra amb exemples didàctics les diferents situacions que es poden donar en el dia a dia de qualsevol persona al servei del sector públic o que es relacione amb aquesta, proposant mesures preventives i de control dels conflictes d'interés, tant com risc comú a qualsevol procés de presa de decisions com referides a les àrees de pràctica més judicialitzades per corrupció (contractació, subvencions, funció pública, etc.). El Manual desenvolupa amb un enfocament pràctic i didàctic la Recomanació general aprovada per Resolució del director núm. 577/2020, de 3 de desembre de 2020, </w:t>
      </w:r>
      <w:r w:rsidRPr="00FC0C74">
        <w:rPr>
          <w:rFonts w:ascii="Arial" w:eastAsia="Times New Roman" w:hAnsi="Arial" w:cs="Arial"/>
          <w:b/>
          <w:bCs/>
          <w:sz w:val="21"/>
          <w:szCs w:val="21"/>
        </w:rPr>
        <w:t>«Reflexions sobre el conflicte d'interés: el seu desconeixement, l'avantsala de la corrupció»</w:t>
      </w:r>
      <w:r w:rsidRPr="00FC0C74">
        <w:rPr>
          <w:rFonts w:ascii="Arial" w:eastAsia="Times New Roman" w:hAnsi="Arial" w:cs="Arial"/>
          <w:sz w:val="21"/>
          <w:szCs w:val="21"/>
        </w:rPr>
        <w:t>, que incidia en la necessitat de conéixer i identificar i prendre consciència de les situacions constitutives d'un conflicte d'interés (real, potencial o aparent), per a prendre les mesures adequades per a previndre i evitar les irregularitats (administratives i penals), que posen en escac la imparcialitat, l'objectivitat i el servei públic i, per tant, per a actuar sense ingerències externes d'interessos particulars que ens desvien de la missió de servir a l'interés general.</w:t>
      </w:r>
    </w:p>
    <w:p w14:paraId="6C1D3C42"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noProof/>
          <w:sz w:val="21"/>
          <w:szCs w:val="21"/>
        </w:rPr>
        <mc:AlternateContent>
          <mc:Choice Requires="wps">
            <w:drawing>
              <wp:anchor distT="45720" distB="45720" distL="114300" distR="114300" simplePos="0" relativeHeight="252005376" behindDoc="0" locked="0" layoutInCell="1" allowOverlap="1" wp14:anchorId="0FA3E180" wp14:editId="69457E79">
                <wp:simplePos x="0" y="0"/>
                <wp:positionH relativeFrom="margin">
                  <wp:posOffset>-6985</wp:posOffset>
                </wp:positionH>
                <wp:positionV relativeFrom="paragraph">
                  <wp:posOffset>259715</wp:posOffset>
                </wp:positionV>
                <wp:extent cx="2133600" cy="2654300"/>
                <wp:effectExtent l="0" t="0" r="0" b="0"/>
                <wp:wrapSquare wrapText="bothSides"/>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654300"/>
                        </a:xfrm>
                        <a:prstGeom prst="rect">
                          <a:avLst/>
                        </a:prstGeom>
                        <a:solidFill>
                          <a:srgbClr val="FFFFFF"/>
                        </a:solidFill>
                        <a:ln w="9525">
                          <a:noFill/>
                          <a:miter lim="800000"/>
                          <a:headEnd/>
                          <a:tailEnd/>
                        </a:ln>
                      </wps:spPr>
                      <wps:txbx>
                        <w:txbxContent>
                          <w:p w14:paraId="5B70B68D" w14:textId="77777777" w:rsidR="00633410" w:rsidRDefault="00FC0C74" w:rsidP="00633410">
                            <w:pPr>
                              <w:keepNext/>
                              <w:jc w:val="center"/>
                            </w:pPr>
                            <w:r>
                              <w:rPr>
                                <w:noProof/>
                              </w:rPr>
                              <w:drawing>
                                <wp:inline distT="0" distB="0" distL="0" distR="0" wp14:anchorId="777AAB45" wp14:editId="380971EC">
                                  <wp:extent cx="1485900" cy="1714500"/>
                                  <wp:effectExtent l="0" t="0" r="0" b="0"/>
                                  <wp:docPr id="32" name="Imagen 32" descr="https://www.antifraucv.es/wp-content/uploads/2021/12/Portada-catalogo-de-riesgos-comunes_page-0001-212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https://www.antifraucv.es/wp-content/uploads/2021/12/Portada-catalogo-de-riesgos-comunes_page-0001-212x300.jpg"/>
                                          <pic:cNvPicPr>
                                            <a:picLocks noChangeAspect="1"/>
                                          </pic:cNvPicPr>
                                        </pic:nvPicPr>
                                        <pic:blipFill rotWithShape="1">
                                          <a:blip r:embed="rId507">
                                            <a:extLst>
                                              <a:ext uri="{28A0092B-C50C-407E-A947-70E740481C1C}">
                                                <a14:useLocalDpi xmlns:a14="http://schemas.microsoft.com/office/drawing/2010/main" val="0"/>
                                              </a:ext>
                                            </a:extLst>
                                          </a:blip>
                                          <a:srcRect l="6918" t="5778" r="6918" b="6000"/>
                                          <a:stretch/>
                                        </pic:blipFill>
                                        <pic:spPr bwMode="auto">
                                          <a:xfrm>
                                            <a:off x="0" y="0"/>
                                            <a:ext cx="1485900"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0E183371" w14:textId="536E30ED" w:rsidR="00633410" w:rsidRPr="009B7673" w:rsidRDefault="00633410" w:rsidP="001E427A">
                            <w:pPr>
                              <w:pStyle w:val="Descripcin"/>
                              <w:jc w:val="both"/>
                              <w:rPr>
                                <w:rFonts w:ascii="Arial" w:hAnsi="Arial" w:cs="Arial"/>
                                <w:smallCaps w:val="0"/>
                                <w:sz w:val="18"/>
                                <w:szCs w:val="18"/>
                              </w:rPr>
                            </w:pPr>
                            <w:bookmarkStart w:id="378" w:name="_Toc99110899"/>
                            <w:r w:rsidRPr="009B7673">
                              <w:rPr>
                                <w:rFonts w:ascii="Arial" w:hAnsi="Arial" w:cs="Arial"/>
                                <w:smallCaps w:val="0"/>
                                <w:color w:val="9D2235" w:themeColor="accent1"/>
                                <w:sz w:val="18"/>
                                <w:szCs w:val="18"/>
                              </w:rPr>
                              <w:t xml:space="preserve">Imatge </w:t>
                            </w:r>
                            <w:r w:rsidRPr="009B7673">
                              <w:rPr>
                                <w:rFonts w:ascii="Arial" w:hAnsi="Arial" w:cs="Arial"/>
                                <w:smallCaps w:val="0"/>
                                <w:color w:val="9D2235" w:themeColor="accent1"/>
                                <w:sz w:val="18"/>
                                <w:szCs w:val="18"/>
                              </w:rPr>
                              <w:fldChar w:fldCharType="begin"/>
                            </w:r>
                            <w:r w:rsidRPr="009B7673">
                              <w:rPr>
                                <w:rFonts w:ascii="Arial" w:hAnsi="Arial" w:cs="Arial"/>
                                <w:smallCaps w:val="0"/>
                                <w:color w:val="9D2235" w:themeColor="accent1"/>
                                <w:sz w:val="18"/>
                                <w:szCs w:val="18"/>
                              </w:rPr>
                              <w:instrText xml:space="preserve"> SEQ Imatge \* ARABIC </w:instrText>
                            </w:r>
                            <w:r w:rsidRPr="009B7673">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10</w:t>
                            </w:r>
                            <w:r w:rsidRPr="009B7673">
                              <w:rPr>
                                <w:rFonts w:ascii="Arial" w:hAnsi="Arial" w:cs="Arial"/>
                                <w:smallCaps w:val="0"/>
                                <w:color w:val="9D2235" w:themeColor="accent1"/>
                                <w:sz w:val="18"/>
                                <w:szCs w:val="18"/>
                              </w:rPr>
                              <w:fldChar w:fldCharType="end"/>
                            </w:r>
                            <w:r w:rsidRPr="009B7673">
                              <w:rPr>
                                <w:rFonts w:ascii="Arial" w:hAnsi="Arial" w:cs="Arial"/>
                                <w:smallCaps w:val="0"/>
                                <w:color w:val="9D2235" w:themeColor="accent1"/>
                                <w:sz w:val="18"/>
                                <w:szCs w:val="18"/>
                              </w:rPr>
                              <w:t xml:space="preserve">. </w:t>
                            </w:r>
                            <w:r w:rsidRPr="009B7673">
                              <w:rPr>
                                <w:rFonts w:ascii="Arial" w:hAnsi="Arial" w:cs="Arial"/>
                                <w:smallCaps w:val="0"/>
                                <w:sz w:val="18"/>
                                <w:szCs w:val="18"/>
                              </w:rPr>
                              <w:t>Catàleg de riscos comuns en els processos de presa de decisions i alguns mecanismes de prevenció</w:t>
                            </w:r>
                            <w:bookmarkEnd w:id="37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3E180" id="_x0000_s1037" type="#_x0000_t202" style="position:absolute;left:0;text-align:left;margin-left:-.55pt;margin-top:20.45pt;width:168pt;height:209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" stroked="f">
                <v:textbox>
                  <w:txbxContent>
                    <w:p w14:paraId="5B70B68D" w14:textId="77777777" w:rsidR="00633410" w:rsidRDefault="00FC0C74" w:rsidP="00633410">
                      <w:pPr>
                        <w:keepNext/>
                        <w:jc w:val="center"/>
                      </w:pPr>
                      <w:r>
                        <w:rPr>
                          <w:noProof/>
                        </w:rPr>
                        <w:drawing>
                          <wp:inline distT="0" distB="0" distL="0" distR="0" wp14:anchorId="777AAB45" wp14:editId="380971EC">
                            <wp:extent cx="1485900" cy="1714500"/>
                            <wp:effectExtent l="0" t="0" r="0" b="0"/>
                            <wp:docPr id="32" name="Imagen 32" descr="https://www.antifraucv.es/wp-content/uploads/2021/12/Portada-catalogo-de-riesgos-comunes_page-0001-212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https://www.antifraucv.es/wp-content/uploads/2021/12/Portada-catalogo-de-riesgos-comunes_page-0001-212x300.jpg"/>
                                    <pic:cNvPicPr>
                                      <a:picLocks noChangeAspect="1"/>
                                    </pic:cNvPicPr>
                                  </pic:nvPicPr>
                                  <pic:blipFill rotWithShape="1">
                                    <a:blip r:embed="rId508">
                                      <a:extLst>
                                        <a:ext uri="{28A0092B-C50C-407E-A947-70E740481C1C}">
                                          <a14:useLocalDpi xmlns:a14="http://schemas.microsoft.com/office/drawing/2010/main" val="0"/>
                                        </a:ext>
                                      </a:extLst>
                                    </a:blip>
                                    <a:srcRect l="6918" t="5778" r="6918" b="6000"/>
                                    <a:stretch/>
                                  </pic:blipFill>
                                  <pic:spPr bwMode="auto">
                                    <a:xfrm>
                                      <a:off x="0" y="0"/>
                                      <a:ext cx="1485900"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0E183371" w14:textId="536E30ED" w:rsidR="00633410" w:rsidRPr="009B7673" w:rsidRDefault="00633410" w:rsidP="001E427A">
                      <w:pPr>
                        <w:pStyle w:val="Descripcin"/>
                        <w:jc w:val="both"/>
                        <w:rPr>
                          <w:rFonts w:ascii="Arial" w:hAnsi="Arial" w:cs="Arial"/>
                          <w:smallCaps w:val="0"/>
                          <w:sz w:val="18"/>
                          <w:szCs w:val="18"/>
                        </w:rPr>
                      </w:pPr>
                      <w:bookmarkStart w:id="390" w:name="_Toc99110899"/>
                      <w:r w:rsidRPr="009B7673">
                        <w:rPr>
                          <w:rFonts w:ascii="Arial" w:hAnsi="Arial" w:cs="Arial"/>
                          <w:smallCaps w:val="0"/>
                          <w:color w:val="9D2235" w:themeColor="accent1"/>
                          <w:sz w:val="18"/>
                          <w:szCs w:val="18"/>
                        </w:rPr>
                        <w:t xml:space="preserve">Imatge </w:t>
                      </w:r>
                      <w:r w:rsidRPr="009B7673">
                        <w:rPr>
                          <w:rFonts w:ascii="Arial" w:hAnsi="Arial" w:cs="Arial"/>
                          <w:smallCaps w:val="0"/>
                          <w:color w:val="9D2235" w:themeColor="accent1"/>
                          <w:sz w:val="18"/>
                          <w:szCs w:val="18"/>
                        </w:rPr>
                        <w:fldChar w:fldCharType="begin"/>
                      </w:r>
                      <w:r w:rsidRPr="009B7673">
                        <w:rPr>
                          <w:rFonts w:ascii="Arial" w:hAnsi="Arial" w:cs="Arial"/>
                          <w:smallCaps w:val="0"/>
                          <w:color w:val="9D2235" w:themeColor="accent1"/>
                          <w:sz w:val="18"/>
                          <w:szCs w:val="18"/>
                        </w:rPr>
                        <w:instrText xml:space="preserve"> SEQ Imatge \* ARABIC </w:instrText>
                      </w:r>
                      <w:r w:rsidRPr="009B7673">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10</w:t>
                      </w:r>
                      <w:r w:rsidRPr="009B7673">
                        <w:rPr>
                          <w:rFonts w:ascii="Arial" w:hAnsi="Arial" w:cs="Arial"/>
                          <w:smallCaps w:val="0"/>
                          <w:color w:val="9D2235" w:themeColor="accent1"/>
                          <w:sz w:val="18"/>
                          <w:szCs w:val="18"/>
                        </w:rPr>
                        <w:fldChar w:fldCharType="end"/>
                      </w:r>
                      <w:r w:rsidRPr="009B7673">
                        <w:rPr>
                          <w:rFonts w:ascii="Arial" w:hAnsi="Arial" w:cs="Arial"/>
                          <w:smallCaps w:val="0"/>
                          <w:color w:val="9D2235" w:themeColor="accent1"/>
                          <w:sz w:val="18"/>
                          <w:szCs w:val="18"/>
                        </w:rPr>
                        <w:t xml:space="preserve">. </w:t>
                      </w:r>
                      <w:r w:rsidRPr="009B7673">
                        <w:rPr>
                          <w:rFonts w:ascii="Arial" w:hAnsi="Arial" w:cs="Arial"/>
                          <w:smallCaps w:val="0"/>
                          <w:sz w:val="18"/>
                          <w:szCs w:val="18"/>
                        </w:rPr>
                        <w:t>Catàleg de riscos comuns en els processos de presa de decisions i alguns mecanismes de prevenció</w:t>
                      </w:r>
                      <w:bookmarkEnd w:id="390"/>
                    </w:p>
                  </w:txbxContent>
                </v:textbox>
                <w10:wrap type="square" anchorx="margin"/>
              </v:shape>
            </w:pict>
          </mc:Fallback>
        </mc:AlternateContent>
      </w:r>
      <w:r w:rsidRPr="00FC0C74">
        <w:rPr>
          <w:rFonts w:ascii="Arial" w:eastAsia="Times New Roman" w:hAnsi="Arial" w:cs="Arial"/>
          <w:sz w:val="21"/>
          <w:szCs w:val="21"/>
        </w:rPr>
        <w:t xml:space="preserve"> Per Resolució del director núm. 537, de 16 de juliol, es van aprovar dos </w:t>
      </w:r>
      <w:r w:rsidRPr="00FC0C74">
        <w:rPr>
          <w:rFonts w:ascii="Arial" w:eastAsia="Times New Roman" w:hAnsi="Arial" w:cs="Arial"/>
          <w:b/>
          <w:bCs/>
          <w:sz w:val="21"/>
          <w:szCs w:val="21"/>
        </w:rPr>
        <w:t>catàlegs de riscos (comuns i específics)</w:t>
      </w:r>
      <w:r w:rsidRPr="00FC0C74">
        <w:rPr>
          <w:rFonts w:ascii="Arial" w:eastAsia="Times New Roman" w:hAnsi="Arial" w:cs="Arial"/>
          <w:sz w:val="21"/>
          <w:szCs w:val="21"/>
        </w:rPr>
        <w:t xml:space="preserve"> [</w:t>
      </w:r>
      <w:hyperlink r:id="rId509" w:history="1">
        <w:r w:rsidRPr="00FC0C74">
          <w:rPr>
            <w:rStyle w:val="Hipervnculo"/>
            <w:rFonts w:ascii="Arial" w:eastAsia="Times New Roman" w:hAnsi="Arial" w:cs="Arial"/>
            <w:sz w:val="21"/>
            <w:szCs w:val="21"/>
          </w:rPr>
          <w:t>https://www.antifraucv.es/wp-content/uploads/2021/12/Catalogo-de-riesgos.pdf</w:t>
        </w:r>
      </w:hyperlink>
      <w:r w:rsidRPr="00FC0C74">
        <w:rPr>
          <w:rFonts w:ascii="Arial" w:eastAsia="Times New Roman" w:hAnsi="Arial" w:cs="Arial"/>
          <w:sz w:val="21"/>
          <w:szCs w:val="21"/>
        </w:rPr>
        <w:t xml:space="preserve">], elaborats pel Servei de Prevenció: </w:t>
      </w:r>
      <w:r w:rsidRPr="00FC0C74">
        <w:rPr>
          <w:rFonts w:ascii="Arial" w:eastAsia="Times New Roman" w:hAnsi="Arial" w:cs="Arial"/>
          <w:b/>
          <w:bCs/>
          <w:sz w:val="21"/>
          <w:szCs w:val="21"/>
        </w:rPr>
        <w:t>«Catàleg de riscos comuns en els processos de presa de decisions i alguns mecanismes de prevenció»</w:t>
      </w:r>
      <w:r w:rsidRPr="00FC0C74">
        <w:rPr>
          <w:rFonts w:ascii="Arial" w:eastAsia="Times New Roman" w:hAnsi="Arial" w:cs="Arial"/>
          <w:sz w:val="21"/>
          <w:szCs w:val="21"/>
        </w:rPr>
        <w:t xml:space="preserve">, així com el </w:t>
      </w:r>
      <w:r w:rsidRPr="00FC0C74">
        <w:rPr>
          <w:rFonts w:ascii="Arial" w:eastAsia="Times New Roman" w:hAnsi="Arial" w:cs="Arial"/>
          <w:b/>
          <w:bCs/>
          <w:sz w:val="21"/>
          <w:szCs w:val="21"/>
        </w:rPr>
        <w:t>«Catàleg de riscos sectorials en els processos de presa de decisions i alguns mecanismes de prevenció»</w:t>
      </w:r>
      <w:r w:rsidRPr="00FC0C74">
        <w:rPr>
          <w:rFonts w:ascii="Arial" w:eastAsia="Times New Roman" w:hAnsi="Arial" w:cs="Arial"/>
          <w:sz w:val="21"/>
          <w:szCs w:val="21"/>
        </w:rPr>
        <w:t xml:space="preserve">. El primer d'ells enumera aquells riscos que, amb caràcter transversal, afecten qualsevol procés de presa de decisions (inadequada gestió del conflicte d'interés, obsolescència legal i tecnològica, sobre o infra representació, confusió de funcions dels càrrecs de confiança amb les reservades al funcionariat, ocultació d'informació rellevant per a la presa de decisions, falta de transparència o transparència cosmètica, falta de planificació, entre altres). El segon enuncia els principals riscos de corrupció (tant penal com administrativa), referits a cadascuna de les àrees de pràctica més judicialitzades en els últims temps en la nostra Comunitat (urbanisme, subvencions, funció pública, patrimoni, etc.), si bé serà en l'exercici 2022 quan es publique un tercer catàleg monogràfic dels riscos específics en el sector de la contractació del sector públic. </w:t>
      </w:r>
    </w:p>
    <w:p w14:paraId="389DB114"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 xml:space="preserve">En aquest exercici, també s'han exercit les funcions d'assessorament preventiu, en col·laboració amb la Direcció d'Anàlisi i Investigació, elaborant proposades de recomanacions específiques sobre determinades actuacions investigades. </w:t>
      </w:r>
    </w:p>
    <w:p w14:paraId="149F24E9"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 xml:space="preserve">Per part del Servei de Prevenció, en col·laboració amb l'Àrea de Comunicació de l'Agència, s'ha procedit a la difusió dels materials preventius realitzats durant el 2021, que poden consultar-se en la pàgina web i en xarxes socials de l’AVAF i que han sigut difosos a totes les institucions i entitats destinatàries incloses en el nostre àmbit subjectiu (Corts Valencianes, Conselleries, Ajuntaments i Diputacions Provincials de la Comunitat Valenciana, Direccions Generals, Sindicatura de Comptes, Consell Jurídic Consultiu, Col·legi de Secretaris Interventors i Tresorers de València, Castelló i Alacant, Federació Valenciana de Municipis i Províncies i Universitats). </w:t>
      </w:r>
    </w:p>
    <w:p w14:paraId="3857AD8D"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Com veurem en l'apartat corresponent, el contingut de la guia d'integritat pública i de la resta de materials preventius ha sigut objecte de cursos de formació i congressos (algunes d'aquestes ponències es troben publicades en el canal de youtube de l’AVAF, així com en GVA Oberta de la Conselleria de Transparència). Així mateix, els materials elaborats pel Servei, especialment el contingut mínim del pla d'integritat pública i del pla de mesures antifrau, exigit per l'Ordre HFP/1030/2021, de 29 de setembre, han possibilitat reunions, consultes i la subscripció de protocols de col·laboració amb diferents entitats i institucions de la nostra Comunitat, havent sigut citats en diversos cursos i articles relacionats amb la matèria.</w:t>
      </w:r>
    </w:p>
    <w:p w14:paraId="16A9C8D3" w14:textId="77777777" w:rsidR="00FC0C74" w:rsidRPr="00FC0C74" w:rsidRDefault="00FC0C74" w:rsidP="00FC0C74">
      <w:pPr>
        <w:spacing w:after="240" w:line="276" w:lineRule="auto"/>
        <w:jc w:val="both"/>
        <w:rPr>
          <w:rFonts w:ascii="Arial" w:eastAsia="Times New Roman" w:hAnsi="Arial" w:cs="Arial"/>
          <w:sz w:val="21"/>
          <w:szCs w:val="21"/>
        </w:rPr>
      </w:pPr>
      <w:r w:rsidRPr="00FC0C74">
        <w:rPr>
          <w:rFonts w:ascii="Arial" w:eastAsia="Times New Roman" w:hAnsi="Arial" w:cs="Arial"/>
          <w:sz w:val="21"/>
          <w:szCs w:val="21"/>
        </w:rPr>
        <w:t>Esperem que totes les nostres aportacions hagen resultat d'interés i utilitat, conjuminant esforços en la senda de la integritat pública.</w:t>
      </w:r>
    </w:p>
    <w:p w14:paraId="1EE7DDC3" w14:textId="77777777" w:rsidR="009B7673" w:rsidRPr="009B7673" w:rsidRDefault="009B7673" w:rsidP="009B7673">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79" w:name="_Toc96517834"/>
      <w:bookmarkStart w:id="380" w:name="_Toc99110810"/>
      <w:r w:rsidRPr="009B7673">
        <w:rPr>
          <w:rFonts w:ascii="Arial" w:hAnsi="Arial"/>
          <w:b/>
          <w:color w:val="9D2235"/>
          <w:sz w:val="28"/>
          <w:szCs w:val="28"/>
        </w:rPr>
        <w:t>Propostes sobre disposicions normatives</w:t>
      </w:r>
      <w:bookmarkEnd w:id="379"/>
      <w:bookmarkEnd w:id="380"/>
    </w:p>
    <w:p w14:paraId="40335709"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D'acord amb els articles 4.f) de la Llei 11/2016, de 28 de novembre i 19.h) del Reglament de funcionament i règim interior, l'Agència té la funció d'assessorar i formular propostes i recomanacions a les Corts Valencianes, al Consell de la Generalitat Valenciana i a les entitats incloses en el seu àmbit d'actuació en matèria d'integritat, ètica pública i prevenció i lluita contra la corrupció, sobre disposicions normatives vigents o en tràmit d'aprovació.</w:t>
      </w:r>
    </w:p>
    <w:p w14:paraId="0C9EBBE8"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En aqueix sentit, el Pla Estratègic del Servei de Prevenció contempla la realització de suggeriments o al·legacions durant els processos d'elaboració de normes vinculades al marc d'actuació objectiu i subjectiu de l'Agència, per a coadjuvar en la millora de la qualitat normativa i convençuts que la millor mesura de prevenció és que la norma incorpore, des de la seua gestació, la perspectiva de la integritat pública.</w:t>
      </w:r>
    </w:p>
    <w:p w14:paraId="409B5945"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 xml:space="preserve">El personal del Servei va estudiar la publicació de la Proposició de la Llei de Transparència i Bon Govern de la Comunitat Valenciana (BOCV núm. 192 de 01/10/2021), redactant fins a onze esmenes al Títol III d'aquesta, relatiu al Bon Govern, que passem a sintetitzar a continuació. </w:t>
      </w:r>
    </w:p>
    <w:p w14:paraId="22BC896E"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Les quatre primeres esmenes formulades per l’AVAF, totes elles referides a l'article 54 de la norma, pretenien una regulació més completa, detallada i coherent amb la normativa vigent dels principis que han de regir l'actuació de les persones servidores públiques destinatàries de la Llei. Així, es va proposar introduir els principis d'exemplaritat, neutralitat i els de bona administració, així com la necessària rendició de comptes, no sols davant els òrgans de control interns sinó també davant òrgans de control externs, amb la finalitat d'aconseguir una supervisió completa de les polítiques públiques i la seua gestió. Tot això donaria lloc a un sistema d'integritat generador de la confiança de la ciutadania en el funcionament de les institucions de la Comunitat Valenciana.</w:t>
      </w:r>
    </w:p>
    <w:p w14:paraId="35F100E0"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L'AVAF va proposar igualment ampliar l'àmbit d'operativitat del principi de participació pública als processos d'elaboració de les normes i no sols referent a l'elaboració de les polítiques públiques, la qual cosa facilitaria una participació real i efectiva en els assumptes públics del conjunt de la societat.</w:t>
      </w:r>
    </w:p>
    <w:p w14:paraId="79BB68E3"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Una altra de les esmenes contemplava la possibilitat que, davant situacions potencialment constitutives de frau o corrupció, s'alerte, fent ús de la bústia que aquesta Agència Valenciana Antifrau té en funcionament a aquest efecte, per a possibilitar la seua adaptació a la Directiva (UE) 2019/1937 del Parlament Europeu i del Consell de 23 d'octubre de 2019, relativa a la protecció de les persones que informen sobre el Dret de la Unió, en relació amb la normativa institucional d'aquesta Agència.</w:t>
      </w:r>
    </w:p>
    <w:p w14:paraId="25B3D2AA"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Respecte al règim d'incompatibilitats, es va proposar la necessària al·lusió expressa al conflicte d'interés entre els interessos públics i els particulars, tant durant l'exercici del càrrec, donada la necessitat que prevalguen els primers en els processos de presa de decisions, com després del seu cessament, en vistes a frenar el conegut, però present fenomen de les “portes giratòries”.</w:t>
      </w:r>
    </w:p>
    <w:p w14:paraId="7EA58385"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L’AVAF també va proposar, en relació amb les polítiques d'acceptació de regals, que cada administració concretara, en els seus respectius codis ètics i de conducta, els seus límits quant als usos i costums es refereix, els llindars màxims, així com les principals obligacions de notificació, devolució, registre i publicitat dels regals. En relació amb l'elaboració d'aquests codis, l’AVAF pretenia, en la seua esmena a l'article 55.1, establir els fonaments del contingut ètic comú per a totes les administracions públiques que servira com a marc sobre el qual posteriorment cadascuna de les administracions efectuen l'adaptació als seus especials característiques i circumstàncies. Així, es va proposar el següent contingut mínim:</w:t>
      </w:r>
    </w:p>
    <w:p w14:paraId="2EB37543" w14:textId="77777777" w:rsidR="009B7673" w:rsidRPr="009B7673" w:rsidRDefault="009B7673" w:rsidP="00E0155F">
      <w:pPr>
        <w:numPr>
          <w:ilvl w:val="0"/>
          <w:numId w:val="47"/>
        </w:numPr>
        <w:spacing w:after="120" w:line="276" w:lineRule="auto"/>
        <w:ind w:left="720" w:hanging="357"/>
        <w:jc w:val="both"/>
        <w:rPr>
          <w:rFonts w:ascii="Arial" w:eastAsia="Times New Roman" w:hAnsi="Arial" w:cs="Arial"/>
          <w:sz w:val="21"/>
          <w:szCs w:val="21"/>
        </w:rPr>
      </w:pPr>
      <w:r w:rsidRPr="009B7673">
        <w:rPr>
          <w:rFonts w:ascii="Arial" w:eastAsia="Times New Roman" w:hAnsi="Arial" w:cs="Arial"/>
          <w:sz w:val="21"/>
          <w:szCs w:val="21"/>
        </w:rPr>
        <w:t>La definició dels valors, normes de conducta i principis rectors de les actuacions de les administracions i dels seus servidors/as públics/as (tant alts càrrecs com personal funcionari);</w:t>
      </w:r>
    </w:p>
    <w:p w14:paraId="35A64D34" w14:textId="77777777" w:rsidR="009B7673" w:rsidRPr="009B7673" w:rsidRDefault="009B7673" w:rsidP="00E0155F">
      <w:pPr>
        <w:numPr>
          <w:ilvl w:val="0"/>
          <w:numId w:val="47"/>
        </w:numPr>
        <w:spacing w:after="120" w:line="276" w:lineRule="auto"/>
        <w:jc w:val="both"/>
        <w:rPr>
          <w:rFonts w:ascii="Arial" w:eastAsia="Times New Roman" w:hAnsi="Arial" w:cs="Arial"/>
          <w:sz w:val="21"/>
          <w:szCs w:val="21"/>
        </w:rPr>
      </w:pPr>
      <w:r w:rsidRPr="009B7673">
        <w:rPr>
          <w:rFonts w:ascii="Arial" w:eastAsia="Times New Roman" w:hAnsi="Arial" w:cs="Arial"/>
          <w:sz w:val="21"/>
          <w:szCs w:val="21"/>
        </w:rPr>
        <w:t>Els mecanismes per a garantir l'efectivitat d'aquests valors, normes de conducta i principis rectors, com ara: identificació dels conflictes d'interés, abstenció, recusació, règim d'incompatibilitats, bústia de denúncies, i altres mecanismes addicionals en les matèries que cada organització qualifique com “d’especial risc” en funció de la seua activitat, com les relatives a la gestió de personal, la contractació, l'àrea de subvencions, urbanisme, pressupostos i comptabilitat, entre altres;</w:t>
      </w:r>
    </w:p>
    <w:p w14:paraId="47EC90C4" w14:textId="77777777" w:rsidR="009B7673" w:rsidRPr="009B7673" w:rsidRDefault="009B7673" w:rsidP="00E0155F">
      <w:pPr>
        <w:numPr>
          <w:ilvl w:val="0"/>
          <w:numId w:val="47"/>
        </w:numPr>
        <w:spacing w:after="120" w:line="276" w:lineRule="auto"/>
        <w:jc w:val="both"/>
        <w:rPr>
          <w:rFonts w:ascii="Arial" w:eastAsia="Times New Roman" w:hAnsi="Arial" w:cs="Arial"/>
          <w:sz w:val="21"/>
          <w:szCs w:val="21"/>
        </w:rPr>
      </w:pPr>
      <w:r w:rsidRPr="009B7673">
        <w:rPr>
          <w:rFonts w:ascii="Arial" w:eastAsia="Times New Roman" w:hAnsi="Arial" w:cs="Arial"/>
          <w:sz w:val="21"/>
          <w:szCs w:val="21"/>
        </w:rPr>
        <w:t>La política de regals en els termes de l'article 54.1 m) de la Proposició de Llei;</w:t>
      </w:r>
    </w:p>
    <w:p w14:paraId="597A96FA" w14:textId="77777777" w:rsidR="009B7673" w:rsidRPr="009B7673" w:rsidRDefault="009B7673" w:rsidP="00E0155F">
      <w:pPr>
        <w:numPr>
          <w:ilvl w:val="0"/>
          <w:numId w:val="47"/>
        </w:numPr>
        <w:spacing w:after="120" w:line="276" w:lineRule="auto"/>
        <w:jc w:val="both"/>
        <w:rPr>
          <w:rFonts w:ascii="Arial" w:eastAsia="Times New Roman" w:hAnsi="Arial" w:cs="Arial"/>
          <w:sz w:val="21"/>
          <w:szCs w:val="21"/>
        </w:rPr>
      </w:pPr>
      <w:r w:rsidRPr="009B7673">
        <w:rPr>
          <w:rFonts w:ascii="Arial" w:eastAsia="Times New Roman" w:hAnsi="Arial" w:cs="Arial"/>
          <w:sz w:val="21"/>
          <w:szCs w:val="21"/>
        </w:rPr>
        <w:t>Altres polítiques que aprove cada organització;</w:t>
      </w:r>
    </w:p>
    <w:p w14:paraId="4EFEE49D" w14:textId="77777777" w:rsidR="009B7673" w:rsidRPr="009B7673" w:rsidRDefault="009B7673" w:rsidP="00E0155F">
      <w:pPr>
        <w:numPr>
          <w:ilvl w:val="0"/>
          <w:numId w:val="47"/>
        </w:numPr>
        <w:spacing w:after="120" w:line="276" w:lineRule="auto"/>
        <w:jc w:val="both"/>
        <w:rPr>
          <w:rFonts w:ascii="Arial" w:eastAsia="Times New Roman" w:hAnsi="Arial" w:cs="Arial"/>
          <w:sz w:val="21"/>
          <w:szCs w:val="21"/>
        </w:rPr>
      </w:pPr>
      <w:r w:rsidRPr="009B7673">
        <w:rPr>
          <w:rFonts w:ascii="Arial" w:eastAsia="Times New Roman" w:hAnsi="Arial" w:cs="Arial"/>
          <w:sz w:val="21"/>
          <w:szCs w:val="21"/>
        </w:rPr>
        <w:t>La regulació del Comité d'ètica com a òrgan consultiu i de seguiment de denúncies i resposta a aquestes;</w:t>
      </w:r>
    </w:p>
    <w:p w14:paraId="2395352D" w14:textId="77777777" w:rsidR="009B7673" w:rsidRPr="009B7673" w:rsidRDefault="009B7673" w:rsidP="00E0155F">
      <w:pPr>
        <w:numPr>
          <w:ilvl w:val="0"/>
          <w:numId w:val="47"/>
        </w:numPr>
        <w:spacing w:after="120" w:line="276" w:lineRule="auto"/>
        <w:jc w:val="both"/>
        <w:rPr>
          <w:rFonts w:ascii="Arial" w:eastAsia="Times New Roman" w:hAnsi="Arial" w:cs="Arial"/>
          <w:sz w:val="21"/>
          <w:szCs w:val="21"/>
        </w:rPr>
      </w:pPr>
      <w:r w:rsidRPr="009B7673">
        <w:rPr>
          <w:rFonts w:ascii="Arial" w:eastAsia="Times New Roman" w:hAnsi="Arial" w:cs="Arial"/>
          <w:sz w:val="21"/>
          <w:szCs w:val="21"/>
        </w:rPr>
        <w:t>Les conseqüències de l'incompliment del codi;</w:t>
      </w:r>
    </w:p>
    <w:p w14:paraId="2E25C688" w14:textId="77777777" w:rsidR="009B7673" w:rsidRPr="009B7673" w:rsidRDefault="009B7673" w:rsidP="00E0155F">
      <w:pPr>
        <w:numPr>
          <w:ilvl w:val="0"/>
          <w:numId w:val="47"/>
        </w:numPr>
        <w:spacing w:after="120" w:line="276" w:lineRule="auto"/>
        <w:jc w:val="both"/>
        <w:rPr>
          <w:rFonts w:ascii="Arial" w:eastAsia="Times New Roman" w:hAnsi="Arial" w:cs="Arial"/>
          <w:sz w:val="21"/>
          <w:szCs w:val="21"/>
        </w:rPr>
      </w:pPr>
      <w:r w:rsidRPr="009B7673">
        <w:rPr>
          <w:rFonts w:ascii="Arial" w:eastAsia="Times New Roman" w:hAnsi="Arial" w:cs="Arial"/>
          <w:sz w:val="21"/>
          <w:szCs w:val="21"/>
        </w:rPr>
        <w:t>Les accions de comunicació i formació;</w:t>
      </w:r>
    </w:p>
    <w:p w14:paraId="7A3E184F" w14:textId="77777777" w:rsidR="009B7673" w:rsidRPr="009B7673" w:rsidRDefault="009B7673" w:rsidP="00E0155F">
      <w:pPr>
        <w:numPr>
          <w:ilvl w:val="0"/>
          <w:numId w:val="47"/>
        </w:num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La revisió del codi.</w:t>
      </w:r>
    </w:p>
    <w:p w14:paraId="3B3784C9"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Així mateix, es plantejava que aquests codis foren aplicable tant per a les persones que ocupen alts càrrecs com per al conjunt de persones que treballen en les administracions públiques.</w:t>
      </w:r>
    </w:p>
    <w:p w14:paraId="5BEDF70C"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En la seua esmena a l'article 56, l'Agència va proposar completar, amb diferents elements i eines, el sistema d'integritat institucional de la Comunitat Valenciana a impulsar pel Consell, oferint-se a prestar-li assessorament en el disseny i implementació d'aquest. Entre aquests elements i eines destaquem, entre altres:</w:t>
      </w:r>
    </w:p>
    <w:p w14:paraId="532B7401" w14:textId="77777777" w:rsidR="009B7673" w:rsidRPr="009B7673" w:rsidRDefault="009B7673" w:rsidP="00E0155F">
      <w:pPr>
        <w:numPr>
          <w:ilvl w:val="0"/>
          <w:numId w:val="48"/>
        </w:numPr>
        <w:spacing w:after="120" w:line="276" w:lineRule="auto"/>
        <w:ind w:left="714" w:hanging="357"/>
        <w:jc w:val="both"/>
        <w:rPr>
          <w:rFonts w:ascii="Arial" w:eastAsia="Times New Roman" w:hAnsi="Arial" w:cs="Arial"/>
          <w:sz w:val="21"/>
          <w:szCs w:val="21"/>
        </w:rPr>
      </w:pPr>
      <w:r w:rsidRPr="009B7673">
        <w:rPr>
          <w:rFonts w:ascii="Arial" w:eastAsia="Times New Roman" w:hAnsi="Arial" w:cs="Arial"/>
          <w:sz w:val="21"/>
          <w:szCs w:val="21"/>
        </w:rPr>
        <w:t>La identificació dels riscos contraris a la integritat pública i el seu contrast mitjançant un autodiagnòstic a realitzar per cada organització;</w:t>
      </w:r>
    </w:p>
    <w:p w14:paraId="450E32BD" w14:textId="77777777" w:rsidR="009B7673" w:rsidRPr="009B7673" w:rsidRDefault="009B7673" w:rsidP="00E0155F">
      <w:pPr>
        <w:numPr>
          <w:ilvl w:val="0"/>
          <w:numId w:val="48"/>
        </w:numPr>
        <w:spacing w:after="120" w:line="276" w:lineRule="auto"/>
        <w:ind w:left="714" w:hanging="357"/>
        <w:jc w:val="both"/>
        <w:rPr>
          <w:rFonts w:ascii="Arial" w:eastAsia="Times New Roman" w:hAnsi="Arial" w:cs="Arial"/>
          <w:sz w:val="21"/>
          <w:szCs w:val="21"/>
        </w:rPr>
      </w:pPr>
      <w:r w:rsidRPr="009B7673">
        <w:rPr>
          <w:rFonts w:ascii="Arial" w:eastAsia="Times New Roman" w:hAnsi="Arial" w:cs="Arial"/>
          <w:sz w:val="21"/>
          <w:szCs w:val="21"/>
        </w:rPr>
        <w:t>La inclusió d'uns continguts mínims dels plans de prevenció, instant la seua obligatòria adaptació en línia amb el sistema de prevenció i integritat públiques vigent a Itàlia (entre altres països) en la seua Llei Anticorrupció 190/2012, i la seua aprovació pels òrgans de govern de cada entitat (recaptant la col·laboració administrativa a aquest efecte de les Diputacions Provincials perquè assistisquen a les entitats locals amb menys de 20.000 habitants);</w:t>
      </w:r>
    </w:p>
    <w:p w14:paraId="4CBD5779" w14:textId="77777777" w:rsidR="009B7673" w:rsidRPr="009B7673" w:rsidRDefault="009B7673" w:rsidP="00E0155F">
      <w:pPr>
        <w:numPr>
          <w:ilvl w:val="0"/>
          <w:numId w:val="48"/>
        </w:numPr>
        <w:spacing w:after="120" w:line="276" w:lineRule="auto"/>
        <w:ind w:left="714" w:hanging="357"/>
        <w:jc w:val="both"/>
        <w:rPr>
          <w:rFonts w:ascii="Arial" w:eastAsia="Times New Roman" w:hAnsi="Arial" w:cs="Arial"/>
          <w:sz w:val="21"/>
          <w:szCs w:val="21"/>
        </w:rPr>
      </w:pPr>
      <w:r w:rsidRPr="009B7673">
        <w:rPr>
          <w:rFonts w:ascii="Arial" w:eastAsia="Times New Roman" w:hAnsi="Arial" w:cs="Arial"/>
          <w:sz w:val="21"/>
          <w:szCs w:val="21"/>
        </w:rPr>
        <w:t>La definició d'una plantilla de rols i responsabilitats tendents al compliment i avaluació dels plans en els diferents nivells estructurals de cada entitat;</w:t>
      </w:r>
    </w:p>
    <w:p w14:paraId="16D19C7E" w14:textId="77777777" w:rsidR="009B7673" w:rsidRPr="009B7673" w:rsidRDefault="009B7673" w:rsidP="00E0155F">
      <w:pPr>
        <w:numPr>
          <w:ilvl w:val="0"/>
          <w:numId w:val="48"/>
        </w:num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La posada en marxa de mecanismes de difusió, formació i sensibilització dels marcs d'integritat pública i de la cultura ètica, no sols a les entitats incloses en l'article 3 de la norma, sinó també a les entitats públiques o privades perceptores de diners públics i a la ciutadania en general. Aquesta formació hauria d'incloure cursos sobre integritat en la contractació del sector públic, així com en altres sectors que es consideren de major risc.</w:t>
      </w:r>
    </w:p>
    <w:p w14:paraId="026D57F5"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Tot això, amb l'adequada previsió d'accions formatives en matèria d'integritat pública i sota la supervisió de la infraestructura ètica pels diferents òrgans de control, com aquesta Agència.</w:t>
      </w:r>
    </w:p>
    <w:p w14:paraId="37D3FEBD" w14:textId="77777777" w:rsidR="009B7673" w:rsidRPr="009B7673"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Finalment, l'Agència va proposar completar l'article 63.2 amb els principals elements a tindre en compte per a fomentar en cada administració la cultura de planificació i avaluació de les polítiques públiques i la seua gestió, en línia amb els requisits i continguts abordats en la nostra recomanació general sobre la planificació institucional, i, entre ells, els següents:</w:t>
      </w:r>
    </w:p>
    <w:p w14:paraId="5AE05CFF" w14:textId="77777777" w:rsidR="009B7673" w:rsidRPr="009B7673" w:rsidRDefault="009B7673" w:rsidP="00E0155F">
      <w:pPr>
        <w:numPr>
          <w:ilvl w:val="0"/>
          <w:numId w:val="46"/>
        </w:numPr>
        <w:spacing w:after="120" w:line="276" w:lineRule="auto"/>
        <w:ind w:left="714" w:hanging="357"/>
        <w:jc w:val="both"/>
        <w:rPr>
          <w:rFonts w:ascii="Arial" w:eastAsia="Times New Roman" w:hAnsi="Arial" w:cs="Arial"/>
          <w:sz w:val="21"/>
          <w:szCs w:val="21"/>
        </w:rPr>
      </w:pPr>
      <w:r w:rsidRPr="009B7673">
        <w:rPr>
          <w:rFonts w:ascii="Arial" w:eastAsia="Times New Roman" w:hAnsi="Arial" w:cs="Arial"/>
          <w:sz w:val="21"/>
          <w:szCs w:val="21"/>
        </w:rPr>
        <w:t>Fer un diagnòstic per a situar-se (ser conscients dels seus fins, fortaleses, febleses i recursos reals);</w:t>
      </w:r>
    </w:p>
    <w:p w14:paraId="6C5C864A" w14:textId="77777777" w:rsidR="009B7673" w:rsidRPr="009B7673" w:rsidRDefault="009B7673" w:rsidP="00E0155F">
      <w:pPr>
        <w:numPr>
          <w:ilvl w:val="0"/>
          <w:numId w:val="46"/>
        </w:numPr>
        <w:spacing w:after="120" w:line="276" w:lineRule="auto"/>
        <w:ind w:left="714" w:hanging="357"/>
        <w:jc w:val="both"/>
        <w:rPr>
          <w:rFonts w:ascii="Arial" w:eastAsia="Times New Roman" w:hAnsi="Arial" w:cs="Arial"/>
          <w:sz w:val="21"/>
          <w:szCs w:val="21"/>
        </w:rPr>
      </w:pPr>
      <w:r w:rsidRPr="009B7673">
        <w:rPr>
          <w:rFonts w:ascii="Arial" w:eastAsia="Times New Roman" w:hAnsi="Arial" w:cs="Arial"/>
          <w:sz w:val="21"/>
          <w:szCs w:val="21"/>
        </w:rPr>
        <w:t>Establir les seues metes generals (línies estratègiques, en el marc de les seues competències);</w:t>
      </w:r>
    </w:p>
    <w:p w14:paraId="3498B50D" w14:textId="77777777" w:rsidR="009B7673" w:rsidRPr="009B7673" w:rsidRDefault="009B7673" w:rsidP="00E0155F">
      <w:pPr>
        <w:numPr>
          <w:ilvl w:val="0"/>
          <w:numId w:val="46"/>
        </w:numPr>
        <w:spacing w:after="120" w:line="276" w:lineRule="auto"/>
        <w:ind w:left="714" w:hanging="357"/>
        <w:jc w:val="both"/>
        <w:rPr>
          <w:rFonts w:ascii="Arial" w:eastAsia="Times New Roman" w:hAnsi="Arial" w:cs="Arial"/>
          <w:sz w:val="21"/>
          <w:szCs w:val="21"/>
        </w:rPr>
      </w:pPr>
      <w:r w:rsidRPr="009B7673">
        <w:rPr>
          <w:rFonts w:ascii="Arial" w:eastAsia="Times New Roman" w:hAnsi="Arial" w:cs="Arial"/>
          <w:sz w:val="21"/>
          <w:szCs w:val="21"/>
        </w:rPr>
        <w:t>Fixar en un cronograma els seus objectius estratègics i operatius;</w:t>
      </w:r>
    </w:p>
    <w:p w14:paraId="61668A6A" w14:textId="77777777" w:rsidR="009B7673" w:rsidRPr="009B7673" w:rsidRDefault="009B7673" w:rsidP="00E0155F">
      <w:pPr>
        <w:numPr>
          <w:ilvl w:val="0"/>
          <w:numId w:val="46"/>
        </w:numPr>
        <w:spacing w:after="120" w:line="276" w:lineRule="auto"/>
        <w:ind w:left="714" w:hanging="357"/>
        <w:jc w:val="both"/>
        <w:rPr>
          <w:rFonts w:ascii="Arial" w:eastAsia="Times New Roman" w:hAnsi="Arial" w:cs="Arial"/>
          <w:sz w:val="21"/>
          <w:szCs w:val="21"/>
        </w:rPr>
      </w:pPr>
      <w:r w:rsidRPr="009B7673">
        <w:rPr>
          <w:rFonts w:ascii="Arial" w:eastAsia="Times New Roman" w:hAnsi="Arial" w:cs="Arial"/>
          <w:sz w:val="21"/>
          <w:szCs w:val="21"/>
        </w:rPr>
        <w:t>Avaluar el seu compliment (establint un sistema o indicadors que implique a tota l'organització);</w:t>
      </w:r>
    </w:p>
    <w:p w14:paraId="35D8E46B" w14:textId="77777777" w:rsidR="009B7673" w:rsidRPr="009B7673" w:rsidRDefault="009B7673" w:rsidP="00E0155F">
      <w:pPr>
        <w:numPr>
          <w:ilvl w:val="0"/>
          <w:numId w:val="46"/>
        </w:num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Desplegar processos de millora contínua arran de les disfuncions detectades.</w:t>
      </w:r>
    </w:p>
    <w:p w14:paraId="2F350238" w14:textId="5CBFA387" w:rsidR="002B0E27" w:rsidRDefault="009B7673" w:rsidP="009B7673">
      <w:pPr>
        <w:spacing w:after="240" w:line="276" w:lineRule="auto"/>
        <w:jc w:val="both"/>
        <w:rPr>
          <w:rFonts w:ascii="Arial" w:eastAsia="Times New Roman" w:hAnsi="Arial" w:cs="Arial"/>
          <w:sz w:val="21"/>
          <w:szCs w:val="21"/>
        </w:rPr>
      </w:pPr>
      <w:r w:rsidRPr="009B7673">
        <w:rPr>
          <w:rFonts w:ascii="Arial" w:eastAsia="Times New Roman" w:hAnsi="Arial" w:cs="Arial"/>
          <w:sz w:val="21"/>
          <w:szCs w:val="21"/>
        </w:rPr>
        <w:t>Aquestes esmenes es van dirigir a les Corts Valencianes, i van ser exposades pel director d'aquesta Agència durant la seua compareixença en la Comissió de Coordinació, Organització i Règim de les Institucions de la Generalitat. Així mateix, es van remetre a altres entitats com la Conselleria de Participació, Transparència, Cooperació i Qualitat Democràtica, perquè en prengueu coneixement i lliure consideració, amb la voluntat de coadjuvar en la millora de la qualitat normativa i amb el convenciment que una adequada mesura de prevenció és que la norma incorpore, des del moment de la seua gestació, la perspectiva de la integritat pública. De l'anàlisi de l'ordenació d'esmenes tramitada, es determina que la major part de les propostes realitzades pel Servei de Prevenció han sigut acceptades, per la qual cosa ens sentim satisfets d'haver participat en aquest procés, si bé en data de redacció de la present Memòria, la Proposició de Llei no ha sigut objecte d'aprovació definitiva.</w:t>
      </w:r>
    </w:p>
    <w:p w14:paraId="564ABB00" w14:textId="095FE371" w:rsidR="00D243C7" w:rsidRPr="00D243C7" w:rsidRDefault="00D243C7" w:rsidP="00D243C7">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81" w:name="_Toc96517835"/>
      <w:bookmarkStart w:id="382" w:name="_Toc99110811"/>
      <w:r w:rsidRPr="00D243C7">
        <w:rPr>
          <w:rFonts w:ascii="Arial" w:hAnsi="Arial"/>
          <w:b/>
          <w:color w:val="9D2235"/>
          <w:sz w:val="28"/>
          <w:szCs w:val="28"/>
        </w:rPr>
        <w:t xml:space="preserve">Identificació de riscos de </w:t>
      </w:r>
      <w:r w:rsidR="00E0155F" w:rsidRPr="00D243C7">
        <w:rPr>
          <w:rFonts w:ascii="Arial" w:hAnsi="Arial"/>
          <w:b/>
          <w:color w:val="9D2235"/>
          <w:sz w:val="28"/>
          <w:szCs w:val="28"/>
        </w:rPr>
        <w:t>corrupció</w:t>
      </w:r>
      <w:r w:rsidRPr="00D243C7">
        <w:rPr>
          <w:rFonts w:ascii="Arial" w:hAnsi="Arial"/>
          <w:b/>
          <w:color w:val="9D2235"/>
          <w:sz w:val="28"/>
          <w:szCs w:val="28"/>
        </w:rPr>
        <w:t xml:space="preserve"> i estratègia d’integritat pública</w:t>
      </w:r>
      <w:bookmarkEnd w:id="381"/>
      <w:bookmarkEnd w:id="382"/>
    </w:p>
    <w:p w14:paraId="0BF4E371" w14:textId="77777777"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L'OCDE advoca per formular una estratègia d'integritat pública adoptant mesures encaminades a la identificació, prevenció i correcció dels principals riscos per a l'interés general. </w:t>
      </w:r>
    </w:p>
    <w:p w14:paraId="4CC623DE" w14:textId="77777777"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Per part seua, el IV Pla de Govern Obert (2020-2024) del Ministeri de Política Territorial i Funció Pública està orientat a la construcció d'un sistema d'Integritat pública, enfortint valors ètics i mecanismes per a afermar la integritat de les institucions públiques. Entre les iniciatives de la Comunitat Valenciana, s'inclou l'elaboració d'una estratègia d'integritat pública, sent l’AVAF considerada com a actor públic involucrat en el procés.</w:t>
      </w:r>
    </w:p>
    <w:p w14:paraId="685ACFDE" w14:textId="77777777"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En desenvolupament del Pla Estratègic de Prevenció, durant el 2021, s'han ampliat els previs treballs d'estudi i sistematització de les diferents metodologies de prevenció i anàlisi de riscos, eines de foment de la integritat pública i models de codis ètics existents tant a nivell nacional com internacional. </w:t>
      </w:r>
    </w:p>
    <w:p w14:paraId="7EE557C7" w14:textId="77777777"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A conseqüència d'aquests treballs, el Servei de Prevenció ha realitzat uns altres que serviran de base per a futurs estudis específics de riscos en àrees com a funció pública (sobre gratificacions i productivitats) o contractació del sector públic (contractació d'emergència), entre altres.</w:t>
      </w:r>
    </w:p>
    <w:p w14:paraId="3F656F38" w14:textId="77777777"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Durant 2021, s'ha avançat molt en un dels pilars sobre el qual es construeix el Pla Estratègic de Prevenció: materialitzar una estratègia d'integritat pública, pionera en la Comunitat Valenciana, desenvolupant un conjunt d'eines que les institucions puguen aplicar, atenent les seues respectives peculiaritats. A aquest efecte, El Servei ha elaborat sengles materials que desitgem que resulten d'interés:</w:t>
      </w:r>
    </w:p>
    <w:p w14:paraId="31688FFC" w14:textId="77777777" w:rsidR="00D243C7" w:rsidRPr="00D243C7" w:rsidRDefault="00D243C7" w:rsidP="00E0155F">
      <w:pPr>
        <w:numPr>
          <w:ilvl w:val="0"/>
          <w:numId w:val="49"/>
        </w:numPr>
        <w:spacing w:after="12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Consideracions generals i idees força per a una </w:t>
      </w:r>
      <w:r w:rsidRPr="00D243C7">
        <w:rPr>
          <w:rFonts w:ascii="Arial" w:eastAsia="Times New Roman" w:hAnsi="Arial" w:cs="Arial"/>
          <w:b/>
          <w:bCs/>
          <w:sz w:val="21"/>
          <w:szCs w:val="21"/>
        </w:rPr>
        <w:t>estratègia d'integritat pública</w:t>
      </w:r>
      <w:r w:rsidRPr="00D243C7">
        <w:rPr>
          <w:rFonts w:ascii="Arial" w:eastAsia="Times New Roman" w:hAnsi="Arial" w:cs="Arial"/>
          <w:sz w:val="21"/>
          <w:szCs w:val="21"/>
        </w:rPr>
        <w:t>, document que ha orientat les esmenes presentades per l’AVAF a la Proposició de Llei de Transparència i Bon Govern autonòmica, en el marc de les iniciatives autonòmiques de la Comunitat Valenciana incloses en l'eix d'integritat pública de l'IV Pla estatal de Govern Obert;</w:t>
      </w:r>
    </w:p>
    <w:p w14:paraId="13688BD1" w14:textId="77777777" w:rsidR="00D243C7" w:rsidRPr="00D243C7" w:rsidRDefault="00D243C7" w:rsidP="00E0155F">
      <w:pPr>
        <w:numPr>
          <w:ilvl w:val="0"/>
          <w:numId w:val="49"/>
        </w:numPr>
        <w:spacing w:after="12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Proposta de </w:t>
      </w:r>
      <w:r w:rsidRPr="00D243C7">
        <w:rPr>
          <w:rFonts w:ascii="Arial" w:eastAsia="Times New Roman" w:hAnsi="Arial" w:cs="Arial"/>
          <w:b/>
          <w:bCs/>
          <w:sz w:val="21"/>
          <w:szCs w:val="21"/>
        </w:rPr>
        <w:t>contingut mínim d'un pla d'integritat pública</w:t>
      </w:r>
      <w:r w:rsidRPr="00D243C7">
        <w:rPr>
          <w:rFonts w:ascii="Arial" w:eastAsia="Times New Roman" w:hAnsi="Arial" w:cs="Arial"/>
          <w:sz w:val="21"/>
          <w:szCs w:val="21"/>
        </w:rPr>
        <w:t>, aprovat per Resolució del director de 15 de juliol de 2021, document que ha servit de base per a la creació de la primera Guia AVAF ja descrita en l'apartat precedent;</w:t>
      </w:r>
    </w:p>
    <w:p w14:paraId="2CC89F87" w14:textId="77777777" w:rsidR="00D243C7" w:rsidRPr="00D243C7" w:rsidRDefault="00D243C7" w:rsidP="00E0155F">
      <w:pPr>
        <w:numPr>
          <w:ilvl w:val="0"/>
          <w:numId w:val="49"/>
        </w:numPr>
        <w:spacing w:after="12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Elaboració de la </w:t>
      </w:r>
      <w:r w:rsidRPr="00D243C7">
        <w:rPr>
          <w:rFonts w:ascii="Arial" w:eastAsia="Times New Roman" w:hAnsi="Arial" w:cs="Arial"/>
          <w:b/>
          <w:bCs/>
          <w:sz w:val="21"/>
          <w:szCs w:val="21"/>
        </w:rPr>
        <w:t>metodologia AVAF sobre avaluació de riscos</w:t>
      </w:r>
      <w:r w:rsidRPr="00D243C7">
        <w:rPr>
          <w:rFonts w:ascii="Arial" w:eastAsia="Times New Roman" w:hAnsi="Arial" w:cs="Arial"/>
          <w:sz w:val="21"/>
          <w:szCs w:val="21"/>
        </w:rPr>
        <w:t xml:space="preserve"> de frau i corrupció institucional i elaboració de mapes de riscos (generals i específics), incorporada com a Annex de la Guia AVAF aprovada per Resolució del director núm. 821, de 15 de novembre de 2021;</w:t>
      </w:r>
    </w:p>
    <w:p w14:paraId="279CC647" w14:textId="77777777" w:rsidR="00D243C7" w:rsidRPr="00D243C7" w:rsidRDefault="00D243C7" w:rsidP="00E0155F">
      <w:pPr>
        <w:numPr>
          <w:ilvl w:val="0"/>
          <w:numId w:val="49"/>
        </w:numPr>
        <w:spacing w:after="12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Proposta de </w:t>
      </w:r>
      <w:r w:rsidRPr="00D243C7">
        <w:rPr>
          <w:rFonts w:ascii="Arial" w:eastAsia="Times New Roman" w:hAnsi="Arial" w:cs="Arial"/>
          <w:b/>
          <w:bCs/>
          <w:sz w:val="21"/>
          <w:szCs w:val="21"/>
        </w:rPr>
        <w:t>mapa de riscos</w:t>
      </w:r>
      <w:r w:rsidRPr="00D243C7">
        <w:rPr>
          <w:rFonts w:ascii="Arial" w:eastAsia="Times New Roman" w:hAnsi="Arial" w:cs="Arial"/>
          <w:sz w:val="21"/>
          <w:szCs w:val="21"/>
        </w:rPr>
        <w:t xml:space="preserve"> comuns a qualsevol procés de presa de decisions, incloent entre ells, els conflictes d'interés o la falta de planificació, partint dels catàlegs de riscos elaborats pel Servei de Prevenció i aprovats per Resolució del director núm. 537, de 16 de juliol de 2021;</w:t>
      </w:r>
    </w:p>
    <w:p w14:paraId="446F492A" w14:textId="77777777" w:rsidR="00D243C7" w:rsidRPr="00D243C7" w:rsidRDefault="00D243C7" w:rsidP="00E0155F">
      <w:pPr>
        <w:numPr>
          <w:ilvl w:val="0"/>
          <w:numId w:val="49"/>
        </w:numPr>
        <w:spacing w:after="12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Elaboració de </w:t>
      </w:r>
      <w:r w:rsidRPr="00D243C7">
        <w:rPr>
          <w:rFonts w:ascii="Arial" w:eastAsia="Times New Roman" w:hAnsi="Arial" w:cs="Arial"/>
          <w:b/>
          <w:bCs/>
          <w:sz w:val="21"/>
          <w:szCs w:val="21"/>
        </w:rPr>
        <w:t>qüestionaris de contrast</w:t>
      </w:r>
      <w:r w:rsidRPr="00D243C7">
        <w:rPr>
          <w:rFonts w:ascii="Arial" w:eastAsia="Times New Roman" w:hAnsi="Arial" w:cs="Arial"/>
          <w:sz w:val="21"/>
          <w:szCs w:val="21"/>
        </w:rPr>
        <w:t xml:space="preserve"> de riscos detectats en les nostres Recomanacions generals, fase I, prèvia anàlisi del qüestionari formulat per CIVIO a aquesta Agència en relació amb determinades mesures de prevenció de la corrupció en algunes institucions de control de la Unió Europea;</w:t>
      </w:r>
    </w:p>
    <w:p w14:paraId="7C56B303" w14:textId="77777777" w:rsidR="00D243C7" w:rsidRPr="00D243C7" w:rsidRDefault="00D243C7" w:rsidP="00E0155F">
      <w:pPr>
        <w:numPr>
          <w:ilvl w:val="0"/>
          <w:numId w:val="49"/>
        </w:numPr>
        <w:spacing w:after="12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Proposta d'articulat del </w:t>
      </w:r>
      <w:r w:rsidRPr="00D243C7">
        <w:rPr>
          <w:rFonts w:ascii="Arial" w:eastAsia="Times New Roman" w:hAnsi="Arial" w:cs="Arial"/>
          <w:b/>
          <w:bCs/>
          <w:sz w:val="21"/>
          <w:szCs w:val="21"/>
        </w:rPr>
        <w:t>Codi ètic de l’AVAF</w:t>
      </w:r>
      <w:r w:rsidRPr="00D243C7">
        <w:rPr>
          <w:rFonts w:ascii="Arial" w:eastAsia="Times New Roman" w:hAnsi="Arial" w:cs="Arial"/>
          <w:sz w:val="21"/>
          <w:szCs w:val="21"/>
        </w:rPr>
        <w:t xml:space="preserve">. Per al desenvolupament dels treballs necessaris per al disseny i proposta del Codi, tenint en compte el caràcter normatiu d'aquest, durant el primer semestre de l'exercici 2021, va ser creat un grup de treball conjunt entre la Direcció de Prevenció, Formació i Documentació i la Direcció d'Assumptes Jurídics. </w:t>
      </w:r>
    </w:p>
    <w:p w14:paraId="251E635E"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L'avantprojecte de Codi ètic de l’AVAF va ser ultimat en els seus aspectes substantius pel Servei de Prevenció i remés al director el passat dia 5 de juliol de 2021 i presentat i debatut en el si del Consell de Direcció de l'Agència en sessió de data 12 de juliol de 2021, incorporant les observacions allí realitzades al text que, posteriorment, es va traslladar a tot el personal d'aquesta Agència en el tràmit de consulta prèvia, amb la finalitat de posar-lo en el seu coneixement i recaptar quantes observacions i suggeriments consideraren oportunes per al seu debat i, si escau, posterior incorporació al Codi ètic. El termini de la consulta prèvia al personal de l'Agència va finalitzar el 6 de setembre de 2021. Després d'això, es va procedir a la incorporació de bona part de les aportacions realitzades en fase de consulta prèvia al text proposat del Codi ètic, previ el seu debat en el si del Consell de Direcció de l’AVAF en la seua sessió d'1 d'octubre de 2021. </w:t>
      </w:r>
    </w:p>
    <w:p w14:paraId="19D6C892"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Posteriorment, es va presentar el projecte de Codi ètic a tot el personal de l’AVAF en reunió telemàtica celebrada el 6 d'octubre de 2021. </w:t>
      </w:r>
    </w:p>
    <w:p w14:paraId="5FD93E16"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A data de finalització d'exercici, el projecte de Codi ètic estava pendent d'emissió d'informes per diferents àrees funcionals de l'Agència, tot això, de conformitat amb els tràmits previstos en el Pla Anual Normatiu de l’AVAF per a l'aprovació d'aquest. </w:t>
      </w:r>
    </w:p>
    <w:p w14:paraId="2C2FC2E9"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A continuació, realitzem algunes consideracions que recalquen l'excepcional importància d'aquest marc d'integritat en la nostra institució, així com els principals aspectes de la seua estructura i continguts. </w:t>
      </w:r>
    </w:p>
    <w:p w14:paraId="3F553438"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Els servidors i servidores públiques de l’AVAF, coneixedors de la seua missió i comeses, així com de la importància que el seu treball suscite credibilitat i confiança en la ciutadania, legitimant així la institució, consideren que resulta crucial que valors com la independència, l'objectivitat o la imparcialitat estiguen per damunt de tota sospita, com a màxims exponents de la cultura de la integritat pública que proclama l'Agència. D'aquí ve que el Codi ètic pretenga impregnar “en positiu” aquesta missió de servei públic de la cultura de la integritat pública, alineant les actuacions institucionals amb uns valors sòlids, i establint els mecanismes i pautes que permeten actuar de forma compromesa i coherent amb aquests valors. </w:t>
      </w:r>
    </w:p>
    <w:p w14:paraId="42C11E70"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Una de les principals novetats del Codi, que es configura com un instrument intern d'autoregulació d'obligatòria observança, és el seu àmbit subjectiu d'aplicació, de caràcter bifront, informant l'actuació tant del director (alt càrrec) com de tot el personal empleat públic de l’AVAF. </w:t>
      </w:r>
    </w:p>
    <w:p w14:paraId="05B97D37"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El Codi defineix els valors, principis i conductes del personal empleat públic de l’AVAF, partint del marc normatiu genèric de referència regulador dels principis ètics i deures continguts en els articles 52, 53 i 54 del Reial decret legislatiu 5/2015, de 30 d'octubre, que aprova el Text Refós de la Llei de l'Estatut de l'Empleat públic, així com en els articles 97 i 98 de la Llei 4/2021, de 16 d'abril, de la Generalitat, de la Funció Pública Valenciana. Així mateix, es van prendre en consideració aquells drets, deures, principis i valors de bona administració pública continguts en la Constitució, l'Estatut d'Autonomia de la Comunitat Valenciana i resta de l'ordenament jurídic, així com els continguts en la normativa europea, atesa la seua supremacia normativa, i disposicions i tractats internacionals aplicables, integrant així mateix, des d'una perspectiva holística i moderna, valors basats en l'Agenda 2030, com ara la sostenibilitat ambiental o la justícia, i altres basats en les noves directrius legals de la funció pública, com la planificació o l'orientació a resultats, entre altres.</w:t>
      </w:r>
      <w:bookmarkStart w:id="383" w:name="_Hlk70053635"/>
      <w:bookmarkEnd w:id="383"/>
      <w:r w:rsidRPr="00D243C7">
        <w:rPr>
          <w:rFonts w:ascii="Arial" w:eastAsia="Times New Roman" w:hAnsi="Arial" w:cs="Arial"/>
          <w:sz w:val="21"/>
          <w:szCs w:val="21"/>
        </w:rPr>
        <w:t xml:space="preserve"> </w:t>
      </w:r>
    </w:p>
    <w:p w14:paraId="3805683E"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En aquest sentit, d'acord amb el Reglament de funcionament i règim interior de l'Agència, el Codi desenvolupa els valors i principis ètics que han d'informar tota actuació de l’AVAF, així com les pautes de conducta que necessàriament hem d'observar tant els seus alts càrrecs com el personal al seu servei, especialment les regles relatives als conflictes d'interessos. En aqueix sentit, el seu article 5 assenyala que “L'Agència, la direcció i tot el seu personal actuarà segons els principis de: legalitat, respecte a la dignitat i els drets humans, interés general, objectivitat, independència, imparcialitat, neutralitat, proporcionalitat, confidencialitat, integritat, exemplaritat, professionalitat, responsabilitat, dedicació, lleialtat institucional, eficàcia, eficiència, transparència, rendició de comptes”, afegint en el seu article 65 que “(…) el personal al servei de l'Agència desenvolupa el seu treball amb honestedat, integritat, exemplaritat, independència, imparcialitat, neutralitat política, ideològica i religiosa i respecte a la Constitució, a l'Estatut d'Autonomia de la Comunitat Valenciana i a la resta de l'ordenament jurídic.” </w:t>
      </w:r>
    </w:p>
    <w:p w14:paraId="427CF461"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El Codi proposat pel Servei de Prevenció regula una sèrie de mecanismes per a garantir l'efectivitat dels principis i valors, referint així mateix una sèrie de pautes de conducta que faciliten aquesta efectivitat. Es parteix de definir el concepte de conflicte d'interés en l'exercici del càrrec, així com de les seues diferents classes, identificant els diferents interessos particulars per a facilitar la seua comprensió. A continuació, s'estableix el procediment a seguir per a la identificació i gestió d'aquests conflictes d'interés, així com una sèrie de pautes de conducta que contribuïsquen a la prevenció i minimització dels mateixos en l’AVAF. Tals pautes es divideixen en aquelles d'aplicació general i les que, amb caràcter addicional, resultaran d'aplicació en llocs considerats de major risc de conflicte d'interés, bé per l'elevada responsabilitat i influència decisòria dels seus titulars, o pels riscos inherents a les seues funcions. Tot això, sense perjudici de les polítiques que, en desenvolupament d'aquests mecanismes, aprove l'Agència. </w:t>
      </w:r>
    </w:p>
    <w:p w14:paraId="4EB80F9E"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El Codi estableix les normes aplicables al Comité d'ètica com a òrgan col·legiat consultiu de composició mixta (diversos membres externs a l'Agència i un intern, triat entre tot el seu personal) que garantirà l'efectivitat i vetlarà per l'adequada aplicació del Codi, regulant les seues funcions, composició i mandat, així com el seu règim jurídic de funcionament. Es dota al Comité de facultats suficients per a impulsar, fer el seguiment i avaluar el compliment d'aquest Codi. La importància d'aquesta mena d'òrgans, de composició majoritàriament externa, ha sigut posada de manifest, entre altres, pel Grup d'Estats contra la Corrupció (GRECO), en els seus Informes d'avaluació del Regne d'Espanya, 5a Ronda d'avaluació.</w:t>
      </w:r>
      <w:bookmarkStart w:id="384" w:name="_GoBack1"/>
      <w:bookmarkEnd w:id="384"/>
      <w:r w:rsidRPr="00D243C7">
        <w:rPr>
          <w:rFonts w:ascii="Arial" w:eastAsia="Times New Roman" w:hAnsi="Arial" w:cs="Arial"/>
          <w:sz w:val="21"/>
          <w:szCs w:val="21"/>
        </w:rPr>
        <w:t xml:space="preserve"> </w:t>
      </w:r>
    </w:p>
    <w:p w14:paraId="063C0D33"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La proposta defineix així mateix la funció, característiques i règim d'accés i gestió de la bústia interna de denúncies, que es configura com un canal intern per a rebre denúncies relatives a aquest Codi dissenyat i gestionat de manera segura, que ha de garantir la confidencialitat de la identitat del denunciant i del contingut de la denúncia, així com permetre la possibilitat de formular denúncies anònimes. La bústia resultarà especialment útil per a comunicar al Comité d'ètica les accions o omissions que suposen l'incompliment dels valors i les pautes de conducta recollits en aquest codi, així com les consultes relatives a la seua aplicació i interpretació. Les seues condicions de funcionament hauran de respectar les garanties de protecció que estableix la Directiva (UE) 2019/1937 del Parlament Europeu i del Consell, de 23 d'octubre, relativa a la protecció de les persones que informen sobre les infraccions del Dret de la Unió. </w:t>
      </w:r>
    </w:p>
    <w:p w14:paraId="48D3071D"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La proposta de Codi preveu el règim sancionador aplicable davant l'eventual incompliment del Codi, i s'incideix en la necessitat d'escometre accions tant de comunicació del Codi com de formació sobre el seu contingut i en matèria d'integritat pública perquè tota persona destinatària del mateix estiga en condicions òptimes d'assumir-lo i aplicar-lo amb convicció, descrivint les mateixes i la seua periodicitat. </w:t>
      </w:r>
    </w:p>
    <w:p w14:paraId="62C4B61B" w14:textId="77777777" w:rsidR="00D243C7" w:rsidRPr="00D243C7" w:rsidRDefault="00D243C7" w:rsidP="00D243C7">
      <w:pPr>
        <w:spacing w:after="120" w:line="276" w:lineRule="auto"/>
        <w:ind w:left="709"/>
        <w:jc w:val="both"/>
        <w:rPr>
          <w:rFonts w:ascii="Arial" w:eastAsia="Times New Roman" w:hAnsi="Arial" w:cs="Arial"/>
          <w:sz w:val="21"/>
          <w:szCs w:val="21"/>
        </w:rPr>
      </w:pPr>
      <w:r w:rsidRPr="00D243C7">
        <w:rPr>
          <w:rFonts w:ascii="Arial" w:eastAsia="Times New Roman" w:hAnsi="Arial" w:cs="Arial"/>
          <w:sz w:val="21"/>
          <w:szCs w:val="21"/>
        </w:rPr>
        <w:t xml:space="preserve">Finalment, el Codi contempla la seua revisió periòdica, tenint en compte la seua concepció com a instrument flexible i efectiu a cada moment. </w:t>
      </w:r>
    </w:p>
    <w:p w14:paraId="496280EB" w14:textId="2F8B0A18" w:rsidR="002B0E27" w:rsidRDefault="00D243C7" w:rsidP="00D243C7">
      <w:pPr>
        <w:spacing w:after="240" w:line="276" w:lineRule="auto"/>
        <w:ind w:left="709"/>
        <w:jc w:val="both"/>
        <w:rPr>
          <w:rFonts w:ascii="Arial" w:eastAsia="Times New Roman" w:hAnsi="Arial" w:cs="Arial"/>
          <w:sz w:val="21"/>
          <w:szCs w:val="21"/>
        </w:rPr>
      </w:pPr>
      <w:r w:rsidRPr="00D243C7">
        <w:rPr>
          <w:rFonts w:ascii="Arial" w:eastAsia="Times New Roman" w:hAnsi="Arial" w:cs="Arial"/>
          <w:sz w:val="21"/>
          <w:szCs w:val="21"/>
        </w:rPr>
        <w:t>Des del Servei de Prevenció ens sentim orgullosos d'haver-nos implicat en l'elaboració del Codi ètic d'una institució amb funcions tan especials com les d'aquesta Agència, i servisca així d'orientació i empenyiment per a aquelles entitats valencianes que encara no compten amb el seu propi.</w:t>
      </w:r>
    </w:p>
    <w:p w14:paraId="205443F3" w14:textId="4C98F783" w:rsidR="00D243C7" w:rsidRPr="00D243C7" w:rsidRDefault="00D243C7" w:rsidP="00D243C7">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85" w:name="_Toc96517836"/>
      <w:bookmarkStart w:id="386" w:name="_Toc99110812"/>
      <w:r w:rsidRPr="00D243C7">
        <w:rPr>
          <w:rFonts w:ascii="Arial" w:hAnsi="Arial"/>
          <w:b/>
          <w:color w:val="9D2235"/>
          <w:sz w:val="28"/>
          <w:szCs w:val="28"/>
        </w:rPr>
        <w:t>Consultor</w:t>
      </w:r>
      <w:r>
        <w:rPr>
          <w:rFonts w:ascii="Arial" w:hAnsi="Arial"/>
          <w:b/>
          <w:color w:val="9D2235"/>
          <w:sz w:val="28"/>
          <w:szCs w:val="28"/>
        </w:rPr>
        <w:t>i</w:t>
      </w:r>
      <w:r w:rsidRPr="00D243C7">
        <w:rPr>
          <w:rFonts w:ascii="Arial" w:hAnsi="Arial"/>
          <w:b/>
          <w:color w:val="9D2235"/>
          <w:sz w:val="28"/>
          <w:szCs w:val="28"/>
        </w:rPr>
        <w:t>a, difusió i altres activitats</w:t>
      </w:r>
      <w:bookmarkEnd w:id="385"/>
      <w:bookmarkEnd w:id="386"/>
    </w:p>
    <w:p w14:paraId="5BBF8ADB" w14:textId="77777777"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El Servei de Prevenció té entre les seues funcions la de prestar assessorament i resposta a les consultes que plantege qualsevol persona en relació amb les funcions preventives de l'Agència, contribuint així a dissipar dubtes en matèria de prevenció del frau, la corrupció i la integritat pública. </w:t>
      </w:r>
    </w:p>
    <w:p w14:paraId="5E3EDBA2" w14:textId="77777777"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Així mateix, s'han elaborat materials i impartit accions formatives, assistint a Congressos i trobades de difusió de l'activitat preventiva en representació de l’AVAF. Per part seua, el personal del Servei de Prevenció ha mantingut en tot moment actualitzat els seus coneixements en les complexes matèries de la prevenció, fent així gal·la de la seua professionalitat i lliurament a la nostra missió de servei públic.</w:t>
      </w:r>
    </w:p>
    <w:p w14:paraId="2C7CBB28" w14:textId="18470055"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 xml:space="preserve">A títol enunciatiu, durant 2021 s'han mantingut trobades, i/o atés consultes, entre altres, amb representants de les Diputacions Provincials de Castelló, València i Alacant; Federació Valenciana de Municipis i Províncies; Conselleria de Participació, Transparència, Cooperació i Qualitat Democràtica; Direccions Generals responsables de la tramitació dels plans de mesures antifrau adscrites a Presidència de la Generalitat; Direcció General del Sector Públic; Sotssecretària d'Agricultura; Labora; Comissió de Defensa de la Competència de la Comunitat Valenciana; Ajuntaments de València, Alacant, La Vall d´uixó, Quart de Poblet, Benifairó de les Valls, entre altres. A conseqüència d'aquests, per part del Servei de Prevenció s'han realitzat aportacions que han sigut preses en consideració, per exemple, al Manual dirigit a gestors de la Generalitat Valenciana en relació amb les obligacions de l'Ordre HFP/1030/2021, de 29 de setembre, així com a l'esquema del contingut mínim a incorporar en els plans de mesures antifrau de la Generalitat Valenciana, entre altres. </w:t>
      </w:r>
    </w:p>
    <w:p w14:paraId="4824B730" w14:textId="77777777" w:rsidR="00D243C7" w:rsidRPr="00D243C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S'ha participat activament, juntament amb altres àrees funcionals de l'Agència, en el contingut vinculat a la prevenció, així com en l'execució dels protocols de col·laboració subscrits per l’AVAF i algunes institucions per a implementar plans d'integritat pública i mesures de prevenció i detecció del frau i la corrupció. Exemple de tals protocols, a data de redacció d'aquesta Memòria, són els subscrits amb l'Ajuntament de València i amb la Diputació de Castelló. No obstant això, estan pendents de signatura diversos protocols de col·laboració amb diferents ajuntaments i Diputacions de la Comunitat Valenciana.</w:t>
      </w:r>
    </w:p>
    <w:p w14:paraId="769552FD" w14:textId="774348F1" w:rsidR="002B0E27" w:rsidRDefault="00D243C7" w:rsidP="00D243C7">
      <w:pPr>
        <w:spacing w:after="240" w:line="276" w:lineRule="auto"/>
        <w:jc w:val="both"/>
        <w:rPr>
          <w:rFonts w:ascii="Arial" w:eastAsia="Times New Roman" w:hAnsi="Arial" w:cs="Arial"/>
          <w:sz w:val="21"/>
          <w:szCs w:val="21"/>
        </w:rPr>
      </w:pPr>
      <w:r w:rsidRPr="00D243C7">
        <w:rPr>
          <w:rFonts w:ascii="Arial" w:eastAsia="Times New Roman" w:hAnsi="Arial" w:cs="Arial"/>
          <w:sz w:val="21"/>
          <w:szCs w:val="21"/>
        </w:rPr>
        <w:t>El Servei de Prevenció ha col·laborat així mateix en l'elaboració de continguts, impartits per la cap de servei en diverses accions formatives realitzades per l'Agència, la descripció de la qual més detallada es relata en l'epígraf corresponent al Servei de Formació. En concret, ha impartit ponències com ara “Els conflictes d'interés en clau d'integritat” (4 i 24/11/2021, Fundació d'Auditors FIASIP); “El paper dels òrgans de control en els plans de mesures antifrau” (30/11/2021, III Congrés Nacional de Compliance en el Sector Públic); “Els plans antifrau en clau d'integritat pública” (3/12/2021, Universitat Jaume I de Castelló); “Guia AVAF sobre plans d'integritat pública. El pla antifrau en clau d'integritat pública” (21/12/2021, Conselleria de Transparència, FVMP i Diputacions Provincials de València, Castelló i Alacant), entre altres.</w:t>
      </w:r>
    </w:p>
    <w:p w14:paraId="6D718F34" w14:textId="45E5976E" w:rsidR="00734529" w:rsidRPr="00734529" w:rsidRDefault="00A7403C" w:rsidP="00734529">
      <w:pPr>
        <w:spacing w:after="240" w:line="276" w:lineRule="auto"/>
        <w:jc w:val="both"/>
        <w:rPr>
          <w:rFonts w:ascii="Arial" w:eastAsia="Times New Roman" w:hAnsi="Arial" w:cs="Arial"/>
          <w:sz w:val="21"/>
          <w:szCs w:val="21"/>
        </w:rPr>
      </w:pPr>
      <w:r w:rsidRPr="00FD39A5">
        <w:rPr>
          <w:rFonts w:ascii="Arial" w:eastAsia="Times New Roman" w:hAnsi="Arial" w:cs="Arial"/>
          <w:noProof/>
          <w:sz w:val="21"/>
          <w:szCs w:val="21"/>
          <w:lang w:eastAsia="es-ES"/>
        </w:rPr>
        <w:drawing>
          <wp:anchor distT="0" distB="0" distL="114300" distR="114300" simplePos="0" relativeHeight="252012544" behindDoc="0" locked="0" layoutInCell="1" allowOverlap="1" wp14:anchorId="553FB8FC" wp14:editId="51A4F127">
            <wp:simplePos x="0" y="0"/>
            <wp:positionH relativeFrom="margin">
              <wp:posOffset>31750</wp:posOffset>
            </wp:positionH>
            <wp:positionV relativeFrom="paragraph">
              <wp:posOffset>9525</wp:posOffset>
            </wp:positionV>
            <wp:extent cx="1613535" cy="1947545"/>
            <wp:effectExtent l="0" t="0" r="5715" b="0"/>
            <wp:wrapSquare wrapText="bothSides"/>
            <wp:docPr id="111" name="Imagen 6" descr="Imagen 4. Reflexiones sobre conflictos de interés:su desconocimiento, la antesala de la corrupcion">
              <a:extLst xmlns:a="http://schemas.openxmlformats.org/drawingml/2006/main">
                <a:ext uri="{FF2B5EF4-FFF2-40B4-BE49-F238E27FC236}">
                  <a16:creationId xmlns:a16="http://schemas.microsoft.com/office/drawing/2014/main" id="{E93E23AD-171F-4982-939B-06D88B29E06B}"/>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6" descr="Imagen 4. Reflexiones sobre conflictos de interés:su desconocimiento, la antesala de la corrupcion">
                      <a:extLst>
                        <a:ext uri="{FF2B5EF4-FFF2-40B4-BE49-F238E27FC236}">
                          <a16:creationId xmlns:a16="http://schemas.microsoft.com/office/drawing/2014/main" id="{E93E23AD-171F-4982-939B-06D88B29E06B}"/>
                        </a:ext>
                        <a:ext uri="{C183D7F6-B498-43B3-948B-1728B52AA6E4}">
                          <adec:decorative xmlns:adec="http://schemas.microsoft.com/office/drawing/2017/decorative" val="0"/>
                        </a:ext>
                      </a:extLst>
                    </pic:cNvPr>
                    <pic:cNvPicPr>
                      <a:picLocks noChangeAspect="1"/>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1613535" cy="1947545"/>
                    </a:xfrm>
                    <a:prstGeom prst="rect">
                      <a:avLst/>
                    </a:prstGeom>
                  </pic:spPr>
                </pic:pic>
              </a:graphicData>
            </a:graphic>
            <wp14:sizeRelH relativeFrom="margin">
              <wp14:pctWidth>0</wp14:pctWidth>
            </wp14:sizeRelH>
          </wp:anchor>
        </w:drawing>
      </w:r>
      <w:r w:rsidR="00734529" w:rsidRPr="00734529">
        <w:rPr>
          <w:rFonts w:ascii="Arial" w:eastAsia="Times New Roman" w:hAnsi="Arial" w:cs="Arial"/>
          <w:sz w:val="21"/>
          <w:szCs w:val="21"/>
        </w:rPr>
        <w:t>En ocasió de les Recomanacions generals elaborades en 2020 pel Servei de Prevenció i, amb la finalitat de contribuir a la difusió dels seus contesos, durant 2021 s'ha col·laborat en determinades activitats organitzades per altres serveis que es consideren de summe interés. Així, en relació amb la Recomanació general sobre conflictes d'interés, el Servei va participar activament en el documental coordinat pel Servei de Formació de l’AVAF i la Universitat de València denominat “Docufòrum: els conflictes d'interés i la integritat pública”.</w:t>
      </w:r>
    </w:p>
    <w:p w14:paraId="12304CFE" w14:textId="3A126207" w:rsidR="002B0E27" w:rsidRPr="00734529" w:rsidRDefault="00734529" w:rsidP="009A48F2">
      <w:pPr>
        <w:spacing w:after="240" w:line="276" w:lineRule="auto"/>
        <w:jc w:val="both"/>
        <w:rPr>
          <w:rFonts w:ascii="Arial" w:eastAsia="Times New Roman" w:hAnsi="Arial" w:cs="Arial"/>
          <w:sz w:val="21"/>
          <w:szCs w:val="21"/>
          <w:lang w:val="es-ES"/>
        </w:rPr>
      </w:pPr>
      <w:r>
        <w:rPr>
          <w:noProof/>
        </w:rPr>
        <mc:AlternateContent>
          <mc:Choice Requires="wps">
            <w:drawing>
              <wp:anchor distT="0" distB="0" distL="114300" distR="114300" simplePos="0" relativeHeight="252014592" behindDoc="0" locked="0" layoutInCell="1" allowOverlap="1" wp14:anchorId="449D2462" wp14:editId="466BF5E1">
                <wp:simplePos x="0" y="0"/>
                <wp:positionH relativeFrom="column">
                  <wp:posOffset>158115</wp:posOffset>
                </wp:positionH>
                <wp:positionV relativeFrom="paragraph">
                  <wp:posOffset>229235</wp:posOffset>
                </wp:positionV>
                <wp:extent cx="2679700" cy="431800"/>
                <wp:effectExtent l="0" t="0" r="6350" b="6350"/>
                <wp:wrapSquare wrapText="bothSides"/>
                <wp:docPr id="25" name="Cuadro de texto 25"/>
                <wp:cNvGraphicFramePr/>
                <a:graphic xmlns:a="http://schemas.openxmlformats.org/drawingml/2006/main">
                  <a:graphicData uri="http://schemas.microsoft.com/office/word/2010/wordprocessingShape">
                    <wps:wsp>
                      <wps:cNvSpPr txBox="1"/>
                      <wps:spPr>
                        <a:xfrm>
                          <a:off x="0" y="0"/>
                          <a:ext cx="2679700" cy="431800"/>
                        </a:xfrm>
                        <a:prstGeom prst="rect">
                          <a:avLst/>
                        </a:prstGeom>
                        <a:solidFill>
                          <a:prstClr val="white"/>
                        </a:solidFill>
                        <a:ln>
                          <a:noFill/>
                        </a:ln>
                      </wps:spPr>
                      <wps:txbx>
                        <w:txbxContent>
                          <w:p w14:paraId="276FAB23" w14:textId="0DE635F0" w:rsidR="00734529" w:rsidRPr="00734529" w:rsidRDefault="00734529" w:rsidP="00A7403C">
                            <w:pPr>
                              <w:pStyle w:val="Descripcin"/>
                              <w:jc w:val="both"/>
                              <w:rPr>
                                <w:rFonts w:ascii="Arial" w:eastAsia="Times New Roman" w:hAnsi="Arial" w:cs="Arial"/>
                                <w:smallCaps w:val="0"/>
                                <w:noProof/>
                                <w:sz w:val="18"/>
                                <w:szCs w:val="18"/>
                              </w:rPr>
                            </w:pPr>
                            <w:bookmarkStart w:id="387" w:name="_Toc99110900"/>
                            <w:r w:rsidRPr="00734529">
                              <w:rPr>
                                <w:rFonts w:ascii="Arial" w:hAnsi="Arial" w:cs="Arial"/>
                                <w:smallCaps w:val="0"/>
                                <w:color w:val="9D2235" w:themeColor="accent1"/>
                                <w:sz w:val="18"/>
                                <w:szCs w:val="18"/>
                              </w:rPr>
                              <w:t xml:space="preserve">Imatge </w:t>
                            </w:r>
                            <w:r w:rsidRPr="00734529">
                              <w:rPr>
                                <w:rFonts w:ascii="Arial" w:hAnsi="Arial" w:cs="Arial"/>
                                <w:smallCaps w:val="0"/>
                                <w:color w:val="9D2235" w:themeColor="accent1"/>
                                <w:sz w:val="18"/>
                                <w:szCs w:val="18"/>
                              </w:rPr>
                              <w:fldChar w:fldCharType="begin"/>
                            </w:r>
                            <w:r w:rsidRPr="00734529">
                              <w:rPr>
                                <w:rFonts w:ascii="Arial" w:hAnsi="Arial" w:cs="Arial"/>
                                <w:smallCaps w:val="0"/>
                                <w:color w:val="9D2235" w:themeColor="accent1"/>
                                <w:sz w:val="18"/>
                                <w:szCs w:val="18"/>
                              </w:rPr>
                              <w:instrText xml:space="preserve"> SEQ Imatge \* ARABIC </w:instrText>
                            </w:r>
                            <w:r w:rsidRPr="00734529">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11</w:t>
                            </w:r>
                            <w:r w:rsidRPr="00734529">
                              <w:rPr>
                                <w:rFonts w:ascii="Arial" w:hAnsi="Arial" w:cs="Arial"/>
                                <w:smallCaps w:val="0"/>
                                <w:color w:val="9D2235" w:themeColor="accent1"/>
                                <w:sz w:val="18"/>
                                <w:szCs w:val="18"/>
                              </w:rPr>
                              <w:fldChar w:fldCharType="end"/>
                            </w:r>
                            <w:r w:rsidRPr="00734529">
                              <w:rPr>
                                <w:rFonts w:ascii="Arial" w:hAnsi="Arial" w:cs="Arial"/>
                                <w:smallCaps w:val="0"/>
                                <w:sz w:val="18"/>
                                <w:szCs w:val="18"/>
                              </w:rPr>
                              <w:t>. Reflexions sobre conflictes d'interés: El seu desconeixement, l'avantsala de la corrupció</w:t>
                            </w:r>
                            <w:bookmarkEnd w:id="387"/>
                          </w:p>
                          <w:p w14:paraId="0D12E800" w14:textId="77777777" w:rsidR="00734529" w:rsidRDefault="0073452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2462" id="Cuadro de texto 25" o:spid="_x0000_s1038" type="#_x0000_t202" style="position:absolute;left:0;text-align:left;margin-left:12.45pt;margin-top:18.05pt;width:211pt;height:34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" stroked="f">
                <v:textbox inset="0,0,0,0">
                  <w:txbxContent>
                    <w:p w14:paraId="276FAB23" w14:textId="0DE635F0" w:rsidR="00734529" w:rsidRPr="00734529" w:rsidRDefault="00734529" w:rsidP="00A7403C">
                      <w:pPr>
                        <w:pStyle w:val="Descripcin"/>
                        <w:jc w:val="both"/>
                        <w:rPr>
                          <w:rFonts w:ascii="Arial" w:eastAsia="Times New Roman" w:hAnsi="Arial" w:cs="Arial"/>
                          <w:smallCaps w:val="0"/>
                          <w:noProof/>
                          <w:sz w:val="18"/>
                          <w:szCs w:val="18"/>
                        </w:rPr>
                      </w:pPr>
                      <w:bookmarkStart w:id="400" w:name="_Toc99110900"/>
                      <w:r w:rsidRPr="00734529">
                        <w:rPr>
                          <w:rFonts w:ascii="Arial" w:hAnsi="Arial" w:cs="Arial"/>
                          <w:smallCaps w:val="0"/>
                          <w:color w:val="9D2235" w:themeColor="accent1"/>
                          <w:sz w:val="18"/>
                          <w:szCs w:val="18"/>
                        </w:rPr>
                        <w:t xml:space="preserve">Imatge </w:t>
                      </w:r>
                      <w:r w:rsidRPr="00734529">
                        <w:rPr>
                          <w:rFonts w:ascii="Arial" w:hAnsi="Arial" w:cs="Arial"/>
                          <w:smallCaps w:val="0"/>
                          <w:color w:val="9D2235" w:themeColor="accent1"/>
                          <w:sz w:val="18"/>
                          <w:szCs w:val="18"/>
                        </w:rPr>
                        <w:fldChar w:fldCharType="begin"/>
                      </w:r>
                      <w:r w:rsidRPr="00734529">
                        <w:rPr>
                          <w:rFonts w:ascii="Arial" w:hAnsi="Arial" w:cs="Arial"/>
                          <w:smallCaps w:val="0"/>
                          <w:color w:val="9D2235" w:themeColor="accent1"/>
                          <w:sz w:val="18"/>
                          <w:szCs w:val="18"/>
                        </w:rPr>
                        <w:instrText xml:space="preserve"> SEQ Imatge \* ARABIC </w:instrText>
                      </w:r>
                      <w:r w:rsidRPr="00734529">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11</w:t>
                      </w:r>
                      <w:r w:rsidRPr="00734529">
                        <w:rPr>
                          <w:rFonts w:ascii="Arial" w:hAnsi="Arial" w:cs="Arial"/>
                          <w:smallCaps w:val="0"/>
                          <w:color w:val="9D2235" w:themeColor="accent1"/>
                          <w:sz w:val="18"/>
                          <w:szCs w:val="18"/>
                        </w:rPr>
                        <w:fldChar w:fldCharType="end"/>
                      </w:r>
                      <w:r w:rsidRPr="00734529">
                        <w:rPr>
                          <w:rFonts w:ascii="Arial" w:hAnsi="Arial" w:cs="Arial"/>
                          <w:smallCaps w:val="0"/>
                          <w:sz w:val="18"/>
                          <w:szCs w:val="18"/>
                        </w:rPr>
                        <w:t>. Reflexions sobre conflictes d'interés: El seu desconeixement, l'avantsala de la corrupció</w:t>
                      </w:r>
                      <w:bookmarkEnd w:id="400"/>
                    </w:p>
                    <w:p w14:paraId="0D12E800" w14:textId="77777777" w:rsidR="00734529" w:rsidRDefault="00734529"/>
                  </w:txbxContent>
                </v:textbox>
                <w10:wrap type="square"/>
              </v:shape>
            </w:pict>
          </mc:Fallback>
        </mc:AlternateContent>
      </w:r>
    </w:p>
    <w:p w14:paraId="2A20F416" w14:textId="503A0011" w:rsidR="002B0E27" w:rsidRDefault="002B0E27" w:rsidP="009A48F2">
      <w:pPr>
        <w:spacing w:after="240" w:line="276" w:lineRule="auto"/>
        <w:jc w:val="both"/>
        <w:rPr>
          <w:rFonts w:ascii="Arial" w:eastAsia="Times New Roman" w:hAnsi="Arial" w:cs="Arial"/>
          <w:sz w:val="21"/>
          <w:szCs w:val="21"/>
        </w:rPr>
      </w:pPr>
    </w:p>
    <w:p w14:paraId="30FB09AF" w14:textId="29AF51E5" w:rsidR="00586B42" w:rsidRDefault="00A7403C" w:rsidP="009A48F2">
      <w:pPr>
        <w:spacing w:after="240" w:line="276" w:lineRule="auto"/>
        <w:jc w:val="both"/>
        <w:rPr>
          <w:rFonts w:ascii="Arial" w:eastAsia="Times New Roman" w:hAnsi="Arial" w:cs="Arial"/>
          <w:sz w:val="21"/>
          <w:szCs w:val="21"/>
          <w:lang w:val="es-ES"/>
        </w:rPr>
      </w:pPr>
      <w:r w:rsidRPr="00AB543F">
        <w:rPr>
          <w:rFonts w:ascii="Arial" w:hAnsi="Arial" w:cs="Arial"/>
          <w:noProof/>
          <w:sz w:val="21"/>
          <w:szCs w:val="21"/>
        </w:rPr>
        <w:drawing>
          <wp:anchor distT="0" distB="0" distL="114300" distR="114300" simplePos="0" relativeHeight="252016640" behindDoc="1" locked="0" layoutInCell="1" allowOverlap="1" wp14:anchorId="78EC7EB0" wp14:editId="1A7E85A3">
            <wp:simplePos x="0" y="0"/>
            <wp:positionH relativeFrom="margin">
              <wp:align>right</wp:align>
            </wp:positionH>
            <wp:positionV relativeFrom="paragraph">
              <wp:posOffset>86360</wp:posOffset>
            </wp:positionV>
            <wp:extent cx="1612800" cy="2016000"/>
            <wp:effectExtent l="0" t="0" r="6985" b="3810"/>
            <wp:wrapTight wrapText="bothSides">
              <wp:wrapPolygon edited="0">
                <wp:start x="0" y="0"/>
                <wp:lineTo x="0" y="21437"/>
                <wp:lineTo x="21438" y="21437"/>
                <wp:lineTo x="21438" y="0"/>
                <wp:lineTo x="0" y="0"/>
              </wp:wrapPolygon>
            </wp:wrapTight>
            <wp:docPr id="42" name="Imagen 5" descr="Texto&#10;&#10;Descripción generada automáticamente con confianza media">
              <a:extLst xmlns:a="http://schemas.openxmlformats.org/drawingml/2006/main">
                <a:ext uri="{FF2B5EF4-FFF2-40B4-BE49-F238E27FC236}">
                  <a16:creationId xmlns:a16="http://schemas.microsoft.com/office/drawing/2014/main" id="{ACD32E40-CFBF-4023-BB5C-FF9EF7E8B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Texto&#10;&#10;Descripción generada automáticamente con confianza media">
                      <a:extLst>
                        <a:ext uri="{FF2B5EF4-FFF2-40B4-BE49-F238E27FC236}">
                          <a16:creationId xmlns:a16="http://schemas.microsoft.com/office/drawing/2014/main" id="{ACD32E40-CFBF-4023-BB5C-FF9EF7E8BC69}"/>
                        </a:ext>
                      </a:extLst>
                    </pic:cNvPr>
                    <pic:cNvPicPr>
                      <a:picLocks noChangeAspect="1"/>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1612800" cy="2016000"/>
                    </a:xfrm>
                    <a:prstGeom prst="rect">
                      <a:avLst/>
                    </a:prstGeom>
                  </pic:spPr>
                </pic:pic>
              </a:graphicData>
            </a:graphic>
            <wp14:sizeRelH relativeFrom="margin">
              <wp14:pctWidth>0</wp14:pctWidth>
            </wp14:sizeRelH>
            <wp14:sizeRelV relativeFrom="margin">
              <wp14:pctHeight>0</wp14:pctHeight>
            </wp14:sizeRelV>
          </wp:anchor>
        </w:drawing>
      </w:r>
    </w:p>
    <w:p w14:paraId="5DBC4E59" w14:textId="36B3F642" w:rsidR="009B7673" w:rsidRDefault="00A7403C" w:rsidP="009A48F2">
      <w:pPr>
        <w:spacing w:after="240" w:line="276" w:lineRule="auto"/>
        <w:jc w:val="both"/>
        <w:rPr>
          <w:rFonts w:ascii="Arial" w:eastAsia="Times New Roman" w:hAnsi="Arial" w:cs="Arial"/>
          <w:sz w:val="21"/>
          <w:szCs w:val="21"/>
        </w:rPr>
      </w:pPr>
      <w:r w:rsidRPr="00A7403C">
        <w:rPr>
          <w:rFonts w:ascii="Arial" w:eastAsia="Times New Roman" w:hAnsi="Arial" w:cs="Arial"/>
          <w:sz w:val="21"/>
          <w:szCs w:val="21"/>
          <w:lang w:val="es-ES"/>
        </w:rPr>
        <w:t>En relació amb la Recomanació general de Planificació, es va col·laborar en l'enregistrament del documental denominat “Docufòrum: la planificació” coordinat pel Servei de Formació de l’AVAF i la Universitat de València. En tots dos casos, des del Servei de Prevenció la col·laboració va abastar aspectes substantius de totes dues temàtiques i la intervenció en tots dos enregistraments</w:t>
      </w:r>
    </w:p>
    <w:p w14:paraId="26AD5D17" w14:textId="345CFC06" w:rsidR="009B7673" w:rsidRDefault="009B7673" w:rsidP="009A48F2">
      <w:pPr>
        <w:spacing w:after="240" w:line="276" w:lineRule="auto"/>
        <w:jc w:val="both"/>
        <w:rPr>
          <w:rFonts w:ascii="Arial" w:eastAsia="Times New Roman" w:hAnsi="Arial" w:cs="Arial"/>
          <w:sz w:val="21"/>
          <w:szCs w:val="21"/>
        </w:rPr>
      </w:pPr>
    </w:p>
    <w:p w14:paraId="172F11F2" w14:textId="723E984D" w:rsidR="009B7673" w:rsidRDefault="00A7403C" w:rsidP="009A48F2">
      <w:pPr>
        <w:spacing w:after="240" w:line="276" w:lineRule="auto"/>
        <w:jc w:val="both"/>
        <w:rPr>
          <w:rFonts w:ascii="Arial" w:eastAsia="Times New Roman" w:hAnsi="Arial" w:cs="Arial"/>
          <w:sz w:val="21"/>
          <w:szCs w:val="21"/>
        </w:rPr>
      </w:pPr>
      <w:r>
        <w:rPr>
          <w:noProof/>
        </w:rPr>
        <mc:AlternateContent>
          <mc:Choice Requires="wps">
            <w:drawing>
              <wp:anchor distT="0" distB="0" distL="114300" distR="114300" simplePos="0" relativeHeight="252018688" behindDoc="1" locked="0" layoutInCell="1" allowOverlap="1" wp14:anchorId="74070BDC" wp14:editId="7D8D744F">
                <wp:simplePos x="0" y="0"/>
                <wp:positionH relativeFrom="margin">
                  <wp:align>right</wp:align>
                </wp:positionH>
                <wp:positionV relativeFrom="paragraph">
                  <wp:posOffset>81915</wp:posOffset>
                </wp:positionV>
                <wp:extent cx="2418715" cy="438150"/>
                <wp:effectExtent l="0" t="0" r="635" b="0"/>
                <wp:wrapTight wrapText="bothSides">
                  <wp:wrapPolygon edited="0">
                    <wp:start x="0" y="0"/>
                    <wp:lineTo x="0" y="20661"/>
                    <wp:lineTo x="21436" y="20661"/>
                    <wp:lineTo x="21436" y="0"/>
                    <wp:lineTo x="0" y="0"/>
                  </wp:wrapPolygon>
                </wp:wrapTight>
                <wp:docPr id="43" name="Cuadro de texto 43"/>
                <wp:cNvGraphicFramePr/>
                <a:graphic xmlns:a="http://schemas.openxmlformats.org/drawingml/2006/main">
                  <a:graphicData uri="http://schemas.microsoft.com/office/word/2010/wordprocessingShape">
                    <wps:wsp>
                      <wps:cNvSpPr txBox="1"/>
                      <wps:spPr>
                        <a:xfrm>
                          <a:off x="0" y="0"/>
                          <a:ext cx="2418715" cy="438150"/>
                        </a:xfrm>
                        <a:prstGeom prst="rect">
                          <a:avLst/>
                        </a:prstGeom>
                        <a:solidFill>
                          <a:prstClr val="white"/>
                        </a:solidFill>
                        <a:ln>
                          <a:noFill/>
                        </a:ln>
                      </wps:spPr>
                      <wps:txbx>
                        <w:txbxContent>
                          <w:p w14:paraId="043B5F29" w14:textId="1F434E67" w:rsidR="00A7403C" w:rsidRPr="00A7403C" w:rsidRDefault="00A7403C" w:rsidP="00A7403C">
                            <w:pPr>
                              <w:pStyle w:val="Descripcin"/>
                              <w:jc w:val="both"/>
                              <w:rPr>
                                <w:rFonts w:ascii="Arial" w:hAnsi="Arial" w:cs="Arial"/>
                                <w:smallCaps w:val="0"/>
                                <w:noProof/>
                                <w:sz w:val="18"/>
                                <w:szCs w:val="18"/>
                              </w:rPr>
                            </w:pPr>
                            <w:bookmarkStart w:id="388" w:name="_Toc99110901"/>
                            <w:r w:rsidRPr="00A7403C">
                              <w:rPr>
                                <w:rFonts w:ascii="Arial" w:hAnsi="Arial" w:cs="Arial"/>
                                <w:smallCaps w:val="0"/>
                                <w:color w:val="9D2235" w:themeColor="accent1"/>
                                <w:sz w:val="18"/>
                                <w:szCs w:val="18"/>
                              </w:rPr>
                              <w:t xml:space="preserve">Imatge </w:t>
                            </w:r>
                            <w:r w:rsidRPr="00A7403C">
                              <w:rPr>
                                <w:rFonts w:ascii="Arial" w:hAnsi="Arial" w:cs="Arial"/>
                                <w:smallCaps w:val="0"/>
                                <w:color w:val="9D2235" w:themeColor="accent1"/>
                                <w:sz w:val="18"/>
                                <w:szCs w:val="18"/>
                              </w:rPr>
                              <w:fldChar w:fldCharType="begin"/>
                            </w:r>
                            <w:r w:rsidRPr="00A7403C">
                              <w:rPr>
                                <w:rFonts w:ascii="Arial" w:hAnsi="Arial" w:cs="Arial"/>
                                <w:smallCaps w:val="0"/>
                                <w:color w:val="9D2235" w:themeColor="accent1"/>
                                <w:sz w:val="18"/>
                                <w:szCs w:val="18"/>
                              </w:rPr>
                              <w:instrText xml:space="preserve"> SEQ Imatge \* ARABIC </w:instrText>
                            </w:r>
                            <w:r w:rsidRPr="00A7403C">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12</w:t>
                            </w:r>
                            <w:r w:rsidRPr="00A7403C">
                              <w:rPr>
                                <w:rFonts w:ascii="Arial" w:hAnsi="Arial" w:cs="Arial"/>
                                <w:smallCaps w:val="0"/>
                                <w:color w:val="9D2235" w:themeColor="accent1"/>
                                <w:sz w:val="18"/>
                                <w:szCs w:val="18"/>
                              </w:rPr>
                              <w:fldChar w:fldCharType="end"/>
                            </w:r>
                            <w:r w:rsidRPr="00A7403C">
                              <w:rPr>
                                <w:rFonts w:ascii="Arial" w:hAnsi="Arial" w:cs="Arial"/>
                                <w:smallCaps w:val="0"/>
                                <w:sz w:val="18"/>
                                <w:szCs w:val="18"/>
                              </w:rPr>
                              <w:t>. Recomanació general. Planificació: Eina clau per a previndre els riscos de la corrupció en les organitzacions</w:t>
                            </w:r>
                            <w:bookmarkEnd w:id="3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70BDC" id="Cuadro de texto 43" o:spid="_x0000_s1039" type="#_x0000_t202" style="position:absolute;left:0;text-align:left;margin-left:139.25pt;margin-top:6.45pt;width:190.45pt;height:34.5pt;z-index:-251297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" stroked="f">
                <v:textbox inset="0,0,0,0">
                  <w:txbxContent>
                    <w:p w14:paraId="043B5F29" w14:textId="1F434E67" w:rsidR="00A7403C" w:rsidRPr="00A7403C" w:rsidRDefault="00A7403C" w:rsidP="00A7403C">
                      <w:pPr>
                        <w:pStyle w:val="Descripcin"/>
                        <w:jc w:val="both"/>
                        <w:rPr>
                          <w:rFonts w:ascii="Arial" w:hAnsi="Arial" w:cs="Arial"/>
                          <w:smallCaps w:val="0"/>
                          <w:noProof/>
                          <w:sz w:val="18"/>
                          <w:szCs w:val="18"/>
                        </w:rPr>
                      </w:pPr>
                      <w:bookmarkStart w:id="402" w:name="_Toc99110901"/>
                      <w:r w:rsidRPr="00A7403C">
                        <w:rPr>
                          <w:rFonts w:ascii="Arial" w:hAnsi="Arial" w:cs="Arial"/>
                          <w:smallCaps w:val="0"/>
                          <w:color w:val="9D2235" w:themeColor="accent1"/>
                          <w:sz w:val="18"/>
                          <w:szCs w:val="18"/>
                        </w:rPr>
                        <w:t xml:space="preserve">Imatge </w:t>
                      </w:r>
                      <w:r w:rsidRPr="00A7403C">
                        <w:rPr>
                          <w:rFonts w:ascii="Arial" w:hAnsi="Arial" w:cs="Arial"/>
                          <w:smallCaps w:val="0"/>
                          <w:color w:val="9D2235" w:themeColor="accent1"/>
                          <w:sz w:val="18"/>
                          <w:szCs w:val="18"/>
                        </w:rPr>
                        <w:fldChar w:fldCharType="begin"/>
                      </w:r>
                      <w:r w:rsidRPr="00A7403C">
                        <w:rPr>
                          <w:rFonts w:ascii="Arial" w:hAnsi="Arial" w:cs="Arial"/>
                          <w:smallCaps w:val="0"/>
                          <w:color w:val="9D2235" w:themeColor="accent1"/>
                          <w:sz w:val="18"/>
                          <w:szCs w:val="18"/>
                        </w:rPr>
                        <w:instrText xml:space="preserve"> SEQ Imatge \* ARABIC </w:instrText>
                      </w:r>
                      <w:r w:rsidRPr="00A7403C">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12</w:t>
                      </w:r>
                      <w:r w:rsidRPr="00A7403C">
                        <w:rPr>
                          <w:rFonts w:ascii="Arial" w:hAnsi="Arial" w:cs="Arial"/>
                          <w:smallCaps w:val="0"/>
                          <w:color w:val="9D2235" w:themeColor="accent1"/>
                          <w:sz w:val="18"/>
                          <w:szCs w:val="18"/>
                        </w:rPr>
                        <w:fldChar w:fldCharType="end"/>
                      </w:r>
                      <w:r w:rsidRPr="00A7403C">
                        <w:rPr>
                          <w:rFonts w:ascii="Arial" w:hAnsi="Arial" w:cs="Arial"/>
                          <w:smallCaps w:val="0"/>
                          <w:sz w:val="18"/>
                          <w:szCs w:val="18"/>
                        </w:rPr>
                        <w:t>. Recomanació general. Planificació: Eina clau per a previndre els riscos de la corrupció en les organitzacions</w:t>
                      </w:r>
                      <w:bookmarkEnd w:id="402"/>
                    </w:p>
                  </w:txbxContent>
                </v:textbox>
                <w10:wrap type="tight" anchorx="margin"/>
              </v:shape>
            </w:pict>
          </mc:Fallback>
        </mc:AlternateContent>
      </w:r>
    </w:p>
    <w:p w14:paraId="65DF81AB" w14:textId="139B06C2" w:rsidR="009B7673" w:rsidRDefault="009B7673" w:rsidP="009A48F2">
      <w:pPr>
        <w:spacing w:after="240" w:line="276" w:lineRule="auto"/>
        <w:jc w:val="both"/>
        <w:rPr>
          <w:rFonts w:ascii="Arial" w:eastAsia="Times New Roman" w:hAnsi="Arial" w:cs="Arial"/>
          <w:sz w:val="21"/>
          <w:szCs w:val="21"/>
        </w:rPr>
      </w:pPr>
    </w:p>
    <w:p w14:paraId="3D5EF1A1" w14:textId="77777777" w:rsidR="00815CEB" w:rsidRDefault="00815CEB" w:rsidP="009A48F2">
      <w:pPr>
        <w:spacing w:after="240" w:line="276" w:lineRule="auto"/>
        <w:jc w:val="both"/>
        <w:rPr>
          <w:rFonts w:ascii="Arial" w:eastAsia="Times New Roman" w:hAnsi="Arial" w:cs="Arial"/>
          <w:sz w:val="21"/>
          <w:szCs w:val="21"/>
        </w:rPr>
      </w:pPr>
    </w:p>
    <w:p w14:paraId="6C9E643E" w14:textId="2A42180E" w:rsidR="009B7673" w:rsidRDefault="00882B2A" w:rsidP="009A48F2">
      <w:pPr>
        <w:spacing w:after="240" w:line="276" w:lineRule="auto"/>
        <w:jc w:val="both"/>
        <w:rPr>
          <w:rFonts w:ascii="Arial" w:eastAsia="Times New Roman" w:hAnsi="Arial" w:cs="Arial"/>
          <w:sz w:val="21"/>
          <w:szCs w:val="21"/>
        </w:rPr>
      </w:pPr>
      <w:r>
        <w:rPr>
          <w:noProof/>
        </w:rPr>
        <mc:AlternateContent>
          <mc:Choice Requires="wps">
            <w:drawing>
              <wp:anchor distT="0" distB="0" distL="114300" distR="114300" simplePos="0" relativeHeight="252022784" behindDoc="0" locked="0" layoutInCell="1" allowOverlap="1" wp14:anchorId="6405C22D" wp14:editId="300953C1">
                <wp:simplePos x="0" y="0"/>
                <wp:positionH relativeFrom="column">
                  <wp:posOffset>139065</wp:posOffset>
                </wp:positionH>
                <wp:positionV relativeFrom="paragraph">
                  <wp:posOffset>2134235</wp:posOffset>
                </wp:positionV>
                <wp:extent cx="1670050" cy="339090"/>
                <wp:effectExtent l="0" t="0" r="6350" b="3810"/>
                <wp:wrapSquare wrapText="bothSides"/>
                <wp:docPr id="44" name="Cuadro de texto 44"/>
                <wp:cNvGraphicFramePr/>
                <a:graphic xmlns:a="http://schemas.openxmlformats.org/drawingml/2006/main">
                  <a:graphicData uri="http://schemas.microsoft.com/office/word/2010/wordprocessingShape">
                    <wps:wsp>
                      <wps:cNvSpPr txBox="1"/>
                      <wps:spPr>
                        <a:xfrm>
                          <a:off x="0" y="0"/>
                          <a:ext cx="1670050" cy="339090"/>
                        </a:xfrm>
                        <a:prstGeom prst="rect">
                          <a:avLst/>
                        </a:prstGeom>
                        <a:solidFill>
                          <a:prstClr val="white"/>
                        </a:solidFill>
                        <a:ln>
                          <a:noFill/>
                        </a:ln>
                      </wps:spPr>
                      <wps:txbx>
                        <w:txbxContent>
                          <w:p w14:paraId="55398DB1" w14:textId="0D035D04" w:rsidR="00586B42" w:rsidRPr="00586B42" w:rsidRDefault="00586B42" w:rsidP="00882B2A">
                            <w:pPr>
                              <w:pStyle w:val="Descripcin"/>
                              <w:jc w:val="both"/>
                              <w:rPr>
                                <w:rFonts w:ascii="Arial" w:hAnsi="Arial" w:cs="Arial"/>
                                <w:smallCaps w:val="0"/>
                                <w:noProof/>
                                <w:sz w:val="18"/>
                                <w:szCs w:val="18"/>
                              </w:rPr>
                            </w:pPr>
                            <w:bookmarkStart w:id="389" w:name="_Toc99110902"/>
                            <w:r w:rsidRPr="00586B42">
                              <w:rPr>
                                <w:rFonts w:ascii="Arial" w:hAnsi="Arial" w:cs="Arial"/>
                                <w:smallCaps w:val="0"/>
                                <w:color w:val="9D2235" w:themeColor="accent1"/>
                                <w:sz w:val="18"/>
                                <w:szCs w:val="18"/>
                              </w:rPr>
                              <w:t xml:space="preserve">Imatge </w:t>
                            </w:r>
                            <w:r w:rsidRPr="00586B42">
                              <w:rPr>
                                <w:rFonts w:ascii="Arial" w:hAnsi="Arial" w:cs="Arial"/>
                                <w:smallCaps w:val="0"/>
                                <w:color w:val="9D2235" w:themeColor="accent1"/>
                                <w:sz w:val="18"/>
                                <w:szCs w:val="18"/>
                              </w:rPr>
                              <w:fldChar w:fldCharType="begin"/>
                            </w:r>
                            <w:r w:rsidRPr="00586B42">
                              <w:rPr>
                                <w:rFonts w:ascii="Arial" w:hAnsi="Arial" w:cs="Arial"/>
                                <w:smallCaps w:val="0"/>
                                <w:color w:val="9D2235" w:themeColor="accent1"/>
                                <w:sz w:val="18"/>
                                <w:szCs w:val="18"/>
                              </w:rPr>
                              <w:instrText xml:space="preserve"> SEQ Imatge \* ARABIC </w:instrText>
                            </w:r>
                            <w:r w:rsidRPr="00586B42">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13</w:t>
                            </w:r>
                            <w:r w:rsidRPr="00586B42">
                              <w:rPr>
                                <w:rFonts w:ascii="Arial" w:hAnsi="Arial" w:cs="Arial"/>
                                <w:smallCaps w:val="0"/>
                                <w:color w:val="9D2235" w:themeColor="accent1"/>
                                <w:sz w:val="18"/>
                                <w:szCs w:val="18"/>
                              </w:rPr>
                              <w:fldChar w:fldCharType="end"/>
                            </w:r>
                            <w:r w:rsidRPr="00586B42">
                              <w:rPr>
                                <w:rFonts w:ascii="Arial" w:hAnsi="Arial" w:cs="Arial"/>
                                <w:smallCaps w:val="0"/>
                                <w:color w:val="9D2235" w:themeColor="accent1"/>
                                <w:sz w:val="18"/>
                                <w:szCs w:val="18"/>
                              </w:rPr>
                              <w:t xml:space="preserve">. </w:t>
                            </w:r>
                            <w:r w:rsidRPr="00586B42">
                              <w:rPr>
                                <w:rFonts w:ascii="Arial" w:hAnsi="Arial" w:cs="Arial"/>
                                <w:smallCaps w:val="0"/>
                                <w:sz w:val="18"/>
                                <w:szCs w:val="18"/>
                              </w:rPr>
                              <w:t>Recomanació general. Enriquiment injust</w:t>
                            </w:r>
                            <w:bookmarkEnd w:id="3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5C22D" id="Cuadro de texto 44" o:spid="_x0000_s1040" type="#_x0000_t202" style="position:absolute;left:0;text-align:left;margin-left:10.95pt;margin-top:168.05pt;width:131.5pt;height:26.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" stroked="f">
                <v:textbox inset="0,0,0,0">
                  <w:txbxContent>
                    <w:p w14:paraId="55398DB1" w14:textId="0D035D04" w:rsidR="00586B42" w:rsidRPr="00586B42" w:rsidRDefault="00586B42" w:rsidP="00882B2A">
                      <w:pPr>
                        <w:pStyle w:val="Descripcin"/>
                        <w:jc w:val="both"/>
                        <w:rPr>
                          <w:rFonts w:ascii="Arial" w:hAnsi="Arial" w:cs="Arial"/>
                          <w:smallCaps w:val="0"/>
                          <w:noProof/>
                          <w:sz w:val="18"/>
                          <w:szCs w:val="18"/>
                        </w:rPr>
                      </w:pPr>
                      <w:bookmarkStart w:id="404" w:name="_Toc99110902"/>
                      <w:r w:rsidRPr="00586B42">
                        <w:rPr>
                          <w:rFonts w:ascii="Arial" w:hAnsi="Arial" w:cs="Arial"/>
                          <w:smallCaps w:val="0"/>
                          <w:color w:val="9D2235" w:themeColor="accent1"/>
                          <w:sz w:val="18"/>
                          <w:szCs w:val="18"/>
                        </w:rPr>
                        <w:t xml:space="preserve">Imatge </w:t>
                      </w:r>
                      <w:r w:rsidRPr="00586B42">
                        <w:rPr>
                          <w:rFonts w:ascii="Arial" w:hAnsi="Arial" w:cs="Arial"/>
                          <w:smallCaps w:val="0"/>
                          <w:color w:val="9D2235" w:themeColor="accent1"/>
                          <w:sz w:val="18"/>
                          <w:szCs w:val="18"/>
                        </w:rPr>
                        <w:fldChar w:fldCharType="begin"/>
                      </w:r>
                      <w:r w:rsidRPr="00586B42">
                        <w:rPr>
                          <w:rFonts w:ascii="Arial" w:hAnsi="Arial" w:cs="Arial"/>
                          <w:smallCaps w:val="0"/>
                          <w:color w:val="9D2235" w:themeColor="accent1"/>
                          <w:sz w:val="18"/>
                          <w:szCs w:val="18"/>
                        </w:rPr>
                        <w:instrText xml:space="preserve"> SEQ Imatge \* ARABIC </w:instrText>
                      </w:r>
                      <w:r w:rsidRPr="00586B42">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13</w:t>
                      </w:r>
                      <w:r w:rsidRPr="00586B42">
                        <w:rPr>
                          <w:rFonts w:ascii="Arial" w:hAnsi="Arial" w:cs="Arial"/>
                          <w:smallCaps w:val="0"/>
                          <w:color w:val="9D2235" w:themeColor="accent1"/>
                          <w:sz w:val="18"/>
                          <w:szCs w:val="18"/>
                        </w:rPr>
                        <w:fldChar w:fldCharType="end"/>
                      </w:r>
                      <w:r w:rsidRPr="00586B42">
                        <w:rPr>
                          <w:rFonts w:ascii="Arial" w:hAnsi="Arial" w:cs="Arial"/>
                          <w:smallCaps w:val="0"/>
                          <w:color w:val="9D2235" w:themeColor="accent1"/>
                          <w:sz w:val="18"/>
                          <w:szCs w:val="18"/>
                        </w:rPr>
                        <w:t xml:space="preserve">. </w:t>
                      </w:r>
                      <w:r w:rsidRPr="00586B42">
                        <w:rPr>
                          <w:rFonts w:ascii="Arial" w:hAnsi="Arial" w:cs="Arial"/>
                          <w:smallCaps w:val="0"/>
                          <w:sz w:val="18"/>
                          <w:szCs w:val="18"/>
                        </w:rPr>
                        <w:t>Recomanació general. Enriquiment injust</w:t>
                      </w:r>
                      <w:bookmarkEnd w:id="404"/>
                    </w:p>
                  </w:txbxContent>
                </v:textbox>
                <w10:wrap type="square"/>
              </v:shape>
            </w:pict>
          </mc:Fallback>
        </mc:AlternateContent>
      </w:r>
      <w:r w:rsidRPr="00AB543F">
        <w:rPr>
          <w:rFonts w:ascii="Arial" w:hAnsi="Arial" w:cs="Arial"/>
          <w:noProof/>
          <w:sz w:val="21"/>
          <w:szCs w:val="21"/>
        </w:rPr>
        <w:drawing>
          <wp:anchor distT="0" distB="0" distL="114300" distR="114300" simplePos="0" relativeHeight="252020736" behindDoc="0" locked="0" layoutInCell="1" allowOverlap="1" wp14:anchorId="460042AE" wp14:editId="1F7DF387">
            <wp:simplePos x="0" y="0"/>
            <wp:positionH relativeFrom="margin">
              <wp:align>left</wp:align>
            </wp:positionH>
            <wp:positionV relativeFrom="paragraph">
              <wp:posOffset>5715</wp:posOffset>
            </wp:positionV>
            <wp:extent cx="1641475" cy="2030095"/>
            <wp:effectExtent l="0" t="0" r="0" b="8255"/>
            <wp:wrapSquare wrapText="bothSides"/>
            <wp:docPr id="117" name="Imagen 4" descr="Texto&#10;&#10;Descripción generada automáticamente con confianza baja">
              <a:extLst xmlns:a="http://schemas.openxmlformats.org/drawingml/2006/main">
                <a:ext uri="{FF2B5EF4-FFF2-40B4-BE49-F238E27FC236}">
                  <a16:creationId xmlns:a16="http://schemas.microsoft.com/office/drawing/2014/main" id="{17EFD4CD-29E0-4A26-ABDE-E8F719E9C6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Texto&#10;&#10;Descripción generada automáticamente con confianza baja">
                      <a:extLst>
                        <a:ext uri="{FF2B5EF4-FFF2-40B4-BE49-F238E27FC236}">
                          <a16:creationId xmlns:a16="http://schemas.microsoft.com/office/drawing/2014/main" id="{17EFD4CD-29E0-4A26-ABDE-E8F719E9C6E7}"/>
                        </a:ext>
                      </a:extLst>
                    </pic:cNvPr>
                    <pic:cNvPicPr>
                      <a:picLocks noChangeAspect="1"/>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1641475" cy="2030095"/>
                    </a:xfrm>
                    <a:prstGeom prst="rect">
                      <a:avLst/>
                    </a:prstGeom>
                  </pic:spPr>
                </pic:pic>
              </a:graphicData>
            </a:graphic>
            <wp14:sizeRelH relativeFrom="margin">
              <wp14:pctWidth>0</wp14:pctWidth>
            </wp14:sizeRelH>
            <wp14:sizeRelV relativeFrom="margin">
              <wp14:pctHeight>0</wp14:pctHeight>
            </wp14:sizeRelV>
          </wp:anchor>
        </w:drawing>
      </w:r>
      <w:r w:rsidR="00586B42" w:rsidRPr="00586B42">
        <w:rPr>
          <w:rFonts w:ascii="Arial" w:eastAsia="Times New Roman" w:hAnsi="Arial" w:cs="Arial"/>
          <w:sz w:val="21"/>
          <w:szCs w:val="21"/>
          <w:lang w:val="es-ES"/>
        </w:rPr>
        <w:t>Finalment, en relació amb la Recomanació general sobre l'abús de l'enriquiment injust, des de Prevenció es va moderar el passat 24 de març de 2021 el webinar “Enriquiment injust: ús o abús?”, organitzat conjuntament per l’AVAF i COSITAL VALÈNCIA, en el qual es va produir un interessant debat sobre l'abús de la figura i les possibles mesures a adoptar per a reconduir el seu ús a la seua naturalesa excepcional, en el qual van participar com a ponents convidats membres del Tribunal de Comptes, de la Sindicatura de Comptes, del Consell Jurídic Consultiu de la Comunitat Valenciana o de la Intervenció delegada de la Comunitat Autònoma de Balears o la Intervenció de l'Ajuntament de Gandia.</w:t>
      </w:r>
    </w:p>
    <w:p w14:paraId="139C6C45" w14:textId="6A88EACD" w:rsidR="009B7673" w:rsidRDefault="009B7673" w:rsidP="009A48F2">
      <w:pPr>
        <w:spacing w:after="240" w:line="276" w:lineRule="auto"/>
        <w:jc w:val="both"/>
        <w:rPr>
          <w:rFonts w:ascii="Arial" w:eastAsia="Times New Roman" w:hAnsi="Arial" w:cs="Arial"/>
          <w:sz w:val="21"/>
          <w:szCs w:val="21"/>
        </w:rPr>
      </w:pPr>
    </w:p>
    <w:p w14:paraId="162EFA63" w14:textId="77777777" w:rsidR="00C428E7" w:rsidRPr="00C428E7" w:rsidRDefault="00C428E7" w:rsidP="001E427A">
      <w:pPr>
        <w:pStyle w:val="Prrafodelista"/>
        <w:keepNext/>
        <w:numPr>
          <w:ilvl w:val="1"/>
          <w:numId w:val="16"/>
        </w:numPr>
        <w:suppressAutoHyphens/>
        <w:spacing w:before="360" w:after="240" w:line="276" w:lineRule="auto"/>
        <w:ind w:left="851" w:hanging="851"/>
        <w:outlineLvl w:val="1"/>
        <w:rPr>
          <w:rFonts w:ascii="Arial" w:hAnsi="Arial"/>
          <w:b/>
          <w:color w:val="9D2235"/>
          <w:sz w:val="32"/>
          <w:szCs w:val="32"/>
        </w:rPr>
      </w:pPr>
      <w:bookmarkStart w:id="390" w:name="_Toc96517837"/>
      <w:bookmarkStart w:id="391" w:name="_Toc99110813"/>
      <w:r w:rsidRPr="00C428E7">
        <w:rPr>
          <w:rFonts w:ascii="Arial" w:hAnsi="Arial"/>
          <w:b/>
          <w:color w:val="9D2235"/>
          <w:sz w:val="32"/>
          <w:szCs w:val="32"/>
        </w:rPr>
        <w:t>Formació</w:t>
      </w:r>
      <w:bookmarkEnd w:id="390"/>
      <w:bookmarkEnd w:id="391"/>
    </w:p>
    <w:p w14:paraId="234861A9" w14:textId="77777777" w:rsidR="00C428E7" w:rsidRPr="00C428E7" w:rsidRDefault="00C428E7" w:rsidP="00E876C8">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92" w:name="_Toc96517838"/>
      <w:bookmarkStart w:id="393" w:name="_Toc99110814"/>
      <w:r w:rsidRPr="00C428E7">
        <w:rPr>
          <w:rFonts w:ascii="Arial" w:hAnsi="Arial"/>
          <w:b/>
          <w:color w:val="9D2235"/>
          <w:sz w:val="28"/>
          <w:szCs w:val="28"/>
        </w:rPr>
        <w:t>Funcions del Servei de Formació</w:t>
      </w:r>
      <w:bookmarkEnd w:id="392"/>
      <w:bookmarkEnd w:id="393"/>
    </w:p>
    <w:p w14:paraId="2AD764FD" w14:textId="77777777" w:rsidR="00C428E7" w:rsidRPr="00C428E7" w:rsidRDefault="00C428E7" w:rsidP="00E876C8">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El Servei de Formació desenvolupa les accions necessàries per a complir amb les funcions de l'Agència relatives:</w:t>
      </w:r>
    </w:p>
    <w:p w14:paraId="244A1A86" w14:textId="77777777" w:rsidR="00C428E7" w:rsidRPr="00C428E7" w:rsidRDefault="00C428E7" w:rsidP="0024334F">
      <w:pPr>
        <w:numPr>
          <w:ilvl w:val="0"/>
          <w:numId w:val="62"/>
        </w:numPr>
        <w:spacing w:after="120" w:line="276" w:lineRule="auto"/>
        <w:ind w:left="714" w:hanging="357"/>
        <w:jc w:val="both"/>
        <w:rPr>
          <w:rFonts w:ascii="Arial" w:eastAsia="Times New Roman" w:hAnsi="Arial" w:cs="Arial"/>
          <w:sz w:val="21"/>
          <w:szCs w:val="21"/>
        </w:rPr>
      </w:pPr>
      <w:r w:rsidRPr="00C428E7">
        <w:rPr>
          <w:rFonts w:ascii="Arial" w:eastAsia="Times New Roman" w:hAnsi="Arial" w:cs="Arial"/>
          <w:sz w:val="21"/>
          <w:szCs w:val="21"/>
        </w:rPr>
        <w:t>La formació de les persones servidores públiques de totes les administracions valencianes en matèria d'integritat i ètica públiques.</w:t>
      </w:r>
    </w:p>
    <w:p w14:paraId="49E84DA3" w14:textId="77777777" w:rsidR="00C428E7" w:rsidRPr="00C428E7" w:rsidRDefault="00C428E7" w:rsidP="0024334F">
      <w:pPr>
        <w:numPr>
          <w:ilvl w:val="0"/>
          <w:numId w:val="62"/>
        </w:numPr>
        <w:spacing w:after="120" w:line="276" w:lineRule="auto"/>
        <w:ind w:left="714" w:hanging="357"/>
        <w:jc w:val="both"/>
        <w:rPr>
          <w:rFonts w:ascii="Arial" w:eastAsia="Times New Roman" w:hAnsi="Arial" w:cs="Arial"/>
          <w:sz w:val="21"/>
          <w:szCs w:val="21"/>
        </w:rPr>
      </w:pPr>
      <w:r w:rsidRPr="00C428E7">
        <w:rPr>
          <w:rFonts w:ascii="Arial" w:eastAsia="Times New Roman" w:hAnsi="Arial" w:cs="Arial"/>
          <w:sz w:val="21"/>
          <w:szCs w:val="21"/>
        </w:rPr>
        <w:t>La realització de programes de sensibilització de la ciutadania, amb especial atenció a l'alumnat de les universitats valencianes, la infància i adolescència, i la societat civil organitzada i persones actives en universitats populars o grups similars.</w:t>
      </w:r>
    </w:p>
    <w:p w14:paraId="6FF74093" w14:textId="77777777" w:rsidR="00C428E7" w:rsidRPr="00C428E7" w:rsidRDefault="00C428E7" w:rsidP="0024334F">
      <w:pPr>
        <w:numPr>
          <w:ilvl w:val="0"/>
          <w:numId w:val="62"/>
        </w:num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Suport a les iniciatives que afavorisquen la capacitació tècnica i la formació continuada del personal de l'Agència.</w:t>
      </w:r>
    </w:p>
    <w:p w14:paraId="7B7549D9"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 xml:space="preserve">L'Agència ha de contribuir a crear una cultura social de rebuig de la corrupció. La conformació d'una ètica pública és un dels components fonamentals de qualsevol estratègia per a previndre la corrupció i millorar la integritat pública. </w:t>
      </w:r>
    </w:p>
    <w:p w14:paraId="5D9F132D"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D'acord amb el Reglament de Funcionament i Règim Interior de l'Agència en el seu article 28, el Servei de Formació ha de desenvolupar programes, guies formatives i assessorament en matèria de lluita contra el frau i la corrupció, en col·laboració amb les institucions competents en la formació de servidors públics, les universitats, les organitzacions i col·legis professionals, i qualsevol altra entitat d'educació superior o especialitzada.</w:t>
      </w:r>
    </w:p>
    <w:p w14:paraId="3AAF7D3D"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Sobre la base d'aquestes funcions s'ha impulsat, durant 2021, l'aprovació i inici de la implementació del Pla de Formació de l’AVAF 2021-2024, i, amb això, tota l'acció formativa de l'Agència durant 2021.</w:t>
      </w:r>
    </w:p>
    <w:p w14:paraId="79646978"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Cal assenyalar que, com en 2020, la situació d'excepcionalitat i les mesures per a fer front a la situació de crisi sanitària produïda per la pandèmia de la COVID-19 han obligat, puntualment, a adaptar els formats o limitar el nombre de persones assistents en algunes de les activitats. En casos excepcionals, això ha provocat, a més, haver de realitzar les accions formatives en línia (en línia).</w:t>
      </w:r>
    </w:p>
    <w:p w14:paraId="1C2F1868" w14:textId="77777777" w:rsidR="00C428E7" w:rsidRPr="00C428E7" w:rsidRDefault="00C428E7" w:rsidP="00E876C8">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94" w:name="_Toc96517839"/>
      <w:bookmarkStart w:id="395" w:name="_Toc99110815"/>
      <w:r w:rsidRPr="00C428E7">
        <w:rPr>
          <w:rFonts w:ascii="Arial" w:hAnsi="Arial"/>
          <w:b/>
          <w:color w:val="9D2235"/>
          <w:sz w:val="28"/>
          <w:szCs w:val="28"/>
        </w:rPr>
        <w:t>Pla Estratègic de Formació 2021-2024</w:t>
      </w:r>
      <w:bookmarkEnd w:id="394"/>
      <w:bookmarkEnd w:id="395"/>
    </w:p>
    <w:p w14:paraId="55C81257"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El Pla Estratègic de Formació 2021-2024 de l’AVAF s'ha elaborat per l'equip de Formació de l'Agència al llarg de 2021 i ha sigut aprovat per Resolució del director núm. 676, de 29 de setembre de 2021, després d'haver-se donat a conéixer al personal al servei de l'Agència i als òrgans directius. Amb posterioritat a la seua aprovació, va ser explicat i debatut en el Consell de Participació de l’AVAF.</w:t>
      </w:r>
    </w:p>
    <w:p w14:paraId="77747529"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El Pla es fonamenta en una sèrie de consideracions bàsiques, entre les quals cal destacar la valoració positiva del treball fet des de 2017 en matèria de formació, especialment en el referit a projecció externa i formació en ètica cívica; la incorporació duta a terme de l'experiència crítica acumulada per a afavorir actuacions amb major impacte reflexiu; la constatació que la formació cívica col·lectiva té valor preventiu i la valoració del sentit institucional de l'Agència Valenciana Antifrau com a organisme referencial i necessari en la política contra el frau i la corrupció.</w:t>
      </w:r>
    </w:p>
    <w:p w14:paraId="49BF92C4"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 xml:space="preserve">D'igual manera, el Pla té en compte l'orientació estructural de les polítiques públiques que estableixen els Objectius de Desenvolupament Sostenible (ODS) en l'Agenda 2030 de l'ONU, i, de manera específica, la necessitat de materialitzar l'objectiu 16 en les metes que fan referència a reduir considerablement la corrupció i el suborn en totes les seues formes (meta 16.5) i aconseguir que en tots els nivells institucionals hi haja mecanismes eficaços i transparents de rendiment de comptes (meta 16.6). </w:t>
      </w:r>
    </w:p>
    <w:p w14:paraId="556E4032"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El Pla considera, així mateix, que, sent important considerar en qualsevol iniciativa formativa els elements quantitatius (nombre d'actuacions, llocs, persones que han assistit, valoració, etc.); encara ho és més que les iniciatives en formació permeten establir una dinàmica autocentrada, orientada a les funcions i raó de ser de l'Agència, que genere experiències reflexives substancials en les persones que participen i que servisca per a augmentar una ètica cívica responsable i conscient de lluitar contra el frau i la corrupció.</w:t>
      </w:r>
    </w:p>
    <w:p w14:paraId="01A19396" w14:textId="77777777" w:rsidR="00C428E7" w:rsidRPr="00C428E7" w:rsidRDefault="00C428E7" w:rsidP="00C428E7">
      <w:pPr>
        <w:spacing w:after="240" w:line="276" w:lineRule="auto"/>
        <w:jc w:val="both"/>
        <w:rPr>
          <w:rFonts w:ascii="Arial" w:eastAsia="Times New Roman" w:hAnsi="Arial" w:cs="Arial"/>
          <w:b/>
          <w:bCs/>
          <w:sz w:val="21"/>
          <w:szCs w:val="21"/>
        </w:rPr>
      </w:pPr>
      <w:r w:rsidRPr="00C428E7">
        <w:rPr>
          <w:rFonts w:ascii="Arial" w:eastAsia="Times New Roman" w:hAnsi="Arial" w:cs="Arial"/>
          <w:sz w:val="21"/>
          <w:szCs w:val="21"/>
        </w:rPr>
        <w:t>En aquest sentit, els principis que orienten el pla són aconseguir que l'activitat formativa de l'Agència s'aproxime al trinomi experiència-reflexió-aprenentatge. En la mesura que siga possible les activitats formatives de l'Agència han de transcendir l'acció comunicativa passiva i intentar convertir-se en una experiència personal, que genere reflexió individualitzada, aprenentatge i consciència del problema col·lectiu que és la corrupció. Una formació que estiga, a més, autocentrada, que partisca de les necessitats, funcions i objectius de l’AVAF. I una formació, en fi, que siga autoexigent, responsable, crítica, col·laborativa amb universitats, administracions públiques i societat civil de la Comunitat, que evite l'activisme accelerat i que contribuïsca a enfortir l'ètica pública democràtica.</w:t>
      </w:r>
    </w:p>
    <w:p w14:paraId="2EA797AB"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L'objecte central i prioritari de l'activitat formativa de l'Agència serà la formació ètica i cívica de la ciutadania valenciana. Això comporta necessàriament ajudar a desenvolupar un esperit crític, participatiu, responsable i una cultura d'enfortiment de la qualitat institucional i la qualitat democràtica. Considerem que el valor de l'acció formativa i preventiva de l'Agència és nuclear en la lluita contra el frau i la corrupció. És una inversió social, com la mateixa existència de l'Agència. Augmentar l'autoconsciència del problema de la corrupció, l'autocontenció davant situacions de riscos de conflicte d'interés té uns beneficis en la cultura cívica democràtica, i en termes econòmics i socials no sempre fàcils de mesurar, però evidents, quan comparem els països europeus.</w:t>
      </w:r>
    </w:p>
    <w:p w14:paraId="6E723B1C"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 xml:space="preserve">Per això, el pla s'orienta al conjunt de la societat valenciana en termes generals; però concentrarà l'acció formativa en els col·lectius amb un valor estratègic singular, com són les persones que són servidores públiques en les administracions valencianes, l'alumnat de les universitats valencianes, la infància i adolescència, i la societat civil organitzada i persones actives en universitats populars, aules municipals de suport i formació a adults, grups d'extensió universitària. </w:t>
      </w:r>
    </w:p>
    <w:p w14:paraId="2F528B29" w14:textId="77777777" w:rsidR="00C428E7"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 xml:space="preserve">Els objectius bàsics del pla pretenen, en primer lloc, reforçar a l'Agència com a institució creadora de consciència ètica a favor de la integritat pública i de la cultura de la prevenció en la lluita contra el frau i la corrupció en el conjunt de la societat valenciana, convertint-la en un referent institucional en matèria de formació i sensibilització social contra el frau i la corrupció. </w:t>
      </w:r>
    </w:p>
    <w:p w14:paraId="694443C8" w14:textId="0CB16802" w:rsidR="00586B42" w:rsidRPr="00C428E7" w:rsidRDefault="00C428E7" w:rsidP="00C428E7">
      <w:pPr>
        <w:spacing w:after="240" w:line="276" w:lineRule="auto"/>
        <w:jc w:val="both"/>
        <w:rPr>
          <w:rFonts w:ascii="Arial" w:eastAsia="Times New Roman" w:hAnsi="Arial" w:cs="Arial"/>
          <w:sz w:val="21"/>
          <w:szCs w:val="21"/>
        </w:rPr>
      </w:pPr>
      <w:r w:rsidRPr="00C428E7">
        <w:rPr>
          <w:rFonts w:ascii="Arial" w:eastAsia="Times New Roman" w:hAnsi="Arial" w:cs="Arial"/>
          <w:sz w:val="21"/>
          <w:szCs w:val="21"/>
        </w:rPr>
        <w:t>De la mateixa manera, aspira a situar la lluita contra la corrupció en el sistema de formació especialitzada de les universitats públiques; a integrar a l'Agència en els sistemes públics de formació dels servidors públics d'àmbit estatal i de la Generalitat Valenciana; i a elaborar instruments formatius àgils, rigorosos, singularitzats i de fàcil divulgació i comprensió, en funció dels destinataris.</w:t>
      </w:r>
    </w:p>
    <w:p w14:paraId="4FCDB894" w14:textId="77777777" w:rsidR="00E876C8" w:rsidRDefault="00E876C8" w:rsidP="00E876C8">
      <w:pPr>
        <w:keepNext/>
        <w:spacing w:after="240" w:line="276" w:lineRule="auto"/>
      </w:pPr>
      <w:r>
        <w:rPr>
          <w:noProof/>
        </w:rPr>
        <w:drawing>
          <wp:inline distT="0" distB="0" distL="0" distR="0" wp14:anchorId="168A42CB" wp14:editId="5131104E">
            <wp:extent cx="5353050" cy="3732154"/>
            <wp:effectExtent l="19050" t="19050" r="19050" b="20955"/>
            <wp:docPr id="53" name="Imagen 5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Diagrama&#10;&#10;Descripción generada automáticamente"/>
                    <pic:cNvPicPr/>
                  </pic:nvPicPr>
                  <pic:blipFill>
                    <a:blip r:embed="rId513"/>
                    <a:stretch>
                      <a:fillRect/>
                    </a:stretch>
                  </pic:blipFill>
                  <pic:spPr>
                    <a:xfrm>
                      <a:off x="0" y="0"/>
                      <a:ext cx="5364303" cy="3740000"/>
                    </a:xfrm>
                    <a:prstGeom prst="rect">
                      <a:avLst/>
                    </a:prstGeom>
                    <a:ln>
                      <a:solidFill>
                        <a:sysClr val="window" lastClr="FFFFFF">
                          <a:lumMod val="85000"/>
                        </a:sysClr>
                      </a:solidFill>
                    </a:ln>
                  </pic:spPr>
                </pic:pic>
              </a:graphicData>
            </a:graphic>
          </wp:inline>
        </w:drawing>
      </w:r>
    </w:p>
    <w:p w14:paraId="6025C512" w14:textId="1B59144D" w:rsidR="00586B42" w:rsidRPr="00E876C8" w:rsidRDefault="00E876C8" w:rsidP="00E876C8">
      <w:pPr>
        <w:pStyle w:val="Descripcin"/>
        <w:jc w:val="center"/>
        <w:rPr>
          <w:rFonts w:ascii="Arial" w:eastAsia="Times New Roman" w:hAnsi="Arial" w:cs="Arial"/>
          <w:smallCaps w:val="0"/>
          <w:sz w:val="18"/>
          <w:szCs w:val="18"/>
        </w:rPr>
      </w:pPr>
      <w:bookmarkStart w:id="396" w:name="_Toc99110981"/>
      <w:r w:rsidRPr="00E876C8">
        <w:rPr>
          <w:rFonts w:ascii="Arial" w:hAnsi="Arial" w:cs="Arial"/>
          <w:smallCaps w:val="0"/>
          <w:color w:val="9D2235" w:themeColor="accent1"/>
          <w:sz w:val="18"/>
          <w:szCs w:val="18"/>
        </w:rPr>
        <w:t xml:space="preserve">Gràfic </w:t>
      </w:r>
      <w:r w:rsidRPr="00E876C8">
        <w:rPr>
          <w:rFonts w:ascii="Arial" w:hAnsi="Arial" w:cs="Arial"/>
          <w:smallCaps w:val="0"/>
          <w:color w:val="9D2235" w:themeColor="accent1"/>
          <w:sz w:val="18"/>
          <w:szCs w:val="18"/>
        </w:rPr>
        <w:fldChar w:fldCharType="begin" w:fldLock="1"/>
      </w:r>
      <w:r w:rsidRPr="00E876C8">
        <w:rPr>
          <w:rFonts w:ascii="Arial" w:hAnsi="Arial" w:cs="Arial"/>
          <w:smallCaps w:val="0"/>
          <w:color w:val="9D2235" w:themeColor="accent1"/>
          <w:sz w:val="18"/>
          <w:szCs w:val="18"/>
        </w:rPr>
        <w:instrText xml:space="preserve"> SEQ Gràfic \* ARABIC </w:instrText>
      </w:r>
      <w:r w:rsidRPr="00E876C8">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22</w:t>
      </w:r>
      <w:r w:rsidRPr="00E876C8">
        <w:rPr>
          <w:rFonts w:ascii="Arial" w:hAnsi="Arial" w:cs="Arial"/>
          <w:smallCaps w:val="0"/>
          <w:color w:val="9D2235" w:themeColor="accent1"/>
          <w:sz w:val="18"/>
          <w:szCs w:val="18"/>
        </w:rPr>
        <w:fldChar w:fldCharType="end"/>
      </w:r>
      <w:r w:rsidRPr="00E876C8">
        <w:rPr>
          <w:rFonts w:ascii="Arial" w:hAnsi="Arial" w:cs="Arial"/>
          <w:smallCaps w:val="0"/>
          <w:color w:val="9D2235" w:themeColor="accent1"/>
          <w:sz w:val="18"/>
          <w:szCs w:val="18"/>
        </w:rPr>
        <w:t xml:space="preserve">. </w:t>
      </w:r>
      <w:r w:rsidRPr="00E876C8">
        <w:rPr>
          <w:rFonts w:ascii="Arial" w:hAnsi="Arial" w:cs="Arial"/>
          <w:smallCaps w:val="0"/>
          <w:sz w:val="18"/>
          <w:szCs w:val="18"/>
        </w:rPr>
        <w:t>Eixos estratègics del Pla de Formació de l'AVAF 2021-2024</w:t>
      </w:r>
      <w:bookmarkEnd w:id="396"/>
    </w:p>
    <w:p w14:paraId="441D709C" w14:textId="77777777" w:rsidR="00E876C8" w:rsidRPr="00E876C8" w:rsidRDefault="00E876C8" w:rsidP="00E876C8">
      <w:pPr>
        <w:spacing w:after="240" w:line="276" w:lineRule="auto"/>
        <w:jc w:val="both"/>
        <w:rPr>
          <w:rFonts w:ascii="Arial" w:eastAsia="Times New Roman" w:hAnsi="Arial" w:cs="Arial"/>
          <w:sz w:val="21"/>
          <w:szCs w:val="21"/>
        </w:rPr>
      </w:pPr>
      <w:r w:rsidRPr="00E876C8">
        <w:rPr>
          <w:rFonts w:ascii="Arial" w:eastAsia="Times New Roman" w:hAnsi="Arial" w:cs="Arial"/>
          <w:sz w:val="21"/>
          <w:szCs w:val="21"/>
        </w:rPr>
        <w:t>Sobre aquests elements s'estableixen els cinc eixos estratègics que dirigiran l'activitat formativa del Servei de Formació de l'Agència entre 2021 i 2024:</w:t>
      </w:r>
    </w:p>
    <w:p w14:paraId="3875DAED" w14:textId="77777777" w:rsidR="00E876C8" w:rsidRPr="00E876C8" w:rsidRDefault="00E876C8" w:rsidP="00E876C8">
      <w:pPr>
        <w:spacing w:after="240" w:line="276" w:lineRule="auto"/>
        <w:jc w:val="both"/>
        <w:rPr>
          <w:rFonts w:ascii="Arial" w:eastAsia="Times New Roman" w:hAnsi="Arial" w:cs="Arial"/>
          <w:sz w:val="21"/>
          <w:szCs w:val="21"/>
        </w:rPr>
      </w:pPr>
      <w:r w:rsidRPr="00E876C8">
        <w:rPr>
          <w:rFonts w:ascii="Arial" w:eastAsia="Times New Roman" w:hAnsi="Arial" w:cs="Arial"/>
          <w:b/>
          <w:bCs/>
          <w:sz w:val="21"/>
          <w:szCs w:val="21"/>
        </w:rPr>
        <w:t>Primer: Equip tècnic sòlid.</w:t>
      </w:r>
      <w:r w:rsidRPr="00E876C8">
        <w:rPr>
          <w:rFonts w:ascii="Arial" w:eastAsia="Times New Roman" w:hAnsi="Arial" w:cs="Arial"/>
          <w:sz w:val="21"/>
          <w:szCs w:val="21"/>
        </w:rPr>
        <w:t xml:space="preserve"> </w:t>
      </w:r>
    </w:p>
    <w:p w14:paraId="1C5C902A" w14:textId="77777777" w:rsidR="00E876C8" w:rsidRPr="00E876C8" w:rsidRDefault="00E876C8" w:rsidP="0024334F">
      <w:pPr>
        <w:numPr>
          <w:ilvl w:val="0"/>
          <w:numId w:val="63"/>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Consolidar un equip de formació cohesionat, versàtil, amb capacitat d'elaborar continguts formatius i de realitzar accions formatives coherents amb el Pla de Formació de manera autònoma. </w:t>
      </w:r>
    </w:p>
    <w:p w14:paraId="26135B79" w14:textId="77777777" w:rsidR="00E876C8" w:rsidRPr="00E876C8" w:rsidRDefault="00E876C8" w:rsidP="0024334F">
      <w:pPr>
        <w:numPr>
          <w:ilvl w:val="0"/>
          <w:numId w:val="63"/>
        </w:numPr>
        <w:spacing w:after="240" w:line="276" w:lineRule="auto"/>
        <w:jc w:val="both"/>
        <w:rPr>
          <w:rFonts w:ascii="Arial" w:eastAsia="Times New Roman" w:hAnsi="Arial" w:cs="Arial"/>
          <w:sz w:val="21"/>
          <w:szCs w:val="21"/>
        </w:rPr>
      </w:pPr>
      <w:r w:rsidRPr="00E876C8">
        <w:rPr>
          <w:rFonts w:ascii="Arial" w:eastAsia="Times New Roman" w:hAnsi="Arial" w:cs="Arial"/>
          <w:sz w:val="21"/>
          <w:szCs w:val="21"/>
        </w:rPr>
        <w:t>Integrar en el treball habitual sistemes de seguiment periòdics, valoració crítica i avaluació de les activitats formatives de l'Agència, prestant una atenció principal als impactes qualitatius de l'acció formativa.</w:t>
      </w:r>
    </w:p>
    <w:p w14:paraId="78185204" w14:textId="77777777" w:rsidR="0022762A" w:rsidRDefault="0022762A" w:rsidP="00E876C8">
      <w:pPr>
        <w:spacing w:after="240" w:line="276" w:lineRule="auto"/>
        <w:jc w:val="both"/>
        <w:rPr>
          <w:rFonts w:ascii="Arial" w:eastAsia="Times New Roman" w:hAnsi="Arial" w:cs="Arial"/>
          <w:b/>
          <w:bCs/>
          <w:sz w:val="21"/>
          <w:szCs w:val="21"/>
        </w:rPr>
      </w:pPr>
    </w:p>
    <w:p w14:paraId="4FA8FDFC" w14:textId="17E99C27" w:rsidR="00E876C8" w:rsidRPr="00E876C8" w:rsidRDefault="00E876C8" w:rsidP="00E876C8">
      <w:pPr>
        <w:spacing w:after="240" w:line="276" w:lineRule="auto"/>
        <w:jc w:val="both"/>
        <w:rPr>
          <w:rFonts w:ascii="Arial" w:eastAsia="Times New Roman" w:hAnsi="Arial" w:cs="Arial"/>
          <w:sz w:val="21"/>
          <w:szCs w:val="21"/>
        </w:rPr>
      </w:pPr>
      <w:r w:rsidRPr="00E876C8">
        <w:rPr>
          <w:rFonts w:ascii="Arial" w:eastAsia="Times New Roman" w:hAnsi="Arial" w:cs="Arial"/>
          <w:b/>
          <w:bCs/>
          <w:sz w:val="21"/>
          <w:szCs w:val="21"/>
        </w:rPr>
        <w:t>Segon:</w:t>
      </w:r>
      <w:r w:rsidRPr="00E876C8">
        <w:rPr>
          <w:rFonts w:ascii="Arial" w:eastAsia="Times New Roman" w:hAnsi="Arial" w:cs="Arial"/>
          <w:sz w:val="21"/>
          <w:szCs w:val="21"/>
        </w:rPr>
        <w:t xml:space="preserve"> </w:t>
      </w:r>
      <w:r w:rsidRPr="00E876C8">
        <w:rPr>
          <w:rFonts w:ascii="Arial" w:eastAsia="Times New Roman" w:hAnsi="Arial" w:cs="Arial"/>
          <w:b/>
          <w:bCs/>
          <w:sz w:val="21"/>
          <w:szCs w:val="21"/>
        </w:rPr>
        <w:t>L’Agència referent institucional</w:t>
      </w:r>
      <w:r w:rsidRPr="00E876C8">
        <w:rPr>
          <w:rFonts w:ascii="Arial" w:eastAsia="Times New Roman" w:hAnsi="Arial" w:cs="Arial"/>
          <w:sz w:val="21"/>
          <w:szCs w:val="21"/>
        </w:rPr>
        <w:t xml:space="preserve"> en formació i sensibilització social contra el frau i la corrupció. </w:t>
      </w:r>
    </w:p>
    <w:p w14:paraId="21247BE6" w14:textId="77777777" w:rsidR="00E876C8" w:rsidRPr="00E876C8" w:rsidRDefault="00E876C8" w:rsidP="0024334F">
      <w:pPr>
        <w:numPr>
          <w:ilvl w:val="0"/>
          <w:numId w:val="64"/>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Desenvolupar una acció formativa autocentrada i orientada a aconseguir una sensibilització social creixent en sectors socials estratègics i un enfortiment de l'Agència com a institució de prevenció del frau i la corrupció. </w:t>
      </w:r>
    </w:p>
    <w:p w14:paraId="0FB1E7BF" w14:textId="77777777" w:rsidR="00E876C8" w:rsidRPr="00E876C8" w:rsidRDefault="00E876C8" w:rsidP="0024334F">
      <w:pPr>
        <w:numPr>
          <w:ilvl w:val="0"/>
          <w:numId w:val="64"/>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Impulsar el Campus Virtual de l’AVAF dins del sistema de campus virtuals impulsat per la DGTIC de la Generalitat. </w:t>
      </w:r>
    </w:p>
    <w:p w14:paraId="37143EEA" w14:textId="77777777" w:rsidR="00E876C8" w:rsidRPr="00E876C8" w:rsidRDefault="00E876C8" w:rsidP="0024334F">
      <w:pPr>
        <w:numPr>
          <w:ilvl w:val="0"/>
          <w:numId w:val="64"/>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Elaborar instruments formatius innovadors i àgils en diversos formats, dirigits a diferents grups socials i d'edat. </w:t>
      </w:r>
    </w:p>
    <w:p w14:paraId="1EBE5726" w14:textId="77777777" w:rsidR="00E876C8" w:rsidRPr="00E876C8" w:rsidRDefault="00E876C8" w:rsidP="0024334F">
      <w:pPr>
        <w:numPr>
          <w:ilvl w:val="0"/>
          <w:numId w:val="64"/>
        </w:numPr>
        <w:spacing w:after="240" w:line="276" w:lineRule="auto"/>
        <w:jc w:val="both"/>
        <w:rPr>
          <w:rFonts w:ascii="Arial" w:eastAsia="Times New Roman" w:hAnsi="Arial" w:cs="Arial"/>
          <w:sz w:val="21"/>
          <w:szCs w:val="21"/>
        </w:rPr>
      </w:pPr>
      <w:r w:rsidRPr="00E876C8">
        <w:rPr>
          <w:rFonts w:ascii="Arial" w:eastAsia="Times New Roman" w:hAnsi="Arial" w:cs="Arial"/>
          <w:sz w:val="21"/>
          <w:szCs w:val="21"/>
        </w:rPr>
        <w:t>Afavorir l'ús de la pàgina web i dels instruments de difusió d'iniciatives de l’AVAF com a sistema per a promoure i donar a conéixer les activitats formatives de l'Agència.</w:t>
      </w:r>
    </w:p>
    <w:p w14:paraId="072212DE" w14:textId="77777777" w:rsidR="00E876C8" w:rsidRPr="00E876C8" w:rsidRDefault="00E876C8" w:rsidP="00E876C8">
      <w:pPr>
        <w:spacing w:after="240" w:line="276" w:lineRule="auto"/>
        <w:jc w:val="both"/>
        <w:rPr>
          <w:rFonts w:ascii="Arial" w:eastAsia="Times New Roman" w:hAnsi="Arial" w:cs="Arial"/>
          <w:sz w:val="21"/>
          <w:szCs w:val="21"/>
        </w:rPr>
      </w:pPr>
      <w:r w:rsidRPr="00E876C8">
        <w:rPr>
          <w:rFonts w:ascii="Arial" w:eastAsia="Times New Roman" w:hAnsi="Arial" w:cs="Arial"/>
          <w:b/>
          <w:bCs/>
          <w:sz w:val="21"/>
          <w:szCs w:val="21"/>
        </w:rPr>
        <w:t>Tercer: Augmentar l'impacte i l'extensió social de les activitats formatives</w:t>
      </w:r>
      <w:r w:rsidRPr="00E876C8">
        <w:rPr>
          <w:rFonts w:ascii="Arial" w:eastAsia="Times New Roman" w:hAnsi="Arial" w:cs="Arial"/>
          <w:sz w:val="21"/>
          <w:szCs w:val="21"/>
        </w:rPr>
        <w:t>.</w:t>
      </w:r>
    </w:p>
    <w:p w14:paraId="413A7BC1" w14:textId="77777777" w:rsidR="00E876C8" w:rsidRPr="00E876C8" w:rsidRDefault="00E876C8" w:rsidP="0024334F">
      <w:pPr>
        <w:numPr>
          <w:ilvl w:val="0"/>
          <w:numId w:val="65"/>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Territorializar les accions formatives en tota la Comunitat Valenciana. </w:t>
      </w:r>
    </w:p>
    <w:p w14:paraId="7BAA8249" w14:textId="77777777" w:rsidR="00E876C8" w:rsidRPr="00E876C8" w:rsidRDefault="00E876C8" w:rsidP="0024334F">
      <w:pPr>
        <w:numPr>
          <w:ilvl w:val="0"/>
          <w:numId w:val="65"/>
        </w:numPr>
        <w:spacing w:after="240" w:line="276" w:lineRule="auto"/>
        <w:jc w:val="both"/>
        <w:rPr>
          <w:rFonts w:ascii="Arial" w:eastAsia="Times New Roman" w:hAnsi="Arial" w:cs="Arial"/>
          <w:sz w:val="21"/>
          <w:szCs w:val="21"/>
        </w:rPr>
      </w:pPr>
      <w:r w:rsidRPr="00E876C8">
        <w:rPr>
          <w:rFonts w:ascii="Arial" w:eastAsia="Times New Roman" w:hAnsi="Arial" w:cs="Arial"/>
          <w:sz w:val="21"/>
          <w:szCs w:val="21"/>
        </w:rPr>
        <w:t>Establir una xarxa de persones col·laboradores de les activitats formatives de l’AVAF en tot el territori valencià, amb especial atenció a les aportacions qualificades des de l'àmbit acadèmic, les administracions públiques i la societat civil.</w:t>
      </w:r>
    </w:p>
    <w:p w14:paraId="57552F4B" w14:textId="77777777" w:rsidR="00E876C8" w:rsidRPr="00E876C8" w:rsidRDefault="00E876C8" w:rsidP="00E876C8">
      <w:pPr>
        <w:spacing w:after="240" w:line="276" w:lineRule="auto"/>
        <w:jc w:val="both"/>
        <w:rPr>
          <w:rFonts w:ascii="Arial" w:eastAsia="Times New Roman" w:hAnsi="Arial" w:cs="Arial"/>
          <w:sz w:val="21"/>
          <w:szCs w:val="21"/>
        </w:rPr>
      </w:pPr>
      <w:r w:rsidRPr="00E876C8">
        <w:rPr>
          <w:rFonts w:ascii="Arial" w:eastAsia="Times New Roman" w:hAnsi="Arial" w:cs="Arial"/>
          <w:b/>
          <w:bCs/>
          <w:sz w:val="21"/>
          <w:szCs w:val="21"/>
        </w:rPr>
        <w:t xml:space="preserve">Quart: Impulsar l'acció de l'Agència agent formador </w:t>
      </w:r>
      <w:r w:rsidRPr="00E876C8">
        <w:rPr>
          <w:rFonts w:ascii="Arial" w:eastAsia="Times New Roman" w:hAnsi="Arial" w:cs="Arial"/>
          <w:sz w:val="21"/>
          <w:szCs w:val="21"/>
        </w:rPr>
        <w:t xml:space="preserve">en l'àmbit universitari, l'IVAP, l'INAP i entitats similars. </w:t>
      </w:r>
    </w:p>
    <w:p w14:paraId="7A0424FD" w14:textId="77777777" w:rsidR="00E876C8" w:rsidRPr="00E876C8" w:rsidRDefault="00E876C8" w:rsidP="0024334F">
      <w:pPr>
        <w:numPr>
          <w:ilvl w:val="0"/>
          <w:numId w:val="66"/>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Establir sistemes estables de formació acadèmica en l'àmbit universitari postgraduat, preferentment en col·laboració amb altres agències de lluita contra el frau i la corrupció, orientats a la formació de grups de funcionaris i d'estudiants d'especialitat: postgraus. </w:t>
      </w:r>
    </w:p>
    <w:p w14:paraId="0C0BE876" w14:textId="77777777" w:rsidR="00E876C8" w:rsidRPr="00E876C8" w:rsidRDefault="00E876C8" w:rsidP="0024334F">
      <w:pPr>
        <w:numPr>
          <w:ilvl w:val="0"/>
          <w:numId w:val="66"/>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Impulsar sistemes estables de formació amb professorat d'ESO i Primària, especialment relacionats amb matèries d'ètica. </w:t>
      </w:r>
    </w:p>
    <w:p w14:paraId="3FE1B5BB" w14:textId="77777777" w:rsidR="00E876C8" w:rsidRPr="00E876C8" w:rsidRDefault="00E876C8" w:rsidP="0024334F">
      <w:pPr>
        <w:numPr>
          <w:ilvl w:val="0"/>
          <w:numId w:val="66"/>
        </w:numPr>
        <w:spacing w:after="240" w:line="276" w:lineRule="auto"/>
        <w:jc w:val="both"/>
        <w:rPr>
          <w:rFonts w:ascii="Arial" w:eastAsia="Times New Roman" w:hAnsi="Arial" w:cs="Arial"/>
          <w:sz w:val="21"/>
          <w:szCs w:val="21"/>
        </w:rPr>
      </w:pPr>
      <w:r w:rsidRPr="00E876C8">
        <w:rPr>
          <w:rFonts w:ascii="Arial" w:eastAsia="Times New Roman" w:hAnsi="Arial" w:cs="Arial"/>
          <w:sz w:val="21"/>
          <w:szCs w:val="21"/>
        </w:rPr>
        <w:t>Establir sistemes estables de participació de l’AVAF en accions formatives de l'IVAP i de l'INAP.</w:t>
      </w:r>
    </w:p>
    <w:p w14:paraId="5105AFFB" w14:textId="742AF96E" w:rsidR="00E876C8" w:rsidRPr="00E876C8" w:rsidRDefault="00E876C8" w:rsidP="00E876C8">
      <w:pPr>
        <w:spacing w:after="240" w:line="276" w:lineRule="auto"/>
        <w:jc w:val="both"/>
        <w:rPr>
          <w:rFonts w:ascii="Arial" w:eastAsia="Times New Roman" w:hAnsi="Arial" w:cs="Arial"/>
          <w:sz w:val="21"/>
          <w:szCs w:val="21"/>
        </w:rPr>
      </w:pPr>
      <w:r w:rsidRPr="00E876C8">
        <w:rPr>
          <w:rFonts w:ascii="Arial" w:eastAsia="Times New Roman" w:hAnsi="Arial" w:cs="Arial"/>
          <w:b/>
          <w:bCs/>
          <w:sz w:val="21"/>
          <w:szCs w:val="21"/>
        </w:rPr>
        <w:t xml:space="preserve">Quint: Impulsar formes </w:t>
      </w:r>
      <w:r w:rsidR="0022762A" w:rsidRPr="0022762A">
        <w:rPr>
          <w:rFonts w:ascii="Arial" w:eastAsia="Times New Roman" w:hAnsi="Arial" w:cs="Arial"/>
          <w:b/>
          <w:bCs/>
          <w:sz w:val="21"/>
          <w:szCs w:val="21"/>
        </w:rPr>
        <w:t>col·laboratives</w:t>
      </w:r>
      <w:r w:rsidRPr="00E876C8">
        <w:rPr>
          <w:rFonts w:ascii="Arial" w:eastAsia="Times New Roman" w:hAnsi="Arial" w:cs="Arial"/>
          <w:b/>
          <w:bCs/>
          <w:sz w:val="21"/>
          <w:szCs w:val="21"/>
        </w:rPr>
        <w:t xml:space="preserve"> de formació cívica</w:t>
      </w:r>
      <w:r w:rsidRPr="00E876C8">
        <w:rPr>
          <w:rFonts w:ascii="Arial" w:eastAsia="Times New Roman" w:hAnsi="Arial" w:cs="Arial"/>
          <w:sz w:val="21"/>
          <w:szCs w:val="21"/>
        </w:rPr>
        <w:t xml:space="preserve">. </w:t>
      </w:r>
    </w:p>
    <w:p w14:paraId="623D2359" w14:textId="77777777" w:rsidR="00E876C8" w:rsidRPr="00E876C8" w:rsidRDefault="00E876C8" w:rsidP="0024334F">
      <w:pPr>
        <w:numPr>
          <w:ilvl w:val="0"/>
          <w:numId w:val="67"/>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Impulsar formes estables de col·laboració en matèria de formació amb la resta de les agències espanyoles de lluita contra el frau i la corrupció. </w:t>
      </w:r>
    </w:p>
    <w:p w14:paraId="5E81EE23" w14:textId="77777777" w:rsidR="00E876C8" w:rsidRPr="00E876C8" w:rsidRDefault="00E876C8" w:rsidP="0024334F">
      <w:pPr>
        <w:numPr>
          <w:ilvl w:val="0"/>
          <w:numId w:val="67"/>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Assentar mecanismes estables de col·laboració en matèria de formació cívica amb el Consell de Participació de l’AVAF. </w:t>
      </w:r>
    </w:p>
    <w:p w14:paraId="3999A8A1" w14:textId="77777777" w:rsidR="00E876C8" w:rsidRPr="00E876C8" w:rsidRDefault="00E876C8" w:rsidP="0024334F">
      <w:pPr>
        <w:numPr>
          <w:ilvl w:val="0"/>
          <w:numId w:val="67"/>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Establir un sistema de col·laboració amb el Govern Valencià en matèria d'accions formatives amb la infància i l'adolescència. </w:t>
      </w:r>
    </w:p>
    <w:p w14:paraId="56E70240" w14:textId="77777777" w:rsidR="00E876C8" w:rsidRPr="00E876C8" w:rsidRDefault="00E876C8" w:rsidP="0024334F">
      <w:pPr>
        <w:numPr>
          <w:ilvl w:val="0"/>
          <w:numId w:val="67"/>
        </w:numPr>
        <w:spacing w:after="120" w:line="276" w:lineRule="auto"/>
        <w:ind w:left="714" w:hanging="357"/>
        <w:jc w:val="both"/>
        <w:rPr>
          <w:rFonts w:ascii="Arial" w:eastAsia="Times New Roman" w:hAnsi="Arial" w:cs="Arial"/>
          <w:sz w:val="21"/>
          <w:szCs w:val="21"/>
        </w:rPr>
      </w:pPr>
      <w:r w:rsidRPr="00E876C8">
        <w:rPr>
          <w:rFonts w:ascii="Arial" w:eastAsia="Times New Roman" w:hAnsi="Arial" w:cs="Arial"/>
          <w:sz w:val="21"/>
          <w:szCs w:val="21"/>
        </w:rPr>
        <w:t xml:space="preserve">Fer possibles formes de col·laboració estables amb la FVMP i amb la societat civil en matèria formativa. </w:t>
      </w:r>
    </w:p>
    <w:p w14:paraId="774E4250" w14:textId="77777777" w:rsidR="00E876C8" w:rsidRPr="00E876C8" w:rsidRDefault="00E876C8" w:rsidP="0024334F">
      <w:pPr>
        <w:numPr>
          <w:ilvl w:val="0"/>
          <w:numId w:val="67"/>
        </w:numPr>
        <w:spacing w:after="240" w:line="276" w:lineRule="auto"/>
        <w:jc w:val="both"/>
        <w:rPr>
          <w:rFonts w:ascii="Arial" w:eastAsia="Times New Roman" w:hAnsi="Arial" w:cs="Arial"/>
          <w:sz w:val="21"/>
          <w:szCs w:val="21"/>
        </w:rPr>
      </w:pPr>
      <w:r w:rsidRPr="00E876C8">
        <w:rPr>
          <w:rFonts w:ascii="Arial" w:eastAsia="Times New Roman" w:hAnsi="Arial" w:cs="Arial"/>
          <w:sz w:val="21"/>
          <w:szCs w:val="21"/>
        </w:rPr>
        <w:t>Desenvolupar sinergies de col·laboració amb la resta de les unitats de l'Agència per a millorar les activitats i documentació de formació i, de manera, singular amb el Servei de Prevenció i amb la Unitat de Comunicació.</w:t>
      </w:r>
    </w:p>
    <w:p w14:paraId="1052FAF1" w14:textId="77777777" w:rsidR="00E876C8" w:rsidRPr="00E876C8" w:rsidRDefault="00E876C8" w:rsidP="00E876C8">
      <w:pPr>
        <w:spacing w:after="240" w:line="276" w:lineRule="auto"/>
        <w:jc w:val="both"/>
        <w:rPr>
          <w:rFonts w:ascii="Arial" w:eastAsia="Times New Roman" w:hAnsi="Arial" w:cs="Arial"/>
          <w:sz w:val="21"/>
          <w:szCs w:val="21"/>
        </w:rPr>
      </w:pPr>
      <w:r w:rsidRPr="00E876C8">
        <w:rPr>
          <w:rFonts w:ascii="Arial" w:eastAsia="Times New Roman" w:hAnsi="Arial" w:cs="Arial"/>
          <w:sz w:val="21"/>
          <w:szCs w:val="21"/>
        </w:rPr>
        <w:t>De manera orientativa, es considera que el moment més intens per a la implementació del pla serà en 2022, encara que els efectes del canvi d'orientació d'alguns aspectes de l'estratègia formativa de l'Agència s'han fet notar en 2021 en la provisió de llocs de treball del Servei de Formació, l'increment de la col·laboració institucional amb universitats, centres de formació estatals de funcionaris, Diputacions Provincials, FVMP, i algunes Direccions Generals i Secretàries Autonòmiques del Consell de la Generalitat, i un augment de la participació de l'Agència en activitats formatives a requeriment d'un nombre creixent d'institucions i administracions públiques.</w:t>
      </w:r>
    </w:p>
    <w:p w14:paraId="5A719709" w14:textId="77777777" w:rsidR="00E876C8" w:rsidRPr="00815CEB" w:rsidRDefault="00E876C8" w:rsidP="00E876C8">
      <w:pPr>
        <w:spacing w:after="240" w:line="276" w:lineRule="auto"/>
        <w:jc w:val="both"/>
        <w:rPr>
          <w:rFonts w:ascii="Arial" w:eastAsia="Times New Roman" w:hAnsi="Arial" w:cs="Arial"/>
          <w:sz w:val="21"/>
          <w:szCs w:val="21"/>
        </w:rPr>
      </w:pPr>
      <w:r w:rsidRPr="00E876C8">
        <w:rPr>
          <w:rFonts w:ascii="Arial" w:eastAsia="Times New Roman" w:hAnsi="Arial" w:cs="Arial"/>
          <w:sz w:val="21"/>
          <w:szCs w:val="21"/>
        </w:rPr>
        <w:t>Amb tot, els espais d'activitats formatives cíviques oberts en 2021 previsiblement es consolidaran i ampliaran, d'acord amb el Pla Estratègic de Formació, durant 2022 i 2023.</w:t>
      </w:r>
    </w:p>
    <w:p w14:paraId="40A91D20" w14:textId="1232F6AD" w:rsidR="0022762A" w:rsidRPr="0022762A" w:rsidRDefault="0022762A" w:rsidP="0022762A">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97" w:name="_Toc96517840"/>
      <w:bookmarkStart w:id="398" w:name="_Toc99110816"/>
      <w:r w:rsidRPr="0022762A">
        <w:rPr>
          <w:rFonts w:ascii="Arial" w:hAnsi="Arial"/>
          <w:b/>
          <w:color w:val="9D2235"/>
          <w:sz w:val="28"/>
          <w:szCs w:val="28"/>
        </w:rPr>
        <w:t>Suport a la formació interna de caràcter general</w:t>
      </w:r>
      <w:bookmarkEnd w:id="397"/>
      <w:bookmarkEnd w:id="398"/>
    </w:p>
    <w:p w14:paraId="32CF24F3" w14:textId="77777777" w:rsidR="0022762A" w:rsidRPr="0022762A" w:rsidRDefault="0022762A" w:rsidP="0022762A">
      <w:pPr>
        <w:spacing w:after="240" w:line="276" w:lineRule="auto"/>
        <w:jc w:val="both"/>
        <w:rPr>
          <w:rFonts w:ascii="Arial" w:eastAsia="Times New Roman" w:hAnsi="Arial" w:cs="Arial"/>
          <w:sz w:val="21"/>
          <w:szCs w:val="21"/>
        </w:rPr>
      </w:pPr>
      <w:r w:rsidRPr="0022762A">
        <w:rPr>
          <w:rFonts w:ascii="Arial" w:eastAsia="Times New Roman" w:hAnsi="Arial" w:cs="Arial"/>
          <w:sz w:val="21"/>
          <w:szCs w:val="21"/>
        </w:rPr>
        <w:t xml:space="preserve">Des de desembre de 2020 fins a juny de 2021, s'han realitzat dos </w:t>
      </w:r>
      <w:r w:rsidRPr="0022762A">
        <w:rPr>
          <w:rFonts w:ascii="Arial" w:eastAsia="Times New Roman" w:hAnsi="Arial" w:cs="Arial"/>
          <w:b/>
          <w:bCs/>
          <w:sz w:val="21"/>
          <w:szCs w:val="21"/>
        </w:rPr>
        <w:t>cursos de valencià de la Direcció General de Política Lingüística i Gestió del Multilingüisme</w:t>
      </w:r>
      <w:r w:rsidRPr="0022762A">
        <w:rPr>
          <w:rFonts w:ascii="Arial" w:eastAsia="Times New Roman" w:hAnsi="Arial" w:cs="Arial"/>
          <w:sz w:val="21"/>
          <w:szCs w:val="21"/>
        </w:rPr>
        <w:t xml:space="preserve"> dels nivells C1 i C2. En els cursos han participat 8 persones, funcionàries de l'Agència. La gestió dels cursos s'ha realitzat en col·laboració amb la Sindicatura de Comptes de la Comunitat Valenciana, en el marc del protocol de col·laboració signat entre l’AVAF i aquesta institució estatutària.</w:t>
      </w:r>
    </w:p>
    <w:p w14:paraId="4FC94D53" w14:textId="77777777" w:rsidR="0022762A" w:rsidRPr="0022762A" w:rsidRDefault="0022762A" w:rsidP="0022762A">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399" w:name="_Toc96517841"/>
      <w:bookmarkStart w:id="400" w:name="_Toc99110817"/>
      <w:r w:rsidRPr="0022762A">
        <w:rPr>
          <w:rFonts w:ascii="Arial" w:hAnsi="Arial"/>
          <w:b/>
          <w:color w:val="9D2235"/>
          <w:sz w:val="28"/>
          <w:szCs w:val="28"/>
        </w:rPr>
        <w:t>Activitats de formació cívica</w:t>
      </w:r>
      <w:bookmarkEnd w:id="399"/>
      <w:bookmarkEnd w:id="400"/>
    </w:p>
    <w:p w14:paraId="78A85B31" w14:textId="77777777" w:rsidR="0022762A" w:rsidRPr="0022762A" w:rsidRDefault="0022762A" w:rsidP="0022762A">
      <w:pPr>
        <w:spacing w:after="240" w:line="276" w:lineRule="auto"/>
        <w:jc w:val="both"/>
        <w:rPr>
          <w:rFonts w:ascii="Arial" w:eastAsia="Times New Roman" w:hAnsi="Arial" w:cs="Arial"/>
          <w:sz w:val="21"/>
          <w:szCs w:val="21"/>
        </w:rPr>
      </w:pPr>
      <w:r w:rsidRPr="0022762A">
        <w:rPr>
          <w:rFonts w:ascii="Arial" w:eastAsia="Times New Roman" w:hAnsi="Arial" w:cs="Arial"/>
          <w:sz w:val="21"/>
          <w:szCs w:val="21"/>
        </w:rPr>
        <w:t>El Pla Estratègic 2021-2024 de Formació de l’AVAF incideix en la necessitat d'impulsar les activitats de formació cívica amb la voluntat de fer de l'Agència un referent qualificat en la prevenció i les estratègies de la lluita contra el frau i la corrupció en la Comunitat Valenciana.</w:t>
      </w:r>
    </w:p>
    <w:p w14:paraId="6DBF522C" w14:textId="77777777" w:rsidR="0022762A" w:rsidRPr="0022762A" w:rsidRDefault="0022762A" w:rsidP="0022762A">
      <w:pPr>
        <w:spacing w:after="240" w:line="276" w:lineRule="auto"/>
        <w:jc w:val="both"/>
        <w:rPr>
          <w:rFonts w:ascii="Arial" w:eastAsia="Times New Roman" w:hAnsi="Arial" w:cs="Arial"/>
          <w:sz w:val="21"/>
          <w:szCs w:val="21"/>
        </w:rPr>
      </w:pPr>
      <w:r w:rsidRPr="0022762A">
        <w:rPr>
          <w:rFonts w:ascii="Arial" w:eastAsia="Times New Roman" w:hAnsi="Arial" w:cs="Arial"/>
          <w:sz w:val="21"/>
          <w:szCs w:val="21"/>
        </w:rPr>
        <w:t>La formació i sensibilització social especialitzada és essencial per a avançar col·lectivament en matèria de qualitat democràtica, drets fonamentals de la ciutadania, govern obert, transparència, ètica pública i integritat.</w:t>
      </w:r>
    </w:p>
    <w:p w14:paraId="5FC04710" w14:textId="77777777" w:rsidR="0022762A" w:rsidRPr="0022762A" w:rsidRDefault="0022762A" w:rsidP="0022762A">
      <w:pPr>
        <w:spacing w:after="240" w:line="276" w:lineRule="auto"/>
        <w:jc w:val="both"/>
        <w:rPr>
          <w:rFonts w:ascii="Arial" w:eastAsia="Times New Roman" w:hAnsi="Arial" w:cs="Arial"/>
          <w:sz w:val="21"/>
          <w:szCs w:val="21"/>
        </w:rPr>
      </w:pPr>
      <w:r w:rsidRPr="0022762A">
        <w:rPr>
          <w:rFonts w:ascii="Arial" w:eastAsia="Times New Roman" w:hAnsi="Arial" w:cs="Arial"/>
          <w:sz w:val="21"/>
          <w:szCs w:val="21"/>
        </w:rPr>
        <w:t>Les accions formatives cíviques es desenvolupen en col·laboració amb les universitats valencianes, administracions públiques, organismes responsables de formació del personal al servei de l'administració pública, organitzacions i col·legis professionals, així com amb entitats de la societat civil</w:t>
      </w:r>
    </w:p>
    <w:p w14:paraId="6E730BFF" w14:textId="77777777" w:rsidR="0022762A" w:rsidRPr="0022762A" w:rsidRDefault="0022762A" w:rsidP="0022762A">
      <w:pPr>
        <w:spacing w:after="240" w:line="276" w:lineRule="auto"/>
        <w:jc w:val="both"/>
        <w:rPr>
          <w:rFonts w:ascii="Arial" w:eastAsia="Times New Roman" w:hAnsi="Arial" w:cs="Arial"/>
          <w:sz w:val="21"/>
          <w:szCs w:val="21"/>
        </w:rPr>
      </w:pPr>
    </w:p>
    <w:p w14:paraId="4EA03803" w14:textId="77777777" w:rsidR="0022762A" w:rsidRPr="0022762A" w:rsidRDefault="0022762A" w:rsidP="0022762A">
      <w:pPr>
        <w:spacing w:after="240" w:line="276" w:lineRule="auto"/>
        <w:jc w:val="both"/>
        <w:rPr>
          <w:rFonts w:ascii="Arial" w:eastAsia="Times New Roman" w:hAnsi="Arial" w:cs="Arial"/>
          <w:sz w:val="21"/>
          <w:szCs w:val="21"/>
        </w:rPr>
      </w:pPr>
    </w:p>
    <w:p w14:paraId="7391A706" w14:textId="620162A4" w:rsidR="0022762A" w:rsidRDefault="0022762A" w:rsidP="0022762A">
      <w:pPr>
        <w:spacing w:after="240" w:line="276" w:lineRule="auto"/>
        <w:jc w:val="both"/>
        <w:rPr>
          <w:rFonts w:ascii="Arial" w:eastAsia="Times New Roman" w:hAnsi="Arial" w:cs="Arial"/>
          <w:sz w:val="21"/>
          <w:szCs w:val="21"/>
        </w:rPr>
      </w:pPr>
    </w:p>
    <w:p w14:paraId="77F2666F" w14:textId="2950AD88" w:rsidR="0022762A" w:rsidRDefault="0022762A" w:rsidP="0022762A">
      <w:pPr>
        <w:spacing w:after="240" w:line="276" w:lineRule="auto"/>
        <w:jc w:val="both"/>
        <w:rPr>
          <w:rFonts w:ascii="Arial" w:eastAsia="Times New Roman" w:hAnsi="Arial" w:cs="Arial"/>
          <w:sz w:val="21"/>
          <w:szCs w:val="21"/>
        </w:rPr>
      </w:pPr>
    </w:p>
    <w:p w14:paraId="171E01F7" w14:textId="77777777" w:rsidR="0022762A" w:rsidRPr="0022762A" w:rsidRDefault="0022762A" w:rsidP="0022762A">
      <w:pPr>
        <w:spacing w:after="240" w:line="276" w:lineRule="auto"/>
        <w:jc w:val="both"/>
        <w:rPr>
          <w:rFonts w:ascii="Arial" w:eastAsia="Times New Roman" w:hAnsi="Arial" w:cs="Arial"/>
          <w:sz w:val="21"/>
          <w:szCs w:val="21"/>
        </w:rPr>
      </w:pPr>
    </w:p>
    <w:p w14:paraId="1F624E0D" w14:textId="35C18C83" w:rsidR="00E876C8" w:rsidRPr="0022762A" w:rsidRDefault="0022762A" w:rsidP="0022762A">
      <w:pPr>
        <w:spacing w:after="240" w:line="276" w:lineRule="auto"/>
        <w:jc w:val="both"/>
        <w:rPr>
          <w:rFonts w:ascii="Arial" w:eastAsia="Times New Roman" w:hAnsi="Arial" w:cs="Arial"/>
          <w:sz w:val="21"/>
          <w:szCs w:val="21"/>
        </w:rPr>
      </w:pPr>
      <w:r w:rsidRPr="0022762A">
        <w:rPr>
          <w:rFonts w:ascii="Arial" w:eastAsia="Times New Roman" w:hAnsi="Arial" w:cs="Arial"/>
          <w:b/>
          <w:i/>
          <w:iCs/>
          <w:sz w:val="21"/>
          <w:szCs w:val="21"/>
        </w:rPr>
        <w:t>Activitats formatives cíviques</w:t>
      </w:r>
    </w:p>
    <w:p w14:paraId="5CCCFD41" w14:textId="3C855C6E" w:rsidR="0022762A" w:rsidRPr="0022762A" w:rsidRDefault="0022762A" w:rsidP="0022762A">
      <w:pPr>
        <w:pStyle w:val="Descripcin"/>
        <w:keepNext/>
        <w:jc w:val="center"/>
        <w:rPr>
          <w:rFonts w:ascii="Arial" w:hAnsi="Arial" w:cs="Arial"/>
          <w:smallCaps w:val="0"/>
          <w:sz w:val="18"/>
          <w:szCs w:val="18"/>
        </w:rPr>
      </w:pPr>
      <w:bookmarkStart w:id="401" w:name="_Toc99110866"/>
      <w:r w:rsidRPr="0022762A">
        <w:rPr>
          <w:rFonts w:ascii="Arial" w:hAnsi="Arial" w:cs="Arial"/>
          <w:smallCaps w:val="0"/>
          <w:color w:val="9D2235" w:themeColor="accent1"/>
          <w:sz w:val="18"/>
          <w:szCs w:val="18"/>
        </w:rPr>
        <w:t xml:space="preserve">Taula </w:t>
      </w:r>
      <w:r w:rsidRPr="0022762A">
        <w:rPr>
          <w:rFonts w:ascii="Arial" w:hAnsi="Arial" w:cs="Arial"/>
          <w:smallCaps w:val="0"/>
          <w:color w:val="9D2235" w:themeColor="accent1"/>
          <w:sz w:val="18"/>
          <w:szCs w:val="18"/>
        </w:rPr>
        <w:fldChar w:fldCharType="begin" w:fldLock="1"/>
      </w:r>
      <w:r w:rsidRPr="0022762A">
        <w:rPr>
          <w:rFonts w:ascii="Arial" w:hAnsi="Arial" w:cs="Arial"/>
          <w:smallCaps w:val="0"/>
          <w:color w:val="9D2235" w:themeColor="accent1"/>
          <w:sz w:val="18"/>
          <w:szCs w:val="18"/>
        </w:rPr>
        <w:instrText xml:space="preserve"> SEQ Taula \* ARABIC </w:instrText>
      </w:r>
      <w:r w:rsidRPr="0022762A">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21</w:t>
      </w:r>
      <w:r w:rsidRPr="0022762A">
        <w:rPr>
          <w:rFonts w:ascii="Arial" w:hAnsi="Arial" w:cs="Arial"/>
          <w:smallCaps w:val="0"/>
          <w:color w:val="9D2235" w:themeColor="accent1"/>
          <w:sz w:val="18"/>
          <w:szCs w:val="18"/>
        </w:rPr>
        <w:fldChar w:fldCharType="end"/>
      </w:r>
      <w:r w:rsidRPr="0022762A">
        <w:rPr>
          <w:rFonts w:ascii="Arial" w:hAnsi="Arial" w:cs="Arial"/>
          <w:smallCaps w:val="0"/>
          <w:noProof/>
          <w:color w:val="9D2235" w:themeColor="accent1"/>
          <w:sz w:val="18"/>
          <w:szCs w:val="18"/>
        </w:rPr>
        <w:t xml:space="preserve"> . </w:t>
      </w:r>
      <w:r w:rsidRPr="0022762A">
        <w:rPr>
          <w:rFonts w:ascii="Arial" w:hAnsi="Arial" w:cs="Arial"/>
          <w:smallCaps w:val="0"/>
          <w:noProof/>
          <w:sz w:val="18"/>
          <w:szCs w:val="18"/>
        </w:rPr>
        <w:t>Activitats formatives cíviques, participants i hores lectives des de 2017</w:t>
      </w:r>
      <w:bookmarkEnd w:id="401"/>
    </w:p>
    <w:p w14:paraId="06A4B8A2" w14:textId="753E261C" w:rsidR="00E876C8" w:rsidRPr="0022762A" w:rsidRDefault="0022762A" w:rsidP="0022762A">
      <w:pPr>
        <w:spacing w:after="240" w:line="276" w:lineRule="auto"/>
        <w:jc w:val="center"/>
        <w:rPr>
          <w:rFonts w:ascii="Arial" w:eastAsia="Times New Roman" w:hAnsi="Arial" w:cs="Arial"/>
          <w:sz w:val="21"/>
          <w:szCs w:val="21"/>
        </w:rPr>
      </w:pPr>
      <w:r>
        <w:rPr>
          <w:noProof/>
        </w:rPr>
        <w:drawing>
          <wp:inline distT="0" distB="0" distL="0" distR="0" wp14:anchorId="6C490804" wp14:editId="48C5676E">
            <wp:extent cx="4400000" cy="1800000"/>
            <wp:effectExtent l="0" t="0" r="635" b="0"/>
            <wp:docPr id="54" name="Imagen 5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abla&#10;&#10;Descripción generada automáticamente"/>
                    <pic:cNvPicPr/>
                  </pic:nvPicPr>
                  <pic:blipFill>
                    <a:blip r:embed="rId514"/>
                    <a:stretch>
                      <a:fillRect/>
                    </a:stretch>
                  </pic:blipFill>
                  <pic:spPr>
                    <a:xfrm>
                      <a:off x="0" y="0"/>
                      <a:ext cx="4400000" cy="1800000"/>
                    </a:xfrm>
                    <a:prstGeom prst="rect">
                      <a:avLst/>
                    </a:prstGeom>
                  </pic:spPr>
                </pic:pic>
              </a:graphicData>
            </a:graphic>
          </wp:inline>
        </w:drawing>
      </w:r>
    </w:p>
    <w:p w14:paraId="1C4F2BB5" w14:textId="77777777" w:rsidR="00943986" w:rsidRDefault="00943986" w:rsidP="0022762A">
      <w:pPr>
        <w:spacing w:after="240" w:line="276" w:lineRule="auto"/>
        <w:jc w:val="both"/>
        <w:rPr>
          <w:rFonts w:ascii="Arial" w:eastAsia="Times New Roman" w:hAnsi="Arial" w:cs="Arial"/>
          <w:sz w:val="21"/>
          <w:szCs w:val="21"/>
        </w:rPr>
      </w:pPr>
    </w:p>
    <w:p w14:paraId="7F04E5A0" w14:textId="58B34D5B" w:rsidR="0022762A" w:rsidRPr="0022762A" w:rsidRDefault="0022762A" w:rsidP="0022762A">
      <w:pPr>
        <w:spacing w:after="240" w:line="276" w:lineRule="auto"/>
        <w:jc w:val="both"/>
        <w:rPr>
          <w:rFonts w:ascii="Arial" w:eastAsia="Times New Roman" w:hAnsi="Arial" w:cs="Arial"/>
          <w:sz w:val="21"/>
          <w:szCs w:val="21"/>
        </w:rPr>
      </w:pPr>
      <w:r w:rsidRPr="0022762A">
        <w:rPr>
          <w:rFonts w:ascii="Arial" w:eastAsia="Times New Roman" w:hAnsi="Arial" w:cs="Arial"/>
          <w:sz w:val="21"/>
          <w:szCs w:val="21"/>
        </w:rPr>
        <w:t xml:space="preserve">Durant 2021 s'han duplicat pràcticament tant el nombre d'activitats formatives cíviques com la quantitat de participants en les </w:t>
      </w:r>
      <w:r w:rsidRPr="00C9578C">
        <w:rPr>
          <w:rFonts w:ascii="Arial" w:eastAsia="Times New Roman" w:hAnsi="Arial" w:cs="Arial"/>
          <w:sz w:val="21"/>
          <w:szCs w:val="21"/>
        </w:rPr>
        <w:t xml:space="preserve">mateixes (Taula </w:t>
      </w:r>
      <w:r w:rsidR="00D80C9E" w:rsidRPr="00C9578C">
        <w:rPr>
          <w:rFonts w:ascii="Arial" w:eastAsia="Times New Roman" w:hAnsi="Arial" w:cs="Arial"/>
          <w:sz w:val="21"/>
          <w:szCs w:val="21"/>
        </w:rPr>
        <w:t>21</w:t>
      </w:r>
      <w:r w:rsidRPr="00C9578C">
        <w:rPr>
          <w:rFonts w:ascii="Arial" w:eastAsia="Times New Roman" w:hAnsi="Arial" w:cs="Arial"/>
          <w:sz w:val="21"/>
          <w:szCs w:val="21"/>
        </w:rPr>
        <w:t>).</w:t>
      </w:r>
      <w:r w:rsidRPr="0022762A">
        <w:rPr>
          <w:rFonts w:ascii="Arial" w:eastAsia="Times New Roman" w:hAnsi="Arial" w:cs="Arial"/>
          <w:sz w:val="21"/>
          <w:szCs w:val="21"/>
        </w:rPr>
        <w:t xml:space="preserve"> Entre les causes d'aquest increment es poden assenyalar les següents: </w:t>
      </w:r>
    </w:p>
    <w:p w14:paraId="79EA15BF" w14:textId="77777777" w:rsidR="0022762A" w:rsidRPr="0022762A" w:rsidRDefault="0022762A" w:rsidP="0024334F">
      <w:pPr>
        <w:numPr>
          <w:ilvl w:val="0"/>
          <w:numId w:val="68"/>
        </w:numPr>
        <w:spacing w:after="120" w:line="276" w:lineRule="auto"/>
        <w:ind w:left="714" w:hanging="357"/>
        <w:jc w:val="both"/>
        <w:rPr>
          <w:rFonts w:ascii="Arial" w:eastAsia="Times New Roman" w:hAnsi="Arial" w:cs="Arial"/>
          <w:sz w:val="21"/>
          <w:szCs w:val="21"/>
        </w:rPr>
      </w:pPr>
      <w:r w:rsidRPr="0022762A">
        <w:rPr>
          <w:rFonts w:ascii="Arial" w:eastAsia="Times New Roman" w:hAnsi="Arial" w:cs="Arial"/>
          <w:sz w:val="21"/>
          <w:szCs w:val="21"/>
        </w:rPr>
        <w:t xml:space="preserve">L'increment de les col·laboracions institucionals, especialment amb les universitats valencianes, diputacions provincials, INAP i algunes conselleries del Consell de la Generalitat. </w:t>
      </w:r>
    </w:p>
    <w:p w14:paraId="24512C83" w14:textId="77777777" w:rsidR="0022762A" w:rsidRPr="0022762A" w:rsidRDefault="0022762A" w:rsidP="0024334F">
      <w:pPr>
        <w:numPr>
          <w:ilvl w:val="0"/>
          <w:numId w:val="68"/>
        </w:numPr>
        <w:spacing w:after="120" w:line="276" w:lineRule="auto"/>
        <w:ind w:left="714" w:hanging="357"/>
        <w:jc w:val="both"/>
        <w:rPr>
          <w:rFonts w:ascii="Arial" w:eastAsia="Times New Roman" w:hAnsi="Arial" w:cs="Arial"/>
          <w:sz w:val="21"/>
          <w:szCs w:val="21"/>
        </w:rPr>
      </w:pPr>
      <w:r w:rsidRPr="0022762A">
        <w:rPr>
          <w:rFonts w:ascii="Arial" w:eastAsia="Times New Roman" w:hAnsi="Arial" w:cs="Arial"/>
          <w:sz w:val="21"/>
          <w:szCs w:val="21"/>
        </w:rPr>
        <w:t xml:space="preserve">El treball dels anys previs que ha permés que l'Agència siga més coneguda social i institucionalment i que s'haja requerit més la seua presència en activitats formatives cíviques. </w:t>
      </w:r>
    </w:p>
    <w:p w14:paraId="59255543" w14:textId="77777777" w:rsidR="0022762A" w:rsidRPr="0022762A" w:rsidRDefault="0022762A" w:rsidP="0024334F">
      <w:pPr>
        <w:numPr>
          <w:ilvl w:val="0"/>
          <w:numId w:val="68"/>
        </w:numPr>
        <w:spacing w:after="120" w:line="276" w:lineRule="auto"/>
        <w:ind w:left="714" w:hanging="357"/>
        <w:jc w:val="both"/>
        <w:rPr>
          <w:rFonts w:ascii="Arial" w:eastAsia="Times New Roman" w:hAnsi="Arial" w:cs="Arial"/>
          <w:sz w:val="21"/>
          <w:szCs w:val="21"/>
        </w:rPr>
      </w:pPr>
      <w:r w:rsidRPr="0022762A">
        <w:rPr>
          <w:rFonts w:ascii="Arial" w:eastAsia="Times New Roman" w:hAnsi="Arial" w:cs="Arial"/>
          <w:sz w:val="21"/>
          <w:szCs w:val="21"/>
        </w:rPr>
        <w:t>L'aplicació territorial del conveni signat amb la Universitat de València, en el marc de la qual es desenvolupen les activitats, com Unisocietat al llarg del territori de la província de València; així com l'inici de formes de col·laboració amb la Universitat Jaume I de Castelló i la Universitat d'Alacant.</w:t>
      </w:r>
    </w:p>
    <w:p w14:paraId="0844C39C" w14:textId="77777777" w:rsidR="0022762A" w:rsidRPr="0022762A" w:rsidRDefault="0022762A" w:rsidP="0024334F">
      <w:pPr>
        <w:numPr>
          <w:ilvl w:val="0"/>
          <w:numId w:val="68"/>
        </w:numPr>
        <w:spacing w:after="120" w:line="276" w:lineRule="auto"/>
        <w:ind w:left="714" w:hanging="357"/>
        <w:jc w:val="both"/>
        <w:rPr>
          <w:rFonts w:ascii="Arial" w:eastAsia="Times New Roman" w:hAnsi="Arial" w:cs="Arial"/>
          <w:sz w:val="21"/>
          <w:szCs w:val="21"/>
        </w:rPr>
      </w:pPr>
      <w:r w:rsidRPr="0022762A">
        <w:rPr>
          <w:rFonts w:ascii="Arial" w:eastAsia="Times New Roman" w:hAnsi="Arial" w:cs="Arial"/>
          <w:sz w:val="21"/>
          <w:szCs w:val="21"/>
        </w:rPr>
        <w:t>L'ús del documental Corrupció: organisme nociu, de 2019, per a realitzar activitats formatives a les aules universitàries.</w:t>
      </w:r>
    </w:p>
    <w:p w14:paraId="5110EA19" w14:textId="77777777" w:rsidR="0022762A" w:rsidRPr="0022762A" w:rsidRDefault="0022762A" w:rsidP="0024334F">
      <w:pPr>
        <w:numPr>
          <w:ilvl w:val="0"/>
          <w:numId w:val="68"/>
        </w:numPr>
        <w:spacing w:after="240" w:line="276" w:lineRule="auto"/>
        <w:jc w:val="both"/>
        <w:rPr>
          <w:rFonts w:ascii="Arial" w:eastAsia="Times New Roman" w:hAnsi="Arial" w:cs="Arial"/>
          <w:sz w:val="21"/>
          <w:szCs w:val="21"/>
        </w:rPr>
      </w:pPr>
      <w:r w:rsidRPr="0022762A">
        <w:rPr>
          <w:rFonts w:ascii="Arial" w:eastAsia="Times New Roman" w:hAnsi="Arial" w:cs="Arial"/>
          <w:sz w:val="21"/>
          <w:szCs w:val="21"/>
        </w:rPr>
        <w:t xml:space="preserve">El Servei de Formació ha completat la dotació de personal prevista en la RPT de l'Agència al llarg de l'últim any (prefectura de Serveis, dues persones tècniques i una persona de personal de suport, compartida amb un altre Servei). Aquest fet ha permés incrementar les actuacions formatives. </w:t>
      </w:r>
    </w:p>
    <w:p w14:paraId="10F1A44A" w14:textId="4CCEE571" w:rsidR="0022762A" w:rsidRPr="0022762A" w:rsidRDefault="0022762A" w:rsidP="0022762A">
      <w:pPr>
        <w:spacing w:after="240" w:line="276" w:lineRule="auto"/>
        <w:jc w:val="both"/>
        <w:rPr>
          <w:rFonts w:ascii="Arial" w:eastAsia="Times New Roman" w:hAnsi="Arial" w:cs="Arial"/>
          <w:sz w:val="21"/>
          <w:szCs w:val="21"/>
          <w:lang w:val="es-ES"/>
        </w:rPr>
      </w:pPr>
      <w:r w:rsidRPr="0022762A">
        <w:rPr>
          <w:rFonts w:ascii="Arial" w:eastAsia="Times New Roman" w:hAnsi="Arial" w:cs="Arial"/>
          <w:sz w:val="21"/>
          <w:szCs w:val="21"/>
        </w:rPr>
        <w:t>De manera visual (</w:t>
      </w:r>
      <w:r w:rsidRPr="00C9578C">
        <w:rPr>
          <w:rFonts w:ascii="Arial" w:eastAsia="Times New Roman" w:hAnsi="Arial" w:cs="Arial"/>
          <w:sz w:val="21"/>
          <w:szCs w:val="21"/>
        </w:rPr>
        <w:t xml:space="preserve">Gràfics </w:t>
      </w:r>
      <w:r w:rsidR="00D80C9E" w:rsidRPr="00C9578C">
        <w:rPr>
          <w:rFonts w:ascii="Arial" w:eastAsia="Times New Roman" w:hAnsi="Arial" w:cs="Arial"/>
          <w:sz w:val="21"/>
          <w:szCs w:val="21"/>
        </w:rPr>
        <w:t>2</w:t>
      </w:r>
      <w:r w:rsidRPr="00C9578C">
        <w:rPr>
          <w:rFonts w:ascii="Arial" w:eastAsia="Times New Roman" w:hAnsi="Arial" w:cs="Arial"/>
          <w:sz w:val="21"/>
          <w:szCs w:val="21"/>
        </w:rPr>
        <w:t xml:space="preserve">3 i </w:t>
      </w:r>
      <w:r w:rsidR="00D80C9E" w:rsidRPr="00C9578C">
        <w:rPr>
          <w:rFonts w:ascii="Arial" w:eastAsia="Times New Roman" w:hAnsi="Arial" w:cs="Arial"/>
          <w:sz w:val="21"/>
          <w:szCs w:val="21"/>
        </w:rPr>
        <w:t>2</w:t>
      </w:r>
      <w:r w:rsidRPr="00C9578C">
        <w:rPr>
          <w:rFonts w:ascii="Arial" w:eastAsia="Times New Roman" w:hAnsi="Arial" w:cs="Arial"/>
          <w:sz w:val="21"/>
          <w:szCs w:val="21"/>
        </w:rPr>
        <w:t>4),</w:t>
      </w:r>
      <w:r w:rsidRPr="0022762A">
        <w:rPr>
          <w:rFonts w:ascii="Arial" w:eastAsia="Times New Roman" w:hAnsi="Arial" w:cs="Arial"/>
          <w:sz w:val="21"/>
          <w:szCs w:val="21"/>
        </w:rPr>
        <w:t xml:space="preserve"> s'observa un increment exponencial en els últims tres anys en la quantitat d'activitats formatives cíviques, passant-se de 6 en 2018, a 12 en 2019, 23 en 2020 i 43 en l'últim any. De fet, l'increment net de 2021 és especialment significatiu: 20 activitats més respecte 2020.</w:t>
      </w:r>
    </w:p>
    <w:p w14:paraId="100A2F9B" w14:textId="71D0FACA" w:rsidR="00E876C8" w:rsidRDefault="00E876C8" w:rsidP="009A48F2">
      <w:pPr>
        <w:spacing w:after="240" w:line="276" w:lineRule="auto"/>
        <w:jc w:val="both"/>
        <w:rPr>
          <w:rFonts w:ascii="Arial" w:eastAsia="Times New Roman" w:hAnsi="Arial" w:cs="Arial"/>
          <w:sz w:val="21"/>
          <w:szCs w:val="21"/>
        </w:rPr>
      </w:pPr>
    </w:p>
    <w:p w14:paraId="7931FB09" w14:textId="0D787897" w:rsidR="00E876C8" w:rsidRDefault="00E876C8" w:rsidP="009A48F2">
      <w:pPr>
        <w:spacing w:after="240" w:line="276" w:lineRule="auto"/>
        <w:jc w:val="both"/>
        <w:rPr>
          <w:rFonts w:ascii="Arial" w:eastAsia="Times New Roman" w:hAnsi="Arial" w:cs="Arial"/>
          <w:sz w:val="21"/>
          <w:szCs w:val="21"/>
        </w:rPr>
      </w:pPr>
    </w:p>
    <w:p w14:paraId="1914953E" w14:textId="77777777" w:rsidR="00943986" w:rsidRDefault="00943986" w:rsidP="00943986">
      <w:pPr>
        <w:keepNext/>
        <w:spacing w:after="240" w:line="276" w:lineRule="auto"/>
        <w:jc w:val="center"/>
      </w:pPr>
      <w:r w:rsidRPr="007363ED">
        <w:rPr>
          <w:rFonts w:ascii="Arial" w:eastAsia="Calibri" w:hAnsi="Arial" w:cs="Arial"/>
          <w:noProof/>
          <w:sz w:val="21"/>
          <w:szCs w:val="21"/>
        </w:rPr>
        <w:drawing>
          <wp:inline distT="0" distB="0" distL="0" distR="0" wp14:anchorId="0388A304" wp14:editId="2BE2861A">
            <wp:extent cx="4068141" cy="2126946"/>
            <wp:effectExtent l="0" t="0" r="8890" b="6985"/>
            <wp:docPr id="56" name="Imagen 56"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Gráfico, Gráfico en cascada&#10;&#10;Descripción generada automáticamente"/>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089222" cy="2137968"/>
                    </a:xfrm>
                    <a:prstGeom prst="rect">
                      <a:avLst/>
                    </a:prstGeom>
                    <a:noFill/>
                  </pic:spPr>
                </pic:pic>
              </a:graphicData>
            </a:graphic>
          </wp:inline>
        </w:drawing>
      </w:r>
    </w:p>
    <w:p w14:paraId="1EF56CDF" w14:textId="3A47EE4B" w:rsidR="00E876C8" w:rsidRPr="00943986" w:rsidRDefault="00943986" w:rsidP="00943986">
      <w:pPr>
        <w:pStyle w:val="Descripcin"/>
        <w:jc w:val="center"/>
        <w:rPr>
          <w:rFonts w:ascii="Arial" w:eastAsia="Times New Roman" w:hAnsi="Arial" w:cs="Arial"/>
          <w:smallCaps w:val="0"/>
          <w:sz w:val="18"/>
          <w:szCs w:val="18"/>
        </w:rPr>
      </w:pPr>
      <w:bookmarkStart w:id="402" w:name="_Toc99110982"/>
      <w:r w:rsidRPr="00943986">
        <w:rPr>
          <w:rFonts w:ascii="Arial" w:hAnsi="Arial" w:cs="Arial"/>
          <w:smallCaps w:val="0"/>
          <w:sz w:val="18"/>
          <w:szCs w:val="18"/>
        </w:rPr>
        <w:t>Grà</w:t>
      </w:r>
      <w:r w:rsidRPr="00943986">
        <w:rPr>
          <w:rFonts w:ascii="Arial" w:hAnsi="Arial" w:cs="Arial"/>
          <w:smallCaps w:val="0"/>
          <w:color w:val="9D2235" w:themeColor="accent1"/>
          <w:sz w:val="18"/>
          <w:szCs w:val="18"/>
        </w:rPr>
        <w:t xml:space="preserve">fic </w:t>
      </w:r>
      <w:r w:rsidRPr="00943986">
        <w:rPr>
          <w:rFonts w:ascii="Arial" w:hAnsi="Arial" w:cs="Arial"/>
          <w:smallCaps w:val="0"/>
          <w:color w:val="9D2235" w:themeColor="accent1"/>
          <w:sz w:val="18"/>
          <w:szCs w:val="18"/>
        </w:rPr>
        <w:fldChar w:fldCharType="begin" w:fldLock="1"/>
      </w:r>
      <w:r w:rsidRPr="00943986">
        <w:rPr>
          <w:rFonts w:ascii="Arial" w:hAnsi="Arial" w:cs="Arial"/>
          <w:smallCaps w:val="0"/>
          <w:color w:val="9D2235" w:themeColor="accent1"/>
          <w:sz w:val="18"/>
          <w:szCs w:val="18"/>
        </w:rPr>
        <w:instrText xml:space="preserve"> SEQ Gràfic \* ARABIC </w:instrText>
      </w:r>
      <w:r w:rsidRPr="0094398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23</w:t>
      </w:r>
      <w:r w:rsidRPr="00943986">
        <w:rPr>
          <w:rFonts w:ascii="Arial" w:hAnsi="Arial" w:cs="Arial"/>
          <w:smallCaps w:val="0"/>
          <w:color w:val="9D2235" w:themeColor="accent1"/>
          <w:sz w:val="18"/>
          <w:szCs w:val="18"/>
        </w:rPr>
        <w:fldChar w:fldCharType="end"/>
      </w:r>
      <w:r w:rsidRPr="00943986">
        <w:rPr>
          <w:rFonts w:ascii="Arial" w:hAnsi="Arial" w:cs="Arial"/>
          <w:smallCaps w:val="0"/>
          <w:color w:val="9D2235" w:themeColor="accent1"/>
          <w:sz w:val="18"/>
          <w:szCs w:val="18"/>
        </w:rPr>
        <w:t xml:space="preserve">. </w:t>
      </w:r>
      <w:r>
        <w:rPr>
          <w:rFonts w:ascii="Arial" w:hAnsi="Arial" w:cs="Arial"/>
          <w:smallCaps w:val="0"/>
          <w:color w:val="auto"/>
          <w:sz w:val="18"/>
          <w:szCs w:val="18"/>
        </w:rPr>
        <w:t>Evolució Activitats formatives 2017-2021</w:t>
      </w:r>
      <w:bookmarkEnd w:id="402"/>
    </w:p>
    <w:p w14:paraId="0C398426" w14:textId="77777777" w:rsidR="00943986" w:rsidRDefault="00943986" w:rsidP="00943986">
      <w:pPr>
        <w:keepNext/>
        <w:spacing w:after="240" w:line="276" w:lineRule="auto"/>
        <w:jc w:val="center"/>
      </w:pPr>
      <w:r w:rsidRPr="00281220">
        <w:rPr>
          <w:rFonts w:ascii="Arial" w:eastAsia="Calibri" w:hAnsi="Arial" w:cs="Arial"/>
          <w:noProof/>
          <w:sz w:val="21"/>
          <w:szCs w:val="21"/>
        </w:rPr>
        <w:drawing>
          <wp:inline distT="0" distB="0" distL="0" distR="0" wp14:anchorId="236359F0" wp14:editId="357E1146">
            <wp:extent cx="3168322" cy="2612158"/>
            <wp:effectExtent l="0" t="0" r="0" b="0"/>
            <wp:docPr id="57" name="Imagen 5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Gráfico, Gráfico circular&#10;&#10;Descripción generada automáticamente"/>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3180781" cy="2622430"/>
                    </a:xfrm>
                    <a:prstGeom prst="rect">
                      <a:avLst/>
                    </a:prstGeom>
                    <a:noFill/>
                  </pic:spPr>
                </pic:pic>
              </a:graphicData>
            </a:graphic>
          </wp:inline>
        </w:drawing>
      </w:r>
    </w:p>
    <w:p w14:paraId="675A983A" w14:textId="7E56A479" w:rsidR="00E876C8" w:rsidRPr="00943986" w:rsidRDefault="00943986" w:rsidP="00943986">
      <w:pPr>
        <w:pStyle w:val="Descripcin"/>
        <w:jc w:val="center"/>
        <w:rPr>
          <w:rFonts w:ascii="Arial" w:eastAsia="Times New Roman" w:hAnsi="Arial" w:cs="Arial"/>
          <w:smallCaps w:val="0"/>
          <w:sz w:val="18"/>
          <w:szCs w:val="18"/>
        </w:rPr>
      </w:pPr>
      <w:bookmarkStart w:id="403" w:name="_Toc99110983"/>
      <w:r w:rsidRPr="00943986">
        <w:rPr>
          <w:rFonts w:ascii="Arial" w:hAnsi="Arial" w:cs="Arial"/>
          <w:smallCaps w:val="0"/>
          <w:color w:val="9D2235" w:themeColor="accent1"/>
          <w:sz w:val="18"/>
          <w:szCs w:val="18"/>
        </w:rPr>
        <w:t xml:space="preserve">Gràfic </w:t>
      </w:r>
      <w:r w:rsidRPr="00943986">
        <w:rPr>
          <w:rFonts w:ascii="Arial" w:hAnsi="Arial" w:cs="Arial"/>
          <w:smallCaps w:val="0"/>
          <w:color w:val="9D2235" w:themeColor="accent1"/>
          <w:sz w:val="18"/>
          <w:szCs w:val="18"/>
        </w:rPr>
        <w:fldChar w:fldCharType="begin" w:fldLock="1"/>
      </w:r>
      <w:r w:rsidRPr="00943986">
        <w:rPr>
          <w:rFonts w:ascii="Arial" w:hAnsi="Arial" w:cs="Arial"/>
          <w:smallCaps w:val="0"/>
          <w:color w:val="9D2235" w:themeColor="accent1"/>
          <w:sz w:val="18"/>
          <w:szCs w:val="18"/>
        </w:rPr>
        <w:instrText xml:space="preserve"> SEQ Gràfic \* ARABIC </w:instrText>
      </w:r>
      <w:r w:rsidRPr="0094398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24</w:t>
      </w:r>
      <w:r w:rsidRPr="00943986">
        <w:rPr>
          <w:rFonts w:ascii="Arial" w:hAnsi="Arial" w:cs="Arial"/>
          <w:smallCaps w:val="0"/>
          <w:color w:val="9D2235" w:themeColor="accent1"/>
          <w:sz w:val="18"/>
          <w:szCs w:val="18"/>
        </w:rPr>
        <w:fldChar w:fldCharType="end"/>
      </w:r>
      <w:r w:rsidRPr="00943986">
        <w:rPr>
          <w:rFonts w:ascii="Arial" w:hAnsi="Arial" w:cs="Arial"/>
          <w:smallCaps w:val="0"/>
          <w:color w:val="9D2235" w:themeColor="accent1"/>
          <w:sz w:val="18"/>
          <w:szCs w:val="18"/>
        </w:rPr>
        <w:t xml:space="preserve">. </w:t>
      </w:r>
      <w:r w:rsidRPr="00943986">
        <w:rPr>
          <w:rFonts w:ascii="Arial" w:hAnsi="Arial" w:cs="Arial"/>
          <w:smallCaps w:val="0"/>
          <w:sz w:val="18"/>
          <w:szCs w:val="18"/>
        </w:rPr>
        <w:t>Distribució anual d'activitats formatives 2017-2021</w:t>
      </w:r>
      <w:bookmarkEnd w:id="403"/>
    </w:p>
    <w:p w14:paraId="1F281E6E" w14:textId="77777777" w:rsidR="00943986" w:rsidRPr="00943986" w:rsidRDefault="00943986" w:rsidP="00943986">
      <w:pPr>
        <w:spacing w:after="240" w:line="276" w:lineRule="auto"/>
        <w:jc w:val="both"/>
        <w:rPr>
          <w:rFonts w:ascii="Arial" w:eastAsia="Times New Roman" w:hAnsi="Arial" w:cs="Arial"/>
          <w:b/>
          <w:i/>
          <w:sz w:val="21"/>
          <w:szCs w:val="21"/>
        </w:rPr>
      </w:pPr>
      <w:r w:rsidRPr="00943986">
        <w:rPr>
          <w:rFonts w:ascii="Arial" w:eastAsia="Times New Roman" w:hAnsi="Arial" w:cs="Arial"/>
          <w:b/>
          <w:i/>
          <w:sz w:val="21"/>
          <w:szCs w:val="21"/>
        </w:rPr>
        <w:t>Participants en activitats formatives</w:t>
      </w:r>
    </w:p>
    <w:p w14:paraId="61241AD4" w14:textId="4A7B22C2" w:rsidR="00943986" w:rsidRPr="00943986" w:rsidRDefault="00943986" w:rsidP="00943986">
      <w:pPr>
        <w:spacing w:after="240" w:line="276" w:lineRule="auto"/>
        <w:jc w:val="both"/>
        <w:rPr>
          <w:rFonts w:ascii="Arial" w:eastAsia="Times New Roman" w:hAnsi="Arial" w:cs="Arial"/>
          <w:sz w:val="21"/>
          <w:szCs w:val="21"/>
        </w:rPr>
      </w:pPr>
      <w:r w:rsidRPr="00C9578C">
        <w:rPr>
          <w:rFonts w:ascii="Arial" w:eastAsia="Times New Roman" w:hAnsi="Arial" w:cs="Arial"/>
          <w:sz w:val="21"/>
          <w:szCs w:val="21"/>
        </w:rPr>
        <w:t xml:space="preserve">El gràfic </w:t>
      </w:r>
      <w:r w:rsidR="00D80C9E" w:rsidRPr="00C9578C">
        <w:rPr>
          <w:rFonts w:ascii="Arial" w:eastAsia="Times New Roman" w:hAnsi="Arial" w:cs="Arial"/>
          <w:sz w:val="21"/>
          <w:szCs w:val="21"/>
        </w:rPr>
        <w:t>2</w:t>
      </w:r>
      <w:r w:rsidRPr="00C9578C">
        <w:rPr>
          <w:rFonts w:ascii="Arial" w:eastAsia="Times New Roman" w:hAnsi="Arial" w:cs="Arial"/>
          <w:sz w:val="21"/>
          <w:szCs w:val="21"/>
        </w:rPr>
        <w:t>5 ajuda</w:t>
      </w:r>
      <w:r w:rsidRPr="00943986">
        <w:rPr>
          <w:rFonts w:ascii="Arial" w:eastAsia="Times New Roman" w:hAnsi="Arial" w:cs="Arial"/>
          <w:sz w:val="21"/>
          <w:szCs w:val="21"/>
        </w:rPr>
        <w:t xml:space="preserve"> a entendre els salts qualitatius de l'activitat formativa cívica de l'Agència. </w:t>
      </w:r>
    </w:p>
    <w:p w14:paraId="4126320C" w14:textId="77777777" w:rsidR="00943986" w:rsidRPr="00943986" w:rsidRDefault="00943986" w:rsidP="00943986">
      <w:pPr>
        <w:spacing w:after="240" w:line="276" w:lineRule="auto"/>
        <w:jc w:val="both"/>
        <w:rPr>
          <w:rFonts w:ascii="Arial" w:eastAsia="Times New Roman" w:hAnsi="Arial" w:cs="Arial"/>
          <w:sz w:val="21"/>
          <w:szCs w:val="21"/>
        </w:rPr>
      </w:pPr>
      <w:r w:rsidRPr="00943986">
        <w:rPr>
          <w:rFonts w:ascii="Arial" w:eastAsia="Times New Roman" w:hAnsi="Arial" w:cs="Arial"/>
          <w:sz w:val="21"/>
          <w:szCs w:val="21"/>
        </w:rPr>
        <w:t>En 2019, després de l'establiment de protocols de col·laboració amb la Universitat de València es produeix un augment de 556 participants més que l'any anterior, multiplicant-se entorn de 4,5 vegades les persones participants en activitats de formatives de l'Agència respecte 2018.</w:t>
      </w:r>
    </w:p>
    <w:p w14:paraId="715AD9F0" w14:textId="77777777" w:rsidR="00943986" w:rsidRPr="00943986" w:rsidRDefault="00943986" w:rsidP="00943986">
      <w:pPr>
        <w:spacing w:after="240" w:line="276" w:lineRule="auto"/>
        <w:jc w:val="both"/>
        <w:rPr>
          <w:rFonts w:ascii="Arial" w:eastAsia="Times New Roman" w:hAnsi="Arial" w:cs="Arial"/>
          <w:sz w:val="21"/>
          <w:szCs w:val="21"/>
        </w:rPr>
      </w:pPr>
      <w:r w:rsidRPr="00943986">
        <w:rPr>
          <w:rFonts w:ascii="Arial" w:eastAsia="Times New Roman" w:hAnsi="Arial" w:cs="Arial"/>
          <w:sz w:val="21"/>
          <w:szCs w:val="21"/>
        </w:rPr>
        <w:t>En 2021, després d'ampliar les activitats formatives amb les universitats valencianes, diputacions provincials, FVMP i INAP, els participants han sigut 1.008 persones més que en 2020 i 12 vegades més que en 2018.</w:t>
      </w:r>
    </w:p>
    <w:p w14:paraId="1D287B4E" w14:textId="4567B563" w:rsidR="00586B42" w:rsidRPr="00943986" w:rsidRDefault="00943986" w:rsidP="00943986">
      <w:pPr>
        <w:spacing w:after="240" w:line="276" w:lineRule="auto"/>
        <w:jc w:val="both"/>
        <w:rPr>
          <w:rFonts w:ascii="Arial" w:eastAsia="Times New Roman" w:hAnsi="Arial" w:cs="Arial"/>
          <w:sz w:val="21"/>
          <w:szCs w:val="21"/>
        </w:rPr>
      </w:pPr>
      <w:r w:rsidRPr="00943986">
        <w:rPr>
          <w:rFonts w:ascii="Arial" w:eastAsia="Times New Roman" w:hAnsi="Arial" w:cs="Arial"/>
          <w:sz w:val="21"/>
          <w:szCs w:val="21"/>
        </w:rPr>
        <w:t>De fet, la mitjana de persones assistents a activitats formatives ha sigut de 43, set punts més que en 2020, i 18 punts més que en 2017 i 2018. Únicament, en 2019, any en què, a causa d'activitats en línia significatives, la mitjana va ser més elevada.</w:t>
      </w:r>
    </w:p>
    <w:p w14:paraId="1AF4746E" w14:textId="67173FBE" w:rsidR="00586B42" w:rsidRPr="002D3252" w:rsidRDefault="00FD5628" w:rsidP="00FD5628">
      <w:pPr>
        <w:spacing w:after="240" w:line="276" w:lineRule="auto"/>
        <w:rPr>
          <w:rFonts w:ascii="Arial" w:eastAsia="Times New Roman" w:hAnsi="Arial" w:cs="Arial"/>
          <w:sz w:val="21"/>
          <w:szCs w:val="21"/>
        </w:rPr>
      </w:pPr>
      <w:r>
        <w:rPr>
          <w:noProof/>
        </w:rPr>
        <mc:AlternateContent>
          <mc:Choice Requires="wps">
            <w:drawing>
              <wp:anchor distT="0" distB="0" distL="114300" distR="114300" simplePos="0" relativeHeight="252026880" behindDoc="0" locked="0" layoutInCell="1" allowOverlap="1" wp14:anchorId="01F5392A" wp14:editId="6B68AFA7">
                <wp:simplePos x="0" y="0"/>
                <wp:positionH relativeFrom="column">
                  <wp:posOffset>737870</wp:posOffset>
                </wp:positionH>
                <wp:positionV relativeFrom="paragraph">
                  <wp:posOffset>2464435</wp:posOffset>
                </wp:positionV>
                <wp:extent cx="3916045" cy="635"/>
                <wp:effectExtent l="0" t="0" r="0" b="0"/>
                <wp:wrapTopAndBottom/>
                <wp:docPr id="58" name="Cuadro de texto 58"/>
                <wp:cNvGraphicFramePr/>
                <a:graphic xmlns:a="http://schemas.openxmlformats.org/drawingml/2006/main">
                  <a:graphicData uri="http://schemas.microsoft.com/office/word/2010/wordprocessingShape">
                    <wps:wsp>
                      <wps:cNvSpPr txBox="1"/>
                      <wps:spPr>
                        <a:xfrm>
                          <a:off x="0" y="0"/>
                          <a:ext cx="3916045" cy="635"/>
                        </a:xfrm>
                        <a:prstGeom prst="rect">
                          <a:avLst/>
                        </a:prstGeom>
                        <a:solidFill>
                          <a:prstClr val="white"/>
                        </a:solidFill>
                        <a:ln>
                          <a:noFill/>
                        </a:ln>
                      </wps:spPr>
                      <wps:txbx>
                        <w:txbxContent>
                          <w:p w14:paraId="26930EEB" w14:textId="3C458E02" w:rsidR="00FD5628" w:rsidRPr="00FD5628" w:rsidRDefault="00FD5628" w:rsidP="00FD5628">
                            <w:pPr>
                              <w:pStyle w:val="Descripcin"/>
                              <w:jc w:val="center"/>
                              <w:rPr>
                                <w:rFonts w:ascii="Arial" w:eastAsia="Calibri" w:hAnsi="Arial" w:cs="Arial"/>
                                <w:smallCaps w:val="0"/>
                                <w:noProof/>
                                <w:sz w:val="18"/>
                                <w:szCs w:val="18"/>
                              </w:rPr>
                            </w:pPr>
                            <w:bookmarkStart w:id="404" w:name="_Toc99110984"/>
                            <w:r w:rsidRPr="00FD5628">
                              <w:rPr>
                                <w:rFonts w:ascii="Arial" w:hAnsi="Arial" w:cs="Arial"/>
                                <w:smallCaps w:val="0"/>
                                <w:color w:val="9D2235" w:themeColor="accent1"/>
                                <w:sz w:val="18"/>
                                <w:szCs w:val="18"/>
                              </w:rPr>
                              <w:t xml:space="preserve">Gràfic </w:t>
                            </w:r>
                            <w:r w:rsidRPr="00FD5628">
                              <w:rPr>
                                <w:rFonts w:ascii="Arial" w:hAnsi="Arial" w:cs="Arial"/>
                                <w:smallCaps w:val="0"/>
                                <w:color w:val="9D2235" w:themeColor="accent1"/>
                                <w:sz w:val="18"/>
                                <w:szCs w:val="18"/>
                              </w:rPr>
                              <w:fldChar w:fldCharType="begin"/>
                            </w:r>
                            <w:r w:rsidRPr="00FD5628">
                              <w:rPr>
                                <w:rFonts w:ascii="Arial" w:hAnsi="Arial" w:cs="Arial"/>
                                <w:smallCaps w:val="0"/>
                                <w:color w:val="9D2235" w:themeColor="accent1"/>
                                <w:sz w:val="18"/>
                                <w:szCs w:val="18"/>
                              </w:rPr>
                              <w:instrText xml:space="preserve"> SEQ Gràfic \* ARABIC </w:instrText>
                            </w:r>
                            <w:r w:rsidRPr="00FD5628">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25</w:t>
                            </w:r>
                            <w:r w:rsidRPr="00FD5628">
                              <w:rPr>
                                <w:rFonts w:ascii="Arial" w:hAnsi="Arial" w:cs="Arial"/>
                                <w:smallCaps w:val="0"/>
                                <w:color w:val="9D2235" w:themeColor="accent1"/>
                                <w:sz w:val="18"/>
                                <w:szCs w:val="18"/>
                              </w:rPr>
                              <w:fldChar w:fldCharType="end"/>
                            </w:r>
                            <w:r w:rsidRPr="00FD5628">
                              <w:rPr>
                                <w:rFonts w:ascii="Arial" w:hAnsi="Arial" w:cs="Arial"/>
                                <w:smallCaps w:val="0"/>
                                <w:color w:val="9D2235" w:themeColor="accent1"/>
                                <w:sz w:val="18"/>
                                <w:szCs w:val="18"/>
                              </w:rPr>
                              <w:t xml:space="preserve">. </w:t>
                            </w:r>
                            <w:r w:rsidRPr="00FD5628">
                              <w:rPr>
                                <w:rFonts w:ascii="Arial" w:hAnsi="Arial" w:cs="Arial"/>
                                <w:smallCaps w:val="0"/>
                                <w:sz w:val="18"/>
                                <w:szCs w:val="18"/>
                              </w:rPr>
                              <w:t>Evolució participants en activitats formatives 2017-2021</w:t>
                            </w:r>
                            <w:bookmarkEnd w:id="4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F5392A" id="Cuadro de texto 58" o:spid="_x0000_s1041" type="#_x0000_t202" style="position:absolute;margin-left:58.1pt;margin-top:194.05pt;width:308.35pt;height:.0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" stroked="f">
                <v:textbox style="mso-fit-shape-to-text:t" inset="0,0,0,0">
                  <w:txbxContent>
                    <w:p w14:paraId="26930EEB" w14:textId="3C458E02" w:rsidR="00FD5628" w:rsidRPr="00FD5628" w:rsidRDefault="00FD5628" w:rsidP="00FD5628">
                      <w:pPr>
                        <w:pStyle w:val="Descripcin"/>
                        <w:jc w:val="center"/>
                        <w:rPr>
                          <w:rFonts w:ascii="Arial" w:eastAsia="Calibri" w:hAnsi="Arial" w:cs="Arial"/>
                          <w:smallCaps w:val="0"/>
                          <w:noProof/>
                          <w:sz w:val="18"/>
                          <w:szCs w:val="18"/>
                        </w:rPr>
                      </w:pPr>
                      <w:bookmarkStart w:id="420" w:name="_Toc99110984"/>
                      <w:r w:rsidRPr="00FD5628">
                        <w:rPr>
                          <w:rFonts w:ascii="Arial" w:hAnsi="Arial" w:cs="Arial"/>
                          <w:smallCaps w:val="0"/>
                          <w:color w:val="9D2235" w:themeColor="accent1"/>
                          <w:sz w:val="18"/>
                          <w:szCs w:val="18"/>
                        </w:rPr>
                        <w:t xml:space="preserve">Gràfic </w:t>
                      </w:r>
                      <w:r w:rsidRPr="00FD5628">
                        <w:rPr>
                          <w:rFonts w:ascii="Arial" w:hAnsi="Arial" w:cs="Arial"/>
                          <w:smallCaps w:val="0"/>
                          <w:color w:val="9D2235" w:themeColor="accent1"/>
                          <w:sz w:val="18"/>
                          <w:szCs w:val="18"/>
                        </w:rPr>
                        <w:fldChar w:fldCharType="begin"/>
                      </w:r>
                      <w:r w:rsidRPr="00FD5628">
                        <w:rPr>
                          <w:rFonts w:ascii="Arial" w:hAnsi="Arial" w:cs="Arial"/>
                          <w:smallCaps w:val="0"/>
                          <w:color w:val="9D2235" w:themeColor="accent1"/>
                          <w:sz w:val="18"/>
                          <w:szCs w:val="18"/>
                        </w:rPr>
                        <w:instrText xml:space="preserve"> SEQ Gràfic \* ARABIC </w:instrText>
                      </w:r>
                      <w:r w:rsidRPr="00FD5628">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25</w:t>
                      </w:r>
                      <w:r w:rsidRPr="00FD5628">
                        <w:rPr>
                          <w:rFonts w:ascii="Arial" w:hAnsi="Arial" w:cs="Arial"/>
                          <w:smallCaps w:val="0"/>
                          <w:color w:val="9D2235" w:themeColor="accent1"/>
                          <w:sz w:val="18"/>
                          <w:szCs w:val="18"/>
                        </w:rPr>
                        <w:fldChar w:fldCharType="end"/>
                      </w:r>
                      <w:r w:rsidRPr="00FD5628">
                        <w:rPr>
                          <w:rFonts w:ascii="Arial" w:hAnsi="Arial" w:cs="Arial"/>
                          <w:smallCaps w:val="0"/>
                          <w:color w:val="9D2235" w:themeColor="accent1"/>
                          <w:sz w:val="18"/>
                          <w:szCs w:val="18"/>
                        </w:rPr>
                        <w:t xml:space="preserve">. </w:t>
                      </w:r>
                      <w:r w:rsidRPr="00FD5628">
                        <w:rPr>
                          <w:rFonts w:ascii="Arial" w:hAnsi="Arial" w:cs="Arial"/>
                          <w:smallCaps w:val="0"/>
                          <w:sz w:val="18"/>
                          <w:szCs w:val="18"/>
                        </w:rPr>
                        <w:t>Evolució participants en activitats formatives 2017-2021</w:t>
                      </w:r>
                      <w:bookmarkEnd w:id="420"/>
                    </w:p>
                  </w:txbxContent>
                </v:textbox>
                <w10:wrap type="topAndBottom"/>
              </v:shape>
            </w:pict>
          </mc:Fallback>
        </mc:AlternateContent>
      </w:r>
      <w:r w:rsidR="00943986" w:rsidRPr="00281220">
        <w:rPr>
          <w:rFonts w:ascii="Arial" w:eastAsia="Calibri" w:hAnsi="Arial" w:cs="Arial"/>
          <w:noProof/>
          <w:sz w:val="21"/>
          <w:szCs w:val="21"/>
        </w:rPr>
        <w:drawing>
          <wp:anchor distT="0" distB="0" distL="114300" distR="114300" simplePos="0" relativeHeight="252024832" behindDoc="0" locked="0" layoutInCell="1" allowOverlap="1" wp14:anchorId="0EFF467D" wp14:editId="4EA915D2">
            <wp:simplePos x="0" y="0"/>
            <wp:positionH relativeFrom="margin">
              <wp:align>center</wp:align>
            </wp:positionH>
            <wp:positionV relativeFrom="paragraph">
              <wp:posOffset>0</wp:posOffset>
            </wp:positionV>
            <wp:extent cx="3916172" cy="2407368"/>
            <wp:effectExtent l="0" t="0" r="8255" b="0"/>
            <wp:wrapTopAndBottom/>
            <wp:docPr id="81" name="Imagen 8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descr="Gráfico, Gráfico de barras&#10;&#10;Descripción generada automáticamente"/>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3916172" cy="2407368"/>
                    </a:xfrm>
                    <a:prstGeom prst="rect">
                      <a:avLst/>
                    </a:prstGeom>
                    <a:noFill/>
                  </pic:spPr>
                </pic:pic>
              </a:graphicData>
            </a:graphic>
          </wp:anchor>
        </w:drawing>
      </w:r>
    </w:p>
    <w:p w14:paraId="7B9AC501" w14:textId="71A7F42A" w:rsidR="00DD3DF0" w:rsidRDefault="00FD5628" w:rsidP="007143A2">
      <w:pPr>
        <w:pStyle w:val="Texto"/>
        <w:spacing w:after="240"/>
        <w:rPr>
          <w:rFonts w:ascii="Arial" w:hAnsi="Arial"/>
        </w:rPr>
      </w:pPr>
      <w:r w:rsidRPr="00FD5628">
        <w:rPr>
          <w:rFonts w:ascii="Arial" w:hAnsi="Arial"/>
        </w:rPr>
        <w:t xml:space="preserve">Finalment, el </w:t>
      </w:r>
      <w:r w:rsidRPr="00C9578C">
        <w:rPr>
          <w:rFonts w:ascii="Arial" w:hAnsi="Arial"/>
        </w:rPr>
        <w:t xml:space="preserve">gràfic </w:t>
      </w:r>
      <w:r w:rsidR="00D80C9E" w:rsidRPr="00C9578C">
        <w:rPr>
          <w:rFonts w:ascii="Arial" w:hAnsi="Arial"/>
        </w:rPr>
        <w:t>2</w:t>
      </w:r>
      <w:r w:rsidRPr="00C9578C">
        <w:rPr>
          <w:rFonts w:ascii="Arial" w:hAnsi="Arial"/>
        </w:rPr>
        <w:t>6 evidència</w:t>
      </w:r>
      <w:r w:rsidRPr="00FD5628">
        <w:rPr>
          <w:rFonts w:ascii="Arial" w:hAnsi="Arial"/>
        </w:rPr>
        <w:t xml:space="preserve"> que en els últims tres anys es concentra l'assistència de persones a activitats formatives de l’AVAF (91% del total) i, de manera singular, en l'últim any (50% del total).</w:t>
      </w:r>
    </w:p>
    <w:p w14:paraId="4FC32570" w14:textId="77777777" w:rsidR="00FD5628" w:rsidRPr="00FD5628" w:rsidRDefault="00FD5628" w:rsidP="007143A2">
      <w:pPr>
        <w:pStyle w:val="Texto"/>
        <w:spacing w:after="240"/>
        <w:rPr>
          <w:rFonts w:ascii="Arial" w:hAnsi="Arial"/>
        </w:rPr>
      </w:pPr>
    </w:p>
    <w:p w14:paraId="5B15B4E3" w14:textId="77777777" w:rsidR="00FD5628" w:rsidRDefault="00FD5628" w:rsidP="00FD5628">
      <w:pPr>
        <w:pStyle w:val="Texto"/>
        <w:keepNext/>
        <w:spacing w:after="240"/>
        <w:jc w:val="center"/>
      </w:pPr>
      <w:r w:rsidRPr="00281220">
        <w:rPr>
          <w:rFonts w:ascii="Arial" w:eastAsia="Calibri" w:hAnsi="Arial" w:cs="Arial"/>
          <w:noProof/>
        </w:rPr>
        <w:drawing>
          <wp:inline distT="0" distB="0" distL="0" distR="0" wp14:anchorId="34885BC4" wp14:editId="6E354857">
            <wp:extent cx="3548712" cy="3013256"/>
            <wp:effectExtent l="0" t="0" r="0" b="0"/>
            <wp:docPr id="59" name="Imagen 59"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Gráfico, Gráfico circular&#10;&#10;Descripción generada automáticamente"/>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578817" cy="3038818"/>
                    </a:xfrm>
                    <a:prstGeom prst="rect">
                      <a:avLst/>
                    </a:prstGeom>
                    <a:noFill/>
                  </pic:spPr>
                </pic:pic>
              </a:graphicData>
            </a:graphic>
          </wp:inline>
        </w:drawing>
      </w:r>
    </w:p>
    <w:p w14:paraId="2F129586" w14:textId="4C46999F" w:rsidR="00DD3DF0" w:rsidRPr="00FD5628" w:rsidRDefault="00FD5628" w:rsidP="00FD5628">
      <w:pPr>
        <w:pStyle w:val="Descripcin"/>
        <w:jc w:val="center"/>
        <w:rPr>
          <w:rFonts w:ascii="Arial" w:hAnsi="Arial" w:cs="Arial"/>
          <w:smallCaps w:val="0"/>
          <w:sz w:val="18"/>
          <w:szCs w:val="18"/>
        </w:rPr>
      </w:pPr>
      <w:bookmarkStart w:id="405" w:name="_Toc99110985"/>
      <w:r w:rsidRPr="00FD5628">
        <w:rPr>
          <w:rFonts w:ascii="Arial" w:hAnsi="Arial" w:cs="Arial"/>
          <w:smallCaps w:val="0"/>
          <w:color w:val="9D2235" w:themeColor="accent1"/>
          <w:sz w:val="18"/>
          <w:szCs w:val="18"/>
        </w:rPr>
        <w:t xml:space="preserve">Gràfic </w:t>
      </w:r>
      <w:r w:rsidRPr="00FD5628">
        <w:rPr>
          <w:rFonts w:ascii="Arial" w:hAnsi="Arial" w:cs="Arial"/>
          <w:smallCaps w:val="0"/>
          <w:color w:val="9D2235" w:themeColor="accent1"/>
          <w:sz w:val="18"/>
          <w:szCs w:val="18"/>
        </w:rPr>
        <w:fldChar w:fldCharType="begin" w:fldLock="1"/>
      </w:r>
      <w:r w:rsidRPr="00FD5628">
        <w:rPr>
          <w:rFonts w:ascii="Arial" w:hAnsi="Arial" w:cs="Arial"/>
          <w:smallCaps w:val="0"/>
          <w:color w:val="9D2235" w:themeColor="accent1"/>
          <w:sz w:val="18"/>
          <w:szCs w:val="18"/>
        </w:rPr>
        <w:instrText xml:space="preserve"> SEQ Gràfic \* ARABIC </w:instrText>
      </w:r>
      <w:r w:rsidRPr="00FD5628">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26</w:t>
      </w:r>
      <w:r w:rsidRPr="00FD5628">
        <w:rPr>
          <w:rFonts w:ascii="Arial" w:hAnsi="Arial" w:cs="Arial"/>
          <w:smallCaps w:val="0"/>
          <w:color w:val="9D2235" w:themeColor="accent1"/>
          <w:sz w:val="18"/>
          <w:szCs w:val="18"/>
        </w:rPr>
        <w:fldChar w:fldCharType="end"/>
      </w:r>
      <w:r w:rsidRPr="00FD5628">
        <w:rPr>
          <w:rFonts w:ascii="Arial" w:hAnsi="Arial" w:cs="Arial"/>
          <w:smallCaps w:val="0"/>
          <w:color w:val="9D2235" w:themeColor="accent1"/>
          <w:sz w:val="18"/>
          <w:szCs w:val="18"/>
        </w:rPr>
        <w:t xml:space="preserve">. </w:t>
      </w:r>
      <w:r w:rsidRPr="00FD5628">
        <w:rPr>
          <w:rFonts w:ascii="Arial" w:hAnsi="Arial" w:cs="Arial"/>
          <w:smallCaps w:val="0"/>
          <w:sz w:val="18"/>
          <w:szCs w:val="18"/>
        </w:rPr>
        <w:t>Distribució de participants en activitats formatives 2017-2021</w:t>
      </w:r>
      <w:bookmarkEnd w:id="405"/>
    </w:p>
    <w:p w14:paraId="07CA7C1C" w14:textId="7E0805F3" w:rsidR="00FD5628" w:rsidRDefault="00FD5628" w:rsidP="007143A2">
      <w:pPr>
        <w:pStyle w:val="Texto"/>
        <w:spacing w:after="240"/>
        <w:rPr>
          <w:rFonts w:ascii="Arial" w:hAnsi="Arial" w:cs="Arial"/>
        </w:rPr>
      </w:pPr>
    </w:p>
    <w:p w14:paraId="14D93BEF" w14:textId="6CDCEEA7" w:rsidR="00FD5628" w:rsidRDefault="00FD5628" w:rsidP="007143A2">
      <w:pPr>
        <w:pStyle w:val="Texto"/>
        <w:spacing w:after="240"/>
        <w:rPr>
          <w:rFonts w:ascii="Arial" w:hAnsi="Arial" w:cs="Arial"/>
        </w:rPr>
      </w:pPr>
    </w:p>
    <w:p w14:paraId="72BC6AA9" w14:textId="4154C81C" w:rsidR="00FD5628" w:rsidRDefault="00FD5628" w:rsidP="007143A2">
      <w:pPr>
        <w:pStyle w:val="Texto"/>
        <w:spacing w:after="240"/>
        <w:rPr>
          <w:rFonts w:ascii="Arial" w:hAnsi="Arial" w:cs="Arial"/>
        </w:rPr>
      </w:pPr>
    </w:p>
    <w:p w14:paraId="65FBB371" w14:textId="77777777" w:rsidR="00FD5628" w:rsidRPr="00FD5628" w:rsidRDefault="00FD5628" w:rsidP="00E004C5">
      <w:pPr>
        <w:pStyle w:val="Texto"/>
        <w:spacing w:after="120"/>
        <w:rPr>
          <w:rFonts w:ascii="Arial" w:hAnsi="Arial" w:cs="Arial"/>
          <w:b/>
          <w:i/>
          <w:iCs/>
        </w:rPr>
      </w:pPr>
      <w:r w:rsidRPr="00FD5628">
        <w:rPr>
          <w:rFonts w:ascii="Arial" w:hAnsi="Arial" w:cs="Arial"/>
          <w:b/>
          <w:i/>
          <w:iCs/>
        </w:rPr>
        <w:t>Hores lectives en activitats formatives</w:t>
      </w:r>
    </w:p>
    <w:p w14:paraId="041FF270" w14:textId="1742483C" w:rsidR="00FD5628" w:rsidRPr="00FD5628" w:rsidRDefault="00FD5628" w:rsidP="00E004C5">
      <w:pPr>
        <w:pStyle w:val="Texto"/>
        <w:spacing w:after="120"/>
        <w:rPr>
          <w:rFonts w:ascii="Arial" w:hAnsi="Arial" w:cs="Arial"/>
          <w:bCs/>
          <w:iCs/>
        </w:rPr>
      </w:pPr>
      <w:r w:rsidRPr="00FD5628">
        <w:rPr>
          <w:rFonts w:ascii="Arial" w:hAnsi="Arial" w:cs="Arial"/>
          <w:bCs/>
          <w:iCs/>
        </w:rPr>
        <w:t xml:space="preserve">En correspondència amb l'anterior, les hores lectives també s'han vist incrementades durant l'últim exercici, un 63% respecte a l'any anterior i un 166% sobre 2019 </w:t>
      </w:r>
      <w:r w:rsidRPr="00C9578C">
        <w:rPr>
          <w:rFonts w:ascii="Arial" w:hAnsi="Arial" w:cs="Arial"/>
          <w:bCs/>
          <w:iCs/>
        </w:rPr>
        <w:t xml:space="preserve">(Gràfic </w:t>
      </w:r>
      <w:r w:rsidR="00D80C9E" w:rsidRPr="00C9578C">
        <w:rPr>
          <w:rFonts w:ascii="Arial" w:hAnsi="Arial" w:cs="Arial"/>
          <w:bCs/>
          <w:iCs/>
        </w:rPr>
        <w:t>2</w:t>
      </w:r>
      <w:r w:rsidRPr="00C9578C">
        <w:rPr>
          <w:rFonts w:ascii="Arial" w:hAnsi="Arial" w:cs="Arial"/>
          <w:bCs/>
          <w:iCs/>
        </w:rPr>
        <w:t>7).</w:t>
      </w:r>
    </w:p>
    <w:p w14:paraId="6C8DB79B" w14:textId="410DCF4A" w:rsidR="00FD5628" w:rsidRPr="00FD5628" w:rsidRDefault="00E004C5" w:rsidP="00E004C5">
      <w:pPr>
        <w:pStyle w:val="Texto"/>
        <w:spacing w:after="120"/>
        <w:rPr>
          <w:rFonts w:ascii="Arial" w:hAnsi="Arial" w:cs="Arial"/>
        </w:rPr>
      </w:pPr>
      <w:r w:rsidRPr="00FD5628">
        <w:rPr>
          <w:rFonts w:ascii="Arial" w:hAnsi="Arial" w:cs="Arial"/>
          <w:noProof/>
        </w:rPr>
        <w:drawing>
          <wp:anchor distT="0" distB="0" distL="114300" distR="114300" simplePos="0" relativeHeight="252028928" behindDoc="0" locked="0" layoutInCell="1" allowOverlap="1" wp14:anchorId="3332CA7C" wp14:editId="146B7EC1">
            <wp:simplePos x="0" y="0"/>
            <wp:positionH relativeFrom="margin">
              <wp:align>center</wp:align>
            </wp:positionH>
            <wp:positionV relativeFrom="paragraph">
              <wp:posOffset>744220</wp:posOffset>
            </wp:positionV>
            <wp:extent cx="3745230" cy="2408555"/>
            <wp:effectExtent l="0" t="0" r="7620" b="0"/>
            <wp:wrapTopAndBottom/>
            <wp:docPr id="86" name="Imagen 8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descr="Gráfico&#10;&#10;Descripción generada automáticamente"/>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3745230" cy="2408555"/>
                    </a:xfrm>
                    <a:prstGeom prst="rect">
                      <a:avLst/>
                    </a:prstGeom>
                    <a:noFill/>
                  </pic:spPr>
                </pic:pic>
              </a:graphicData>
            </a:graphic>
          </wp:anchor>
        </w:drawing>
      </w:r>
      <w:r w:rsidR="00FD5628">
        <w:rPr>
          <w:noProof/>
        </w:rPr>
        <mc:AlternateContent>
          <mc:Choice Requires="wps">
            <w:drawing>
              <wp:anchor distT="0" distB="0" distL="114300" distR="114300" simplePos="0" relativeHeight="252030976" behindDoc="0" locked="0" layoutInCell="1" allowOverlap="1" wp14:anchorId="46683129" wp14:editId="36E1C3E4">
                <wp:simplePos x="0" y="0"/>
                <wp:positionH relativeFrom="column">
                  <wp:posOffset>977265</wp:posOffset>
                </wp:positionH>
                <wp:positionV relativeFrom="paragraph">
                  <wp:posOffset>3260725</wp:posOffset>
                </wp:positionV>
                <wp:extent cx="3745230" cy="635"/>
                <wp:effectExtent l="0" t="0" r="0" b="0"/>
                <wp:wrapTopAndBottom/>
                <wp:docPr id="60" name="Cuadro de texto 60"/>
                <wp:cNvGraphicFramePr/>
                <a:graphic xmlns:a="http://schemas.openxmlformats.org/drawingml/2006/main">
                  <a:graphicData uri="http://schemas.microsoft.com/office/word/2010/wordprocessingShape">
                    <wps:wsp>
                      <wps:cNvSpPr txBox="1"/>
                      <wps:spPr>
                        <a:xfrm>
                          <a:off x="0" y="0"/>
                          <a:ext cx="3745230" cy="635"/>
                        </a:xfrm>
                        <a:prstGeom prst="rect">
                          <a:avLst/>
                        </a:prstGeom>
                        <a:solidFill>
                          <a:prstClr val="white"/>
                        </a:solidFill>
                        <a:ln>
                          <a:noFill/>
                        </a:ln>
                      </wps:spPr>
                      <wps:txbx>
                        <w:txbxContent>
                          <w:p w14:paraId="6DC802F3" w14:textId="0B3A2975" w:rsidR="00FD5628" w:rsidRPr="00002FAB" w:rsidRDefault="00FD5628" w:rsidP="00FD5628">
                            <w:pPr>
                              <w:pStyle w:val="Descripcin"/>
                              <w:jc w:val="center"/>
                              <w:rPr>
                                <w:rFonts w:ascii="Arial" w:eastAsia="Times New Roman" w:hAnsi="Arial" w:cs="Arial"/>
                                <w:smallCaps w:val="0"/>
                                <w:sz w:val="18"/>
                                <w:szCs w:val="18"/>
                              </w:rPr>
                            </w:pPr>
                            <w:bookmarkStart w:id="406" w:name="_Toc99110986"/>
                            <w:r w:rsidRPr="00002FAB">
                              <w:rPr>
                                <w:rFonts w:ascii="Arial" w:hAnsi="Arial" w:cs="Arial"/>
                                <w:smallCaps w:val="0"/>
                                <w:color w:val="9D2235" w:themeColor="accent1"/>
                                <w:sz w:val="18"/>
                                <w:szCs w:val="18"/>
                              </w:rPr>
                              <w:t xml:space="preserve">Gràfic </w:t>
                            </w:r>
                            <w:r w:rsidRPr="00002FAB">
                              <w:rPr>
                                <w:rFonts w:ascii="Arial" w:hAnsi="Arial" w:cs="Arial"/>
                                <w:smallCaps w:val="0"/>
                                <w:color w:val="9D2235" w:themeColor="accent1"/>
                                <w:sz w:val="18"/>
                                <w:szCs w:val="18"/>
                              </w:rPr>
                              <w:fldChar w:fldCharType="begin"/>
                            </w:r>
                            <w:r w:rsidRPr="00002FAB">
                              <w:rPr>
                                <w:rFonts w:ascii="Arial" w:hAnsi="Arial" w:cs="Arial"/>
                                <w:smallCaps w:val="0"/>
                                <w:color w:val="9D2235" w:themeColor="accent1"/>
                                <w:sz w:val="18"/>
                                <w:szCs w:val="18"/>
                              </w:rPr>
                              <w:instrText xml:space="preserve"> SEQ Gràfic \* ARABIC </w:instrText>
                            </w:r>
                            <w:r w:rsidRPr="00002FAB">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27</w:t>
                            </w:r>
                            <w:r w:rsidRPr="00002FAB">
                              <w:rPr>
                                <w:rFonts w:ascii="Arial" w:hAnsi="Arial" w:cs="Arial"/>
                                <w:smallCaps w:val="0"/>
                                <w:color w:val="9D2235" w:themeColor="accent1"/>
                                <w:sz w:val="18"/>
                                <w:szCs w:val="18"/>
                              </w:rPr>
                              <w:fldChar w:fldCharType="end"/>
                            </w:r>
                            <w:r w:rsidRPr="00002FAB">
                              <w:rPr>
                                <w:rFonts w:ascii="Arial" w:hAnsi="Arial" w:cs="Arial"/>
                                <w:smallCaps w:val="0"/>
                                <w:color w:val="9D2235" w:themeColor="accent1"/>
                                <w:sz w:val="18"/>
                                <w:szCs w:val="18"/>
                              </w:rPr>
                              <w:t xml:space="preserve">. </w:t>
                            </w:r>
                            <w:r w:rsidRPr="00002FAB">
                              <w:rPr>
                                <w:rFonts w:ascii="Arial" w:hAnsi="Arial" w:cs="Arial"/>
                                <w:smallCaps w:val="0"/>
                                <w:sz w:val="18"/>
                                <w:szCs w:val="18"/>
                              </w:rPr>
                              <w:t>Evolució hores lectives en activitats formatives 2017-2021</w:t>
                            </w:r>
                            <w:bookmarkEnd w:id="406"/>
                            <w:r w:rsidR="00002FAB">
                              <w:rPr>
                                <w:rFonts w:ascii="Arial" w:hAnsi="Arial" w:cs="Arial"/>
                                <w:smallCaps w:val="0"/>
                                <w:sz w:val="18"/>
                                <w:szCs w:val="1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683129" id="Cuadro de texto 60" o:spid="_x0000_s1042" type="#_x0000_t202" style="position:absolute;left:0;text-align:left;margin-left:76.95pt;margin-top:256.75pt;width:294.9pt;height:.0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" stroked="f">
                <v:textbox style="mso-fit-shape-to-text:t" inset="0,0,0,0">
                  <w:txbxContent>
                    <w:p w14:paraId="6DC802F3" w14:textId="0B3A2975" w:rsidR="00FD5628" w:rsidRPr="00002FAB" w:rsidRDefault="00FD5628" w:rsidP="00FD5628">
                      <w:pPr>
                        <w:pStyle w:val="Descripcin"/>
                        <w:jc w:val="center"/>
                        <w:rPr>
                          <w:rFonts w:ascii="Arial" w:eastAsia="Times New Roman" w:hAnsi="Arial" w:cs="Arial"/>
                          <w:smallCaps w:val="0"/>
                          <w:sz w:val="18"/>
                          <w:szCs w:val="18"/>
                        </w:rPr>
                      </w:pPr>
                      <w:bookmarkStart w:id="423" w:name="_Toc99110986"/>
                      <w:r w:rsidRPr="00002FAB">
                        <w:rPr>
                          <w:rFonts w:ascii="Arial" w:hAnsi="Arial" w:cs="Arial"/>
                          <w:smallCaps w:val="0"/>
                          <w:color w:val="9D2235" w:themeColor="accent1"/>
                          <w:sz w:val="18"/>
                          <w:szCs w:val="18"/>
                        </w:rPr>
                        <w:t xml:space="preserve">Gràfic </w:t>
                      </w:r>
                      <w:r w:rsidRPr="00002FAB">
                        <w:rPr>
                          <w:rFonts w:ascii="Arial" w:hAnsi="Arial" w:cs="Arial"/>
                          <w:smallCaps w:val="0"/>
                          <w:color w:val="9D2235" w:themeColor="accent1"/>
                          <w:sz w:val="18"/>
                          <w:szCs w:val="18"/>
                        </w:rPr>
                        <w:fldChar w:fldCharType="begin"/>
                      </w:r>
                      <w:r w:rsidRPr="00002FAB">
                        <w:rPr>
                          <w:rFonts w:ascii="Arial" w:hAnsi="Arial" w:cs="Arial"/>
                          <w:smallCaps w:val="0"/>
                          <w:color w:val="9D2235" w:themeColor="accent1"/>
                          <w:sz w:val="18"/>
                          <w:szCs w:val="18"/>
                        </w:rPr>
                        <w:instrText xml:space="preserve"> SEQ Gràfic \* ARABIC </w:instrText>
                      </w:r>
                      <w:r w:rsidRPr="00002FAB">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27</w:t>
                      </w:r>
                      <w:r w:rsidRPr="00002FAB">
                        <w:rPr>
                          <w:rFonts w:ascii="Arial" w:hAnsi="Arial" w:cs="Arial"/>
                          <w:smallCaps w:val="0"/>
                          <w:color w:val="9D2235" w:themeColor="accent1"/>
                          <w:sz w:val="18"/>
                          <w:szCs w:val="18"/>
                        </w:rPr>
                        <w:fldChar w:fldCharType="end"/>
                      </w:r>
                      <w:r w:rsidRPr="00002FAB">
                        <w:rPr>
                          <w:rFonts w:ascii="Arial" w:hAnsi="Arial" w:cs="Arial"/>
                          <w:smallCaps w:val="0"/>
                          <w:color w:val="9D2235" w:themeColor="accent1"/>
                          <w:sz w:val="18"/>
                          <w:szCs w:val="18"/>
                        </w:rPr>
                        <w:t xml:space="preserve">. </w:t>
                      </w:r>
                      <w:r w:rsidRPr="00002FAB">
                        <w:rPr>
                          <w:rFonts w:ascii="Arial" w:hAnsi="Arial" w:cs="Arial"/>
                          <w:smallCaps w:val="0"/>
                          <w:sz w:val="18"/>
                          <w:szCs w:val="18"/>
                        </w:rPr>
                        <w:t>Evolució hores lectives en activitats formatives 2017-2021</w:t>
                      </w:r>
                      <w:bookmarkEnd w:id="423"/>
                      <w:r w:rsidR="00002FAB">
                        <w:rPr>
                          <w:rFonts w:ascii="Arial" w:hAnsi="Arial" w:cs="Arial"/>
                          <w:smallCaps w:val="0"/>
                          <w:sz w:val="18"/>
                          <w:szCs w:val="18"/>
                        </w:rPr>
                        <w:t xml:space="preserve">  </w:t>
                      </w:r>
                    </w:p>
                  </w:txbxContent>
                </v:textbox>
                <w10:wrap type="topAndBottom"/>
              </v:shape>
            </w:pict>
          </mc:Fallback>
        </mc:AlternateContent>
      </w:r>
      <w:r w:rsidR="00FD5628" w:rsidRPr="00FD5628">
        <w:rPr>
          <w:rFonts w:ascii="Arial" w:hAnsi="Arial" w:cs="Arial"/>
        </w:rPr>
        <w:t>Si a aquest fet, s'afig que hi ha hagut també un increment generalitzat del nombre d'hores en cursos formatius per a especialistes i grups de servidors públics tècnics, l'impacte de les hores lectives pot considerar-se qualitativament més significatiu</w:t>
      </w:r>
    </w:p>
    <w:p w14:paraId="429A9568" w14:textId="189014A4" w:rsidR="00FD5628" w:rsidRDefault="00E004C5" w:rsidP="0031438A">
      <w:pPr>
        <w:pStyle w:val="Texto"/>
        <w:spacing w:after="240"/>
        <w:rPr>
          <w:rFonts w:ascii="Arial" w:hAnsi="Arial" w:cs="Arial"/>
        </w:rPr>
      </w:pPr>
      <w:r w:rsidRPr="00C9578C">
        <w:rPr>
          <w:rFonts w:ascii="Arial" w:hAnsi="Arial" w:cs="Arial"/>
          <w:noProof/>
        </w:rPr>
        <w:drawing>
          <wp:anchor distT="0" distB="0" distL="114300" distR="114300" simplePos="0" relativeHeight="252033024" behindDoc="0" locked="0" layoutInCell="1" allowOverlap="1" wp14:anchorId="34D20D31" wp14:editId="3A3641F9">
            <wp:simplePos x="0" y="0"/>
            <wp:positionH relativeFrom="margin">
              <wp:posOffset>855345</wp:posOffset>
            </wp:positionH>
            <wp:positionV relativeFrom="paragraph">
              <wp:posOffset>3997960</wp:posOffset>
            </wp:positionV>
            <wp:extent cx="3749675" cy="2883535"/>
            <wp:effectExtent l="0" t="0" r="3175" b="0"/>
            <wp:wrapTopAndBottom/>
            <wp:docPr id="63" name="Imagen 6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Gráfico, Gráfico circular&#10;&#10;Descripción generada automáticamente"/>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749675" cy="2883535"/>
                    </a:xfrm>
                    <a:prstGeom prst="rect">
                      <a:avLst/>
                    </a:prstGeom>
                    <a:noFill/>
                  </pic:spPr>
                </pic:pic>
              </a:graphicData>
            </a:graphic>
          </wp:anchor>
        </w:drawing>
      </w:r>
      <w:r w:rsidRPr="00C9578C">
        <w:rPr>
          <w:noProof/>
        </w:rPr>
        <mc:AlternateContent>
          <mc:Choice Requires="wps">
            <w:drawing>
              <wp:anchor distT="0" distB="0" distL="114300" distR="114300" simplePos="0" relativeHeight="252035072" behindDoc="0" locked="0" layoutInCell="1" allowOverlap="1" wp14:anchorId="204E7221" wp14:editId="36072ACE">
                <wp:simplePos x="0" y="0"/>
                <wp:positionH relativeFrom="column">
                  <wp:posOffset>818515</wp:posOffset>
                </wp:positionH>
                <wp:positionV relativeFrom="paragraph">
                  <wp:posOffset>6946265</wp:posOffset>
                </wp:positionV>
                <wp:extent cx="3844925" cy="196850"/>
                <wp:effectExtent l="0" t="0" r="3175" b="0"/>
                <wp:wrapTopAndBottom/>
                <wp:docPr id="65" name="Cuadro de texto 65"/>
                <wp:cNvGraphicFramePr/>
                <a:graphic xmlns:a="http://schemas.openxmlformats.org/drawingml/2006/main">
                  <a:graphicData uri="http://schemas.microsoft.com/office/word/2010/wordprocessingShape">
                    <wps:wsp>
                      <wps:cNvSpPr txBox="1"/>
                      <wps:spPr>
                        <a:xfrm>
                          <a:off x="0" y="0"/>
                          <a:ext cx="3844925" cy="196850"/>
                        </a:xfrm>
                        <a:prstGeom prst="rect">
                          <a:avLst/>
                        </a:prstGeom>
                        <a:solidFill>
                          <a:prstClr val="white"/>
                        </a:solidFill>
                        <a:ln>
                          <a:noFill/>
                        </a:ln>
                      </wps:spPr>
                      <wps:txbx>
                        <w:txbxContent>
                          <w:p w14:paraId="414937AF" w14:textId="33C494E9" w:rsidR="00002FAB" w:rsidRPr="00E004C5" w:rsidRDefault="00002FAB" w:rsidP="00E004C5">
                            <w:pPr>
                              <w:pStyle w:val="Descripcin"/>
                              <w:jc w:val="center"/>
                              <w:rPr>
                                <w:rFonts w:ascii="Arial" w:eastAsia="Times New Roman" w:hAnsi="Arial" w:cs="Arial"/>
                                <w:smallCaps w:val="0"/>
                                <w:sz w:val="18"/>
                                <w:szCs w:val="18"/>
                              </w:rPr>
                            </w:pPr>
                            <w:bookmarkStart w:id="407" w:name="_Toc99110987"/>
                            <w:r w:rsidRPr="00E004C5">
                              <w:rPr>
                                <w:rFonts w:ascii="Arial" w:hAnsi="Arial" w:cs="Arial"/>
                                <w:smallCaps w:val="0"/>
                                <w:color w:val="9D2235" w:themeColor="accent1"/>
                                <w:sz w:val="18"/>
                                <w:szCs w:val="18"/>
                              </w:rPr>
                              <w:t xml:space="preserve">Gràfic </w:t>
                            </w:r>
                            <w:r w:rsidRPr="00E004C5">
                              <w:rPr>
                                <w:rFonts w:ascii="Arial" w:hAnsi="Arial" w:cs="Arial"/>
                                <w:smallCaps w:val="0"/>
                                <w:color w:val="9D2235" w:themeColor="accent1"/>
                                <w:sz w:val="18"/>
                                <w:szCs w:val="18"/>
                              </w:rPr>
                              <w:fldChar w:fldCharType="begin"/>
                            </w:r>
                            <w:r w:rsidRPr="00E004C5">
                              <w:rPr>
                                <w:rFonts w:ascii="Arial" w:hAnsi="Arial" w:cs="Arial"/>
                                <w:smallCaps w:val="0"/>
                                <w:color w:val="9D2235" w:themeColor="accent1"/>
                                <w:sz w:val="18"/>
                                <w:szCs w:val="18"/>
                              </w:rPr>
                              <w:instrText xml:space="preserve"> SEQ Gràfic \* ARABIC </w:instrText>
                            </w:r>
                            <w:r w:rsidRPr="00E004C5">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28</w:t>
                            </w:r>
                            <w:r w:rsidRPr="00E004C5">
                              <w:rPr>
                                <w:rFonts w:ascii="Arial" w:hAnsi="Arial" w:cs="Arial"/>
                                <w:smallCaps w:val="0"/>
                                <w:color w:val="9D2235" w:themeColor="accent1"/>
                                <w:sz w:val="18"/>
                                <w:szCs w:val="18"/>
                              </w:rPr>
                              <w:fldChar w:fldCharType="end"/>
                            </w:r>
                            <w:r w:rsidRPr="00E004C5">
                              <w:rPr>
                                <w:rFonts w:ascii="Arial" w:hAnsi="Arial" w:cs="Arial"/>
                                <w:smallCaps w:val="0"/>
                                <w:color w:val="9D2235" w:themeColor="accent1"/>
                                <w:sz w:val="18"/>
                                <w:szCs w:val="18"/>
                              </w:rPr>
                              <w:t xml:space="preserve">. </w:t>
                            </w:r>
                            <w:r w:rsidRPr="00E004C5">
                              <w:rPr>
                                <w:rFonts w:ascii="Arial" w:hAnsi="Arial" w:cs="Arial"/>
                                <w:smallCaps w:val="0"/>
                                <w:sz w:val="18"/>
                                <w:szCs w:val="18"/>
                              </w:rPr>
                              <w:t>Distribució hores lectives en activitats formatives 2017-2021</w:t>
                            </w:r>
                            <w:bookmarkEnd w:id="4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E7221" id="Cuadro de texto 65" o:spid="_x0000_s1043" type="#_x0000_t202" style="position:absolute;left:0;text-align:left;margin-left:64.45pt;margin-top:546.95pt;width:302.75pt;height:15.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" stroked="f">
                <v:textbox inset="0,0,0,0">
                  <w:txbxContent>
                    <w:p w14:paraId="414937AF" w14:textId="33C494E9" w:rsidR="00002FAB" w:rsidRPr="00E004C5" w:rsidRDefault="00002FAB" w:rsidP="00E004C5">
                      <w:pPr>
                        <w:pStyle w:val="Descripcin"/>
                        <w:jc w:val="center"/>
                        <w:rPr>
                          <w:rFonts w:ascii="Arial" w:eastAsia="Times New Roman" w:hAnsi="Arial" w:cs="Arial"/>
                          <w:smallCaps w:val="0"/>
                          <w:sz w:val="18"/>
                          <w:szCs w:val="18"/>
                        </w:rPr>
                      </w:pPr>
                      <w:bookmarkStart w:id="425" w:name="_Toc99110987"/>
                      <w:r w:rsidRPr="00E004C5">
                        <w:rPr>
                          <w:rFonts w:ascii="Arial" w:hAnsi="Arial" w:cs="Arial"/>
                          <w:smallCaps w:val="0"/>
                          <w:color w:val="9D2235" w:themeColor="accent1"/>
                          <w:sz w:val="18"/>
                          <w:szCs w:val="18"/>
                        </w:rPr>
                        <w:t xml:space="preserve">Gràfic </w:t>
                      </w:r>
                      <w:r w:rsidRPr="00E004C5">
                        <w:rPr>
                          <w:rFonts w:ascii="Arial" w:hAnsi="Arial" w:cs="Arial"/>
                          <w:smallCaps w:val="0"/>
                          <w:color w:val="9D2235" w:themeColor="accent1"/>
                          <w:sz w:val="18"/>
                          <w:szCs w:val="18"/>
                        </w:rPr>
                        <w:fldChar w:fldCharType="begin"/>
                      </w:r>
                      <w:r w:rsidRPr="00E004C5">
                        <w:rPr>
                          <w:rFonts w:ascii="Arial" w:hAnsi="Arial" w:cs="Arial"/>
                          <w:smallCaps w:val="0"/>
                          <w:color w:val="9D2235" w:themeColor="accent1"/>
                          <w:sz w:val="18"/>
                          <w:szCs w:val="18"/>
                        </w:rPr>
                        <w:instrText xml:space="preserve"> SEQ Gràfic \* ARABIC </w:instrText>
                      </w:r>
                      <w:r w:rsidRPr="00E004C5">
                        <w:rPr>
                          <w:rFonts w:ascii="Arial" w:hAnsi="Arial" w:cs="Arial"/>
                          <w:smallCaps w:val="0"/>
                          <w:color w:val="9D2235" w:themeColor="accent1"/>
                          <w:sz w:val="18"/>
                          <w:szCs w:val="18"/>
                        </w:rPr>
                        <w:fldChar w:fldCharType="separate"/>
                      </w:r>
                      <w:r w:rsidR="0095207F">
                        <w:rPr>
                          <w:rFonts w:ascii="Arial" w:hAnsi="Arial" w:cs="Arial"/>
                          <w:smallCaps w:val="0"/>
                          <w:noProof/>
                          <w:color w:val="9D2235" w:themeColor="accent1"/>
                          <w:sz w:val="18"/>
                          <w:szCs w:val="18"/>
                        </w:rPr>
                        <w:t>28</w:t>
                      </w:r>
                      <w:r w:rsidRPr="00E004C5">
                        <w:rPr>
                          <w:rFonts w:ascii="Arial" w:hAnsi="Arial" w:cs="Arial"/>
                          <w:smallCaps w:val="0"/>
                          <w:color w:val="9D2235" w:themeColor="accent1"/>
                          <w:sz w:val="18"/>
                          <w:szCs w:val="18"/>
                        </w:rPr>
                        <w:fldChar w:fldCharType="end"/>
                      </w:r>
                      <w:r w:rsidRPr="00E004C5">
                        <w:rPr>
                          <w:rFonts w:ascii="Arial" w:hAnsi="Arial" w:cs="Arial"/>
                          <w:smallCaps w:val="0"/>
                          <w:color w:val="9D2235" w:themeColor="accent1"/>
                          <w:sz w:val="18"/>
                          <w:szCs w:val="18"/>
                        </w:rPr>
                        <w:t xml:space="preserve">. </w:t>
                      </w:r>
                      <w:r w:rsidRPr="00E004C5">
                        <w:rPr>
                          <w:rFonts w:ascii="Arial" w:hAnsi="Arial" w:cs="Arial"/>
                          <w:smallCaps w:val="0"/>
                          <w:sz w:val="18"/>
                          <w:szCs w:val="18"/>
                        </w:rPr>
                        <w:t>Distribució hores lectives en activitats formatives 2017-2021</w:t>
                      </w:r>
                      <w:bookmarkEnd w:id="425"/>
                    </w:p>
                  </w:txbxContent>
                </v:textbox>
                <w10:wrap type="topAndBottom"/>
              </v:shape>
            </w:pict>
          </mc:Fallback>
        </mc:AlternateContent>
      </w:r>
      <w:r w:rsidR="00002FAB" w:rsidRPr="00C9578C">
        <w:rPr>
          <w:rFonts w:ascii="Arial" w:hAnsi="Arial" w:cs="Arial"/>
        </w:rPr>
        <w:t xml:space="preserve">El gràfic </w:t>
      </w:r>
      <w:r w:rsidR="00D80C9E" w:rsidRPr="00C9578C">
        <w:rPr>
          <w:rFonts w:ascii="Arial" w:hAnsi="Arial" w:cs="Arial"/>
        </w:rPr>
        <w:t>2</w:t>
      </w:r>
      <w:r w:rsidR="00002FAB" w:rsidRPr="00C9578C">
        <w:rPr>
          <w:rFonts w:ascii="Arial" w:hAnsi="Arial" w:cs="Arial"/>
        </w:rPr>
        <w:t>8 no</w:t>
      </w:r>
      <w:r w:rsidR="00002FAB" w:rsidRPr="00002FAB">
        <w:rPr>
          <w:rFonts w:ascii="Arial" w:hAnsi="Arial" w:cs="Arial"/>
        </w:rPr>
        <w:t xml:space="preserve"> sols confirma el que s'ha dit fins al moment, sinó que serveix també per a subratllar el fet que s'ha produït un augment del nombre d'activitats amb una duració mitjana de temps inferior, com ve ocorrent en els últims anys: 2018 (3h 40min de mitjana aproximada per activitat), 2019 (3h 10min), 2020 (2h 45min) i 2021 (2h 20min). Una tendència motivada per l'increment d'accions formatives singulars amb límit de temps, en part per les mesures preventives sanitàries</w:t>
      </w:r>
      <w:r w:rsidR="00002FAB" w:rsidRPr="00002FAB">
        <w:rPr>
          <w:rFonts w:ascii="Arial" w:hAnsi="Arial" w:cs="Arial"/>
          <w:lang w:val="es-ES"/>
        </w:rPr>
        <w:t>.</w:t>
      </w:r>
    </w:p>
    <w:p w14:paraId="2160E98B" w14:textId="77777777" w:rsidR="0031438A" w:rsidRPr="0031438A" w:rsidRDefault="0031438A" w:rsidP="0031438A">
      <w:pPr>
        <w:pStyle w:val="Texto"/>
        <w:spacing w:after="240"/>
        <w:rPr>
          <w:rFonts w:ascii="Arial" w:hAnsi="Arial" w:cs="Arial"/>
          <w:b/>
          <w:i/>
        </w:rPr>
      </w:pPr>
      <w:r w:rsidRPr="0031438A">
        <w:rPr>
          <w:rFonts w:ascii="Arial" w:hAnsi="Arial" w:cs="Arial"/>
          <w:b/>
          <w:i/>
        </w:rPr>
        <w:t xml:space="preserve">Distribució temporal de les activitats formatives </w:t>
      </w:r>
    </w:p>
    <w:p w14:paraId="1DEC3750" w14:textId="17462463" w:rsidR="0031438A" w:rsidRPr="0031438A" w:rsidRDefault="0031438A" w:rsidP="0031438A">
      <w:pPr>
        <w:pStyle w:val="Texto"/>
        <w:spacing w:after="240"/>
        <w:rPr>
          <w:rFonts w:ascii="Arial" w:hAnsi="Arial" w:cs="Arial"/>
        </w:rPr>
      </w:pPr>
      <w:r w:rsidRPr="0031438A">
        <w:rPr>
          <w:rFonts w:ascii="Arial" w:hAnsi="Arial" w:cs="Arial"/>
        </w:rPr>
        <w:t xml:space="preserve">Com ja s'ha comentat, durant 2021 s'ha anat configurant l'equip de formació de l'Agència, incorporant-se les últimes dues persones l'abril de 2021. Aquest fet, unit al cicle de programació d'activitats formatives, a l'augment progressiu de la col·laboració institucional i a la multiplicació de les demandes externes perquè l’AVAF participara en activitats formatives, en part per l'exigència que les administracions que gestionen fons europeus de recuperació compten amb plans antifrau, expliquen que durant l'últim quadrimestre de l'any es concentre un 63% de l'activitat formativa cívica anual </w:t>
      </w:r>
      <w:r w:rsidRPr="00C9578C">
        <w:rPr>
          <w:rFonts w:ascii="Arial" w:hAnsi="Arial" w:cs="Arial"/>
        </w:rPr>
        <w:t xml:space="preserve">(Gràfic </w:t>
      </w:r>
      <w:r w:rsidR="00D80C9E" w:rsidRPr="00C9578C">
        <w:rPr>
          <w:rFonts w:ascii="Arial" w:hAnsi="Arial" w:cs="Arial"/>
        </w:rPr>
        <w:t>2</w:t>
      </w:r>
      <w:r w:rsidRPr="00C9578C">
        <w:rPr>
          <w:rFonts w:ascii="Arial" w:hAnsi="Arial" w:cs="Arial"/>
        </w:rPr>
        <w:t>9).</w:t>
      </w:r>
      <w:r w:rsidRPr="0031438A">
        <w:rPr>
          <w:rFonts w:ascii="Arial" w:hAnsi="Arial" w:cs="Arial"/>
        </w:rPr>
        <w:t xml:space="preserve"> </w:t>
      </w:r>
    </w:p>
    <w:p w14:paraId="424A8155" w14:textId="0A12CC49" w:rsidR="00FD5628" w:rsidRPr="0031438A" w:rsidRDefault="0031438A" w:rsidP="0031438A">
      <w:pPr>
        <w:pStyle w:val="Texto"/>
        <w:spacing w:after="240"/>
        <w:rPr>
          <w:rFonts w:ascii="Arial" w:hAnsi="Arial" w:cs="Arial"/>
        </w:rPr>
      </w:pPr>
      <w:r w:rsidRPr="0031438A">
        <w:rPr>
          <w:rFonts w:ascii="Arial" w:hAnsi="Arial" w:cs="Arial"/>
        </w:rPr>
        <w:t>De fet, a més les activitats planificades prèviament, hi ha hagut que respondre a un nombre elevat de demandes de formació específica.</w:t>
      </w:r>
    </w:p>
    <w:p w14:paraId="408FD9FB" w14:textId="77777777" w:rsidR="009D7B26" w:rsidRDefault="0031438A" w:rsidP="009D7B26">
      <w:pPr>
        <w:pStyle w:val="Texto"/>
        <w:keepNext/>
        <w:spacing w:after="240"/>
        <w:jc w:val="center"/>
      </w:pPr>
      <w:r>
        <w:rPr>
          <w:noProof/>
        </w:rPr>
        <w:drawing>
          <wp:inline distT="0" distB="0" distL="0" distR="0" wp14:anchorId="31BECE45" wp14:editId="7FFBF631">
            <wp:extent cx="3765356" cy="3015209"/>
            <wp:effectExtent l="0" t="0" r="6985" b="0"/>
            <wp:docPr id="66" name="Imagen 66" descr="Gráfico, Gráfico de proyección so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Gráfico, Gráfico de proyección solar&#10;&#10;Descripción generada automáticamente"/>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810836" cy="3051629"/>
                    </a:xfrm>
                    <a:prstGeom prst="rect">
                      <a:avLst/>
                    </a:prstGeom>
                    <a:noFill/>
                  </pic:spPr>
                </pic:pic>
              </a:graphicData>
            </a:graphic>
          </wp:inline>
        </w:drawing>
      </w:r>
    </w:p>
    <w:p w14:paraId="368B2954" w14:textId="0F81C4FF" w:rsidR="00002FAB" w:rsidRPr="009D7B26" w:rsidRDefault="009D7B26" w:rsidP="009D7B26">
      <w:pPr>
        <w:pStyle w:val="Descripcin"/>
        <w:jc w:val="center"/>
        <w:rPr>
          <w:rFonts w:ascii="Arial" w:hAnsi="Arial" w:cs="Arial"/>
          <w:smallCaps w:val="0"/>
          <w:sz w:val="18"/>
          <w:szCs w:val="18"/>
        </w:rPr>
      </w:pPr>
      <w:bookmarkStart w:id="408" w:name="_Toc99110988"/>
      <w:r w:rsidRPr="009D7B26">
        <w:rPr>
          <w:rFonts w:ascii="Arial" w:hAnsi="Arial" w:cs="Arial"/>
          <w:smallCaps w:val="0"/>
          <w:color w:val="9D2235" w:themeColor="accent1"/>
          <w:sz w:val="18"/>
          <w:szCs w:val="18"/>
        </w:rPr>
        <w:t xml:space="preserve">Gràfic </w:t>
      </w:r>
      <w:r w:rsidRPr="009D7B26">
        <w:rPr>
          <w:rFonts w:ascii="Arial" w:hAnsi="Arial" w:cs="Arial"/>
          <w:smallCaps w:val="0"/>
          <w:color w:val="9D2235" w:themeColor="accent1"/>
          <w:sz w:val="18"/>
          <w:szCs w:val="18"/>
        </w:rPr>
        <w:fldChar w:fldCharType="begin" w:fldLock="1"/>
      </w:r>
      <w:r w:rsidRPr="009D7B26">
        <w:rPr>
          <w:rFonts w:ascii="Arial" w:hAnsi="Arial" w:cs="Arial"/>
          <w:smallCaps w:val="0"/>
          <w:color w:val="9D2235" w:themeColor="accent1"/>
          <w:sz w:val="18"/>
          <w:szCs w:val="18"/>
        </w:rPr>
        <w:instrText xml:space="preserve"> SEQ Gràfic \* ARABIC </w:instrText>
      </w:r>
      <w:r w:rsidRPr="009D7B2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29</w:t>
      </w:r>
      <w:r w:rsidRPr="009D7B26">
        <w:rPr>
          <w:rFonts w:ascii="Arial" w:hAnsi="Arial" w:cs="Arial"/>
          <w:smallCaps w:val="0"/>
          <w:color w:val="9D2235" w:themeColor="accent1"/>
          <w:sz w:val="18"/>
          <w:szCs w:val="18"/>
        </w:rPr>
        <w:fldChar w:fldCharType="end"/>
      </w:r>
      <w:r w:rsidRPr="009D7B26">
        <w:rPr>
          <w:rFonts w:ascii="Arial" w:hAnsi="Arial" w:cs="Arial"/>
          <w:smallCaps w:val="0"/>
          <w:color w:val="9D2235" w:themeColor="accent1"/>
          <w:sz w:val="18"/>
          <w:szCs w:val="18"/>
        </w:rPr>
        <w:t xml:space="preserve">. </w:t>
      </w:r>
      <w:r w:rsidRPr="009D7B26">
        <w:rPr>
          <w:rFonts w:ascii="Arial" w:hAnsi="Arial" w:cs="Arial"/>
          <w:smallCaps w:val="0"/>
          <w:sz w:val="18"/>
          <w:szCs w:val="18"/>
        </w:rPr>
        <w:t>Distribució d'activitats formatives per quadrimestres 2021</w:t>
      </w:r>
      <w:bookmarkEnd w:id="408"/>
    </w:p>
    <w:p w14:paraId="60374FBE" w14:textId="77777777" w:rsidR="009D7B26" w:rsidRPr="009D7B26" w:rsidRDefault="009D7B26" w:rsidP="009D7B26">
      <w:pPr>
        <w:pStyle w:val="Texto"/>
        <w:spacing w:after="240"/>
        <w:rPr>
          <w:rFonts w:ascii="Arial" w:hAnsi="Arial" w:cs="Arial"/>
          <w:b/>
          <w:i/>
        </w:rPr>
      </w:pPr>
      <w:r w:rsidRPr="009D7B26">
        <w:rPr>
          <w:rFonts w:ascii="Arial" w:hAnsi="Arial" w:cs="Arial"/>
          <w:b/>
          <w:i/>
        </w:rPr>
        <w:t>Distribució territorial de les activitats formatives</w:t>
      </w:r>
    </w:p>
    <w:p w14:paraId="44FB25B5" w14:textId="77777777" w:rsidR="009D7B26" w:rsidRPr="009D7B26" w:rsidRDefault="009D7B26" w:rsidP="009D7B26">
      <w:pPr>
        <w:pStyle w:val="Texto"/>
        <w:spacing w:after="240"/>
        <w:rPr>
          <w:rFonts w:ascii="Arial" w:hAnsi="Arial" w:cs="Arial"/>
        </w:rPr>
      </w:pPr>
      <w:r w:rsidRPr="009D7B26">
        <w:rPr>
          <w:rFonts w:ascii="Arial" w:hAnsi="Arial" w:cs="Arial"/>
        </w:rPr>
        <w:t xml:space="preserve">Durant l'any 2021 la celebració d'activitats s'ha distribuït de la següent manera: 6 activitats a la província d'Alacant, 4 en la de Castelló, 28 en la de València, 1 activitat a Madrid, i 4 en línia. </w:t>
      </w:r>
    </w:p>
    <w:p w14:paraId="71E269FE" w14:textId="77777777" w:rsidR="009D7B26" w:rsidRPr="009D7B26" w:rsidRDefault="009D7B26" w:rsidP="009D7B26">
      <w:pPr>
        <w:pStyle w:val="Texto"/>
        <w:spacing w:after="240"/>
        <w:rPr>
          <w:rFonts w:ascii="Arial" w:hAnsi="Arial" w:cs="Arial"/>
        </w:rPr>
      </w:pPr>
      <w:r w:rsidRPr="009D7B26">
        <w:rPr>
          <w:rFonts w:ascii="Arial" w:hAnsi="Arial" w:cs="Arial"/>
        </w:rPr>
        <w:t xml:space="preserve">Cal assenyalar que totes les activitats realitzades en el marc del conveni signat amb la Universitat de València es realitzen a la província de València, sent aquest any 15. </w:t>
      </w:r>
    </w:p>
    <w:p w14:paraId="16091BEE" w14:textId="77777777" w:rsidR="009D7B26" w:rsidRPr="009D7B26" w:rsidRDefault="009D7B26" w:rsidP="009D7B26">
      <w:pPr>
        <w:pStyle w:val="Texto"/>
        <w:spacing w:after="240"/>
        <w:rPr>
          <w:rFonts w:ascii="Arial" w:hAnsi="Arial" w:cs="Arial"/>
        </w:rPr>
      </w:pPr>
      <w:r w:rsidRPr="009D7B26">
        <w:rPr>
          <w:rFonts w:ascii="Arial" w:hAnsi="Arial" w:cs="Arial"/>
        </w:rPr>
        <w:t>Amb tot, l'establiment de formes de col·laboració estables amb les diputacions provincials de Castelló i Alacant i amb les universitats de les respectives províncies ha incrementat la presència formativa de l'Agència a Alacant i Castelló durant 2021 i és previsible que ho faça encara més en el futur immediat.</w:t>
      </w:r>
    </w:p>
    <w:p w14:paraId="7681273D" w14:textId="77777777" w:rsidR="009D7B26" w:rsidRPr="009D7B26" w:rsidRDefault="009D7B26" w:rsidP="009D7B26">
      <w:pPr>
        <w:pStyle w:val="Texto"/>
        <w:spacing w:after="240"/>
        <w:rPr>
          <w:rFonts w:ascii="Arial" w:hAnsi="Arial" w:cs="Arial"/>
        </w:rPr>
      </w:pPr>
      <w:r w:rsidRPr="009D7B26">
        <w:rPr>
          <w:rFonts w:ascii="Arial" w:hAnsi="Arial" w:cs="Arial"/>
        </w:rPr>
        <w:t xml:space="preserve">Dels 12 docufòrums realitzats, 7 s'han realitzat en les universitats localitzades a la província de València (UV, UPV, CEU-CH), 1 a la província de Castelló (UJI), i 4 a la província d'Alacant (1 en la UA i 3 en la UMH). </w:t>
      </w:r>
    </w:p>
    <w:p w14:paraId="6243CCEF" w14:textId="53CB4EB0" w:rsidR="00002FAB" w:rsidRPr="009D7B26" w:rsidRDefault="009D7B26" w:rsidP="009D7B26">
      <w:pPr>
        <w:pStyle w:val="Texto"/>
        <w:spacing w:after="240"/>
        <w:rPr>
          <w:rFonts w:ascii="Arial" w:hAnsi="Arial" w:cs="Arial"/>
        </w:rPr>
      </w:pPr>
      <w:r w:rsidRPr="009D7B26">
        <w:rPr>
          <w:rFonts w:ascii="Arial" w:hAnsi="Arial" w:cs="Arial"/>
        </w:rPr>
        <w:t>Fora de la Comunitat Valenciana, hi ha hagut una activitat formativa a Madrid, així com 4 accions en línia, en les quals han pogut participar persones de tota Espanya.</w:t>
      </w:r>
    </w:p>
    <w:p w14:paraId="01B0FAD9" w14:textId="77777777" w:rsidR="009D7B26" w:rsidRDefault="009D7B26" w:rsidP="009D7B26">
      <w:pPr>
        <w:pStyle w:val="Texto"/>
        <w:keepNext/>
        <w:spacing w:after="240"/>
        <w:jc w:val="center"/>
      </w:pPr>
      <w:r>
        <w:rPr>
          <w:noProof/>
        </w:rPr>
        <w:drawing>
          <wp:inline distT="0" distB="0" distL="0" distR="0" wp14:anchorId="345C108B" wp14:editId="4AF37498">
            <wp:extent cx="4373593" cy="2764474"/>
            <wp:effectExtent l="0" t="0" r="8255" b="0"/>
            <wp:docPr id="67" name="Imagen 6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circular&#10;&#10;Descripción generada automáticamente"/>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412520" cy="2789079"/>
                    </a:xfrm>
                    <a:prstGeom prst="rect">
                      <a:avLst/>
                    </a:prstGeom>
                    <a:noFill/>
                  </pic:spPr>
                </pic:pic>
              </a:graphicData>
            </a:graphic>
          </wp:inline>
        </w:drawing>
      </w:r>
    </w:p>
    <w:p w14:paraId="21D54C2B" w14:textId="68F02EF0" w:rsidR="00002FAB" w:rsidRPr="009D7B26" w:rsidRDefault="009D7B26" w:rsidP="009D7B26">
      <w:pPr>
        <w:pStyle w:val="Descripcin"/>
        <w:jc w:val="center"/>
        <w:rPr>
          <w:rFonts w:ascii="Arial" w:hAnsi="Arial" w:cs="Arial"/>
          <w:smallCaps w:val="0"/>
          <w:sz w:val="18"/>
          <w:szCs w:val="18"/>
        </w:rPr>
      </w:pPr>
      <w:bookmarkStart w:id="409" w:name="_Toc99110989"/>
      <w:r w:rsidRPr="009D7B26">
        <w:rPr>
          <w:rFonts w:ascii="Arial" w:hAnsi="Arial" w:cs="Arial"/>
          <w:smallCaps w:val="0"/>
          <w:color w:val="9D2235" w:themeColor="accent1"/>
          <w:sz w:val="18"/>
          <w:szCs w:val="18"/>
        </w:rPr>
        <w:t xml:space="preserve">Gràfic </w:t>
      </w:r>
      <w:r w:rsidRPr="009D7B26">
        <w:rPr>
          <w:rFonts w:ascii="Arial" w:hAnsi="Arial" w:cs="Arial"/>
          <w:smallCaps w:val="0"/>
          <w:color w:val="9D2235" w:themeColor="accent1"/>
          <w:sz w:val="18"/>
          <w:szCs w:val="18"/>
        </w:rPr>
        <w:fldChar w:fldCharType="begin" w:fldLock="1"/>
      </w:r>
      <w:r w:rsidRPr="009D7B26">
        <w:rPr>
          <w:rFonts w:ascii="Arial" w:hAnsi="Arial" w:cs="Arial"/>
          <w:smallCaps w:val="0"/>
          <w:color w:val="9D2235" w:themeColor="accent1"/>
          <w:sz w:val="18"/>
          <w:szCs w:val="18"/>
        </w:rPr>
        <w:instrText xml:space="preserve"> SEQ Gràfic \* ARABIC </w:instrText>
      </w:r>
      <w:r w:rsidRPr="009D7B26">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30</w:t>
      </w:r>
      <w:r w:rsidRPr="009D7B26">
        <w:rPr>
          <w:rFonts w:ascii="Arial" w:hAnsi="Arial" w:cs="Arial"/>
          <w:smallCaps w:val="0"/>
          <w:color w:val="9D2235" w:themeColor="accent1"/>
          <w:sz w:val="18"/>
          <w:szCs w:val="18"/>
        </w:rPr>
        <w:fldChar w:fldCharType="end"/>
      </w:r>
      <w:r w:rsidRPr="009D7B26">
        <w:rPr>
          <w:rFonts w:ascii="Arial" w:hAnsi="Arial" w:cs="Arial"/>
          <w:smallCaps w:val="0"/>
          <w:color w:val="9D2235" w:themeColor="accent1"/>
          <w:sz w:val="18"/>
          <w:szCs w:val="18"/>
        </w:rPr>
        <w:t xml:space="preserve">. </w:t>
      </w:r>
      <w:r w:rsidRPr="009D7B26">
        <w:rPr>
          <w:rFonts w:ascii="Arial" w:hAnsi="Arial" w:cs="Arial"/>
          <w:smallCaps w:val="0"/>
          <w:sz w:val="18"/>
          <w:szCs w:val="18"/>
        </w:rPr>
        <w:t>Distribució territorial d'activitats formatives 2021</w:t>
      </w:r>
      <w:bookmarkEnd w:id="409"/>
    </w:p>
    <w:p w14:paraId="393AA7F3" w14:textId="77777777" w:rsidR="00B23DB3" w:rsidRDefault="00B23DB3" w:rsidP="009D7B26">
      <w:pPr>
        <w:pStyle w:val="Texto"/>
        <w:spacing w:after="240"/>
        <w:rPr>
          <w:rFonts w:ascii="Arial" w:hAnsi="Arial" w:cs="Arial"/>
        </w:rPr>
      </w:pPr>
    </w:p>
    <w:p w14:paraId="12DF8868" w14:textId="74C76D78" w:rsidR="009D7B26" w:rsidRPr="009D7B26" w:rsidRDefault="009D7B26" w:rsidP="009D7B26">
      <w:pPr>
        <w:pStyle w:val="Texto"/>
        <w:spacing w:after="240"/>
        <w:rPr>
          <w:rFonts w:ascii="Arial" w:hAnsi="Arial" w:cs="Arial"/>
        </w:rPr>
      </w:pPr>
      <w:r w:rsidRPr="009D7B26">
        <w:rPr>
          <w:rFonts w:ascii="Arial" w:hAnsi="Arial" w:cs="Arial"/>
        </w:rPr>
        <w:t xml:space="preserve">Dins de la Comunitat Valenciana les activitats han tingut lloc en les localitats que es mostren en </w:t>
      </w:r>
      <w:r w:rsidRPr="00C9578C">
        <w:rPr>
          <w:rFonts w:ascii="Arial" w:hAnsi="Arial" w:cs="Arial"/>
        </w:rPr>
        <w:t xml:space="preserve">el gràfic </w:t>
      </w:r>
      <w:r w:rsidR="00D80C9E" w:rsidRPr="00C9578C">
        <w:rPr>
          <w:rFonts w:ascii="Arial" w:hAnsi="Arial" w:cs="Arial"/>
        </w:rPr>
        <w:t>3</w:t>
      </w:r>
      <w:r w:rsidRPr="00C9578C">
        <w:rPr>
          <w:rFonts w:ascii="Arial" w:hAnsi="Arial" w:cs="Arial"/>
        </w:rPr>
        <w:t>1</w:t>
      </w:r>
      <w:r w:rsidRPr="009D7B26">
        <w:rPr>
          <w:rFonts w:ascii="Arial" w:hAnsi="Arial" w:cs="Arial"/>
        </w:rPr>
        <w:t xml:space="preserve"> i que, de nord a sud, són les següents:</w:t>
      </w:r>
    </w:p>
    <w:p w14:paraId="2480B6CE"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Castelló de la Plana (Plana Alta);</w:t>
      </w:r>
    </w:p>
    <w:p w14:paraId="78F1B913"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Bétera, l’Eliana, Llíria i Riba-roja de Túria (Camp del Túria);</w:t>
      </w:r>
    </w:p>
    <w:p w14:paraId="6C560F9A"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Alfara del Patriarca, Massamagrell i Paterna (Horta Nord);</w:t>
      </w:r>
    </w:p>
    <w:p w14:paraId="3CA170F8"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Requena (Plana Utiel-Requena);</w:t>
      </w:r>
    </w:p>
    <w:p w14:paraId="1877B4D6"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València;</w:t>
      </w:r>
    </w:p>
    <w:p w14:paraId="436127F2"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 xml:space="preserve">Benetússer i Quart de Poblet (Horta Sud); </w:t>
      </w:r>
    </w:p>
    <w:p w14:paraId="01463D38"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Torrent (Horta Oest);</w:t>
      </w:r>
    </w:p>
    <w:p w14:paraId="7EA739B3"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Alzira (Ribera Alta);</w:t>
      </w:r>
    </w:p>
    <w:p w14:paraId="705D763F"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Cullera (Ribera Baixa);</w:t>
      </w:r>
    </w:p>
    <w:p w14:paraId="4C8E3BC2"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Gandia (Safor);</w:t>
      </w:r>
    </w:p>
    <w:p w14:paraId="07975879" w14:textId="77777777" w:rsidR="009D7B26" w:rsidRP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Ontinyent (Vall d‘Albaida);</w:t>
      </w:r>
    </w:p>
    <w:p w14:paraId="5429C903" w14:textId="69139106" w:rsidR="009D7B26" w:rsidRDefault="009D7B26" w:rsidP="00C9578C">
      <w:pPr>
        <w:pStyle w:val="Texto"/>
        <w:numPr>
          <w:ilvl w:val="0"/>
          <w:numId w:val="69"/>
        </w:numPr>
        <w:spacing w:after="60"/>
        <w:ind w:left="714" w:hanging="357"/>
        <w:rPr>
          <w:rFonts w:ascii="Arial" w:hAnsi="Arial" w:cs="Arial"/>
        </w:rPr>
      </w:pPr>
      <w:r w:rsidRPr="009D7B26">
        <w:rPr>
          <w:rFonts w:ascii="Arial" w:hAnsi="Arial" w:cs="Arial"/>
        </w:rPr>
        <w:t>Alacant (Alacantí);</w:t>
      </w:r>
    </w:p>
    <w:p w14:paraId="2EAF7A35" w14:textId="0E878E2C" w:rsidR="009D7B26" w:rsidRPr="009D7B26" w:rsidRDefault="009D7B26" w:rsidP="0024334F">
      <w:pPr>
        <w:pStyle w:val="Texto"/>
        <w:numPr>
          <w:ilvl w:val="0"/>
          <w:numId w:val="69"/>
        </w:numPr>
        <w:spacing w:after="240"/>
        <w:ind w:left="714" w:hanging="357"/>
        <w:rPr>
          <w:rFonts w:ascii="Arial" w:hAnsi="Arial" w:cs="Arial"/>
        </w:rPr>
      </w:pPr>
      <w:r w:rsidRPr="009D7B26">
        <w:rPr>
          <w:rFonts w:ascii="Arial" w:hAnsi="Arial" w:cs="Arial"/>
        </w:rPr>
        <w:t>Elx (Baix Vinalopó).</w:t>
      </w:r>
    </w:p>
    <w:p w14:paraId="167931A5" w14:textId="77777777" w:rsidR="00002FAB" w:rsidRDefault="00002FAB" w:rsidP="007143A2">
      <w:pPr>
        <w:pStyle w:val="Texto"/>
        <w:spacing w:after="240"/>
        <w:rPr>
          <w:rFonts w:ascii="Arial" w:hAnsi="Arial" w:cs="Arial"/>
        </w:rPr>
      </w:pPr>
    </w:p>
    <w:p w14:paraId="0BB6740E" w14:textId="718EF38E" w:rsidR="00FD5628" w:rsidRDefault="00FD5628" w:rsidP="007143A2">
      <w:pPr>
        <w:pStyle w:val="Texto"/>
        <w:spacing w:after="240"/>
        <w:rPr>
          <w:rFonts w:ascii="Arial" w:hAnsi="Arial" w:cs="Arial"/>
        </w:rPr>
      </w:pPr>
    </w:p>
    <w:p w14:paraId="18751D51" w14:textId="77777777" w:rsidR="00B23DB3" w:rsidRDefault="00B23DB3" w:rsidP="00B23DB3">
      <w:pPr>
        <w:pStyle w:val="Texto"/>
        <w:keepNext/>
        <w:spacing w:after="240"/>
        <w:jc w:val="center"/>
      </w:pPr>
      <w:r w:rsidRPr="00905A4A">
        <w:rPr>
          <w:rFonts w:ascii="Calibri" w:eastAsia="Calibri" w:hAnsi="Calibri" w:cs="Times New Roman"/>
          <w:noProof/>
        </w:rPr>
        <w:drawing>
          <wp:inline distT="0" distB="0" distL="0" distR="0" wp14:anchorId="21B1E036" wp14:editId="3FF33296">
            <wp:extent cx="2718587" cy="4242816"/>
            <wp:effectExtent l="19050" t="19050" r="24765" b="24765"/>
            <wp:docPr id="88" name="Imagen 8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Mapa&#10;&#10;Descripción generada automáticamente"/>
                    <pic:cNvPicPr/>
                  </pic:nvPicPr>
                  <pic:blipFill>
                    <a:blip r:embed="rId523"/>
                    <a:stretch>
                      <a:fillRect/>
                    </a:stretch>
                  </pic:blipFill>
                  <pic:spPr>
                    <a:xfrm>
                      <a:off x="0" y="0"/>
                      <a:ext cx="2725034" cy="4252878"/>
                    </a:xfrm>
                    <a:prstGeom prst="rect">
                      <a:avLst/>
                    </a:prstGeom>
                    <a:ln>
                      <a:solidFill>
                        <a:sysClr val="window" lastClr="FFFFFF">
                          <a:lumMod val="75000"/>
                        </a:sysClr>
                      </a:solidFill>
                    </a:ln>
                  </pic:spPr>
                </pic:pic>
              </a:graphicData>
            </a:graphic>
          </wp:inline>
        </w:drawing>
      </w:r>
    </w:p>
    <w:p w14:paraId="142290D0" w14:textId="29F405C8" w:rsidR="00FD5628" w:rsidRPr="00B23DB3" w:rsidRDefault="00B23DB3" w:rsidP="00B23DB3">
      <w:pPr>
        <w:pStyle w:val="Descripcin"/>
        <w:jc w:val="center"/>
        <w:rPr>
          <w:rFonts w:ascii="Arial" w:hAnsi="Arial" w:cs="Arial"/>
          <w:smallCaps w:val="0"/>
          <w:sz w:val="18"/>
          <w:szCs w:val="18"/>
        </w:rPr>
      </w:pPr>
      <w:bookmarkStart w:id="410" w:name="_Toc99110990"/>
      <w:r w:rsidRPr="00B23DB3">
        <w:rPr>
          <w:rFonts w:ascii="Arial" w:hAnsi="Arial" w:cs="Arial"/>
          <w:smallCaps w:val="0"/>
          <w:color w:val="9D2235" w:themeColor="accent1"/>
          <w:sz w:val="18"/>
          <w:szCs w:val="18"/>
        </w:rPr>
        <w:t xml:space="preserve">Gràfic </w:t>
      </w:r>
      <w:r w:rsidRPr="00B23DB3">
        <w:rPr>
          <w:rFonts w:ascii="Arial" w:hAnsi="Arial" w:cs="Arial"/>
          <w:smallCaps w:val="0"/>
          <w:color w:val="9D2235" w:themeColor="accent1"/>
          <w:sz w:val="18"/>
          <w:szCs w:val="18"/>
        </w:rPr>
        <w:fldChar w:fldCharType="begin" w:fldLock="1"/>
      </w:r>
      <w:r w:rsidRPr="00B23DB3">
        <w:rPr>
          <w:rFonts w:ascii="Arial" w:hAnsi="Arial" w:cs="Arial"/>
          <w:smallCaps w:val="0"/>
          <w:color w:val="9D2235" w:themeColor="accent1"/>
          <w:sz w:val="18"/>
          <w:szCs w:val="18"/>
        </w:rPr>
        <w:instrText xml:space="preserve"> SEQ Gràfic \* ARABIC </w:instrText>
      </w:r>
      <w:r w:rsidRPr="00B23DB3">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31</w:t>
      </w:r>
      <w:r w:rsidRPr="00B23DB3">
        <w:rPr>
          <w:rFonts w:ascii="Arial" w:hAnsi="Arial" w:cs="Arial"/>
          <w:smallCaps w:val="0"/>
          <w:color w:val="9D2235" w:themeColor="accent1"/>
          <w:sz w:val="18"/>
          <w:szCs w:val="18"/>
        </w:rPr>
        <w:fldChar w:fldCharType="end"/>
      </w:r>
      <w:r w:rsidRPr="00B23DB3">
        <w:rPr>
          <w:rFonts w:ascii="Arial" w:hAnsi="Arial" w:cs="Arial"/>
          <w:smallCaps w:val="0"/>
          <w:color w:val="9D2235" w:themeColor="accent1"/>
          <w:sz w:val="18"/>
          <w:szCs w:val="18"/>
        </w:rPr>
        <w:t xml:space="preserve">. </w:t>
      </w:r>
      <w:r w:rsidRPr="00B23DB3">
        <w:rPr>
          <w:rFonts w:ascii="Arial" w:hAnsi="Arial" w:cs="Arial"/>
          <w:smallCaps w:val="0"/>
          <w:sz w:val="18"/>
          <w:szCs w:val="18"/>
        </w:rPr>
        <w:t>Localitats en les quals s'ha dut a terme activitats formatives 2021</w:t>
      </w:r>
      <w:bookmarkEnd w:id="410"/>
    </w:p>
    <w:p w14:paraId="24C82ACE" w14:textId="77777777" w:rsidR="00B23DB3" w:rsidRPr="00815CEB" w:rsidRDefault="00B23DB3" w:rsidP="00B23DB3">
      <w:pPr>
        <w:pStyle w:val="Texto"/>
        <w:spacing w:after="240"/>
        <w:rPr>
          <w:rFonts w:ascii="Arial" w:hAnsi="Arial" w:cs="Arial"/>
          <w:b/>
          <w:i/>
          <w:lang w:val="en-US"/>
        </w:rPr>
      </w:pPr>
    </w:p>
    <w:p w14:paraId="3A76CCAE" w14:textId="329F4FE1" w:rsidR="00B23DB3" w:rsidRPr="00B23DB3" w:rsidRDefault="00B23DB3" w:rsidP="00B23DB3">
      <w:pPr>
        <w:pStyle w:val="Texto"/>
        <w:spacing w:after="240"/>
        <w:rPr>
          <w:rFonts w:ascii="Arial" w:hAnsi="Arial" w:cs="Arial"/>
          <w:b/>
          <w:i/>
        </w:rPr>
      </w:pPr>
      <w:r w:rsidRPr="00B23DB3">
        <w:rPr>
          <w:rFonts w:ascii="Arial" w:hAnsi="Arial" w:cs="Arial"/>
          <w:b/>
          <w:i/>
        </w:rPr>
        <w:t>Origen de les iniciatives formatives</w:t>
      </w:r>
    </w:p>
    <w:p w14:paraId="7A96F4AB" w14:textId="77777777" w:rsidR="00B23DB3" w:rsidRPr="00B23DB3" w:rsidRDefault="00B23DB3" w:rsidP="00B23DB3">
      <w:pPr>
        <w:pStyle w:val="Texto"/>
        <w:spacing w:after="240"/>
        <w:rPr>
          <w:rFonts w:ascii="Arial" w:hAnsi="Arial" w:cs="Arial"/>
        </w:rPr>
      </w:pPr>
      <w:r w:rsidRPr="00B23DB3">
        <w:rPr>
          <w:rFonts w:ascii="Arial" w:hAnsi="Arial" w:cs="Arial"/>
        </w:rPr>
        <w:t xml:space="preserve">L'origen de les activitats formatives cíviques de l'Agència ha sigut divers. D'una banda, les iniciatives pròpies i singulars directament planificades per l'Agència (30% del total). Per un altre, aquelles que s'han dut a terme sobre la base dels protocols de col·laboració amb altres institucions a l'empara de convenis marc o específics (37% del total) i, finalment, aquelles que han tingut la seua iniciació amb alguna mena de demandes o proposta originada en organitzacions de la societat civil o diferents organismes i institucions. </w:t>
      </w:r>
    </w:p>
    <w:p w14:paraId="396DF522" w14:textId="746CDF84" w:rsidR="00FD5628" w:rsidRPr="00B23DB3" w:rsidRDefault="00B23DB3" w:rsidP="00B23DB3">
      <w:pPr>
        <w:pStyle w:val="Texto"/>
        <w:spacing w:after="240"/>
        <w:rPr>
          <w:rFonts w:ascii="Arial" w:hAnsi="Arial" w:cs="Arial"/>
        </w:rPr>
      </w:pPr>
      <w:r w:rsidRPr="00B23DB3">
        <w:rPr>
          <w:rFonts w:ascii="Arial" w:hAnsi="Arial" w:cs="Arial"/>
        </w:rPr>
        <w:t xml:space="preserve">El resultat ha sigut un origen de les activitats formatives bastant equilibrat </w:t>
      </w:r>
      <w:r w:rsidRPr="00C9578C">
        <w:rPr>
          <w:rFonts w:ascii="Arial" w:hAnsi="Arial" w:cs="Arial"/>
        </w:rPr>
        <w:t xml:space="preserve">(Gràfic </w:t>
      </w:r>
      <w:r w:rsidR="00D80C9E" w:rsidRPr="00C9578C">
        <w:rPr>
          <w:rFonts w:ascii="Arial" w:hAnsi="Arial" w:cs="Arial"/>
        </w:rPr>
        <w:t>3</w:t>
      </w:r>
      <w:r w:rsidRPr="00C9578C">
        <w:rPr>
          <w:rFonts w:ascii="Arial" w:hAnsi="Arial" w:cs="Arial"/>
        </w:rPr>
        <w:t>2</w:t>
      </w:r>
      <w:r w:rsidRPr="00B23DB3">
        <w:rPr>
          <w:rFonts w:ascii="Arial" w:hAnsi="Arial" w:cs="Arial"/>
        </w:rPr>
        <w:t>).</w:t>
      </w:r>
    </w:p>
    <w:p w14:paraId="0FCA7098" w14:textId="77777777" w:rsidR="00B23DB3" w:rsidRDefault="00B23DB3" w:rsidP="00B23DB3">
      <w:pPr>
        <w:pStyle w:val="Texto"/>
        <w:keepNext/>
        <w:spacing w:after="240"/>
        <w:jc w:val="center"/>
      </w:pPr>
      <w:r>
        <w:rPr>
          <w:noProof/>
        </w:rPr>
        <w:drawing>
          <wp:inline distT="0" distB="0" distL="0" distR="0" wp14:anchorId="30733CC6" wp14:editId="4FEF4D1F">
            <wp:extent cx="3992608" cy="2581173"/>
            <wp:effectExtent l="0" t="0" r="8255" b="0"/>
            <wp:docPr id="68" name="Imagen 6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Gráfico, Gráfico circular&#10;&#10;Descripción generada automáticamente"/>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021686" cy="2599972"/>
                    </a:xfrm>
                    <a:prstGeom prst="rect">
                      <a:avLst/>
                    </a:prstGeom>
                    <a:noFill/>
                  </pic:spPr>
                </pic:pic>
              </a:graphicData>
            </a:graphic>
          </wp:inline>
        </w:drawing>
      </w:r>
    </w:p>
    <w:p w14:paraId="2806AFA4" w14:textId="72042023" w:rsidR="00FD5628" w:rsidRPr="00B23DB3" w:rsidRDefault="00B23DB3" w:rsidP="00B23DB3">
      <w:pPr>
        <w:pStyle w:val="Descripcin"/>
        <w:jc w:val="center"/>
        <w:rPr>
          <w:rFonts w:ascii="Arial" w:hAnsi="Arial" w:cs="Arial"/>
          <w:smallCaps w:val="0"/>
          <w:sz w:val="18"/>
          <w:szCs w:val="18"/>
        </w:rPr>
      </w:pPr>
      <w:bookmarkStart w:id="411" w:name="_Toc99110991"/>
      <w:r w:rsidRPr="00B23DB3">
        <w:rPr>
          <w:rFonts w:ascii="Arial" w:hAnsi="Arial" w:cs="Arial"/>
          <w:smallCaps w:val="0"/>
          <w:color w:val="9D2235" w:themeColor="accent1"/>
          <w:sz w:val="18"/>
          <w:szCs w:val="18"/>
        </w:rPr>
        <w:t xml:space="preserve">Gràfic </w:t>
      </w:r>
      <w:r w:rsidRPr="00B23DB3">
        <w:rPr>
          <w:rFonts w:ascii="Arial" w:hAnsi="Arial" w:cs="Arial"/>
          <w:smallCaps w:val="0"/>
          <w:color w:val="9D2235" w:themeColor="accent1"/>
          <w:sz w:val="18"/>
          <w:szCs w:val="18"/>
        </w:rPr>
        <w:fldChar w:fldCharType="begin" w:fldLock="1"/>
      </w:r>
      <w:r w:rsidRPr="00B23DB3">
        <w:rPr>
          <w:rFonts w:ascii="Arial" w:hAnsi="Arial" w:cs="Arial"/>
          <w:smallCaps w:val="0"/>
          <w:color w:val="9D2235" w:themeColor="accent1"/>
          <w:sz w:val="18"/>
          <w:szCs w:val="18"/>
        </w:rPr>
        <w:instrText xml:space="preserve"> SEQ Gràfic \* ARABIC </w:instrText>
      </w:r>
      <w:r w:rsidRPr="00B23DB3">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32</w:t>
      </w:r>
      <w:r w:rsidRPr="00B23DB3">
        <w:rPr>
          <w:rFonts w:ascii="Arial" w:hAnsi="Arial" w:cs="Arial"/>
          <w:smallCaps w:val="0"/>
          <w:color w:val="9D2235" w:themeColor="accent1"/>
          <w:sz w:val="18"/>
          <w:szCs w:val="18"/>
        </w:rPr>
        <w:fldChar w:fldCharType="end"/>
      </w:r>
      <w:r w:rsidRPr="00B23DB3">
        <w:rPr>
          <w:rFonts w:ascii="Arial" w:hAnsi="Arial" w:cs="Arial"/>
          <w:smallCaps w:val="0"/>
          <w:color w:val="9D2235" w:themeColor="accent1"/>
          <w:sz w:val="18"/>
          <w:szCs w:val="18"/>
        </w:rPr>
        <w:t xml:space="preserve">. </w:t>
      </w:r>
      <w:r w:rsidRPr="00B23DB3">
        <w:rPr>
          <w:rFonts w:ascii="Arial" w:hAnsi="Arial" w:cs="Arial"/>
          <w:smallCaps w:val="0"/>
          <w:sz w:val="18"/>
          <w:szCs w:val="18"/>
        </w:rPr>
        <w:t>Origen de la iniciativa d'activitats formatives 2021</w:t>
      </w:r>
      <w:bookmarkEnd w:id="411"/>
    </w:p>
    <w:p w14:paraId="44263B96" w14:textId="77777777" w:rsidR="00B23DB3" w:rsidRPr="00B23DB3" w:rsidRDefault="00B23DB3" w:rsidP="00B23DB3">
      <w:pPr>
        <w:pStyle w:val="Texto"/>
        <w:spacing w:after="240"/>
        <w:rPr>
          <w:rFonts w:ascii="Arial" w:hAnsi="Arial" w:cs="Arial"/>
        </w:rPr>
      </w:pPr>
      <w:r w:rsidRPr="00B23DB3">
        <w:rPr>
          <w:rFonts w:ascii="Arial" w:hAnsi="Arial" w:cs="Arial"/>
        </w:rPr>
        <w:t>Les activitats formatives es dirigeixen a diferents destinataris: personal al servei de les administracions públiques, estudiants universitaris i ciutadania, essencialment. A continuació, s'exposen els aspectes més rellevants de cada línia de treball.</w:t>
      </w:r>
    </w:p>
    <w:p w14:paraId="09C8C210" w14:textId="77777777" w:rsidR="00B23DB3" w:rsidRPr="00B23DB3" w:rsidRDefault="00B23DB3" w:rsidP="00827DDE">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412" w:name="_Toc96517842"/>
      <w:bookmarkStart w:id="413" w:name="_Toc99110818"/>
      <w:r w:rsidRPr="00B23DB3">
        <w:rPr>
          <w:rFonts w:ascii="Arial" w:hAnsi="Arial"/>
          <w:b/>
          <w:color w:val="9D2235"/>
          <w:sz w:val="28"/>
          <w:szCs w:val="28"/>
        </w:rPr>
        <w:t>Activitats de formació en la Funció pública</w:t>
      </w:r>
      <w:bookmarkEnd w:id="412"/>
      <w:bookmarkEnd w:id="413"/>
    </w:p>
    <w:p w14:paraId="75C987BF" w14:textId="77777777" w:rsidR="00B23DB3" w:rsidRPr="00B23DB3" w:rsidRDefault="00B23DB3" w:rsidP="00B23DB3">
      <w:pPr>
        <w:pStyle w:val="Texto"/>
        <w:spacing w:after="240"/>
        <w:rPr>
          <w:rFonts w:ascii="Arial" w:hAnsi="Arial" w:cs="Arial"/>
        </w:rPr>
      </w:pPr>
      <w:r w:rsidRPr="00B23DB3">
        <w:rPr>
          <w:rFonts w:ascii="Arial" w:hAnsi="Arial" w:cs="Arial"/>
        </w:rPr>
        <w:t xml:space="preserve">D'acord amb el Pla Estratègic de Formació i en coherència amb el Reglament de l'Agència, la formació cívica en matèria d'integritat i ètica pública s'orienta de manera prioritària a les persones amb funcions de servei públic de les administracions públiques. Per això, s'han establit sistemes de col·laboració estable amb departaments de la Generalitat, la FVMP, Diputacions Provincials, Ajuntaments o amb l'Institut Nacional d'Administració Pública (INAP). De fet, en 2021, s'ha establit convenis de col·laboració funcional amb la Diputació de Castelló i l'Ajuntament de València, que previsiblement s'estendran a altres diputacions i administracions valencianes. </w:t>
      </w:r>
    </w:p>
    <w:p w14:paraId="4F69A378" w14:textId="44C86544" w:rsidR="00B23DB3" w:rsidRPr="00B23DB3" w:rsidRDefault="00B23DB3" w:rsidP="00B23DB3">
      <w:pPr>
        <w:pStyle w:val="Texto"/>
        <w:spacing w:after="240"/>
        <w:rPr>
          <w:rFonts w:ascii="Arial" w:hAnsi="Arial" w:cs="Arial"/>
          <w:iCs/>
        </w:rPr>
      </w:pPr>
      <w:r w:rsidRPr="00B23DB3">
        <w:rPr>
          <w:rFonts w:ascii="Arial" w:hAnsi="Arial" w:cs="Arial"/>
        </w:rPr>
        <w:t xml:space="preserve">Entre les diferents activitats dutes a terme, s'han impartit mòduls formatius en cursos organitzats per diverses institucions públiques i també s'ha elaborat i tutoritzat el curs complet de 15 hores de l'INAP, Prevenció de la corrupció en les Administracions Públiques </w:t>
      </w:r>
      <w:r w:rsidRPr="00C9578C">
        <w:rPr>
          <w:rFonts w:ascii="Arial" w:hAnsi="Arial" w:cs="Arial"/>
        </w:rPr>
        <w:t xml:space="preserve">(Taula </w:t>
      </w:r>
      <w:r w:rsidR="00D80C9E" w:rsidRPr="00C9578C">
        <w:rPr>
          <w:rFonts w:ascii="Arial" w:hAnsi="Arial" w:cs="Arial"/>
        </w:rPr>
        <w:t>22</w:t>
      </w:r>
      <w:r w:rsidRPr="00C9578C">
        <w:rPr>
          <w:rFonts w:ascii="Arial" w:hAnsi="Arial" w:cs="Arial"/>
        </w:rPr>
        <w:t>)</w:t>
      </w:r>
      <w:r w:rsidRPr="00C9578C">
        <w:rPr>
          <w:rFonts w:ascii="Arial" w:hAnsi="Arial" w:cs="Arial"/>
          <w:iCs/>
        </w:rPr>
        <w:t>:</w:t>
      </w:r>
    </w:p>
    <w:p w14:paraId="22B120D1" w14:textId="77777777" w:rsidR="00B23DB3" w:rsidRPr="00B23DB3" w:rsidRDefault="00B23DB3" w:rsidP="0024334F">
      <w:pPr>
        <w:pStyle w:val="Texto"/>
        <w:numPr>
          <w:ilvl w:val="0"/>
          <w:numId w:val="70"/>
        </w:numPr>
        <w:spacing w:after="120"/>
        <w:ind w:left="357" w:hanging="357"/>
        <w:rPr>
          <w:rFonts w:ascii="Arial" w:hAnsi="Arial" w:cs="Arial"/>
        </w:rPr>
      </w:pPr>
      <w:r w:rsidRPr="00B23DB3">
        <w:rPr>
          <w:rFonts w:ascii="Arial" w:hAnsi="Arial" w:cs="Arial"/>
        </w:rPr>
        <w:t xml:space="preserve">El 21 de juny, es va participar en el curs de </w:t>
      </w:r>
      <w:r w:rsidRPr="00B23DB3">
        <w:rPr>
          <w:rFonts w:ascii="Arial" w:hAnsi="Arial" w:cs="Arial"/>
          <w:b/>
          <w:bCs/>
        </w:rPr>
        <w:t>la Llei de Transparència: implantació en l'Administració Local</w:t>
      </w:r>
      <w:r w:rsidRPr="00B23DB3">
        <w:rPr>
          <w:rFonts w:ascii="Arial" w:hAnsi="Arial" w:cs="Arial"/>
        </w:rPr>
        <w:t xml:space="preserve">, organitzat per la Diputació d'Alacant. El mòdul formatiu de l'Agència va ser “L'Agència Valenciana Antifrau. El paper del personal al servei de les administracions públiques en la lluita contra la corrupció”, en el qual es va donar conéixer l’AVAF, les seues funcions i actuacions relacionades amb els empleats públics locals. </w:t>
      </w:r>
    </w:p>
    <w:p w14:paraId="0044ACD3" w14:textId="77777777" w:rsidR="00B23DB3" w:rsidRPr="00B23DB3" w:rsidRDefault="00B23DB3" w:rsidP="0024334F">
      <w:pPr>
        <w:pStyle w:val="Texto"/>
        <w:numPr>
          <w:ilvl w:val="0"/>
          <w:numId w:val="70"/>
        </w:numPr>
        <w:spacing w:after="120"/>
        <w:ind w:left="357" w:hanging="357"/>
        <w:rPr>
          <w:rFonts w:ascii="Arial" w:hAnsi="Arial" w:cs="Arial"/>
        </w:rPr>
      </w:pPr>
      <w:r w:rsidRPr="00B23DB3">
        <w:rPr>
          <w:rFonts w:ascii="Arial" w:hAnsi="Arial" w:cs="Arial"/>
        </w:rPr>
        <w:t xml:space="preserve">El 7 d'octubre, es va participar en la segona edició del curs de la </w:t>
      </w:r>
      <w:r w:rsidRPr="00B23DB3">
        <w:rPr>
          <w:rFonts w:ascii="Arial" w:hAnsi="Arial" w:cs="Arial"/>
          <w:b/>
        </w:rPr>
        <w:t>Llei de Transparència: implantació en l'Administració Local</w:t>
      </w:r>
      <w:r w:rsidRPr="00B23DB3">
        <w:rPr>
          <w:rFonts w:ascii="Arial" w:hAnsi="Arial" w:cs="Arial"/>
        </w:rPr>
        <w:t xml:space="preserve">, organitzat per la Diputació d'Alacant, corresponent a l'Agència el mòdul formatiu “L'Agència Valenciana Antifrau. El paper del personal al servei de les administracions públiques en la lluita contra la corrupció”. L'objectiu, novament, va ser donar a conéixer l’AVAF, les seues funcions i actuacions relacionades amb els empleats públics locals i el seu impacte en la transparència i el bon govern. </w:t>
      </w:r>
    </w:p>
    <w:p w14:paraId="65A6C549" w14:textId="77777777" w:rsidR="00B23DB3" w:rsidRPr="00B23DB3" w:rsidRDefault="00B23DB3" w:rsidP="0024334F">
      <w:pPr>
        <w:pStyle w:val="Texto"/>
        <w:numPr>
          <w:ilvl w:val="0"/>
          <w:numId w:val="70"/>
        </w:numPr>
        <w:spacing w:after="120"/>
        <w:ind w:left="357" w:hanging="357"/>
        <w:rPr>
          <w:rFonts w:ascii="Arial" w:hAnsi="Arial" w:cs="Arial"/>
        </w:rPr>
      </w:pPr>
      <w:r w:rsidRPr="00B23DB3">
        <w:rPr>
          <w:rFonts w:ascii="Arial" w:hAnsi="Arial" w:cs="Arial"/>
        </w:rPr>
        <w:t xml:space="preserve">Del 18 d'octubre al 7 de novembre, es va realitzar el curs en línia, organitzat per l'INAP, de 15 hores lectives sobre </w:t>
      </w:r>
      <w:r w:rsidRPr="00B23DB3">
        <w:rPr>
          <w:rFonts w:ascii="Arial" w:hAnsi="Arial" w:cs="Arial"/>
          <w:b/>
          <w:bCs/>
        </w:rPr>
        <w:t>Prevenció de la corrupció en les Administracions Públiques</w:t>
      </w:r>
      <w:r w:rsidRPr="00B23DB3">
        <w:rPr>
          <w:rFonts w:ascii="Arial" w:hAnsi="Arial" w:cs="Arial"/>
        </w:rPr>
        <w:t xml:space="preserve">. El curs es va dirigir a realitzar una experiència formativa orientada al coneixement de les polítiques anticorrupció de la UE, les institucions que les protagonitzen, les principals línies preventives i els principis de l'ètica i la integritat públiques. </w:t>
      </w:r>
    </w:p>
    <w:p w14:paraId="49EB68EC" w14:textId="77777777" w:rsidR="00B23DB3" w:rsidRPr="00B23DB3" w:rsidRDefault="00B23DB3" w:rsidP="0024334F">
      <w:pPr>
        <w:pStyle w:val="Texto"/>
        <w:numPr>
          <w:ilvl w:val="0"/>
          <w:numId w:val="70"/>
        </w:numPr>
        <w:spacing w:after="120"/>
        <w:ind w:left="357" w:hanging="357"/>
        <w:rPr>
          <w:rFonts w:ascii="Arial" w:hAnsi="Arial" w:cs="Arial"/>
        </w:rPr>
      </w:pPr>
      <w:r w:rsidRPr="00B23DB3">
        <w:rPr>
          <w:rFonts w:ascii="Arial" w:hAnsi="Arial" w:cs="Arial"/>
        </w:rPr>
        <w:t xml:space="preserve">El 2 de novembre l'Agència va participar en el curs selectiu per a Tècnics Administradors Civils de l'Estat (TAC) organitzat per l'INAP, amb la intervenció </w:t>
      </w:r>
      <w:r w:rsidRPr="00B23DB3">
        <w:rPr>
          <w:rFonts w:ascii="Arial" w:hAnsi="Arial" w:cs="Arial"/>
          <w:b/>
          <w:bCs/>
        </w:rPr>
        <w:t>El paper de les agències antifrau en la lluita contra la corrupció i per la integritat pública</w:t>
      </w:r>
      <w:r w:rsidRPr="00B23DB3">
        <w:rPr>
          <w:rFonts w:ascii="Arial" w:hAnsi="Arial" w:cs="Arial"/>
          <w:b/>
        </w:rPr>
        <w:t>.</w:t>
      </w:r>
    </w:p>
    <w:p w14:paraId="67250112" w14:textId="77777777" w:rsidR="00B23DB3" w:rsidRPr="00B23DB3" w:rsidRDefault="00B23DB3" w:rsidP="0024334F">
      <w:pPr>
        <w:pStyle w:val="Texto"/>
        <w:numPr>
          <w:ilvl w:val="0"/>
          <w:numId w:val="70"/>
        </w:numPr>
        <w:spacing w:after="240"/>
        <w:rPr>
          <w:rFonts w:ascii="Arial" w:hAnsi="Arial" w:cs="Arial"/>
        </w:rPr>
      </w:pPr>
      <w:r w:rsidRPr="00B23DB3">
        <w:rPr>
          <w:rFonts w:ascii="Arial" w:hAnsi="Arial" w:cs="Arial"/>
        </w:rPr>
        <w:t xml:space="preserve">El 23 de novembre, dins de “Els nous reptes de la contractació del sector públic: instruments pràctics. ODS i fons </w:t>
      </w:r>
      <w:r w:rsidRPr="00B23DB3">
        <w:rPr>
          <w:rFonts w:ascii="Arial" w:hAnsi="Arial" w:cs="Arial"/>
          <w:i/>
        </w:rPr>
        <w:t>Next Generation EU</w:t>
      </w:r>
      <w:r w:rsidRPr="00B23DB3">
        <w:rPr>
          <w:rFonts w:ascii="Arial" w:hAnsi="Arial" w:cs="Arial"/>
        </w:rPr>
        <w:t xml:space="preserve"> per a una cultura administrativa sostenible”, organitzat per la Diputació de València, es va desenvolupar el mòdul formatiu de l’AVAF </w:t>
      </w:r>
      <w:r w:rsidRPr="00B23DB3">
        <w:rPr>
          <w:rFonts w:ascii="Arial" w:hAnsi="Arial" w:cs="Arial"/>
          <w:b/>
          <w:bCs/>
        </w:rPr>
        <w:t>Els canals de denúncia com a instruments per a la consecució d'institucions sòlides</w:t>
      </w:r>
      <w:r w:rsidRPr="00B23DB3">
        <w:rPr>
          <w:rFonts w:ascii="Arial" w:hAnsi="Arial" w:cs="Arial"/>
        </w:rPr>
        <w:t>, que, a més d'explicar les funcions i actuacions de l’AVAF, va centrar l'atenció en la necessitat d'implantar els canals de denúncia.</w:t>
      </w:r>
    </w:p>
    <w:p w14:paraId="2479E120" w14:textId="04A3C1C5" w:rsidR="00827DDE" w:rsidRPr="00827DDE" w:rsidRDefault="00827DDE" w:rsidP="00827DDE">
      <w:pPr>
        <w:pStyle w:val="Descripcin"/>
        <w:keepNext/>
        <w:rPr>
          <w:rFonts w:ascii="Arial" w:hAnsi="Arial" w:cs="Arial"/>
          <w:smallCaps w:val="0"/>
          <w:sz w:val="18"/>
          <w:szCs w:val="18"/>
        </w:rPr>
      </w:pPr>
      <w:bookmarkStart w:id="414" w:name="_Toc99110867"/>
      <w:r w:rsidRPr="00827DDE">
        <w:rPr>
          <w:rFonts w:ascii="Arial" w:hAnsi="Arial" w:cs="Arial"/>
          <w:smallCaps w:val="0"/>
          <w:color w:val="9D2235" w:themeColor="accent1"/>
          <w:sz w:val="18"/>
          <w:szCs w:val="18"/>
        </w:rPr>
        <w:t xml:space="preserve">Taula </w:t>
      </w:r>
      <w:r w:rsidRPr="00827DDE">
        <w:rPr>
          <w:rFonts w:ascii="Arial" w:hAnsi="Arial" w:cs="Arial"/>
          <w:smallCaps w:val="0"/>
          <w:color w:val="9D2235" w:themeColor="accent1"/>
          <w:sz w:val="18"/>
          <w:szCs w:val="18"/>
        </w:rPr>
        <w:fldChar w:fldCharType="begin" w:fldLock="1"/>
      </w:r>
      <w:r w:rsidRPr="00827DDE">
        <w:rPr>
          <w:rFonts w:ascii="Arial" w:hAnsi="Arial" w:cs="Arial"/>
          <w:smallCaps w:val="0"/>
          <w:color w:val="9D2235" w:themeColor="accent1"/>
          <w:sz w:val="18"/>
          <w:szCs w:val="18"/>
        </w:rPr>
        <w:instrText xml:space="preserve"> SEQ Taula \* ARABIC </w:instrText>
      </w:r>
      <w:r w:rsidRPr="00827DDE">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22</w:t>
      </w:r>
      <w:r w:rsidRPr="00827DDE">
        <w:rPr>
          <w:rFonts w:ascii="Arial" w:hAnsi="Arial" w:cs="Arial"/>
          <w:smallCaps w:val="0"/>
          <w:color w:val="9D2235" w:themeColor="accent1"/>
          <w:sz w:val="18"/>
          <w:szCs w:val="18"/>
        </w:rPr>
        <w:fldChar w:fldCharType="end"/>
      </w:r>
      <w:r w:rsidRPr="00827DDE">
        <w:rPr>
          <w:rFonts w:ascii="Arial" w:hAnsi="Arial" w:cs="Arial"/>
          <w:smallCaps w:val="0"/>
          <w:color w:val="9D2235" w:themeColor="accent1"/>
          <w:sz w:val="18"/>
          <w:szCs w:val="18"/>
        </w:rPr>
        <w:t xml:space="preserve">. </w:t>
      </w:r>
      <w:r w:rsidRPr="00827DDE">
        <w:rPr>
          <w:rFonts w:ascii="Arial" w:hAnsi="Arial" w:cs="Arial"/>
          <w:smallCaps w:val="0"/>
          <w:sz w:val="18"/>
          <w:szCs w:val="18"/>
        </w:rPr>
        <w:t>Participació en cursos dirigits a servidors públics</w:t>
      </w:r>
      <w:bookmarkEnd w:id="414"/>
    </w:p>
    <w:tbl>
      <w:tblPr>
        <w:tblStyle w:val="Tablaconcuadrcula51"/>
        <w:tblW w:w="8575" w:type="dxa"/>
        <w:tblLayout w:type="fixed"/>
        <w:tblLook w:val="04A0" w:firstRow="1" w:lastRow="0" w:firstColumn="1" w:lastColumn="0" w:noHBand="0" w:noVBand="1"/>
      </w:tblPr>
      <w:tblGrid>
        <w:gridCol w:w="1129"/>
        <w:gridCol w:w="1701"/>
        <w:gridCol w:w="2835"/>
        <w:gridCol w:w="851"/>
        <w:gridCol w:w="1276"/>
        <w:gridCol w:w="783"/>
      </w:tblGrid>
      <w:tr w:rsidR="00827DDE" w:rsidRPr="00827DDE" w14:paraId="13CD4F0F" w14:textId="77777777" w:rsidTr="00581702">
        <w:trPr>
          <w:trHeight w:val="423"/>
        </w:trPr>
        <w:tc>
          <w:tcPr>
            <w:tcW w:w="1129" w:type="dxa"/>
            <w:shd w:val="clear" w:color="auto" w:fill="9D2235"/>
            <w:vAlign w:val="center"/>
          </w:tcPr>
          <w:p w14:paraId="2D5319FE"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Entitat</w:t>
            </w:r>
          </w:p>
        </w:tc>
        <w:tc>
          <w:tcPr>
            <w:tcW w:w="1701" w:type="dxa"/>
            <w:shd w:val="clear" w:color="auto" w:fill="9D2235"/>
            <w:vAlign w:val="center"/>
          </w:tcPr>
          <w:p w14:paraId="6818F957"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Curs</w:t>
            </w:r>
          </w:p>
        </w:tc>
        <w:tc>
          <w:tcPr>
            <w:tcW w:w="2835" w:type="dxa"/>
            <w:shd w:val="clear" w:color="auto" w:fill="9D2235"/>
            <w:vAlign w:val="center"/>
          </w:tcPr>
          <w:p w14:paraId="2122772B"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Mòdul formatiu</w:t>
            </w:r>
          </w:p>
        </w:tc>
        <w:tc>
          <w:tcPr>
            <w:tcW w:w="851" w:type="dxa"/>
            <w:shd w:val="clear" w:color="auto" w:fill="9D2235"/>
            <w:vAlign w:val="center"/>
          </w:tcPr>
          <w:p w14:paraId="42426A10"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Data</w:t>
            </w:r>
          </w:p>
        </w:tc>
        <w:tc>
          <w:tcPr>
            <w:tcW w:w="1276" w:type="dxa"/>
            <w:shd w:val="clear" w:color="auto" w:fill="9D2235"/>
            <w:vAlign w:val="center"/>
          </w:tcPr>
          <w:p w14:paraId="08EBBF8F"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Participants</w:t>
            </w:r>
          </w:p>
        </w:tc>
        <w:tc>
          <w:tcPr>
            <w:tcW w:w="783" w:type="dxa"/>
            <w:shd w:val="clear" w:color="auto" w:fill="9D2235"/>
            <w:vAlign w:val="center"/>
          </w:tcPr>
          <w:p w14:paraId="572078F6"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Hores</w:t>
            </w:r>
          </w:p>
        </w:tc>
      </w:tr>
      <w:tr w:rsidR="00827DDE" w:rsidRPr="00827DDE" w14:paraId="5699ADE8" w14:textId="77777777" w:rsidTr="00581702">
        <w:trPr>
          <w:trHeight w:val="239"/>
        </w:trPr>
        <w:tc>
          <w:tcPr>
            <w:tcW w:w="1129" w:type="dxa"/>
            <w:vAlign w:val="center"/>
          </w:tcPr>
          <w:p w14:paraId="465EB62F" w14:textId="77777777" w:rsidR="00827DDE" w:rsidRPr="00827DDE" w:rsidRDefault="00827DDE" w:rsidP="00827DDE">
            <w:pPr>
              <w:rPr>
                <w:rFonts w:ascii="Arial" w:hAnsi="Arial" w:cs="Arial"/>
                <w:sz w:val="17"/>
                <w:szCs w:val="17"/>
              </w:rPr>
            </w:pPr>
            <w:r w:rsidRPr="00827DDE">
              <w:rPr>
                <w:rFonts w:ascii="Arial" w:hAnsi="Arial" w:cs="Arial"/>
                <w:sz w:val="17"/>
                <w:szCs w:val="17"/>
              </w:rPr>
              <w:t>Diputació d’Alacant</w:t>
            </w:r>
          </w:p>
        </w:tc>
        <w:tc>
          <w:tcPr>
            <w:tcW w:w="1701" w:type="dxa"/>
            <w:vAlign w:val="center"/>
          </w:tcPr>
          <w:p w14:paraId="3A800AB5" w14:textId="77777777" w:rsidR="00827DDE" w:rsidRPr="00827DDE" w:rsidRDefault="00827DDE" w:rsidP="00827DDE">
            <w:pPr>
              <w:rPr>
                <w:rFonts w:ascii="Arial" w:hAnsi="Arial" w:cs="Arial"/>
                <w:sz w:val="17"/>
                <w:szCs w:val="17"/>
              </w:rPr>
            </w:pPr>
            <w:r w:rsidRPr="00827DDE">
              <w:rPr>
                <w:rFonts w:ascii="Arial" w:hAnsi="Arial" w:cs="Arial"/>
                <w:sz w:val="17"/>
                <w:szCs w:val="17"/>
              </w:rPr>
              <w:t>La Llei de Transparència: implantació en l'Administració Local</w:t>
            </w:r>
          </w:p>
        </w:tc>
        <w:tc>
          <w:tcPr>
            <w:tcW w:w="2835" w:type="dxa"/>
            <w:vAlign w:val="center"/>
          </w:tcPr>
          <w:p w14:paraId="5D278F3A"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L'Agència Valenciana Antifrau. El paper del personal al servei de les administracions públiques en la lluita contra la corrupció</w:t>
            </w:r>
          </w:p>
        </w:tc>
        <w:tc>
          <w:tcPr>
            <w:tcW w:w="851" w:type="dxa"/>
            <w:vAlign w:val="center"/>
          </w:tcPr>
          <w:p w14:paraId="51AE9D3B"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 xml:space="preserve">21-jun </w:t>
            </w:r>
          </w:p>
        </w:tc>
        <w:tc>
          <w:tcPr>
            <w:tcW w:w="1276" w:type="dxa"/>
            <w:vAlign w:val="center"/>
          </w:tcPr>
          <w:p w14:paraId="32D2AF42"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19</w:t>
            </w:r>
          </w:p>
        </w:tc>
        <w:tc>
          <w:tcPr>
            <w:tcW w:w="783" w:type="dxa"/>
            <w:vAlign w:val="center"/>
          </w:tcPr>
          <w:p w14:paraId="579A541C"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w:t>
            </w:r>
          </w:p>
        </w:tc>
      </w:tr>
      <w:tr w:rsidR="00827DDE" w:rsidRPr="00827DDE" w14:paraId="2E7542C1" w14:textId="77777777" w:rsidTr="00581702">
        <w:trPr>
          <w:trHeight w:val="253"/>
        </w:trPr>
        <w:tc>
          <w:tcPr>
            <w:tcW w:w="1129" w:type="dxa"/>
            <w:vAlign w:val="center"/>
          </w:tcPr>
          <w:p w14:paraId="60B18129" w14:textId="77777777" w:rsidR="00827DDE" w:rsidRPr="00827DDE" w:rsidRDefault="00827DDE" w:rsidP="00827DDE">
            <w:pPr>
              <w:rPr>
                <w:rFonts w:ascii="Arial" w:hAnsi="Arial" w:cs="Arial"/>
                <w:sz w:val="17"/>
                <w:szCs w:val="17"/>
              </w:rPr>
            </w:pPr>
            <w:r w:rsidRPr="00827DDE">
              <w:rPr>
                <w:rFonts w:ascii="Arial" w:hAnsi="Arial" w:cs="Arial"/>
                <w:sz w:val="17"/>
                <w:szCs w:val="17"/>
              </w:rPr>
              <w:t>Diputació d’Alacant</w:t>
            </w:r>
          </w:p>
        </w:tc>
        <w:tc>
          <w:tcPr>
            <w:tcW w:w="1701" w:type="dxa"/>
            <w:vAlign w:val="center"/>
          </w:tcPr>
          <w:p w14:paraId="14B4E09B" w14:textId="77777777" w:rsidR="00827DDE" w:rsidRPr="00827DDE" w:rsidRDefault="00827DDE" w:rsidP="00827DDE">
            <w:pPr>
              <w:rPr>
                <w:rFonts w:ascii="Arial" w:hAnsi="Arial" w:cs="Arial"/>
                <w:sz w:val="17"/>
                <w:szCs w:val="17"/>
              </w:rPr>
            </w:pPr>
            <w:r w:rsidRPr="00827DDE">
              <w:rPr>
                <w:rFonts w:ascii="Arial" w:hAnsi="Arial" w:cs="Arial"/>
                <w:sz w:val="17"/>
                <w:szCs w:val="17"/>
              </w:rPr>
              <w:t>La Llei de Transparència: implantació en l'Administració Local</w:t>
            </w:r>
          </w:p>
        </w:tc>
        <w:tc>
          <w:tcPr>
            <w:tcW w:w="2835" w:type="dxa"/>
            <w:vAlign w:val="center"/>
          </w:tcPr>
          <w:p w14:paraId="7A19648F"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L'Agència Valenciana Antifrau. El paper del personal al servei de les administracions públiques en la lluita contra la corrupció</w:t>
            </w:r>
          </w:p>
        </w:tc>
        <w:tc>
          <w:tcPr>
            <w:tcW w:w="851" w:type="dxa"/>
            <w:vAlign w:val="center"/>
          </w:tcPr>
          <w:p w14:paraId="3B33C260"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7-oct</w:t>
            </w:r>
          </w:p>
        </w:tc>
        <w:tc>
          <w:tcPr>
            <w:tcW w:w="1276" w:type="dxa"/>
            <w:vAlign w:val="center"/>
          </w:tcPr>
          <w:p w14:paraId="4BB4C39A"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13</w:t>
            </w:r>
          </w:p>
        </w:tc>
        <w:tc>
          <w:tcPr>
            <w:tcW w:w="783" w:type="dxa"/>
            <w:vAlign w:val="center"/>
          </w:tcPr>
          <w:p w14:paraId="70C0C5E8"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w:t>
            </w:r>
          </w:p>
        </w:tc>
      </w:tr>
      <w:tr w:rsidR="00827DDE" w:rsidRPr="00827DDE" w14:paraId="2A03A63C" w14:textId="77777777" w:rsidTr="00581702">
        <w:trPr>
          <w:trHeight w:val="239"/>
        </w:trPr>
        <w:tc>
          <w:tcPr>
            <w:tcW w:w="1129" w:type="dxa"/>
            <w:vAlign w:val="center"/>
          </w:tcPr>
          <w:p w14:paraId="638EA820" w14:textId="77777777" w:rsidR="00827DDE" w:rsidRPr="00827DDE" w:rsidRDefault="00827DDE" w:rsidP="00827DDE">
            <w:pPr>
              <w:rPr>
                <w:rFonts w:ascii="Arial" w:hAnsi="Arial" w:cs="Arial"/>
                <w:sz w:val="17"/>
                <w:szCs w:val="17"/>
              </w:rPr>
            </w:pPr>
            <w:r w:rsidRPr="00827DDE">
              <w:rPr>
                <w:rFonts w:ascii="Arial" w:hAnsi="Arial" w:cs="Arial"/>
                <w:sz w:val="17"/>
                <w:szCs w:val="17"/>
              </w:rPr>
              <w:t>INAP</w:t>
            </w:r>
          </w:p>
        </w:tc>
        <w:tc>
          <w:tcPr>
            <w:tcW w:w="1701" w:type="dxa"/>
            <w:vAlign w:val="center"/>
          </w:tcPr>
          <w:p w14:paraId="72D4AE6F" w14:textId="77777777" w:rsidR="00827DDE" w:rsidRPr="00827DDE" w:rsidRDefault="00827DDE" w:rsidP="00827DDE">
            <w:pPr>
              <w:rPr>
                <w:rFonts w:ascii="Arial" w:hAnsi="Arial" w:cs="Arial"/>
                <w:sz w:val="17"/>
                <w:szCs w:val="17"/>
              </w:rPr>
            </w:pPr>
            <w:r w:rsidRPr="00827DDE">
              <w:rPr>
                <w:rFonts w:ascii="Arial" w:hAnsi="Arial" w:cs="Arial"/>
                <w:sz w:val="17"/>
                <w:szCs w:val="17"/>
              </w:rPr>
              <w:t>Prevenció de la corrupció en l'Administració Pública</w:t>
            </w:r>
          </w:p>
        </w:tc>
        <w:tc>
          <w:tcPr>
            <w:tcW w:w="2835" w:type="dxa"/>
            <w:vAlign w:val="center"/>
          </w:tcPr>
          <w:p w14:paraId="6434DE38"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Curs complet en línea (</w:t>
            </w:r>
            <w:r w:rsidRPr="00827DDE">
              <w:rPr>
                <w:rFonts w:ascii="Arial" w:hAnsi="Arial" w:cs="Arial"/>
                <w:i/>
                <w:iCs/>
                <w:sz w:val="17"/>
                <w:szCs w:val="17"/>
              </w:rPr>
              <w:t>online)</w:t>
            </w:r>
            <w:r w:rsidRPr="00827DDE">
              <w:rPr>
                <w:rFonts w:ascii="Arial" w:hAnsi="Arial" w:cs="Arial"/>
                <w:sz w:val="17"/>
                <w:szCs w:val="17"/>
              </w:rPr>
              <w:t xml:space="preserve"> </w:t>
            </w:r>
          </w:p>
        </w:tc>
        <w:tc>
          <w:tcPr>
            <w:tcW w:w="851" w:type="dxa"/>
            <w:vAlign w:val="center"/>
          </w:tcPr>
          <w:p w14:paraId="5B3DFAF6"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18-oct a 7-nov</w:t>
            </w:r>
          </w:p>
        </w:tc>
        <w:tc>
          <w:tcPr>
            <w:tcW w:w="1276" w:type="dxa"/>
            <w:vAlign w:val="center"/>
          </w:tcPr>
          <w:p w14:paraId="73D1896E"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60</w:t>
            </w:r>
          </w:p>
        </w:tc>
        <w:tc>
          <w:tcPr>
            <w:tcW w:w="783" w:type="dxa"/>
            <w:vAlign w:val="center"/>
          </w:tcPr>
          <w:p w14:paraId="4892278A"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15</w:t>
            </w:r>
          </w:p>
        </w:tc>
      </w:tr>
      <w:tr w:rsidR="00827DDE" w:rsidRPr="00827DDE" w14:paraId="758FDDE7" w14:textId="77777777" w:rsidTr="00581702">
        <w:trPr>
          <w:trHeight w:val="239"/>
        </w:trPr>
        <w:tc>
          <w:tcPr>
            <w:tcW w:w="1129" w:type="dxa"/>
            <w:vAlign w:val="center"/>
          </w:tcPr>
          <w:p w14:paraId="690D221D" w14:textId="77777777" w:rsidR="00827DDE" w:rsidRPr="00827DDE" w:rsidRDefault="00827DDE" w:rsidP="00827DDE">
            <w:pPr>
              <w:rPr>
                <w:rFonts w:ascii="Arial" w:hAnsi="Arial" w:cs="Arial"/>
                <w:sz w:val="17"/>
                <w:szCs w:val="17"/>
              </w:rPr>
            </w:pPr>
            <w:r w:rsidRPr="00827DDE">
              <w:rPr>
                <w:rFonts w:ascii="Arial" w:hAnsi="Arial" w:cs="Arial"/>
                <w:sz w:val="17"/>
                <w:szCs w:val="17"/>
              </w:rPr>
              <w:t>INAP</w:t>
            </w:r>
          </w:p>
        </w:tc>
        <w:tc>
          <w:tcPr>
            <w:tcW w:w="1701" w:type="dxa"/>
            <w:vAlign w:val="center"/>
          </w:tcPr>
          <w:p w14:paraId="37E295F7" w14:textId="77777777" w:rsidR="00827DDE" w:rsidRPr="00827DDE" w:rsidRDefault="00827DDE" w:rsidP="00827DDE">
            <w:pPr>
              <w:rPr>
                <w:rFonts w:ascii="Arial" w:hAnsi="Arial" w:cs="Arial"/>
                <w:sz w:val="17"/>
                <w:szCs w:val="17"/>
              </w:rPr>
            </w:pPr>
            <w:r w:rsidRPr="00827DDE">
              <w:rPr>
                <w:rFonts w:ascii="Arial" w:hAnsi="Arial" w:cs="Arial"/>
                <w:sz w:val="17"/>
                <w:szCs w:val="17"/>
              </w:rPr>
              <w:t>Curs selectiu TAC</w:t>
            </w:r>
          </w:p>
        </w:tc>
        <w:tc>
          <w:tcPr>
            <w:tcW w:w="2835" w:type="dxa"/>
            <w:vAlign w:val="center"/>
          </w:tcPr>
          <w:p w14:paraId="0A9FFFFF"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El paper de les agències antifrau en la lluita contra la corrupció i per la integritat pública</w:t>
            </w:r>
          </w:p>
        </w:tc>
        <w:tc>
          <w:tcPr>
            <w:tcW w:w="851" w:type="dxa"/>
            <w:vAlign w:val="center"/>
          </w:tcPr>
          <w:p w14:paraId="372C9641"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2-nov</w:t>
            </w:r>
          </w:p>
        </w:tc>
        <w:tc>
          <w:tcPr>
            <w:tcW w:w="1276" w:type="dxa"/>
            <w:vAlign w:val="center"/>
          </w:tcPr>
          <w:p w14:paraId="448D136E"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65</w:t>
            </w:r>
          </w:p>
        </w:tc>
        <w:tc>
          <w:tcPr>
            <w:tcW w:w="783" w:type="dxa"/>
            <w:vAlign w:val="center"/>
          </w:tcPr>
          <w:p w14:paraId="732F384D"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w:t>
            </w:r>
          </w:p>
        </w:tc>
      </w:tr>
      <w:tr w:rsidR="00827DDE" w:rsidRPr="00827DDE" w14:paraId="3FB4812D" w14:textId="77777777" w:rsidTr="00581702">
        <w:trPr>
          <w:trHeight w:val="239"/>
        </w:trPr>
        <w:tc>
          <w:tcPr>
            <w:tcW w:w="1129" w:type="dxa"/>
            <w:vAlign w:val="center"/>
          </w:tcPr>
          <w:p w14:paraId="2B40D18B" w14:textId="77777777" w:rsidR="00827DDE" w:rsidRPr="00827DDE" w:rsidRDefault="00827DDE" w:rsidP="00827DDE">
            <w:pPr>
              <w:rPr>
                <w:rFonts w:ascii="Arial" w:hAnsi="Arial" w:cs="Arial"/>
                <w:sz w:val="17"/>
                <w:szCs w:val="17"/>
              </w:rPr>
            </w:pPr>
            <w:r w:rsidRPr="00827DDE">
              <w:rPr>
                <w:rFonts w:ascii="Arial" w:hAnsi="Arial" w:cs="Arial"/>
                <w:sz w:val="17"/>
                <w:szCs w:val="17"/>
              </w:rPr>
              <w:t>Diputació de València</w:t>
            </w:r>
          </w:p>
        </w:tc>
        <w:tc>
          <w:tcPr>
            <w:tcW w:w="1701" w:type="dxa"/>
            <w:vAlign w:val="center"/>
          </w:tcPr>
          <w:p w14:paraId="70B38740" w14:textId="77777777" w:rsidR="00827DDE" w:rsidRPr="00827DDE" w:rsidRDefault="00827DDE" w:rsidP="00827DDE">
            <w:pPr>
              <w:rPr>
                <w:rFonts w:ascii="Arial" w:hAnsi="Arial" w:cs="Arial"/>
                <w:sz w:val="17"/>
                <w:szCs w:val="17"/>
              </w:rPr>
            </w:pPr>
            <w:r w:rsidRPr="00827DDE">
              <w:rPr>
                <w:rFonts w:ascii="Arial" w:hAnsi="Arial" w:cs="Arial"/>
                <w:sz w:val="17"/>
                <w:szCs w:val="17"/>
              </w:rPr>
              <w:t>Els nous reptes de la contractació pública</w:t>
            </w:r>
          </w:p>
        </w:tc>
        <w:tc>
          <w:tcPr>
            <w:tcW w:w="2835" w:type="dxa"/>
            <w:vAlign w:val="center"/>
          </w:tcPr>
          <w:p w14:paraId="3258A693"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Contractació íntegra. Els canals de denúncia com a instrument per la consecució d'institucions sòlides</w:t>
            </w:r>
          </w:p>
        </w:tc>
        <w:tc>
          <w:tcPr>
            <w:tcW w:w="851" w:type="dxa"/>
            <w:vAlign w:val="center"/>
          </w:tcPr>
          <w:p w14:paraId="0DFB26DA"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23-nov</w:t>
            </w:r>
          </w:p>
        </w:tc>
        <w:tc>
          <w:tcPr>
            <w:tcW w:w="1276" w:type="dxa"/>
            <w:vAlign w:val="center"/>
          </w:tcPr>
          <w:p w14:paraId="770E3DAD"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51</w:t>
            </w:r>
          </w:p>
        </w:tc>
        <w:tc>
          <w:tcPr>
            <w:tcW w:w="783" w:type="dxa"/>
            <w:vAlign w:val="center"/>
          </w:tcPr>
          <w:p w14:paraId="786116CC"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2</w:t>
            </w:r>
          </w:p>
        </w:tc>
      </w:tr>
      <w:tr w:rsidR="00827DDE" w:rsidRPr="00827DDE" w14:paraId="4330AFAD" w14:textId="77777777" w:rsidTr="00581702">
        <w:trPr>
          <w:trHeight w:val="239"/>
        </w:trPr>
        <w:tc>
          <w:tcPr>
            <w:tcW w:w="6516" w:type="dxa"/>
            <w:gridSpan w:val="4"/>
            <w:shd w:val="clear" w:color="auto" w:fill="D9D9D9"/>
            <w:vAlign w:val="center"/>
          </w:tcPr>
          <w:p w14:paraId="0ACC78F0" w14:textId="77777777" w:rsidR="00827DDE" w:rsidRPr="00827DDE" w:rsidRDefault="00827DDE" w:rsidP="00827DDE">
            <w:pPr>
              <w:jc w:val="right"/>
              <w:rPr>
                <w:rFonts w:ascii="Arial" w:hAnsi="Arial" w:cs="Arial"/>
                <w:b/>
                <w:sz w:val="17"/>
                <w:szCs w:val="17"/>
              </w:rPr>
            </w:pPr>
            <w:r w:rsidRPr="00827DDE">
              <w:rPr>
                <w:rFonts w:ascii="Arial" w:hAnsi="Arial" w:cs="Arial"/>
                <w:b/>
                <w:sz w:val="17"/>
                <w:szCs w:val="17"/>
              </w:rPr>
              <w:t>Totals cursos</w:t>
            </w:r>
          </w:p>
        </w:tc>
        <w:tc>
          <w:tcPr>
            <w:tcW w:w="1276" w:type="dxa"/>
            <w:shd w:val="clear" w:color="auto" w:fill="D9D9D9"/>
            <w:vAlign w:val="center"/>
          </w:tcPr>
          <w:p w14:paraId="61483DA4" w14:textId="77777777" w:rsidR="00827DDE" w:rsidRPr="00827DDE" w:rsidRDefault="00827DDE" w:rsidP="00827DDE">
            <w:pPr>
              <w:jc w:val="center"/>
              <w:rPr>
                <w:rFonts w:ascii="Arial" w:hAnsi="Arial" w:cs="Arial"/>
                <w:b/>
                <w:sz w:val="17"/>
                <w:szCs w:val="17"/>
              </w:rPr>
            </w:pPr>
            <w:r w:rsidRPr="00827DDE">
              <w:rPr>
                <w:rFonts w:ascii="Arial" w:hAnsi="Arial" w:cs="Arial"/>
                <w:b/>
                <w:sz w:val="17"/>
                <w:szCs w:val="17"/>
              </w:rPr>
              <w:t xml:space="preserve">208 </w:t>
            </w:r>
          </w:p>
        </w:tc>
        <w:tc>
          <w:tcPr>
            <w:tcW w:w="783" w:type="dxa"/>
            <w:shd w:val="clear" w:color="auto" w:fill="D9D9D9"/>
            <w:vAlign w:val="center"/>
          </w:tcPr>
          <w:p w14:paraId="2B71AE19" w14:textId="77777777" w:rsidR="00827DDE" w:rsidRPr="00827DDE" w:rsidRDefault="00827DDE" w:rsidP="00827DDE">
            <w:pPr>
              <w:jc w:val="center"/>
              <w:rPr>
                <w:rFonts w:ascii="Arial" w:hAnsi="Arial" w:cs="Arial"/>
                <w:b/>
                <w:sz w:val="17"/>
                <w:szCs w:val="17"/>
              </w:rPr>
            </w:pPr>
            <w:r w:rsidRPr="00827DDE">
              <w:rPr>
                <w:rFonts w:ascii="Arial" w:hAnsi="Arial" w:cs="Arial"/>
                <w:b/>
                <w:sz w:val="17"/>
                <w:szCs w:val="17"/>
              </w:rPr>
              <w:t xml:space="preserve">20 </w:t>
            </w:r>
          </w:p>
        </w:tc>
      </w:tr>
    </w:tbl>
    <w:p w14:paraId="72A0C2B0" w14:textId="1C59D0C7" w:rsidR="00FD5628" w:rsidRPr="00827DDE" w:rsidRDefault="00FD5628" w:rsidP="00827DDE">
      <w:pPr>
        <w:pStyle w:val="Texto"/>
        <w:spacing w:after="240"/>
        <w:rPr>
          <w:rFonts w:ascii="Arial" w:hAnsi="Arial" w:cs="Arial"/>
        </w:rPr>
      </w:pPr>
    </w:p>
    <w:p w14:paraId="78689124" w14:textId="2DF5A8E2" w:rsidR="00827DDE" w:rsidRPr="00827DDE" w:rsidRDefault="00827DDE" w:rsidP="00827DDE">
      <w:pPr>
        <w:pStyle w:val="Texto"/>
        <w:spacing w:after="240"/>
        <w:rPr>
          <w:rFonts w:ascii="Arial" w:hAnsi="Arial" w:cs="Arial"/>
        </w:rPr>
      </w:pPr>
      <w:r w:rsidRPr="00827DDE">
        <w:rPr>
          <w:rFonts w:ascii="Arial" w:hAnsi="Arial" w:cs="Arial"/>
        </w:rPr>
        <w:t xml:space="preserve">A més dels cursos, s'ha col·laborat amb diferents institucions en jornades, congressos i conferències dirigides a personal al servei de les administracions </w:t>
      </w:r>
      <w:r w:rsidRPr="00C9578C">
        <w:rPr>
          <w:rFonts w:ascii="Arial" w:hAnsi="Arial" w:cs="Arial"/>
        </w:rPr>
        <w:t>públiques (Taula 2</w:t>
      </w:r>
      <w:r w:rsidR="00D80C9E" w:rsidRPr="00C9578C">
        <w:rPr>
          <w:rFonts w:ascii="Arial" w:hAnsi="Arial" w:cs="Arial"/>
        </w:rPr>
        <w:t>3</w:t>
      </w:r>
      <w:r w:rsidRPr="00C9578C">
        <w:rPr>
          <w:rFonts w:ascii="Arial" w:hAnsi="Arial" w:cs="Arial"/>
        </w:rPr>
        <w:t>):</w:t>
      </w:r>
    </w:p>
    <w:p w14:paraId="5E94FB80" w14:textId="77777777" w:rsidR="00827DDE" w:rsidRPr="00827DDE" w:rsidRDefault="00827DDE" w:rsidP="0024334F">
      <w:pPr>
        <w:pStyle w:val="Texto"/>
        <w:numPr>
          <w:ilvl w:val="0"/>
          <w:numId w:val="71"/>
        </w:numPr>
        <w:spacing w:after="120"/>
        <w:ind w:left="357" w:hanging="357"/>
        <w:rPr>
          <w:rFonts w:ascii="Arial" w:hAnsi="Arial" w:cs="Arial"/>
        </w:rPr>
      </w:pPr>
      <w:r w:rsidRPr="00827DDE">
        <w:rPr>
          <w:rFonts w:ascii="Arial" w:hAnsi="Arial" w:cs="Arial"/>
        </w:rPr>
        <w:t xml:space="preserve">7 de juny. Conferència </w:t>
      </w:r>
      <w:r w:rsidRPr="00827DDE">
        <w:rPr>
          <w:rFonts w:ascii="Arial" w:hAnsi="Arial" w:cs="Arial"/>
          <w:b/>
          <w:bCs/>
        </w:rPr>
        <w:t>Urbanisme, medi ambient i corrupció</w:t>
      </w:r>
      <w:r w:rsidRPr="00827DDE">
        <w:rPr>
          <w:rFonts w:ascii="Arial" w:hAnsi="Arial" w:cs="Arial"/>
        </w:rPr>
        <w:t xml:space="preserve">. Activitat organitzada per l'Agència en col·laboració amb la Fiscalia de Sala de Medi Ambient i Urbanisme. L'acció formativa va estar motivada per ser l'Agència un organisme que manté relacions de suport i de col·laboració amb les autoritats judicials i el ministeri fiscal, i va consistir en una anàlisi dels principals aspectes a considerar en una investigació sobre potencials problemes de corrupció en matèria de medi ambient i urbanisme. </w:t>
      </w:r>
    </w:p>
    <w:p w14:paraId="14814D39" w14:textId="77777777" w:rsidR="00827DDE" w:rsidRPr="00827DDE" w:rsidRDefault="00827DDE" w:rsidP="0024334F">
      <w:pPr>
        <w:pStyle w:val="Texto"/>
        <w:numPr>
          <w:ilvl w:val="0"/>
          <w:numId w:val="71"/>
        </w:numPr>
        <w:spacing w:after="120"/>
        <w:ind w:left="357" w:hanging="357"/>
        <w:rPr>
          <w:rFonts w:ascii="Arial" w:hAnsi="Arial" w:cs="Arial"/>
        </w:rPr>
      </w:pPr>
      <w:r w:rsidRPr="00827DDE">
        <w:rPr>
          <w:rFonts w:ascii="Arial" w:hAnsi="Arial" w:cs="Arial"/>
        </w:rPr>
        <w:t xml:space="preserve">El 18 d'agost. Col·loqui sobre </w:t>
      </w:r>
      <w:r w:rsidRPr="00827DDE">
        <w:rPr>
          <w:rFonts w:ascii="Arial" w:hAnsi="Arial" w:cs="Arial"/>
          <w:b/>
          <w:bCs/>
        </w:rPr>
        <w:t>Processos d'innovació en govern obert en diferents institucions i àrees</w:t>
      </w:r>
      <w:r w:rsidRPr="00827DDE">
        <w:rPr>
          <w:rFonts w:ascii="Arial" w:hAnsi="Arial" w:cs="Arial"/>
        </w:rPr>
        <w:t xml:space="preserve">, organitzat per l'Institut Trivium de Mèxic, en el marc del Diplomat de Govern i innovació pública. </w:t>
      </w:r>
    </w:p>
    <w:p w14:paraId="3F7C3084" w14:textId="77777777" w:rsidR="00827DDE" w:rsidRPr="00827DDE" w:rsidRDefault="00827DDE" w:rsidP="0024334F">
      <w:pPr>
        <w:pStyle w:val="Texto"/>
        <w:numPr>
          <w:ilvl w:val="0"/>
          <w:numId w:val="71"/>
        </w:numPr>
        <w:spacing w:after="120"/>
        <w:ind w:left="357" w:hanging="357"/>
        <w:rPr>
          <w:rFonts w:ascii="Arial" w:hAnsi="Arial" w:cs="Arial"/>
        </w:rPr>
      </w:pPr>
      <w:r w:rsidRPr="00827DDE">
        <w:rPr>
          <w:rFonts w:ascii="Arial" w:hAnsi="Arial" w:cs="Arial"/>
        </w:rPr>
        <w:t xml:space="preserve">El 22 de setembre. Presentació va presentar en el Rectorat de la Universitat de València, el documental </w:t>
      </w:r>
      <w:r w:rsidRPr="00827DDE">
        <w:rPr>
          <w:rFonts w:ascii="Arial" w:hAnsi="Arial" w:cs="Arial"/>
          <w:b/>
          <w:bCs/>
        </w:rPr>
        <w:t>Els conflictes d'interés i la integritat pública</w:t>
      </w:r>
      <w:r w:rsidRPr="00827DDE">
        <w:rPr>
          <w:rFonts w:ascii="Arial" w:hAnsi="Arial" w:cs="Arial"/>
        </w:rPr>
        <w:t xml:space="preserve">, realitzat en el marc del conveni de col·laboració de l’AVAF i la UV. </w:t>
      </w:r>
    </w:p>
    <w:p w14:paraId="1A5E0342" w14:textId="77777777" w:rsidR="00827DDE" w:rsidRPr="00827DDE" w:rsidRDefault="00827DDE" w:rsidP="0024334F">
      <w:pPr>
        <w:pStyle w:val="Texto"/>
        <w:numPr>
          <w:ilvl w:val="0"/>
          <w:numId w:val="71"/>
        </w:numPr>
        <w:spacing w:after="120"/>
        <w:ind w:left="357" w:hanging="357"/>
        <w:rPr>
          <w:rFonts w:ascii="Arial" w:hAnsi="Arial" w:cs="Arial"/>
        </w:rPr>
      </w:pPr>
      <w:r w:rsidRPr="00827DDE">
        <w:rPr>
          <w:rFonts w:ascii="Arial" w:hAnsi="Arial" w:cs="Arial"/>
        </w:rPr>
        <w:t xml:space="preserve">29 d'octubre. Participació en línia en el VIII Congrés NovaGob d'Innovació Pública, en la taula redona </w:t>
      </w:r>
      <w:r w:rsidRPr="00827DDE">
        <w:rPr>
          <w:rFonts w:ascii="Arial" w:hAnsi="Arial" w:cs="Arial"/>
          <w:b/>
          <w:bCs/>
        </w:rPr>
        <w:t>Fórmules per a una Administració més oberta i íntegra</w:t>
      </w:r>
      <w:r w:rsidRPr="00827DDE">
        <w:rPr>
          <w:rFonts w:ascii="Arial" w:hAnsi="Arial" w:cs="Arial"/>
          <w:b/>
        </w:rPr>
        <w:t>.</w:t>
      </w:r>
      <w:r w:rsidRPr="00827DDE">
        <w:rPr>
          <w:rFonts w:ascii="Arial" w:hAnsi="Arial" w:cs="Arial"/>
        </w:rPr>
        <w:t xml:space="preserve"> </w:t>
      </w:r>
    </w:p>
    <w:p w14:paraId="23AFC382" w14:textId="77777777" w:rsidR="00827DDE" w:rsidRPr="00827DDE" w:rsidRDefault="00827DDE" w:rsidP="0024334F">
      <w:pPr>
        <w:pStyle w:val="Texto"/>
        <w:numPr>
          <w:ilvl w:val="0"/>
          <w:numId w:val="71"/>
        </w:numPr>
        <w:spacing w:after="120"/>
        <w:ind w:left="357" w:hanging="357"/>
        <w:rPr>
          <w:rFonts w:ascii="Arial" w:hAnsi="Arial" w:cs="Arial"/>
        </w:rPr>
      </w:pPr>
      <w:r w:rsidRPr="00827DDE">
        <w:rPr>
          <w:rFonts w:ascii="Arial" w:hAnsi="Arial" w:cs="Arial"/>
        </w:rPr>
        <w:t xml:space="preserve">25 de novembre. Participació, a Madrid, en l'XI Congrés Nacional d'Innovació i Serveis Públics, CNIS. La conferència va tractar sobre </w:t>
      </w:r>
      <w:r w:rsidRPr="00827DDE">
        <w:rPr>
          <w:rFonts w:ascii="Arial" w:hAnsi="Arial" w:cs="Arial"/>
          <w:b/>
          <w:bCs/>
        </w:rPr>
        <w:t>Formació en integritat: una necessitat emergent en l'administració pública</w:t>
      </w:r>
      <w:r w:rsidRPr="00827DDE">
        <w:rPr>
          <w:rFonts w:ascii="Arial" w:hAnsi="Arial" w:cs="Arial"/>
        </w:rPr>
        <w:t xml:space="preserve">. </w:t>
      </w:r>
    </w:p>
    <w:p w14:paraId="28EC2579" w14:textId="775572DC" w:rsidR="00827DDE" w:rsidRPr="00827DDE" w:rsidRDefault="00827DDE" w:rsidP="0024334F">
      <w:pPr>
        <w:pStyle w:val="Texto"/>
        <w:numPr>
          <w:ilvl w:val="0"/>
          <w:numId w:val="71"/>
        </w:numPr>
        <w:spacing w:after="120"/>
        <w:ind w:left="357" w:hanging="357"/>
        <w:rPr>
          <w:rFonts w:ascii="Arial" w:hAnsi="Arial" w:cs="Arial"/>
        </w:rPr>
      </w:pPr>
      <w:r w:rsidRPr="00827DDE">
        <w:rPr>
          <w:rFonts w:ascii="Arial" w:hAnsi="Arial" w:cs="Arial"/>
        </w:rPr>
        <w:t xml:space="preserve">3 de desembre. Participació en la jornada </w:t>
      </w:r>
      <w:r w:rsidRPr="00827DDE">
        <w:rPr>
          <w:rFonts w:ascii="Arial" w:hAnsi="Arial" w:cs="Arial"/>
          <w:b/>
          <w:bCs/>
        </w:rPr>
        <w:t>Els plans antifrau en la gestió del Pla de Recuperació, Transformació i Resiliència</w:t>
      </w:r>
      <w:r w:rsidRPr="00827DDE">
        <w:rPr>
          <w:rFonts w:ascii="Arial" w:hAnsi="Arial" w:cs="Arial"/>
        </w:rPr>
        <w:t>, organitzada per la Universitat Jaume I de Castelló en col·laboració amb l’AVAF. La intervenció de l’AVAF es va centrar en “Els plans antifrau en clau d'integritat pública”.</w:t>
      </w:r>
    </w:p>
    <w:p w14:paraId="242449ED" w14:textId="03D3E1DA" w:rsidR="00827DDE" w:rsidRPr="00827DDE" w:rsidRDefault="00827DDE" w:rsidP="0024334F">
      <w:pPr>
        <w:pStyle w:val="Texto"/>
        <w:numPr>
          <w:ilvl w:val="0"/>
          <w:numId w:val="71"/>
        </w:numPr>
        <w:spacing w:after="240"/>
        <w:rPr>
          <w:rFonts w:ascii="Arial" w:hAnsi="Arial" w:cs="Arial"/>
        </w:rPr>
      </w:pPr>
      <w:r w:rsidRPr="00827DDE">
        <w:rPr>
          <w:rFonts w:ascii="Arial" w:hAnsi="Arial" w:cs="Arial"/>
        </w:rPr>
        <w:t xml:space="preserve">21 de desembre. Participació en la </w:t>
      </w:r>
      <w:r w:rsidRPr="00827DDE">
        <w:rPr>
          <w:rFonts w:ascii="Arial" w:hAnsi="Arial" w:cs="Arial"/>
          <w:b/>
          <w:bCs/>
        </w:rPr>
        <w:t>jornada Elaboració d'un pla antifrau en l'àmbit local</w:t>
      </w:r>
      <w:r w:rsidRPr="00827DDE">
        <w:rPr>
          <w:rFonts w:ascii="Arial" w:hAnsi="Arial" w:cs="Arial"/>
        </w:rPr>
        <w:t>, organitzada per la Generalitat Valenciana, en col·laboració amb les Diputacions Provincials i la FVMP. En la jornada es va explicar la proposta de l’AVAF sobre la necessitat d'elaborar plans d'integritat en les administracions públiques.</w:t>
      </w:r>
    </w:p>
    <w:p w14:paraId="5642C77C" w14:textId="72D06D97" w:rsidR="0024334F" w:rsidRPr="0024334F" w:rsidRDefault="0024334F" w:rsidP="0024334F">
      <w:pPr>
        <w:pStyle w:val="Descripcin"/>
        <w:keepNext/>
        <w:rPr>
          <w:rFonts w:ascii="Arial" w:hAnsi="Arial" w:cs="Arial"/>
          <w:smallCaps w:val="0"/>
          <w:sz w:val="18"/>
          <w:szCs w:val="18"/>
        </w:rPr>
      </w:pPr>
      <w:bookmarkStart w:id="415" w:name="_Toc99110868"/>
      <w:r w:rsidRPr="0024334F">
        <w:rPr>
          <w:rFonts w:ascii="Arial" w:hAnsi="Arial" w:cs="Arial"/>
          <w:smallCaps w:val="0"/>
          <w:color w:val="9D2235" w:themeColor="accent1"/>
          <w:sz w:val="18"/>
          <w:szCs w:val="18"/>
        </w:rPr>
        <w:t xml:space="preserve">Taula </w:t>
      </w:r>
      <w:r w:rsidRPr="0024334F">
        <w:rPr>
          <w:rFonts w:ascii="Arial" w:hAnsi="Arial" w:cs="Arial"/>
          <w:smallCaps w:val="0"/>
          <w:color w:val="9D2235" w:themeColor="accent1"/>
          <w:sz w:val="18"/>
          <w:szCs w:val="18"/>
        </w:rPr>
        <w:fldChar w:fldCharType="begin" w:fldLock="1"/>
      </w:r>
      <w:r w:rsidRPr="0024334F">
        <w:rPr>
          <w:rFonts w:ascii="Arial" w:hAnsi="Arial" w:cs="Arial"/>
          <w:smallCaps w:val="0"/>
          <w:color w:val="9D2235" w:themeColor="accent1"/>
          <w:sz w:val="18"/>
          <w:szCs w:val="18"/>
        </w:rPr>
        <w:instrText xml:space="preserve"> SEQ Taula \* ARABIC </w:instrText>
      </w:r>
      <w:r w:rsidRPr="0024334F">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23</w:t>
      </w:r>
      <w:r w:rsidRPr="0024334F">
        <w:rPr>
          <w:rFonts w:ascii="Arial" w:hAnsi="Arial" w:cs="Arial"/>
          <w:smallCaps w:val="0"/>
          <w:color w:val="9D2235" w:themeColor="accent1"/>
          <w:sz w:val="18"/>
          <w:szCs w:val="18"/>
        </w:rPr>
        <w:fldChar w:fldCharType="end"/>
      </w:r>
      <w:r w:rsidRPr="0024334F">
        <w:rPr>
          <w:rFonts w:ascii="Arial" w:hAnsi="Arial" w:cs="Arial"/>
          <w:smallCaps w:val="0"/>
          <w:color w:val="9D2235" w:themeColor="accent1"/>
          <w:sz w:val="18"/>
          <w:szCs w:val="18"/>
        </w:rPr>
        <w:t xml:space="preserve">. </w:t>
      </w:r>
      <w:r w:rsidRPr="0024334F">
        <w:rPr>
          <w:rFonts w:ascii="Arial" w:hAnsi="Arial" w:cs="Arial"/>
          <w:smallCaps w:val="0"/>
          <w:sz w:val="18"/>
          <w:szCs w:val="18"/>
        </w:rPr>
        <w:t>Participació en Jornades i altres activitats formatives singulars</w:t>
      </w:r>
      <w:bookmarkEnd w:id="415"/>
    </w:p>
    <w:tbl>
      <w:tblPr>
        <w:tblStyle w:val="Tablaconcuadrcula6"/>
        <w:tblW w:w="8520" w:type="dxa"/>
        <w:jc w:val="center"/>
        <w:tblLook w:val="04A0" w:firstRow="1" w:lastRow="0" w:firstColumn="1" w:lastColumn="0" w:noHBand="0" w:noVBand="1"/>
      </w:tblPr>
      <w:tblGrid>
        <w:gridCol w:w="1478"/>
        <w:gridCol w:w="1133"/>
        <w:gridCol w:w="3054"/>
        <w:gridCol w:w="886"/>
        <w:gridCol w:w="1190"/>
        <w:gridCol w:w="779"/>
      </w:tblGrid>
      <w:tr w:rsidR="00827DDE" w:rsidRPr="00827DDE" w14:paraId="339A59C0" w14:textId="77777777" w:rsidTr="0024334F">
        <w:trPr>
          <w:trHeight w:val="391"/>
          <w:tblHeader/>
          <w:jc w:val="center"/>
        </w:trPr>
        <w:tc>
          <w:tcPr>
            <w:tcW w:w="1478" w:type="dxa"/>
            <w:tcBorders>
              <w:bottom w:val="single" w:sz="4" w:space="0" w:color="auto"/>
            </w:tcBorders>
            <w:shd w:val="clear" w:color="auto" w:fill="9D2235"/>
            <w:vAlign w:val="center"/>
          </w:tcPr>
          <w:p w14:paraId="614F6779"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Entitat</w:t>
            </w:r>
          </w:p>
        </w:tc>
        <w:tc>
          <w:tcPr>
            <w:tcW w:w="1133" w:type="dxa"/>
            <w:tcBorders>
              <w:bottom w:val="single" w:sz="4" w:space="0" w:color="auto"/>
            </w:tcBorders>
            <w:shd w:val="clear" w:color="auto" w:fill="9D2235"/>
            <w:vAlign w:val="center"/>
          </w:tcPr>
          <w:p w14:paraId="3E41843E"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Activitat</w:t>
            </w:r>
          </w:p>
        </w:tc>
        <w:tc>
          <w:tcPr>
            <w:tcW w:w="3054" w:type="dxa"/>
            <w:tcBorders>
              <w:bottom w:val="single" w:sz="4" w:space="0" w:color="auto"/>
            </w:tcBorders>
            <w:shd w:val="clear" w:color="auto" w:fill="9D2235"/>
            <w:vAlign w:val="center"/>
          </w:tcPr>
          <w:p w14:paraId="727B1EF4" w14:textId="77777777" w:rsidR="00827DDE" w:rsidRPr="00827DDE" w:rsidRDefault="00827DDE" w:rsidP="00827DDE">
            <w:pPr>
              <w:rPr>
                <w:rFonts w:ascii="Arial" w:hAnsi="Arial" w:cs="Arial"/>
                <w:b/>
                <w:color w:val="FFFFFF"/>
                <w:sz w:val="17"/>
                <w:szCs w:val="17"/>
              </w:rPr>
            </w:pPr>
            <w:r w:rsidRPr="00827DDE">
              <w:rPr>
                <w:rFonts w:ascii="Arial" w:hAnsi="Arial" w:cs="Arial"/>
                <w:b/>
                <w:color w:val="FFFFFF"/>
                <w:sz w:val="17"/>
                <w:szCs w:val="17"/>
              </w:rPr>
              <w:t>Intervenció</w:t>
            </w:r>
          </w:p>
        </w:tc>
        <w:tc>
          <w:tcPr>
            <w:tcW w:w="886" w:type="dxa"/>
            <w:tcBorders>
              <w:bottom w:val="single" w:sz="4" w:space="0" w:color="auto"/>
            </w:tcBorders>
            <w:shd w:val="clear" w:color="auto" w:fill="9D2235"/>
            <w:vAlign w:val="center"/>
          </w:tcPr>
          <w:p w14:paraId="785F6E13" w14:textId="77777777" w:rsidR="00827DDE" w:rsidRPr="00827DDE" w:rsidRDefault="00827DDE" w:rsidP="00827DDE">
            <w:pPr>
              <w:jc w:val="center"/>
              <w:rPr>
                <w:rFonts w:ascii="Arial" w:hAnsi="Arial" w:cs="Arial"/>
                <w:b/>
                <w:color w:val="FFFFFF"/>
                <w:sz w:val="17"/>
                <w:szCs w:val="17"/>
              </w:rPr>
            </w:pPr>
            <w:r w:rsidRPr="00827DDE">
              <w:rPr>
                <w:rFonts w:ascii="Arial" w:hAnsi="Arial" w:cs="Arial"/>
                <w:b/>
                <w:color w:val="FFFFFF"/>
                <w:sz w:val="17"/>
                <w:szCs w:val="17"/>
              </w:rPr>
              <w:t>Data</w:t>
            </w:r>
          </w:p>
        </w:tc>
        <w:tc>
          <w:tcPr>
            <w:tcW w:w="1190" w:type="dxa"/>
            <w:tcBorders>
              <w:bottom w:val="single" w:sz="4" w:space="0" w:color="auto"/>
            </w:tcBorders>
            <w:shd w:val="clear" w:color="auto" w:fill="9D2235"/>
            <w:vAlign w:val="center"/>
          </w:tcPr>
          <w:p w14:paraId="000EBD6D" w14:textId="77777777" w:rsidR="00827DDE" w:rsidRPr="00827DDE" w:rsidRDefault="00827DDE" w:rsidP="00827DDE">
            <w:pPr>
              <w:jc w:val="center"/>
              <w:rPr>
                <w:rFonts w:ascii="Arial" w:hAnsi="Arial" w:cs="Arial"/>
                <w:b/>
                <w:color w:val="FFFFFF"/>
                <w:sz w:val="17"/>
                <w:szCs w:val="17"/>
              </w:rPr>
            </w:pPr>
            <w:r w:rsidRPr="00827DDE">
              <w:rPr>
                <w:rFonts w:ascii="Arial" w:hAnsi="Arial" w:cs="Arial"/>
                <w:b/>
                <w:color w:val="FFFFFF"/>
                <w:sz w:val="17"/>
                <w:szCs w:val="17"/>
              </w:rPr>
              <w:t>Participants</w:t>
            </w:r>
          </w:p>
        </w:tc>
        <w:tc>
          <w:tcPr>
            <w:tcW w:w="779" w:type="dxa"/>
            <w:tcBorders>
              <w:bottom w:val="single" w:sz="4" w:space="0" w:color="auto"/>
            </w:tcBorders>
            <w:shd w:val="clear" w:color="auto" w:fill="9D2235"/>
            <w:vAlign w:val="center"/>
          </w:tcPr>
          <w:p w14:paraId="5085AF13" w14:textId="77777777" w:rsidR="00827DDE" w:rsidRPr="00827DDE" w:rsidRDefault="00827DDE" w:rsidP="00827DDE">
            <w:pPr>
              <w:jc w:val="center"/>
              <w:rPr>
                <w:rFonts w:ascii="Arial" w:hAnsi="Arial" w:cs="Arial"/>
                <w:b/>
                <w:color w:val="FFFFFF"/>
                <w:sz w:val="17"/>
                <w:szCs w:val="17"/>
                <w:lang w:val="es-ES"/>
              </w:rPr>
            </w:pPr>
            <w:r w:rsidRPr="00827DDE">
              <w:rPr>
                <w:rFonts w:ascii="Arial" w:hAnsi="Arial" w:cs="Arial"/>
                <w:b/>
                <w:color w:val="FFFFFF"/>
                <w:sz w:val="17"/>
                <w:szCs w:val="17"/>
                <w:lang w:val="es-ES"/>
              </w:rPr>
              <w:t>Hores</w:t>
            </w:r>
          </w:p>
        </w:tc>
      </w:tr>
      <w:tr w:rsidR="00827DDE" w:rsidRPr="00827DDE" w14:paraId="0245F6D6" w14:textId="77777777" w:rsidTr="0024334F">
        <w:trPr>
          <w:trHeight w:val="257"/>
          <w:jc w:val="center"/>
        </w:trPr>
        <w:tc>
          <w:tcPr>
            <w:tcW w:w="1478" w:type="dxa"/>
            <w:shd w:val="clear" w:color="auto" w:fill="auto"/>
            <w:vAlign w:val="center"/>
          </w:tcPr>
          <w:p w14:paraId="4371E6CD" w14:textId="77777777" w:rsidR="00827DDE" w:rsidRPr="00827DDE" w:rsidRDefault="00827DDE" w:rsidP="00827DDE">
            <w:pPr>
              <w:rPr>
                <w:rFonts w:ascii="Arial" w:hAnsi="Arial" w:cs="Arial"/>
                <w:sz w:val="17"/>
                <w:szCs w:val="17"/>
              </w:rPr>
            </w:pPr>
            <w:r w:rsidRPr="00827DDE">
              <w:rPr>
                <w:rFonts w:ascii="Arial" w:hAnsi="Arial" w:cs="Arial"/>
                <w:sz w:val="17"/>
                <w:szCs w:val="17"/>
              </w:rPr>
              <w:t>AVAF</w:t>
            </w:r>
          </w:p>
        </w:tc>
        <w:tc>
          <w:tcPr>
            <w:tcW w:w="1133" w:type="dxa"/>
            <w:shd w:val="clear" w:color="auto" w:fill="auto"/>
            <w:vAlign w:val="center"/>
          </w:tcPr>
          <w:p w14:paraId="03B02E54" w14:textId="77777777" w:rsidR="00827DDE" w:rsidRPr="00827DDE" w:rsidRDefault="00827DDE" w:rsidP="00827DDE">
            <w:pPr>
              <w:rPr>
                <w:rFonts w:ascii="Arial" w:hAnsi="Arial" w:cs="Arial"/>
                <w:sz w:val="17"/>
                <w:szCs w:val="17"/>
              </w:rPr>
            </w:pPr>
            <w:r w:rsidRPr="00827DDE">
              <w:rPr>
                <w:rFonts w:ascii="Arial" w:hAnsi="Arial" w:cs="Arial"/>
                <w:sz w:val="17"/>
                <w:szCs w:val="17"/>
              </w:rPr>
              <w:t>Conferència</w:t>
            </w:r>
          </w:p>
        </w:tc>
        <w:tc>
          <w:tcPr>
            <w:tcW w:w="3054" w:type="dxa"/>
            <w:shd w:val="clear" w:color="auto" w:fill="auto"/>
            <w:vAlign w:val="center"/>
          </w:tcPr>
          <w:p w14:paraId="7C18553D" w14:textId="10DC79CA" w:rsidR="00827DDE" w:rsidRPr="00827DDE" w:rsidRDefault="00827DDE" w:rsidP="0024334F">
            <w:pPr>
              <w:jc w:val="both"/>
              <w:rPr>
                <w:rFonts w:ascii="Arial" w:hAnsi="Arial" w:cs="Arial"/>
                <w:sz w:val="17"/>
                <w:szCs w:val="17"/>
              </w:rPr>
            </w:pPr>
            <w:r w:rsidRPr="00827DDE">
              <w:rPr>
                <w:rFonts w:ascii="Arial" w:hAnsi="Arial" w:cs="Arial"/>
                <w:sz w:val="17"/>
                <w:szCs w:val="17"/>
              </w:rPr>
              <w:t>Urbanisme, medi ambient i corrupció. Coordinador de Medi Ambient i Urbanisme de la Fiscalia General de l'Estat</w:t>
            </w:r>
          </w:p>
        </w:tc>
        <w:tc>
          <w:tcPr>
            <w:tcW w:w="886" w:type="dxa"/>
            <w:shd w:val="clear" w:color="auto" w:fill="auto"/>
            <w:vAlign w:val="center"/>
          </w:tcPr>
          <w:p w14:paraId="4C8AF314"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7-jun</w:t>
            </w:r>
          </w:p>
        </w:tc>
        <w:tc>
          <w:tcPr>
            <w:tcW w:w="1190" w:type="dxa"/>
            <w:shd w:val="clear" w:color="auto" w:fill="auto"/>
            <w:vAlign w:val="center"/>
          </w:tcPr>
          <w:p w14:paraId="099C3217"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36</w:t>
            </w:r>
          </w:p>
        </w:tc>
        <w:tc>
          <w:tcPr>
            <w:tcW w:w="779" w:type="dxa"/>
            <w:shd w:val="clear" w:color="auto" w:fill="auto"/>
            <w:vAlign w:val="center"/>
          </w:tcPr>
          <w:p w14:paraId="483A5E71" w14:textId="77777777" w:rsidR="00827DDE" w:rsidRPr="00827DDE" w:rsidRDefault="00827DDE" w:rsidP="00827DDE">
            <w:pPr>
              <w:jc w:val="center"/>
              <w:rPr>
                <w:rFonts w:ascii="Arial" w:hAnsi="Arial" w:cs="Arial"/>
                <w:sz w:val="17"/>
                <w:szCs w:val="17"/>
                <w:lang w:val="es-ES"/>
              </w:rPr>
            </w:pPr>
            <w:r w:rsidRPr="00827DDE">
              <w:rPr>
                <w:rFonts w:ascii="Arial" w:hAnsi="Arial" w:cs="Arial"/>
                <w:sz w:val="17"/>
                <w:szCs w:val="17"/>
                <w:lang w:val="es-ES"/>
              </w:rPr>
              <w:t>5</w:t>
            </w:r>
          </w:p>
        </w:tc>
      </w:tr>
      <w:tr w:rsidR="00827DDE" w:rsidRPr="00827DDE" w14:paraId="1BC5023E" w14:textId="77777777" w:rsidTr="0024334F">
        <w:trPr>
          <w:trHeight w:val="257"/>
          <w:jc w:val="center"/>
        </w:trPr>
        <w:tc>
          <w:tcPr>
            <w:tcW w:w="1478" w:type="dxa"/>
            <w:shd w:val="clear" w:color="auto" w:fill="auto"/>
            <w:vAlign w:val="center"/>
          </w:tcPr>
          <w:p w14:paraId="511B24CA" w14:textId="77777777" w:rsidR="00827DDE" w:rsidRPr="00827DDE" w:rsidRDefault="00827DDE" w:rsidP="00827DDE">
            <w:pPr>
              <w:rPr>
                <w:rFonts w:ascii="Arial" w:hAnsi="Arial" w:cs="Arial"/>
                <w:sz w:val="17"/>
                <w:szCs w:val="17"/>
              </w:rPr>
            </w:pPr>
            <w:r w:rsidRPr="00827DDE">
              <w:rPr>
                <w:rFonts w:ascii="Arial" w:hAnsi="Arial" w:cs="Arial"/>
                <w:sz w:val="17"/>
                <w:szCs w:val="17"/>
              </w:rPr>
              <w:t>Instituto Trivium</w:t>
            </w:r>
          </w:p>
        </w:tc>
        <w:tc>
          <w:tcPr>
            <w:tcW w:w="1133" w:type="dxa"/>
            <w:shd w:val="clear" w:color="auto" w:fill="auto"/>
            <w:vAlign w:val="center"/>
          </w:tcPr>
          <w:p w14:paraId="195F4A4E" w14:textId="77777777" w:rsidR="00827DDE" w:rsidRPr="00827DDE" w:rsidRDefault="00827DDE" w:rsidP="00827DDE">
            <w:pPr>
              <w:rPr>
                <w:rFonts w:ascii="Arial" w:hAnsi="Arial" w:cs="Arial"/>
                <w:sz w:val="17"/>
                <w:szCs w:val="17"/>
              </w:rPr>
            </w:pPr>
            <w:r w:rsidRPr="00827DDE">
              <w:rPr>
                <w:rFonts w:ascii="Arial" w:hAnsi="Arial" w:cs="Arial"/>
                <w:sz w:val="17"/>
                <w:szCs w:val="17"/>
              </w:rPr>
              <w:t>Col·loqui</w:t>
            </w:r>
          </w:p>
        </w:tc>
        <w:tc>
          <w:tcPr>
            <w:tcW w:w="3054" w:type="dxa"/>
            <w:shd w:val="clear" w:color="auto" w:fill="auto"/>
            <w:vAlign w:val="center"/>
          </w:tcPr>
          <w:p w14:paraId="77B2528C"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AVAF - Govern obert i innovació</w:t>
            </w:r>
          </w:p>
        </w:tc>
        <w:tc>
          <w:tcPr>
            <w:tcW w:w="886" w:type="dxa"/>
            <w:shd w:val="clear" w:color="auto" w:fill="auto"/>
            <w:vAlign w:val="center"/>
          </w:tcPr>
          <w:p w14:paraId="0F15B841"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18-ago</w:t>
            </w:r>
          </w:p>
        </w:tc>
        <w:tc>
          <w:tcPr>
            <w:tcW w:w="1190" w:type="dxa"/>
            <w:shd w:val="clear" w:color="auto" w:fill="auto"/>
            <w:vAlign w:val="center"/>
          </w:tcPr>
          <w:p w14:paraId="4F4A3E99"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40</w:t>
            </w:r>
          </w:p>
        </w:tc>
        <w:tc>
          <w:tcPr>
            <w:tcW w:w="779" w:type="dxa"/>
            <w:shd w:val="clear" w:color="auto" w:fill="auto"/>
            <w:vAlign w:val="center"/>
          </w:tcPr>
          <w:p w14:paraId="6E505B21" w14:textId="77777777" w:rsidR="00827DDE" w:rsidRPr="00827DDE" w:rsidRDefault="00827DDE" w:rsidP="00827DDE">
            <w:pPr>
              <w:jc w:val="center"/>
              <w:rPr>
                <w:rFonts w:ascii="Arial" w:hAnsi="Arial" w:cs="Arial"/>
                <w:sz w:val="17"/>
                <w:szCs w:val="17"/>
                <w:lang w:val="es-ES"/>
              </w:rPr>
            </w:pPr>
            <w:r w:rsidRPr="00827DDE">
              <w:rPr>
                <w:rFonts w:ascii="Arial" w:hAnsi="Arial" w:cs="Arial"/>
                <w:sz w:val="17"/>
                <w:szCs w:val="17"/>
                <w:lang w:val="es-ES"/>
              </w:rPr>
              <w:t>1</w:t>
            </w:r>
          </w:p>
        </w:tc>
      </w:tr>
      <w:tr w:rsidR="00827DDE" w:rsidRPr="00827DDE" w14:paraId="7733EAC7" w14:textId="77777777" w:rsidTr="0024334F">
        <w:trPr>
          <w:trHeight w:val="257"/>
          <w:jc w:val="center"/>
        </w:trPr>
        <w:tc>
          <w:tcPr>
            <w:tcW w:w="1478" w:type="dxa"/>
            <w:shd w:val="clear" w:color="auto" w:fill="auto"/>
            <w:vAlign w:val="center"/>
          </w:tcPr>
          <w:p w14:paraId="6FF3C4BC" w14:textId="77777777" w:rsidR="00827DDE" w:rsidRPr="00827DDE" w:rsidRDefault="00827DDE" w:rsidP="00827DDE">
            <w:pPr>
              <w:rPr>
                <w:rFonts w:ascii="Arial" w:hAnsi="Arial" w:cs="Arial"/>
                <w:sz w:val="17"/>
                <w:szCs w:val="17"/>
              </w:rPr>
            </w:pPr>
            <w:r w:rsidRPr="00827DDE">
              <w:rPr>
                <w:rFonts w:ascii="Arial" w:hAnsi="Arial" w:cs="Arial"/>
                <w:sz w:val="17"/>
                <w:szCs w:val="17"/>
              </w:rPr>
              <w:t>Universitat de València</w:t>
            </w:r>
          </w:p>
        </w:tc>
        <w:tc>
          <w:tcPr>
            <w:tcW w:w="1133" w:type="dxa"/>
            <w:shd w:val="clear" w:color="auto" w:fill="auto"/>
            <w:vAlign w:val="center"/>
          </w:tcPr>
          <w:p w14:paraId="75CF53AF" w14:textId="77777777" w:rsidR="00827DDE" w:rsidRPr="00827DDE" w:rsidRDefault="00827DDE" w:rsidP="00827DDE">
            <w:pPr>
              <w:rPr>
                <w:rFonts w:ascii="Arial" w:hAnsi="Arial" w:cs="Arial"/>
                <w:sz w:val="17"/>
                <w:szCs w:val="17"/>
              </w:rPr>
            </w:pPr>
            <w:r w:rsidRPr="00827DDE">
              <w:rPr>
                <w:rFonts w:ascii="Arial" w:hAnsi="Arial" w:cs="Arial"/>
                <w:sz w:val="17"/>
                <w:szCs w:val="17"/>
              </w:rPr>
              <w:t>Presentació documental</w:t>
            </w:r>
          </w:p>
        </w:tc>
        <w:tc>
          <w:tcPr>
            <w:tcW w:w="3054" w:type="dxa"/>
            <w:shd w:val="clear" w:color="auto" w:fill="auto"/>
            <w:vAlign w:val="center"/>
          </w:tcPr>
          <w:p w14:paraId="2DCA564A"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Conflicte d'interés</w:t>
            </w:r>
          </w:p>
        </w:tc>
        <w:tc>
          <w:tcPr>
            <w:tcW w:w="886" w:type="dxa"/>
            <w:shd w:val="clear" w:color="auto" w:fill="auto"/>
            <w:vAlign w:val="center"/>
          </w:tcPr>
          <w:p w14:paraId="465D1625"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22-sep</w:t>
            </w:r>
          </w:p>
        </w:tc>
        <w:tc>
          <w:tcPr>
            <w:tcW w:w="1190" w:type="dxa"/>
            <w:shd w:val="clear" w:color="auto" w:fill="auto"/>
            <w:vAlign w:val="center"/>
          </w:tcPr>
          <w:p w14:paraId="7C276B4B"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20</w:t>
            </w:r>
          </w:p>
        </w:tc>
        <w:tc>
          <w:tcPr>
            <w:tcW w:w="779" w:type="dxa"/>
            <w:shd w:val="clear" w:color="auto" w:fill="auto"/>
            <w:vAlign w:val="center"/>
          </w:tcPr>
          <w:p w14:paraId="0F4C24FE" w14:textId="77777777" w:rsidR="00827DDE" w:rsidRPr="00827DDE" w:rsidRDefault="00827DDE" w:rsidP="00827DDE">
            <w:pPr>
              <w:jc w:val="center"/>
              <w:rPr>
                <w:rFonts w:ascii="Arial" w:hAnsi="Arial" w:cs="Arial"/>
                <w:sz w:val="17"/>
                <w:szCs w:val="17"/>
                <w:lang w:val="es-ES"/>
              </w:rPr>
            </w:pPr>
            <w:r w:rsidRPr="00827DDE">
              <w:rPr>
                <w:rFonts w:ascii="Arial" w:hAnsi="Arial" w:cs="Arial"/>
                <w:sz w:val="17"/>
                <w:szCs w:val="17"/>
                <w:lang w:val="es-ES"/>
              </w:rPr>
              <w:t>1</w:t>
            </w:r>
          </w:p>
        </w:tc>
      </w:tr>
      <w:tr w:rsidR="00827DDE" w:rsidRPr="00827DDE" w14:paraId="3A52B2A0" w14:textId="77777777" w:rsidTr="0024334F">
        <w:trPr>
          <w:trHeight w:val="257"/>
          <w:jc w:val="center"/>
        </w:trPr>
        <w:tc>
          <w:tcPr>
            <w:tcW w:w="1478" w:type="dxa"/>
            <w:shd w:val="clear" w:color="auto" w:fill="auto"/>
            <w:vAlign w:val="center"/>
          </w:tcPr>
          <w:p w14:paraId="1DC2D193" w14:textId="77777777" w:rsidR="00827DDE" w:rsidRPr="00827DDE" w:rsidRDefault="00827DDE" w:rsidP="00827DDE">
            <w:pPr>
              <w:rPr>
                <w:rFonts w:ascii="Arial" w:hAnsi="Arial" w:cs="Arial"/>
                <w:sz w:val="17"/>
                <w:szCs w:val="17"/>
              </w:rPr>
            </w:pPr>
            <w:r w:rsidRPr="00827DDE">
              <w:rPr>
                <w:rFonts w:ascii="Arial" w:hAnsi="Arial" w:cs="Arial"/>
                <w:sz w:val="17"/>
                <w:szCs w:val="17"/>
              </w:rPr>
              <w:t>NovaGob</w:t>
            </w:r>
          </w:p>
        </w:tc>
        <w:tc>
          <w:tcPr>
            <w:tcW w:w="1133" w:type="dxa"/>
            <w:shd w:val="clear" w:color="auto" w:fill="auto"/>
            <w:vAlign w:val="center"/>
          </w:tcPr>
          <w:p w14:paraId="55EEC2DA" w14:textId="77777777" w:rsidR="00827DDE" w:rsidRPr="00827DDE" w:rsidRDefault="00827DDE" w:rsidP="00827DDE">
            <w:pPr>
              <w:rPr>
                <w:rFonts w:ascii="Arial" w:hAnsi="Arial" w:cs="Arial"/>
                <w:sz w:val="17"/>
                <w:szCs w:val="17"/>
              </w:rPr>
            </w:pPr>
            <w:r w:rsidRPr="00827DDE">
              <w:rPr>
                <w:rFonts w:ascii="Arial" w:hAnsi="Arial" w:cs="Arial"/>
                <w:sz w:val="17"/>
                <w:szCs w:val="17"/>
              </w:rPr>
              <w:t>Congrés</w:t>
            </w:r>
          </w:p>
        </w:tc>
        <w:tc>
          <w:tcPr>
            <w:tcW w:w="3054" w:type="dxa"/>
            <w:shd w:val="clear" w:color="auto" w:fill="auto"/>
            <w:vAlign w:val="center"/>
          </w:tcPr>
          <w:p w14:paraId="43B605DA"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Fórmules per a una Administració més oberta</w:t>
            </w:r>
          </w:p>
        </w:tc>
        <w:tc>
          <w:tcPr>
            <w:tcW w:w="886" w:type="dxa"/>
            <w:shd w:val="clear" w:color="auto" w:fill="auto"/>
            <w:vAlign w:val="center"/>
          </w:tcPr>
          <w:p w14:paraId="390B622C"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29-oct</w:t>
            </w:r>
          </w:p>
        </w:tc>
        <w:tc>
          <w:tcPr>
            <w:tcW w:w="1190" w:type="dxa"/>
            <w:shd w:val="clear" w:color="auto" w:fill="auto"/>
            <w:vAlign w:val="center"/>
          </w:tcPr>
          <w:p w14:paraId="04C213FF"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118</w:t>
            </w:r>
          </w:p>
        </w:tc>
        <w:tc>
          <w:tcPr>
            <w:tcW w:w="779" w:type="dxa"/>
            <w:shd w:val="clear" w:color="auto" w:fill="auto"/>
            <w:vAlign w:val="center"/>
          </w:tcPr>
          <w:p w14:paraId="2485C13B" w14:textId="77777777" w:rsidR="00827DDE" w:rsidRPr="00827DDE" w:rsidRDefault="00827DDE" w:rsidP="00827DDE">
            <w:pPr>
              <w:jc w:val="center"/>
              <w:rPr>
                <w:rFonts w:ascii="Arial" w:hAnsi="Arial" w:cs="Arial"/>
                <w:sz w:val="17"/>
                <w:szCs w:val="17"/>
                <w:lang w:val="es-ES"/>
              </w:rPr>
            </w:pPr>
            <w:r w:rsidRPr="00827DDE">
              <w:rPr>
                <w:rFonts w:ascii="Arial" w:hAnsi="Arial" w:cs="Arial"/>
                <w:sz w:val="17"/>
                <w:szCs w:val="17"/>
                <w:lang w:val="es-ES"/>
              </w:rPr>
              <w:t>1</w:t>
            </w:r>
          </w:p>
        </w:tc>
      </w:tr>
      <w:tr w:rsidR="00827DDE" w:rsidRPr="00827DDE" w14:paraId="57CD5264" w14:textId="77777777" w:rsidTr="0024334F">
        <w:trPr>
          <w:trHeight w:val="257"/>
          <w:jc w:val="center"/>
        </w:trPr>
        <w:tc>
          <w:tcPr>
            <w:tcW w:w="1478" w:type="dxa"/>
            <w:vAlign w:val="center"/>
          </w:tcPr>
          <w:p w14:paraId="119B74D3" w14:textId="77777777" w:rsidR="00827DDE" w:rsidRPr="00827DDE" w:rsidRDefault="00827DDE" w:rsidP="00827DDE">
            <w:pPr>
              <w:rPr>
                <w:rFonts w:ascii="Arial" w:hAnsi="Arial" w:cs="Arial"/>
                <w:sz w:val="17"/>
                <w:szCs w:val="17"/>
              </w:rPr>
            </w:pPr>
            <w:r w:rsidRPr="00827DDE">
              <w:rPr>
                <w:rFonts w:ascii="Arial" w:hAnsi="Arial" w:cs="Arial"/>
                <w:sz w:val="17"/>
                <w:szCs w:val="17"/>
              </w:rPr>
              <w:t>Congrés CNIS</w:t>
            </w:r>
          </w:p>
        </w:tc>
        <w:tc>
          <w:tcPr>
            <w:tcW w:w="1133" w:type="dxa"/>
            <w:vAlign w:val="center"/>
          </w:tcPr>
          <w:p w14:paraId="13DD8E2F" w14:textId="77777777" w:rsidR="00827DDE" w:rsidRPr="00827DDE" w:rsidRDefault="00827DDE" w:rsidP="00827DDE">
            <w:pPr>
              <w:rPr>
                <w:rFonts w:ascii="Arial" w:hAnsi="Arial" w:cs="Arial"/>
                <w:sz w:val="17"/>
                <w:szCs w:val="17"/>
              </w:rPr>
            </w:pPr>
            <w:r w:rsidRPr="00827DDE">
              <w:rPr>
                <w:rFonts w:ascii="Arial" w:hAnsi="Arial" w:cs="Arial"/>
                <w:sz w:val="17"/>
                <w:szCs w:val="17"/>
              </w:rPr>
              <w:t>Congrés</w:t>
            </w:r>
          </w:p>
        </w:tc>
        <w:tc>
          <w:tcPr>
            <w:tcW w:w="3054" w:type="dxa"/>
            <w:vAlign w:val="center"/>
          </w:tcPr>
          <w:p w14:paraId="35A45826"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Formació en integritat: una necessitat emergent en l'administració pública</w:t>
            </w:r>
          </w:p>
        </w:tc>
        <w:tc>
          <w:tcPr>
            <w:tcW w:w="886" w:type="dxa"/>
            <w:vAlign w:val="center"/>
          </w:tcPr>
          <w:p w14:paraId="7CD670AF"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25-nov</w:t>
            </w:r>
          </w:p>
        </w:tc>
        <w:tc>
          <w:tcPr>
            <w:tcW w:w="1190" w:type="dxa"/>
            <w:vAlign w:val="center"/>
          </w:tcPr>
          <w:p w14:paraId="49ADE355"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32</w:t>
            </w:r>
          </w:p>
        </w:tc>
        <w:tc>
          <w:tcPr>
            <w:tcW w:w="779" w:type="dxa"/>
            <w:vAlign w:val="center"/>
          </w:tcPr>
          <w:p w14:paraId="2EF7142A" w14:textId="77777777" w:rsidR="00827DDE" w:rsidRPr="00827DDE" w:rsidRDefault="00827DDE" w:rsidP="00827DDE">
            <w:pPr>
              <w:jc w:val="center"/>
              <w:rPr>
                <w:rFonts w:ascii="Arial" w:hAnsi="Arial" w:cs="Arial"/>
                <w:sz w:val="17"/>
                <w:szCs w:val="17"/>
                <w:lang w:val="es-ES"/>
              </w:rPr>
            </w:pPr>
            <w:r w:rsidRPr="00827DDE">
              <w:rPr>
                <w:rFonts w:ascii="Arial" w:hAnsi="Arial" w:cs="Arial"/>
                <w:sz w:val="17"/>
                <w:szCs w:val="17"/>
                <w:lang w:val="es-ES"/>
              </w:rPr>
              <w:t>1</w:t>
            </w:r>
          </w:p>
        </w:tc>
      </w:tr>
      <w:tr w:rsidR="00827DDE" w:rsidRPr="00827DDE" w14:paraId="10F95A6E" w14:textId="77777777" w:rsidTr="0024334F">
        <w:trPr>
          <w:trHeight w:val="257"/>
          <w:jc w:val="center"/>
        </w:trPr>
        <w:tc>
          <w:tcPr>
            <w:tcW w:w="1478" w:type="dxa"/>
            <w:vAlign w:val="center"/>
          </w:tcPr>
          <w:p w14:paraId="7ADEBCF0" w14:textId="77777777" w:rsidR="00827DDE" w:rsidRPr="00827DDE" w:rsidRDefault="00827DDE" w:rsidP="00827DDE">
            <w:pPr>
              <w:rPr>
                <w:rFonts w:ascii="Arial" w:hAnsi="Arial" w:cs="Arial"/>
                <w:sz w:val="17"/>
                <w:szCs w:val="17"/>
              </w:rPr>
            </w:pPr>
            <w:r w:rsidRPr="00827DDE">
              <w:rPr>
                <w:rFonts w:ascii="Arial" w:hAnsi="Arial" w:cs="Arial"/>
                <w:sz w:val="17"/>
                <w:szCs w:val="17"/>
              </w:rPr>
              <w:t>Universitat Jaume I</w:t>
            </w:r>
          </w:p>
        </w:tc>
        <w:tc>
          <w:tcPr>
            <w:tcW w:w="1133" w:type="dxa"/>
            <w:vAlign w:val="center"/>
          </w:tcPr>
          <w:p w14:paraId="4E0331A2" w14:textId="77777777" w:rsidR="00827DDE" w:rsidRPr="00827DDE" w:rsidRDefault="00827DDE" w:rsidP="00827DDE">
            <w:pPr>
              <w:rPr>
                <w:rFonts w:ascii="Arial" w:hAnsi="Arial" w:cs="Arial"/>
                <w:sz w:val="17"/>
                <w:szCs w:val="17"/>
              </w:rPr>
            </w:pPr>
            <w:r w:rsidRPr="00827DDE">
              <w:rPr>
                <w:rFonts w:ascii="Arial" w:hAnsi="Arial" w:cs="Arial"/>
                <w:sz w:val="17"/>
                <w:szCs w:val="17"/>
              </w:rPr>
              <w:t>Jornada</w:t>
            </w:r>
          </w:p>
        </w:tc>
        <w:tc>
          <w:tcPr>
            <w:tcW w:w="3054" w:type="dxa"/>
            <w:vAlign w:val="center"/>
          </w:tcPr>
          <w:p w14:paraId="6B93E3CC"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Plans antifrau en la gestió del Pla de Recuperació, Transformació i Resiliència</w:t>
            </w:r>
          </w:p>
        </w:tc>
        <w:tc>
          <w:tcPr>
            <w:tcW w:w="886" w:type="dxa"/>
            <w:vAlign w:val="center"/>
          </w:tcPr>
          <w:p w14:paraId="2397020C"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3-des</w:t>
            </w:r>
          </w:p>
        </w:tc>
        <w:tc>
          <w:tcPr>
            <w:tcW w:w="1190" w:type="dxa"/>
            <w:vAlign w:val="center"/>
          </w:tcPr>
          <w:p w14:paraId="7336406D"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57</w:t>
            </w:r>
          </w:p>
        </w:tc>
        <w:tc>
          <w:tcPr>
            <w:tcW w:w="779" w:type="dxa"/>
            <w:vAlign w:val="center"/>
          </w:tcPr>
          <w:p w14:paraId="03528D0A" w14:textId="77777777" w:rsidR="00827DDE" w:rsidRPr="00827DDE" w:rsidRDefault="00827DDE" w:rsidP="00827DDE">
            <w:pPr>
              <w:jc w:val="center"/>
              <w:rPr>
                <w:rFonts w:ascii="Arial" w:hAnsi="Arial" w:cs="Arial"/>
                <w:sz w:val="17"/>
                <w:szCs w:val="17"/>
                <w:lang w:val="es-ES"/>
              </w:rPr>
            </w:pPr>
            <w:r w:rsidRPr="00827DDE">
              <w:rPr>
                <w:rFonts w:ascii="Arial" w:hAnsi="Arial" w:cs="Arial"/>
                <w:sz w:val="17"/>
                <w:szCs w:val="17"/>
                <w:lang w:val="es-ES"/>
              </w:rPr>
              <w:t>1</w:t>
            </w:r>
          </w:p>
        </w:tc>
      </w:tr>
      <w:tr w:rsidR="00827DDE" w:rsidRPr="00827DDE" w14:paraId="3D7E55E9" w14:textId="77777777" w:rsidTr="0024334F">
        <w:trPr>
          <w:trHeight w:val="243"/>
          <w:jc w:val="center"/>
        </w:trPr>
        <w:tc>
          <w:tcPr>
            <w:tcW w:w="1478" w:type="dxa"/>
            <w:vAlign w:val="center"/>
          </w:tcPr>
          <w:p w14:paraId="490EDE5E" w14:textId="77777777" w:rsidR="00827DDE" w:rsidRPr="00827DDE" w:rsidRDefault="00827DDE" w:rsidP="00827DDE">
            <w:pPr>
              <w:rPr>
                <w:rFonts w:ascii="Arial" w:hAnsi="Arial" w:cs="Arial"/>
                <w:sz w:val="17"/>
                <w:szCs w:val="17"/>
              </w:rPr>
            </w:pPr>
            <w:r w:rsidRPr="00827DDE">
              <w:rPr>
                <w:rFonts w:ascii="Arial" w:hAnsi="Arial" w:cs="Arial"/>
                <w:sz w:val="17"/>
                <w:szCs w:val="17"/>
              </w:rPr>
              <w:t>GVA-FVMP-Diputacions</w:t>
            </w:r>
          </w:p>
        </w:tc>
        <w:tc>
          <w:tcPr>
            <w:tcW w:w="1133" w:type="dxa"/>
            <w:vAlign w:val="center"/>
          </w:tcPr>
          <w:p w14:paraId="5A7593AA" w14:textId="77777777" w:rsidR="00827DDE" w:rsidRPr="00827DDE" w:rsidRDefault="00827DDE" w:rsidP="00827DDE">
            <w:pPr>
              <w:rPr>
                <w:rFonts w:ascii="Arial" w:hAnsi="Arial" w:cs="Arial"/>
                <w:sz w:val="17"/>
                <w:szCs w:val="17"/>
              </w:rPr>
            </w:pPr>
            <w:r w:rsidRPr="00827DDE">
              <w:rPr>
                <w:rFonts w:ascii="Arial" w:hAnsi="Arial" w:cs="Arial"/>
                <w:sz w:val="17"/>
                <w:szCs w:val="17"/>
              </w:rPr>
              <w:t>Jornada</w:t>
            </w:r>
          </w:p>
        </w:tc>
        <w:tc>
          <w:tcPr>
            <w:tcW w:w="3054" w:type="dxa"/>
            <w:vAlign w:val="center"/>
          </w:tcPr>
          <w:p w14:paraId="6BAEC097" w14:textId="77777777" w:rsidR="00827DDE" w:rsidRPr="00827DDE" w:rsidRDefault="00827DDE" w:rsidP="00827DDE">
            <w:pPr>
              <w:jc w:val="both"/>
              <w:rPr>
                <w:rFonts w:ascii="Arial" w:hAnsi="Arial" w:cs="Arial"/>
                <w:sz w:val="17"/>
                <w:szCs w:val="17"/>
              </w:rPr>
            </w:pPr>
            <w:r w:rsidRPr="00827DDE">
              <w:rPr>
                <w:rFonts w:ascii="Arial" w:hAnsi="Arial" w:cs="Arial"/>
                <w:sz w:val="17"/>
                <w:szCs w:val="17"/>
              </w:rPr>
              <w:t>Plans antifrau en la gestió del Pla de Recuperació, Transformació i Resiliència</w:t>
            </w:r>
          </w:p>
        </w:tc>
        <w:tc>
          <w:tcPr>
            <w:tcW w:w="886" w:type="dxa"/>
            <w:vAlign w:val="center"/>
          </w:tcPr>
          <w:p w14:paraId="2A1F46E9"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21-des</w:t>
            </w:r>
          </w:p>
        </w:tc>
        <w:tc>
          <w:tcPr>
            <w:tcW w:w="1190" w:type="dxa"/>
            <w:vAlign w:val="center"/>
          </w:tcPr>
          <w:p w14:paraId="0CF01B69" w14:textId="77777777" w:rsidR="00827DDE" w:rsidRPr="00827DDE" w:rsidRDefault="00827DDE" w:rsidP="00827DDE">
            <w:pPr>
              <w:jc w:val="center"/>
              <w:rPr>
                <w:rFonts w:ascii="Arial" w:hAnsi="Arial" w:cs="Arial"/>
                <w:sz w:val="17"/>
                <w:szCs w:val="17"/>
              </w:rPr>
            </w:pPr>
            <w:r w:rsidRPr="00827DDE">
              <w:rPr>
                <w:rFonts w:ascii="Arial" w:hAnsi="Arial" w:cs="Arial"/>
                <w:sz w:val="17"/>
                <w:szCs w:val="17"/>
              </w:rPr>
              <w:t>116</w:t>
            </w:r>
          </w:p>
        </w:tc>
        <w:tc>
          <w:tcPr>
            <w:tcW w:w="779" w:type="dxa"/>
            <w:vAlign w:val="center"/>
          </w:tcPr>
          <w:p w14:paraId="7258388C" w14:textId="77777777" w:rsidR="00827DDE" w:rsidRPr="00827DDE" w:rsidRDefault="00827DDE" w:rsidP="00827DDE">
            <w:pPr>
              <w:jc w:val="center"/>
              <w:rPr>
                <w:rFonts w:ascii="Arial" w:hAnsi="Arial" w:cs="Arial"/>
                <w:sz w:val="17"/>
                <w:szCs w:val="17"/>
                <w:lang w:val="es-ES"/>
              </w:rPr>
            </w:pPr>
            <w:r w:rsidRPr="00827DDE">
              <w:rPr>
                <w:rFonts w:ascii="Arial" w:hAnsi="Arial" w:cs="Arial"/>
                <w:sz w:val="17"/>
                <w:szCs w:val="17"/>
                <w:lang w:val="es-ES"/>
              </w:rPr>
              <w:t>2</w:t>
            </w:r>
          </w:p>
        </w:tc>
      </w:tr>
      <w:tr w:rsidR="00827DDE" w:rsidRPr="00827DDE" w14:paraId="110DD6FD" w14:textId="77777777" w:rsidTr="0024334F">
        <w:trPr>
          <w:trHeight w:val="243"/>
          <w:jc w:val="center"/>
        </w:trPr>
        <w:tc>
          <w:tcPr>
            <w:tcW w:w="6551" w:type="dxa"/>
            <w:gridSpan w:val="4"/>
            <w:shd w:val="clear" w:color="auto" w:fill="D9D9D9"/>
            <w:vAlign w:val="center"/>
          </w:tcPr>
          <w:p w14:paraId="32B299A5" w14:textId="77777777" w:rsidR="00827DDE" w:rsidRPr="00827DDE" w:rsidRDefault="00827DDE" w:rsidP="00827DDE">
            <w:pPr>
              <w:jc w:val="right"/>
              <w:rPr>
                <w:rFonts w:ascii="Arial" w:hAnsi="Arial" w:cs="Arial"/>
                <w:b/>
                <w:sz w:val="17"/>
                <w:szCs w:val="17"/>
              </w:rPr>
            </w:pPr>
            <w:r w:rsidRPr="00827DDE">
              <w:rPr>
                <w:rFonts w:ascii="Arial" w:hAnsi="Arial" w:cs="Arial"/>
                <w:b/>
                <w:sz w:val="17"/>
                <w:szCs w:val="17"/>
              </w:rPr>
              <w:t xml:space="preserve">Totals jornades i altres activitats </w:t>
            </w:r>
          </w:p>
        </w:tc>
        <w:tc>
          <w:tcPr>
            <w:tcW w:w="1190" w:type="dxa"/>
            <w:shd w:val="clear" w:color="auto" w:fill="D9D9D9"/>
            <w:vAlign w:val="center"/>
          </w:tcPr>
          <w:p w14:paraId="08BD2C28" w14:textId="77777777" w:rsidR="00827DDE" w:rsidRPr="00827DDE" w:rsidRDefault="00827DDE" w:rsidP="00827DDE">
            <w:pPr>
              <w:jc w:val="center"/>
              <w:rPr>
                <w:rFonts w:ascii="Arial" w:hAnsi="Arial" w:cs="Arial"/>
                <w:b/>
                <w:sz w:val="17"/>
                <w:szCs w:val="17"/>
              </w:rPr>
            </w:pPr>
            <w:r w:rsidRPr="00827DDE">
              <w:rPr>
                <w:rFonts w:ascii="Arial" w:hAnsi="Arial" w:cs="Arial"/>
                <w:b/>
                <w:sz w:val="17"/>
                <w:szCs w:val="17"/>
              </w:rPr>
              <w:t xml:space="preserve">419 </w:t>
            </w:r>
          </w:p>
        </w:tc>
        <w:tc>
          <w:tcPr>
            <w:tcW w:w="779" w:type="dxa"/>
            <w:shd w:val="clear" w:color="auto" w:fill="D9D9D9"/>
            <w:vAlign w:val="center"/>
          </w:tcPr>
          <w:p w14:paraId="5C53AC82" w14:textId="77777777" w:rsidR="00827DDE" w:rsidRPr="00827DDE" w:rsidRDefault="00827DDE" w:rsidP="00827DDE">
            <w:pPr>
              <w:jc w:val="center"/>
              <w:rPr>
                <w:rFonts w:ascii="Arial" w:hAnsi="Arial" w:cs="Arial"/>
                <w:b/>
                <w:sz w:val="17"/>
                <w:szCs w:val="17"/>
                <w:lang w:val="es-ES"/>
              </w:rPr>
            </w:pPr>
            <w:r w:rsidRPr="00827DDE">
              <w:rPr>
                <w:rFonts w:ascii="Arial" w:hAnsi="Arial" w:cs="Arial"/>
                <w:b/>
                <w:sz w:val="17"/>
                <w:szCs w:val="17"/>
                <w:lang w:val="es-ES"/>
              </w:rPr>
              <w:t xml:space="preserve">12 </w:t>
            </w:r>
          </w:p>
        </w:tc>
      </w:tr>
    </w:tbl>
    <w:p w14:paraId="525048BD" w14:textId="0B14CE21" w:rsidR="00FD5628" w:rsidRPr="00827DDE" w:rsidRDefault="00FD5628" w:rsidP="0024334F">
      <w:pPr>
        <w:pStyle w:val="Texto"/>
        <w:spacing w:after="240"/>
        <w:jc w:val="left"/>
        <w:rPr>
          <w:rFonts w:ascii="Arial" w:hAnsi="Arial" w:cs="Arial"/>
        </w:rPr>
      </w:pPr>
    </w:p>
    <w:p w14:paraId="2C2ABCFA" w14:textId="77777777" w:rsidR="0046212C" w:rsidRPr="0046212C" w:rsidRDefault="0046212C" w:rsidP="0046212C">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416" w:name="_Toc96517843"/>
      <w:bookmarkStart w:id="417" w:name="_Toc99110819"/>
      <w:r w:rsidRPr="0046212C">
        <w:rPr>
          <w:rFonts w:ascii="Arial" w:hAnsi="Arial"/>
          <w:b/>
          <w:color w:val="9D2235"/>
          <w:sz w:val="28"/>
          <w:szCs w:val="28"/>
        </w:rPr>
        <w:t>Activitats en les universitats i per a la ciutadania</w:t>
      </w:r>
      <w:bookmarkEnd w:id="416"/>
      <w:bookmarkEnd w:id="417"/>
    </w:p>
    <w:p w14:paraId="7EA07D90" w14:textId="7AAFFE5B" w:rsidR="0046212C" w:rsidRDefault="0046212C" w:rsidP="0046212C">
      <w:pPr>
        <w:pStyle w:val="Texto"/>
        <w:spacing w:after="240"/>
        <w:rPr>
          <w:rFonts w:ascii="Arial" w:hAnsi="Arial" w:cs="Arial"/>
        </w:rPr>
      </w:pPr>
      <w:r w:rsidRPr="0046212C">
        <w:rPr>
          <w:rFonts w:ascii="Arial" w:hAnsi="Arial" w:cs="Arial"/>
        </w:rPr>
        <w:t xml:space="preserve">En aquest àmbit d'actuació de formació cívica i sensibilització col·lectiva del conjunt de la població, les activitats s'han orientat cap a la universitat, tant per a incardinar accions formatives dins de l'activitat acadèmica reglada de grau i postgrau com en les accions de divulgació de coneixement de les universitats en el conjunt de la societat. </w:t>
      </w:r>
    </w:p>
    <w:p w14:paraId="4CBDE391" w14:textId="77777777" w:rsidR="00766177" w:rsidRPr="0046212C" w:rsidRDefault="00766177" w:rsidP="0046212C">
      <w:pPr>
        <w:pStyle w:val="Texto"/>
        <w:spacing w:after="240"/>
        <w:rPr>
          <w:rFonts w:ascii="Arial" w:hAnsi="Arial" w:cs="Arial"/>
        </w:rPr>
      </w:pPr>
    </w:p>
    <w:p w14:paraId="6DFDE6BC" w14:textId="77777777" w:rsidR="0046212C" w:rsidRPr="0046212C" w:rsidRDefault="0046212C" w:rsidP="00766177">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46212C">
        <w:rPr>
          <w:rFonts w:ascii="Arial" w:eastAsia="Times New Roman" w:hAnsi="Arial" w:cs="Arial"/>
          <w:b/>
          <w:color w:val="9D2235"/>
          <w:sz w:val="24"/>
          <w:szCs w:val="24"/>
        </w:rPr>
        <w:t>Activitats formatives dintre de graus i postgraus universitaris</w:t>
      </w:r>
    </w:p>
    <w:p w14:paraId="4089AA04" w14:textId="77777777" w:rsidR="0046212C" w:rsidRPr="0046212C" w:rsidRDefault="0046212C" w:rsidP="0046212C">
      <w:pPr>
        <w:pStyle w:val="Texto"/>
        <w:spacing w:after="240"/>
        <w:rPr>
          <w:rFonts w:ascii="Arial" w:hAnsi="Arial" w:cs="Arial"/>
        </w:rPr>
      </w:pPr>
      <w:r w:rsidRPr="0046212C">
        <w:rPr>
          <w:rFonts w:ascii="Arial" w:hAnsi="Arial" w:cs="Arial"/>
        </w:rPr>
        <w:t xml:space="preserve">Els </w:t>
      </w:r>
      <w:r w:rsidRPr="0046212C">
        <w:rPr>
          <w:rFonts w:ascii="Arial" w:hAnsi="Arial" w:cs="Arial"/>
          <w:i/>
        </w:rPr>
        <w:t xml:space="preserve">docufòrum </w:t>
      </w:r>
      <w:r w:rsidRPr="0046212C">
        <w:rPr>
          <w:rFonts w:ascii="Arial" w:hAnsi="Arial" w:cs="Arial"/>
        </w:rPr>
        <w:t xml:space="preserve">universitaris són una activitat formativa de l'Agència Valenciana Antifrau que està orientada a incrementar la cultura social d'ètica cívica, integritat pública i prevenció del frau i lluita contra la corrupció, de manera singularitzada entre les generacions més joves que estudien en les universitats valencianes. </w:t>
      </w:r>
    </w:p>
    <w:p w14:paraId="7C4C2EB2" w14:textId="77777777" w:rsidR="0046212C" w:rsidRPr="0046212C" w:rsidRDefault="0046212C" w:rsidP="0046212C">
      <w:pPr>
        <w:pStyle w:val="Texto"/>
        <w:spacing w:after="240"/>
        <w:rPr>
          <w:rFonts w:ascii="Arial" w:hAnsi="Arial" w:cs="Arial"/>
        </w:rPr>
      </w:pPr>
      <w:r w:rsidRPr="0046212C">
        <w:rPr>
          <w:rFonts w:ascii="Arial" w:hAnsi="Arial" w:cs="Arial"/>
        </w:rPr>
        <w:t xml:space="preserve">L'activitat formativa s'integra dins de les classes pràctiques regulars de les assignatures que són impartides pel professorat i que tracten matèries que poden tindre vinculació directa o genèrica amb les funcions i els àmbits de la prevenció del frau i de la corrupció, o sobre ètica pública i integritat. De moment l'activitat s'ha realitzat, principalment, en les assignatures de Dret, Ciència Política, Administració d'Empreses, Economia, Sociologia i Periodisme. Han participat més de 1.350 estudiants de les universitats valencianes en els últims quatre anys de manera presencial o en línia. </w:t>
      </w:r>
    </w:p>
    <w:p w14:paraId="11A85B4D" w14:textId="77777777" w:rsidR="0046212C" w:rsidRPr="0046212C" w:rsidRDefault="0046212C" w:rsidP="0046212C">
      <w:pPr>
        <w:pStyle w:val="Texto"/>
        <w:spacing w:after="240"/>
        <w:rPr>
          <w:rFonts w:ascii="Arial" w:hAnsi="Arial" w:cs="Arial"/>
        </w:rPr>
      </w:pPr>
      <w:r w:rsidRPr="0046212C">
        <w:rPr>
          <w:rFonts w:ascii="Arial" w:hAnsi="Arial" w:cs="Arial"/>
        </w:rPr>
        <w:t xml:space="preserve">Amb aquestes activitats, es pretén: </w:t>
      </w:r>
    </w:p>
    <w:p w14:paraId="02C35D89" w14:textId="77777777" w:rsidR="0046212C" w:rsidRPr="0046212C" w:rsidRDefault="0046212C" w:rsidP="0061495F">
      <w:pPr>
        <w:pStyle w:val="Texto"/>
        <w:numPr>
          <w:ilvl w:val="0"/>
          <w:numId w:val="72"/>
        </w:numPr>
        <w:spacing w:after="120"/>
        <w:ind w:left="714" w:hanging="357"/>
        <w:rPr>
          <w:rFonts w:ascii="Arial" w:hAnsi="Arial" w:cs="Arial"/>
        </w:rPr>
      </w:pPr>
      <w:r w:rsidRPr="0046212C">
        <w:rPr>
          <w:rFonts w:ascii="Arial" w:hAnsi="Arial" w:cs="Arial"/>
        </w:rPr>
        <w:t xml:space="preserve">Desenvolupar una experiència formativa crítica i autoreflexiva. </w:t>
      </w:r>
    </w:p>
    <w:p w14:paraId="1BE80BF7" w14:textId="77777777" w:rsidR="0046212C" w:rsidRPr="0046212C" w:rsidRDefault="0046212C" w:rsidP="0061495F">
      <w:pPr>
        <w:pStyle w:val="Texto"/>
        <w:numPr>
          <w:ilvl w:val="0"/>
          <w:numId w:val="72"/>
        </w:numPr>
        <w:spacing w:after="120"/>
        <w:ind w:left="714" w:hanging="357"/>
        <w:rPr>
          <w:rFonts w:ascii="Arial" w:hAnsi="Arial" w:cs="Arial"/>
        </w:rPr>
      </w:pPr>
      <w:r w:rsidRPr="0046212C">
        <w:rPr>
          <w:rFonts w:ascii="Arial" w:hAnsi="Arial" w:cs="Arial"/>
        </w:rPr>
        <w:t>Atorgar el major protagonisme possible a l'alumnat en l'acció formativa.</w:t>
      </w:r>
    </w:p>
    <w:p w14:paraId="301FC93E" w14:textId="77777777" w:rsidR="0046212C" w:rsidRPr="0046212C" w:rsidRDefault="0046212C" w:rsidP="0061495F">
      <w:pPr>
        <w:pStyle w:val="Texto"/>
        <w:numPr>
          <w:ilvl w:val="0"/>
          <w:numId w:val="72"/>
        </w:numPr>
        <w:spacing w:after="120"/>
        <w:ind w:left="714" w:hanging="357"/>
        <w:rPr>
          <w:rFonts w:ascii="Arial" w:hAnsi="Arial" w:cs="Arial"/>
        </w:rPr>
      </w:pPr>
      <w:r w:rsidRPr="0046212C">
        <w:rPr>
          <w:rFonts w:ascii="Arial" w:hAnsi="Arial" w:cs="Arial"/>
        </w:rPr>
        <w:t xml:space="preserve">Transmetre a l'alumnat la necessitat del seu paper actiu contra la corrupció. </w:t>
      </w:r>
    </w:p>
    <w:p w14:paraId="4E781714" w14:textId="77777777" w:rsidR="0046212C" w:rsidRPr="0046212C" w:rsidRDefault="0046212C" w:rsidP="0061495F">
      <w:pPr>
        <w:pStyle w:val="Texto"/>
        <w:numPr>
          <w:ilvl w:val="0"/>
          <w:numId w:val="72"/>
        </w:numPr>
        <w:spacing w:after="120"/>
        <w:ind w:left="714" w:hanging="357"/>
        <w:rPr>
          <w:rFonts w:ascii="Arial" w:hAnsi="Arial" w:cs="Arial"/>
        </w:rPr>
      </w:pPr>
      <w:r w:rsidRPr="0046212C">
        <w:rPr>
          <w:rFonts w:ascii="Arial" w:hAnsi="Arial" w:cs="Arial"/>
        </w:rPr>
        <w:t xml:space="preserve">Crear consciència de l'existència de riscos de diversos tipus de corrupció, i que hi ha també instruments i estratègies per a reduir les pràctiques corruptes i el frau a la mínima expressió. </w:t>
      </w:r>
    </w:p>
    <w:p w14:paraId="701A4603" w14:textId="2BD00AEB" w:rsidR="0046212C" w:rsidRDefault="0046212C" w:rsidP="0061495F">
      <w:pPr>
        <w:pStyle w:val="Texto"/>
        <w:numPr>
          <w:ilvl w:val="0"/>
          <w:numId w:val="72"/>
        </w:numPr>
        <w:spacing w:after="240"/>
        <w:rPr>
          <w:rFonts w:ascii="Arial" w:hAnsi="Arial" w:cs="Arial"/>
        </w:rPr>
      </w:pPr>
      <w:r w:rsidRPr="0046212C">
        <w:rPr>
          <w:rFonts w:ascii="Arial" w:hAnsi="Arial" w:cs="Arial"/>
        </w:rPr>
        <w:t xml:space="preserve">Donar a conéixer l'Agència, els seus objectius i funcions. </w:t>
      </w:r>
    </w:p>
    <w:p w14:paraId="673F99A8" w14:textId="77777777" w:rsidR="00766177" w:rsidRPr="0046212C" w:rsidRDefault="00766177" w:rsidP="00766177">
      <w:pPr>
        <w:pStyle w:val="Texto"/>
        <w:spacing w:after="240"/>
        <w:ind w:left="720"/>
        <w:jc w:val="center"/>
        <w:rPr>
          <w:rFonts w:ascii="Arial" w:hAnsi="Arial" w:cs="Arial"/>
        </w:rPr>
      </w:pPr>
    </w:p>
    <w:p w14:paraId="0DC14105" w14:textId="77777777" w:rsidR="0046212C" w:rsidRPr="0046212C" w:rsidRDefault="0046212C" w:rsidP="0046212C">
      <w:pPr>
        <w:pStyle w:val="Texto"/>
        <w:spacing w:after="240"/>
        <w:rPr>
          <w:rFonts w:ascii="Arial" w:hAnsi="Arial" w:cs="Arial"/>
          <w:b/>
          <w:i/>
        </w:rPr>
      </w:pPr>
      <w:r w:rsidRPr="0046212C">
        <w:rPr>
          <w:rFonts w:ascii="Arial" w:hAnsi="Arial" w:cs="Arial"/>
          <w:b/>
          <w:i/>
        </w:rPr>
        <w:t>Docufórums en graus universitaris</w:t>
      </w:r>
    </w:p>
    <w:p w14:paraId="38348C2D" w14:textId="663C0952" w:rsidR="00B23DB3" w:rsidRPr="0046212C" w:rsidRDefault="0046212C" w:rsidP="0046212C">
      <w:pPr>
        <w:pStyle w:val="Texto"/>
        <w:spacing w:after="240"/>
        <w:rPr>
          <w:rFonts w:ascii="Arial" w:hAnsi="Arial" w:cs="Arial"/>
        </w:rPr>
      </w:pPr>
      <w:r w:rsidRPr="0046212C">
        <w:rPr>
          <w:rFonts w:ascii="Arial" w:hAnsi="Arial" w:cs="Arial"/>
        </w:rPr>
        <w:t>Des del 2019 en què es va crear el documental “</w:t>
      </w:r>
      <w:r w:rsidRPr="0046212C">
        <w:rPr>
          <w:rFonts w:ascii="Arial" w:hAnsi="Arial" w:cs="Arial"/>
          <w:b/>
          <w:bCs/>
        </w:rPr>
        <w:t>Corrupció: organisme nociu</w:t>
      </w:r>
      <w:r w:rsidRPr="0046212C">
        <w:rPr>
          <w:rFonts w:ascii="Arial" w:hAnsi="Arial" w:cs="Arial"/>
        </w:rPr>
        <w:t xml:space="preserve">”, s'han dut a terme activitats en diferents graus de les sis universitats de la Comunitat Valenciana </w:t>
      </w:r>
      <w:r w:rsidRPr="00C9578C">
        <w:rPr>
          <w:rFonts w:ascii="Arial" w:hAnsi="Arial" w:cs="Arial"/>
        </w:rPr>
        <w:t xml:space="preserve">(Gràfic </w:t>
      </w:r>
      <w:r w:rsidR="00A55252" w:rsidRPr="00C9578C">
        <w:rPr>
          <w:rFonts w:ascii="Arial" w:hAnsi="Arial" w:cs="Arial"/>
        </w:rPr>
        <w:t>3</w:t>
      </w:r>
      <w:r w:rsidRPr="00C9578C">
        <w:rPr>
          <w:rFonts w:ascii="Arial" w:hAnsi="Arial" w:cs="Arial"/>
        </w:rPr>
        <w:t>3).</w:t>
      </w:r>
    </w:p>
    <w:p w14:paraId="60A0005D" w14:textId="77777777" w:rsidR="00766177" w:rsidRDefault="00766177" w:rsidP="00766177">
      <w:pPr>
        <w:pStyle w:val="Texto"/>
        <w:keepNext/>
        <w:spacing w:after="240"/>
        <w:jc w:val="center"/>
      </w:pPr>
      <w:r>
        <w:rPr>
          <w:noProof/>
        </w:rPr>
        <w:drawing>
          <wp:inline distT="0" distB="0" distL="0" distR="0" wp14:anchorId="79B3DFE2" wp14:editId="1DF5D318">
            <wp:extent cx="5400040" cy="3176270"/>
            <wp:effectExtent l="19050" t="19050" r="10160" b="24130"/>
            <wp:docPr id="69" name="Imagen 69"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magen de la pantalla de un celular con letras&#10;&#10;Descripción generada automáticamente con confianza media"/>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5400040" cy="3176270"/>
                    </a:xfrm>
                    <a:prstGeom prst="rect">
                      <a:avLst/>
                    </a:prstGeom>
                    <a:noFill/>
                    <a:ln>
                      <a:solidFill>
                        <a:sysClr val="window" lastClr="FFFFFF">
                          <a:lumMod val="85000"/>
                        </a:sysClr>
                      </a:solidFill>
                    </a:ln>
                  </pic:spPr>
                </pic:pic>
              </a:graphicData>
            </a:graphic>
          </wp:inline>
        </w:drawing>
      </w:r>
    </w:p>
    <w:p w14:paraId="364F95ED" w14:textId="230C87DD" w:rsidR="00B23DB3" w:rsidRPr="00766177" w:rsidRDefault="00766177" w:rsidP="00766177">
      <w:pPr>
        <w:pStyle w:val="Descripcin"/>
        <w:jc w:val="center"/>
        <w:rPr>
          <w:rFonts w:ascii="Arial" w:hAnsi="Arial" w:cs="Arial"/>
          <w:smallCaps w:val="0"/>
          <w:sz w:val="18"/>
          <w:szCs w:val="18"/>
        </w:rPr>
      </w:pPr>
      <w:bookmarkStart w:id="418" w:name="_Toc99110992"/>
      <w:r w:rsidRPr="00766177">
        <w:rPr>
          <w:rFonts w:ascii="Arial" w:hAnsi="Arial" w:cs="Arial"/>
          <w:smallCaps w:val="0"/>
          <w:color w:val="9D2235" w:themeColor="accent1"/>
          <w:sz w:val="18"/>
          <w:szCs w:val="18"/>
        </w:rPr>
        <w:t xml:space="preserve">Gràfic </w:t>
      </w:r>
      <w:r w:rsidRPr="00766177">
        <w:rPr>
          <w:rFonts w:ascii="Arial" w:hAnsi="Arial" w:cs="Arial"/>
          <w:smallCaps w:val="0"/>
          <w:color w:val="9D2235" w:themeColor="accent1"/>
          <w:sz w:val="18"/>
          <w:szCs w:val="18"/>
        </w:rPr>
        <w:fldChar w:fldCharType="begin" w:fldLock="1"/>
      </w:r>
      <w:r w:rsidRPr="00766177">
        <w:rPr>
          <w:rFonts w:ascii="Arial" w:hAnsi="Arial" w:cs="Arial"/>
          <w:smallCaps w:val="0"/>
          <w:color w:val="9D2235" w:themeColor="accent1"/>
          <w:sz w:val="18"/>
          <w:szCs w:val="18"/>
        </w:rPr>
        <w:instrText xml:space="preserve"> SEQ Gràfic \* ARABIC </w:instrText>
      </w:r>
      <w:r w:rsidRPr="00766177">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33</w:t>
      </w:r>
      <w:r w:rsidRPr="00766177">
        <w:rPr>
          <w:rFonts w:ascii="Arial" w:hAnsi="Arial" w:cs="Arial"/>
          <w:smallCaps w:val="0"/>
          <w:color w:val="9D2235" w:themeColor="accent1"/>
          <w:sz w:val="18"/>
          <w:szCs w:val="18"/>
        </w:rPr>
        <w:fldChar w:fldCharType="end"/>
      </w:r>
      <w:r w:rsidRPr="00766177">
        <w:rPr>
          <w:rFonts w:ascii="Arial" w:hAnsi="Arial" w:cs="Arial"/>
          <w:smallCaps w:val="0"/>
          <w:color w:val="9D2235" w:themeColor="accent1"/>
          <w:sz w:val="18"/>
          <w:szCs w:val="18"/>
        </w:rPr>
        <w:t xml:space="preserve">. </w:t>
      </w:r>
      <w:r w:rsidRPr="00766177">
        <w:rPr>
          <w:rFonts w:ascii="Arial" w:hAnsi="Arial" w:cs="Arial"/>
          <w:smallCaps w:val="0"/>
          <w:sz w:val="18"/>
          <w:szCs w:val="18"/>
        </w:rPr>
        <w:t>Mapa d'Universitats que han participat del docufòrum</w:t>
      </w:r>
      <w:bookmarkEnd w:id="418"/>
    </w:p>
    <w:p w14:paraId="1E1B1857" w14:textId="7D9F95E4" w:rsidR="00766177" w:rsidRPr="00766177" w:rsidRDefault="00766177" w:rsidP="00766177">
      <w:pPr>
        <w:pStyle w:val="Texto"/>
        <w:spacing w:after="240"/>
        <w:rPr>
          <w:rFonts w:ascii="Arial" w:hAnsi="Arial" w:cs="Arial"/>
        </w:rPr>
      </w:pPr>
      <w:r w:rsidRPr="00766177">
        <w:rPr>
          <w:rFonts w:ascii="Arial" w:hAnsi="Arial" w:cs="Arial"/>
        </w:rPr>
        <w:t xml:space="preserve">Durant el 2021 s'han realitzat 12 docufòrums, tants com la suma dels realitzats en 2019 i 2020, arribant a totes les universitats públiques de la Comunitat Valenciana: Universitat de València, Universitat Politècnica de València, Universitat Jaume I, Universitat d'Alacant, Universitat Miguel Hernández d'Elx i així com a la Universitat Cardenal Herrera-CEU </w:t>
      </w:r>
      <w:r w:rsidRPr="00C9578C">
        <w:rPr>
          <w:rFonts w:ascii="Arial" w:hAnsi="Arial" w:cs="Arial"/>
        </w:rPr>
        <w:t>(Taula 2</w:t>
      </w:r>
      <w:r w:rsidR="00A55252" w:rsidRPr="00C9578C">
        <w:rPr>
          <w:rFonts w:ascii="Arial" w:hAnsi="Arial" w:cs="Arial"/>
        </w:rPr>
        <w:t>4</w:t>
      </w:r>
      <w:r w:rsidRPr="00C9578C">
        <w:rPr>
          <w:rFonts w:ascii="Arial" w:hAnsi="Arial" w:cs="Arial"/>
        </w:rPr>
        <w:t>).</w:t>
      </w:r>
      <w:r w:rsidRPr="00766177">
        <w:rPr>
          <w:rFonts w:ascii="Arial" w:hAnsi="Arial" w:cs="Arial"/>
        </w:rPr>
        <w:t xml:space="preserve">  </w:t>
      </w:r>
    </w:p>
    <w:p w14:paraId="10819348" w14:textId="77777777" w:rsidR="00766177" w:rsidRPr="00766177" w:rsidRDefault="00766177" w:rsidP="00C9578C">
      <w:pPr>
        <w:pStyle w:val="Texto"/>
        <w:spacing w:after="120"/>
        <w:rPr>
          <w:rFonts w:ascii="Arial" w:hAnsi="Arial" w:cs="Arial"/>
          <w:b/>
        </w:rPr>
      </w:pPr>
      <w:r w:rsidRPr="00766177">
        <w:rPr>
          <w:rFonts w:ascii="Arial" w:hAnsi="Arial" w:cs="Arial"/>
          <w:b/>
        </w:rPr>
        <w:t>Universitat de València</w:t>
      </w:r>
    </w:p>
    <w:p w14:paraId="55FBE42E" w14:textId="77777777" w:rsidR="00766177" w:rsidRPr="00766177" w:rsidRDefault="00766177" w:rsidP="0061495F">
      <w:pPr>
        <w:pStyle w:val="Texto"/>
        <w:numPr>
          <w:ilvl w:val="0"/>
          <w:numId w:val="73"/>
        </w:numPr>
        <w:spacing w:after="120"/>
        <w:rPr>
          <w:rFonts w:ascii="Arial" w:hAnsi="Arial" w:cs="Arial"/>
          <w:b/>
          <w:i/>
        </w:rPr>
      </w:pPr>
      <w:r w:rsidRPr="00766177">
        <w:rPr>
          <w:rFonts w:ascii="Arial" w:hAnsi="Arial" w:cs="Arial"/>
          <w:b/>
          <w:i/>
        </w:rPr>
        <w:t>Grau de Dret</w:t>
      </w:r>
    </w:p>
    <w:p w14:paraId="3B6DAD4D" w14:textId="77777777" w:rsidR="00766177" w:rsidRPr="00766177" w:rsidRDefault="00766177" w:rsidP="00A975CB">
      <w:pPr>
        <w:pStyle w:val="Texto"/>
        <w:spacing w:after="120"/>
        <w:rPr>
          <w:rFonts w:ascii="Arial" w:hAnsi="Arial" w:cs="Arial"/>
        </w:rPr>
      </w:pPr>
      <w:r w:rsidRPr="00766177">
        <w:rPr>
          <w:rFonts w:ascii="Arial" w:hAnsi="Arial" w:cs="Arial"/>
        </w:rPr>
        <w:t>1 d'octubre. De manera presencial. Docufòrum amb l'alumnat de l'assignatura de Dret Constitucional del Grau de Dret.</w:t>
      </w:r>
    </w:p>
    <w:p w14:paraId="799E2EB9" w14:textId="77777777" w:rsidR="00766177" w:rsidRPr="00766177" w:rsidRDefault="00766177" w:rsidP="0061495F">
      <w:pPr>
        <w:pStyle w:val="Texto"/>
        <w:numPr>
          <w:ilvl w:val="0"/>
          <w:numId w:val="73"/>
        </w:numPr>
        <w:spacing w:after="120"/>
        <w:rPr>
          <w:rFonts w:ascii="Arial" w:hAnsi="Arial" w:cs="Arial"/>
          <w:b/>
          <w:i/>
        </w:rPr>
      </w:pPr>
      <w:r w:rsidRPr="00766177">
        <w:rPr>
          <w:rFonts w:ascii="Arial" w:hAnsi="Arial" w:cs="Arial"/>
          <w:b/>
          <w:i/>
        </w:rPr>
        <w:t>Grau de Criminologia</w:t>
      </w:r>
    </w:p>
    <w:p w14:paraId="4473618C" w14:textId="77777777" w:rsidR="00766177" w:rsidRPr="00766177" w:rsidRDefault="00766177" w:rsidP="00766177">
      <w:pPr>
        <w:pStyle w:val="Texto"/>
        <w:spacing w:after="240"/>
        <w:rPr>
          <w:rFonts w:ascii="Arial" w:hAnsi="Arial" w:cs="Arial"/>
        </w:rPr>
      </w:pPr>
      <w:r w:rsidRPr="00766177">
        <w:rPr>
          <w:rFonts w:ascii="Arial" w:hAnsi="Arial" w:cs="Arial"/>
        </w:rPr>
        <w:t xml:space="preserve">26 d'octubre. De manera presencial. Docufòrum amb l'alumnat de l'assignatura d'Habilitats i destreses del Grau de Criminologia. </w:t>
      </w:r>
    </w:p>
    <w:p w14:paraId="197218E5" w14:textId="77777777" w:rsidR="00766177" w:rsidRPr="00766177" w:rsidRDefault="00766177" w:rsidP="00C9578C">
      <w:pPr>
        <w:pStyle w:val="Texto"/>
        <w:spacing w:after="120"/>
        <w:rPr>
          <w:rFonts w:ascii="Arial" w:hAnsi="Arial" w:cs="Arial"/>
          <w:b/>
        </w:rPr>
      </w:pPr>
      <w:r w:rsidRPr="00766177">
        <w:rPr>
          <w:rFonts w:ascii="Arial" w:hAnsi="Arial" w:cs="Arial"/>
          <w:b/>
        </w:rPr>
        <w:t>Universitat Politécnica de València</w:t>
      </w:r>
    </w:p>
    <w:p w14:paraId="4931C549" w14:textId="77777777" w:rsidR="00766177" w:rsidRPr="00766177" w:rsidRDefault="00766177" w:rsidP="0061495F">
      <w:pPr>
        <w:pStyle w:val="Texto"/>
        <w:numPr>
          <w:ilvl w:val="0"/>
          <w:numId w:val="73"/>
        </w:numPr>
        <w:spacing w:after="120"/>
        <w:ind w:left="357" w:hanging="357"/>
        <w:rPr>
          <w:rFonts w:ascii="Arial" w:hAnsi="Arial" w:cs="Arial"/>
          <w:b/>
          <w:i/>
        </w:rPr>
      </w:pPr>
      <w:r w:rsidRPr="00766177">
        <w:rPr>
          <w:rFonts w:ascii="Arial" w:hAnsi="Arial" w:cs="Arial"/>
          <w:b/>
          <w:i/>
        </w:rPr>
        <w:t>Grau de Gestió i Administració Pública</w:t>
      </w:r>
    </w:p>
    <w:p w14:paraId="156A4EEC" w14:textId="77777777" w:rsidR="00766177" w:rsidRPr="00766177" w:rsidRDefault="00766177" w:rsidP="00766177">
      <w:pPr>
        <w:pStyle w:val="Texto"/>
        <w:spacing w:after="240"/>
        <w:rPr>
          <w:rFonts w:ascii="Arial" w:hAnsi="Arial" w:cs="Arial"/>
        </w:rPr>
      </w:pPr>
      <w:r w:rsidRPr="00766177">
        <w:rPr>
          <w:rFonts w:ascii="Arial" w:hAnsi="Arial" w:cs="Arial"/>
        </w:rPr>
        <w:t xml:space="preserve">20 d'octubre. De manera presencial. Docufòrum amb l'alumnat de l'assignatura d'Informació i documentació administrativa del Grau de Gestió i Administració Pública. </w:t>
      </w:r>
    </w:p>
    <w:p w14:paraId="2A627F90" w14:textId="40ACB292" w:rsidR="00766177" w:rsidRPr="00766177" w:rsidRDefault="00766177" w:rsidP="00C9578C">
      <w:pPr>
        <w:pStyle w:val="Texto"/>
        <w:spacing w:after="120"/>
        <w:rPr>
          <w:rFonts w:ascii="Arial" w:hAnsi="Arial" w:cs="Arial"/>
          <w:b/>
        </w:rPr>
      </w:pPr>
      <w:r w:rsidRPr="00766177">
        <w:rPr>
          <w:rFonts w:ascii="Arial" w:hAnsi="Arial" w:cs="Arial"/>
          <w:b/>
        </w:rPr>
        <w:t>Universitat d’Alacant</w:t>
      </w:r>
    </w:p>
    <w:p w14:paraId="1FC48A43" w14:textId="77777777" w:rsidR="00766177" w:rsidRPr="00766177" w:rsidRDefault="00766177" w:rsidP="0061495F">
      <w:pPr>
        <w:pStyle w:val="Texto"/>
        <w:numPr>
          <w:ilvl w:val="0"/>
          <w:numId w:val="73"/>
        </w:numPr>
        <w:spacing w:after="120"/>
        <w:ind w:left="357" w:hanging="357"/>
        <w:rPr>
          <w:rFonts w:ascii="Arial" w:hAnsi="Arial" w:cs="Arial"/>
          <w:b/>
          <w:i/>
        </w:rPr>
      </w:pPr>
      <w:r w:rsidRPr="00766177">
        <w:rPr>
          <w:rFonts w:ascii="Arial" w:hAnsi="Arial" w:cs="Arial"/>
          <w:b/>
          <w:i/>
        </w:rPr>
        <w:t>Grau de Dret</w:t>
      </w:r>
    </w:p>
    <w:p w14:paraId="51F8E2BD" w14:textId="77777777" w:rsidR="00766177" w:rsidRPr="00766177" w:rsidRDefault="00766177" w:rsidP="00766177">
      <w:pPr>
        <w:pStyle w:val="Texto"/>
        <w:spacing w:after="240"/>
        <w:rPr>
          <w:rFonts w:ascii="Arial" w:hAnsi="Arial" w:cs="Arial"/>
        </w:rPr>
      </w:pPr>
      <w:r w:rsidRPr="00766177">
        <w:rPr>
          <w:rFonts w:ascii="Arial" w:hAnsi="Arial" w:cs="Arial"/>
        </w:rPr>
        <w:t xml:space="preserve">20 d'octubre. De manera presencial. Docufòrum amb l'alumnat de l'assignatura d'Història del Dret, primer curs del Grau de Dret. </w:t>
      </w:r>
    </w:p>
    <w:p w14:paraId="541F418E" w14:textId="77777777" w:rsidR="00766177" w:rsidRPr="00766177" w:rsidRDefault="00766177" w:rsidP="00C9578C">
      <w:pPr>
        <w:pStyle w:val="Texto"/>
        <w:spacing w:after="120"/>
        <w:rPr>
          <w:rFonts w:ascii="Arial" w:hAnsi="Arial" w:cs="Arial"/>
          <w:b/>
        </w:rPr>
      </w:pPr>
      <w:r w:rsidRPr="00766177">
        <w:rPr>
          <w:rFonts w:ascii="Arial" w:hAnsi="Arial" w:cs="Arial"/>
          <w:b/>
        </w:rPr>
        <w:t>Universitat Jaume I</w:t>
      </w:r>
    </w:p>
    <w:p w14:paraId="4E22B6B5" w14:textId="77777777" w:rsidR="00766177" w:rsidRPr="00766177" w:rsidRDefault="00766177" w:rsidP="0061495F">
      <w:pPr>
        <w:pStyle w:val="Texto"/>
        <w:numPr>
          <w:ilvl w:val="0"/>
          <w:numId w:val="73"/>
        </w:numPr>
        <w:spacing w:after="120"/>
        <w:ind w:left="357" w:hanging="357"/>
        <w:rPr>
          <w:rFonts w:ascii="Arial" w:hAnsi="Arial" w:cs="Arial"/>
          <w:b/>
          <w:i/>
        </w:rPr>
      </w:pPr>
      <w:r w:rsidRPr="00766177">
        <w:rPr>
          <w:rFonts w:ascii="Arial" w:hAnsi="Arial" w:cs="Arial"/>
          <w:b/>
          <w:i/>
        </w:rPr>
        <w:t>Grau de Dret</w:t>
      </w:r>
    </w:p>
    <w:p w14:paraId="24C81A98" w14:textId="77777777" w:rsidR="00766177" w:rsidRPr="00766177" w:rsidRDefault="00766177" w:rsidP="00766177">
      <w:pPr>
        <w:pStyle w:val="Texto"/>
        <w:spacing w:after="240"/>
        <w:rPr>
          <w:rFonts w:ascii="Arial" w:hAnsi="Arial" w:cs="Arial"/>
        </w:rPr>
      </w:pPr>
      <w:r w:rsidRPr="00766177">
        <w:rPr>
          <w:rFonts w:ascii="Arial" w:hAnsi="Arial" w:cs="Arial"/>
        </w:rPr>
        <w:t xml:space="preserve">11 de novembre. De manera presencial. Docufòrum amb els alumnes de l'assignatura de Dret de la Unió Europea del Grau de Dret. </w:t>
      </w:r>
    </w:p>
    <w:p w14:paraId="2BB0EEB8" w14:textId="77777777" w:rsidR="00766177" w:rsidRPr="00766177" w:rsidRDefault="00766177" w:rsidP="00C9578C">
      <w:pPr>
        <w:pStyle w:val="Texto"/>
        <w:spacing w:after="120"/>
        <w:rPr>
          <w:rFonts w:ascii="Arial" w:hAnsi="Arial" w:cs="Arial"/>
          <w:b/>
        </w:rPr>
      </w:pPr>
      <w:r w:rsidRPr="00766177">
        <w:rPr>
          <w:rFonts w:ascii="Arial" w:hAnsi="Arial" w:cs="Arial"/>
          <w:b/>
        </w:rPr>
        <w:t>Universitat Miguel Hernández d’Elx (UMH)</w:t>
      </w:r>
    </w:p>
    <w:p w14:paraId="3DC2D6D8" w14:textId="77777777" w:rsidR="00766177" w:rsidRPr="00766177" w:rsidRDefault="00766177" w:rsidP="0061495F">
      <w:pPr>
        <w:pStyle w:val="Texto"/>
        <w:numPr>
          <w:ilvl w:val="0"/>
          <w:numId w:val="73"/>
        </w:numPr>
        <w:spacing w:after="120"/>
        <w:rPr>
          <w:rFonts w:ascii="Arial" w:hAnsi="Arial" w:cs="Arial"/>
          <w:b/>
          <w:i/>
        </w:rPr>
      </w:pPr>
      <w:r w:rsidRPr="00766177">
        <w:rPr>
          <w:rFonts w:ascii="Arial" w:hAnsi="Arial" w:cs="Arial"/>
          <w:b/>
          <w:i/>
        </w:rPr>
        <w:t>Grau de Periodisme</w:t>
      </w:r>
    </w:p>
    <w:p w14:paraId="76B8F9AD" w14:textId="77777777" w:rsidR="00766177" w:rsidRPr="00766177" w:rsidRDefault="00766177" w:rsidP="00A975CB">
      <w:pPr>
        <w:pStyle w:val="Texto"/>
        <w:spacing w:after="120"/>
        <w:rPr>
          <w:rFonts w:ascii="Arial" w:hAnsi="Arial" w:cs="Arial"/>
        </w:rPr>
      </w:pPr>
      <w:r w:rsidRPr="00766177">
        <w:rPr>
          <w:rFonts w:ascii="Arial" w:hAnsi="Arial" w:cs="Arial"/>
        </w:rPr>
        <w:t xml:space="preserve">8 de gener. En línia. Docufòrum amb alumnes de quart de Periodisme, en les assignatures de Comunicació Política i Opinió Pública, i Ètica i Deontologia Professional en col·laboració amb el Departament de Ciències Socials i Humanes de l'Àrea de Ciència Política i de l'Administració de la Facultat de Ciències Socials i Jurídiques. </w:t>
      </w:r>
    </w:p>
    <w:p w14:paraId="314F608D" w14:textId="77777777" w:rsidR="00766177" w:rsidRPr="00766177" w:rsidRDefault="00766177" w:rsidP="00A975CB">
      <w:pPr>
        <w:pStyle w:val="Texto"/>
        <w:spacing w:after="120"/>
        <w:rPr>
          <w:rFonts w:ascii="Arial" w:hAnsi="Arial" w:cs="Arial"/>
          <w:b/>
          <w:i/>
        </w:rPr>
      </w:pPr>
      <w:r w:rsidRPr="00766177">
        <w:rPr>
          <w:rFonts w:ascii="Arial" w:hAnsi="Arial" w:cs="Arial"/>
        </w:rPr>
        <w:t>3 de desembre. De manera presencial. Docufòrum amb alumnes del quart curs del Grau en Periodisme de l'assignatura d'Ètica i Deontologia Professional i Comunicació Política, en la Facultat de Ciències Socials i Jurídiques.</w:t>
      </w:r>
    </w:p>
    <w:p w14:paraId="4D37E10E" w14:textId="77777777" w:rsidR="00766177" w:rsidRPr="00766177" w:rsidRDefault="00766177" w:rsidP="00766177">
      <w:pPr>
        <w:pStyle w:val="Texto"/>
        <w:spacing w:after="240"/>
        <w:rPr>
          <w:rFonts w:ascii="Arial" w:hAnsi="Arial" w:cs="Arial"/>
        </w:rPr>
      </w:pPr>
      <w:r w:rsidRPr="00766177">
        <w:rPr>
          <w:rFonts w:ascii="Arial" w:hAnsi="Arial" w:cs="Arial"/>
        </w:rPr>
        <w:t xml:space="preserve">16 de desembre. De manera presencial. Docufòrum amb alumnes del segon curs del Grau en Periodisme de l'assignatura d'Institucions Jurídic-polítiques. En col·laboració amb el Departament de Ciències Socials i Humanes de l'Àrea de Ciència Política i de l'Administració de la Facultat de Ciències Socials i Jurídiques.  </w:t>
      </w:r>
    </w:p>
    <w:p w14:paraId="73C1BC23" w14:textId="77777777" w:rsidR="00766177" w:rsidRPr="00766177" w:rsidRDefault="00766177" w:rsidP="00C9578C">
      <w:pPr>
        <w:pStyle w:val="Texto"/>
        <w:spacing w:after="120"/>
        <w:rPr>
          <w:rFonts w:ascii="Arial" w:hAnsi="Arial" w:cs="Arial"/>
          <w:b/>
        </w:rPr>
      </w:pPr>
      <w:r w:rsidRPr="00766177">
        <w:rPr>
          <w:rFonts w:ascii="Arial" w:hAnsi="Arial" w:cs="Arial"/>
          <w:b/>
        </w:rPr>
        <w:t>Universitat Cardenal Herrera - CEU</w:t>
      </w:r>
    </w:p>
    <w:p w14:paraId="6A5B73B0" w14:textId="77777777" w:rsidR="00766177" w:rsidRPr="00766177" w:rsidRDefault="00766177" w:rsidP="0061495F">
      <w:pPr>
        <w:pStyle w:val="Texto"/>
        <w:numPr>
          <w:ilvl w:val="0"/>
          <w:numId w:val="73"/>
        </w:numPr>
        <w:spacing w:after="120"/>
        <w:rPr>
          <w:rFonts w:ascii="Arial" w:hAnsi="Arial" w:cs="Arial"/>
          <w:b/>
          <w:i/>
        </w:rPr>
      </w:pPr>
      <w:r w:rsidRPr="00766177">
        <w:rPr>
          <w:rFonts w:ascii="Arial" w:hAnsi="Arial" w:cs="Arial"/>
          <w:b/>
          <w:i/>
        </w:rPr>
        <w:t>Grau de Comunicació Audiovisual</w:t>
      </w:r>
    </w:p>
    <w:p w14:paraId="51721335" w14:textId="77777777" w:rsidR="00766177" w:rsidRPr="00766177" w:rsidRDefault="00766177" w:rsidP="00A975CB">
      <w:pPr>
        <w:pStyle w:val="Texto"/>
        <w:spacing w:after="120"/>
        <w:rPr>
          <w:rFonts w:ascii="Arial" w:hAnsi="Arial" w:cs="Arial"/>
        </w:rPr>
      </w:pPr>
      <w:r w:rsidRPr="00766177">
        <w:rPr>
          <w:rFonts w:ascii="Arial" w:hAnsi="Arial" w:cs="Arial"/>
        </w:rPr>
        <w:t>23 d'abril. De manera presencial. Docufòrum amb l'alumnat de l'assignatura d'Ètica de la Comunicació, del Grau de Comunicació Audiovisual, amb la col·laboració de l'Observatori de Governança, Transparència i RSC de la UCH-CEU.</w:t>
      </w:r>
    </w:p>
    <w:p w14:paraId="2057C427" w14:textId="77777777" w:rsidR="00766177" w:rsidRPr="00766177" w:rsidRDefault="00766177" w:rsidP="0061495F">
      <w:pPr>
        <w:pStyle w:val="Texto"/>
        <w:numPr>
          <w:ilvl w:val="0"/>
          <w:numId w:val="73"/>
        </w:numPr>
        <w:spacing w:after="120"/>
        <w:rPr>
          <w:rFonts w:ascii="Arial" w:hAnsi="Arial" w:cs="Arial"/>
          <w:b/>
          <w:i/>
        </w:rPr>
      </w:pPr>
      <w:r w:rsidRPr="00766177">
        <w:rPr>
          <w:rFonts w:ascii="Arial" w:hAnsi="Arial" w:cs="Arial"/>
          <w:b/>
          <w:i/>
        </w:rPr>
        <w:t>Doble Grau de Ciencies Polítiques y Periodisme</w:t>
      </w:r>
    </w:p>
    <w:p w14:paraId="620CD539" w14:textId="77777777" w:rsidR="00766177" w:rsidRPr="00766177" w:rsidRDefault="00766177" w:rsidP="00A975CB">
      <w:pPr>
        <w:pStyle w:val="Texto"/>
        <w:spacing w:after="120"/>
        <w:rPr>
          <w:rFonts w:ascii="Arial" w:hAnsi="Arial" w:cs="Arial"/>
        </w:rPr>
      </w:pPr>
      <w:r w:rsidRPr="00766177">
        <w:rPr>
          <w:rFonts w:ascii="Arial" w:hAnsi="Arial" w:cs="Arial"/>
        </w:rPr>
        <w:t xml:space="preserve">30 de setembre. De manera presencial. Docufòrum a l'aula universitària de l'assignatura d'Ètica Pública, en el quart curs del Grau en Ciències Polítiques de la Facultat de Dret, Empresa i Ciències Polítiques de la Universitat Cardenal Herrera CEU. La majoria dels alumnes cursaven doble grau en Periodisme. </w:t>
      </w:r>
    </w:p>
    <w:p w14:paraId="215CC95F" w14:textId="77777777" w:rsidR="00766177" w:rsidRPr="00766177" w:rsidRDefault="00766177" w:rsidP="0061495F">
      <w:pPr>
        <w:pStyle w:val="Texto"/>
        <w:numPr>
          <w:ilvl w:val="0"/>
          <w:numId w:val="73"/>
        </w:numPr>
        <w:spacing w:after="120"/>
        <w:rPr>
          <w:rFonts w:ascii="Arial" w:hAnsi="Arial" w:cs="Arial"/>
          <w:b/>
          <w:i/>
        </w:rPr>
      </w:pPr>
      <w:r w:rsidRPr="00766177">
        <w:rPr>
          <w:rFonts w:ascii="Arial" w:hAnsi="Arial" w:cs="Arial"/>
          <w:b/>
          <w:i/>
        </w:rPr>
        <w:t>Grau de Periodisme</w:t>
      </w:r>
    </w:p>
    <w:p w14:paraId="7FA5F6EF" w14:textId="77777777" w:rsidR="00766177" w:rsidRPr="00766177" w:rsidRDefault="00766177" w:rsidP="00A975CB">
      <w:pPr>
        <w:pStyle w:val="Texto"/>
        <w:spacing w:after="120"/>
        <w:rPr>
          <w:rFonts w:ascii="Arial" w:hAnsi="Arial" w:cs="Arial"/>
        </w:rPr>
      </w:pPr>
      <w:r w:rsidRPr="00766177">
        <w:rPr>
          <w:rFonts w:ascii="Arial" w:hAnsi="Arial" w:cs="Arial"/>
        </w:rPr>
        <w:t xml:space="preserve">14 de desembre. De manera presencial. Docufòrum amb l'alumnat de l'assignatura d'Ètica de la Comunicació de segon curs del Grau de Periodisme. </w:t>
      </w:r>
    </w:p>
    <w:p w14:paraId="1CFF1C39" w14:textId="77777777" w:rsidR="00766177" w:rsidRPr="00766177" w:rsidRDefault="00766177" w:rsidP="0061495F">
      <w:pPr>
        <w:pStyle w:val="Texto"/>
        <w:numPr>
          <w:ilvl w:val="0"/>
          <w:numId w:val="73"/>
        </w:numPr>
        <w:spacing w:after="120"/>
        <w:rPr>
          <w:rFonts w:ascii="Arial" w:hAnsi="Arial" w:cs="Arial"/>
          <w:b/>
          <w:i/>
        </w:rPr>
      </w:pPr>
      <w:r w:rsidRPr="00766177">
        <w:rPr>
          <w:rFonts w:ascii="Arial" w:hAnsi="Arial" w:cs="Arial"/>
          <w:b/>
          <w:i/>
        </w:rPr>
        <w:t>Grau de Dret</w:t>
      </w:r>
    </w:p>
    <w:p w14:paraId="39559723" w14:textId="79BED4DF" w:rsidR="00B23DB3" w:rsidRDefault="00766177" w:rsidP="00766177">
      <w:pPr>
        <w:pStyle w:val="Texto"/>
        <w:spacing w:after="240"/>
        <w:rPr>
          <w:rFonts w:ascii="Arial" w:hAnsi="Arial" w:cs="Arial"/>
        </w:rPr>
      </w:pPr>
      <w:r w:rsidRPr="00766177">
        <w:rPr>
          <w:rFonts w:ascii="Arial" w:hAnsi="Arial" w:cs="Arial"/>
        </w:rPr>
        <w:t>20 de desembre De manera presencial. Docufòrum amb alumnat de l'assignatura de Dret Administratiu II, del Grau de Dret.</w:t>
      </w:r>
    </w:p>
    <w:p w14:paraId="28F96121" w14:textId="020FFB0B" w:rsidR="00A975CB" w:rsidRDefault="00A975CB" w:rsidP="00766177">
      <w:pPr>
        <w:pStyle w:val="Texto"/>
        <w:spacing w:after="240"/>
        <w:rPr>
          <w:rFonts w:ascii="Arial" w:hAnsi="Arial" w:cs="Arial"/>
        </w:rPr>
      </w:pPr>
    </w:p>
    <w:p w14:paraId="3A1E967C" w14:textId="77777777" w:rsidR="00A975CB" w:rsidRPr="00766177" w:rsidRDefault="00A975CB" w:rsidP="00766177">
      <w:pPr>
        <w:pStyle w:val="Texto"/>
        <w:spacing w:after="240"/>
        <w:rPr>
          <w:rFonts w:ascii="Arial" w:hAnsi="Arial" w:cs="Arial"/>
        </w:rPr>
      </w:pPr>
    </w:p>
    <w:p w14:paraId="270AE8A6" w14:textId="3EB92BC6" w:rsidR="00ED18BE" w:rsidRPr="00ED18BE" w:rsidRDefault="00ED18BE" w:rsidP="00ED18BE">
      <w:pPr>
        <w:pStyle w:val="Descripcin"/>
        <w:keepNext/>
        <w:rPr>
          <w:rFonts w:ascii="Arial" w:hAnsi="Arial" w:cs="Arial"/>
          <w:smallCaps w:val="0"/>
          <w:sz w:val="18"/>
          <w:szCs w:val="18"/>
        </w:rPr>
      </w:pPr>
      <w:bookmarkStart w:id="419" w:name="_Toc99110869"/>
      <w:r w:rsidRPr="00C55F0E">
        <w:rPr>
          <w:rFonts w:ascii="Arial" w:hAnsi="Arial" w:cs="Arial"/>
          <w:smallCaps w:val="0"/>
          <w:sz w:val="18"/>
          <w:szCs w:val="18"/>
        </w:rPr>
        <w:t xml:space="preserve">Taula </w:t>
      </w:r>
      <w:r w:rsidRPr="00C55F0E">
        <w:rPr>
          <w:rFonts w:ascii="Arial" w:hAnsi="Arial" w:cs="Arial"/>
          <w:smallCaps w:val="0"/>
          <w:sz w:val="18"/>
          <w:szCs w:val="18"/>
        </w:rPr>
        <w:fldChar w:fldCharType="begin" w:fldLock="1"/>
      </w:r>
      <w:r w:rsidRPr="00C55F0E">
        <w:rPr>
          <w:rFonts w:ascii="Arial" w:hAnsi="Arial" w:cs="Arial"/>
          <w:smallCaps w:val="0"/>
          <w:sz w:val="18"/>
          <w:szCs w:val="18"/>
        </w:rPr>
        <w:instrText xml:space="preserve"> SEQ Taula \* ARABIC </w:instrText>
      </w:r>
      <w:r w:rsidRPr="00C55F0E">
        <w:rPr>
          <w:rFonts w:ascii="Arial" w:hAnsi="Arial" w:cs="Arial"/>
          <w:smallCaps w:val="0"/>
          <w:sz w:val="18"/>
          <w:szCs w:val="18"/>
        </w:rPr>
        <w:fldChar w:fldCharType="separate"/>
      </w:r>
      <w:r w:rsidR="00A81D4F">
        <w:rPr>
          <w:rFonts w:ascii="Arial" w:hAnsi="Arial" w:cs="Arial"/>
          <w:smallCaps w:val="0"/>
          <w:noProof/>
          <w:sz w:val="18"/>
          <w:szCs w:val="18"/>
        </w:rPr>
        <w:t>24</w:t>
      </w:r>
      <w:r w:rsidRPr="00C55F0E">
        <w:rPr>
          <w:rFonts w:ascii="Arial" w:hAnsi="Arial" w:cs="Arial"/>
          <w:smallCaps w:val="0"/>
          <w:sz w:val="18"/>
          <w:szCs w:val="18"/>
        </w:rPr>
        <w:fldChar w:fldCharType="end"/>
      </w:r>
      <w:r w:rsidRPr="00C55F0E">
        <w:rPr>
          <w:rFonts w:ascii="Arial" w:hAnsi="Arial" w:cs="Arial"/>
          <w:smallCaps w:val="0"/>
          <w:sz w:val="18"/>
          <w:szCs w:val="18"/>
        </w:rPr>
        <w:t>.</w:t>
      </w:r>
      <w:r w:rsidRPr="00ED18BE">
        <w:rPr>
          <w:rFonts w:ascii="Arial" w:hAnsi="Arial" w:cs="Arial"/>
          <w:smallCaps w:val="0"/>
          <w:sz w:val="18"/>
          <w:szCs w:val="18"/>
        </w:rPr>
        <w:t xml:space="preserve"> Resum de docufòrum en universitats valencianes</w:t>
      </w:r>
      <w:bookmarkEnd w:id="419"/>
    </w:p>
    <w:tbl>
      <w:tblPr>
        <w:tblW w:w="8851"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0" w:type="dxa"/>
          <w:right w:w="70" w:type="dxa"/>
        </w:tblCellMar>
        <w:tblLook w:val="04A0" w:firstRow="1" w:lastRow="0" w:firstColumn="1" w:lastColumn="0" w:noHBand="0" w:noVBand="1"/>
      </w:tblPr>
      <w:tblGrid>
        <w:gridCol w:w="1452"/>
        <w:gridCol w:w="1485"/>
        <w:gridCol w:w="641"/>
        <w:gridCol w:w="1946"/>
        <w:gridCol w:w="567"/>
        <w:gridCol w:w="850"/>
        <w:gridCol w:w="851"/>
        <w:gridCol w:w="1059"/>
      </w:tblGrid>
      <w:tr w:rsidR="00A975CB" w:rsidRPr="00A975CB" w14:paraId="58EAEA2E" w14:textId="77777777" w:rsidTr="00581702">
        <w:trPr>
          <w:trHeight w:val="502"/>
        </w:trPr>
        <w:tc>
          <w:tcPr>
            <w:tcW w:w="1452" w:type="dxa"/>
            <w:shd w:val="clear" w:color="auto" w:fill="9D2235"/>
            <w:vAlign w:val="center"/>
            <w:hideMark/>
          </w:tcPr>
          <w:p w14:paraId="11BE4E12" w14:textId="77777777" w:rsidR="00A975CB" w:rsidRPr="00A975CB" w:rsidRDefault="00A975CB" w:rsidP="00A975CB">
            <w:pPr>
              <w:spacing w:after="0" w:line="240" w:lineRule="auto"/>
              <w:rPr>
                <w:rFonts w:ascii="Arial" w:eastAsia="Times New Roman" w:hAnsi="Arial" w:cs="Arial"/>
                <w:b/>
                <w:bCs/>
                <w:color w:val="FFFFFF"/>
                <w:sz w:val="18"/>
                <w:szCs w:val="18"/>
                <w:lang w:eastAsia="es-ES"/>
              </w:rPr>
            </w:pPr>
            <w:r w:rsidRPr="00A975CB">
              <w:rPr>
                <w:rFonts w:ascii="Arial" w:eastAsia="Times New Roman" w:hAnsi="Arial" w:cs="Arial"/>
                <w:b/>
                <w:bCs/>
                <w:color w:val="FFFFFF"/>
                <w:sz w:val="18"/>
                <w:szCs w:val="18"/>
                <w:lang w:eastAsia="es-ES"/>
              </w:rPr>
              <w:t>Grau</w:t>
            </w:r>
          </w:p>
        </w:tc>
        <w:tc>
          <w:tcPr>
            <w:tcW w:w="1485" w:type="dxa"/>
            <w:shd w:val="clear" w:color="auto" w:fill="9D2235"/>
            <w:vAlign w:val="center"/>
            <w:hideMark/>
          </w:tcPr>
          <w:p w14:paraId="4CC5C17C" w14:textId="77777777" w:rsidR="00A975CB" w:rsidRPr="00A975CB" w:rsidRDefault="00A975CB" w:rsidP="00A975CB">
            <w:pPr>
              <w:spacing w:after="0" w:line="240" w:lineRule="auto"/>
              <w:rPr>
                <w:rFonts w:ascii="Arial" w:eastAsia="Times New Roman" w:hAnsi="Arial" w:cs="Arial"/>
                <w:b/>
                <w:bCs/>
                <w:color w:val="FFFFFF"/>
                <w:sz w:val="18"/>
                <w:szCs w:val="18"/>
                <w:lang w:eastAsia="es-ES"/>
              </w:rPr>
            </w:pPr>
            <w:r w:rsidRPr="00A975CB">
              <w:rPr>
                <w:rFonts w:ascii="Arial" w:eastAsia="Times New Roman" w:hAnsi="Arial" w:cs="Arial"/>
                <w:b/>
                <w:bCs/>
                <w:color w:val="FFFFFF"/>
                <w:sz w:val="18"/>
                <w:szCs w:val="18"/>
                <w:lang w:eastAsia="es-ES"/>
              </w:rPr>
              <w:t>Departament</w:t>
            </w:r>
          </w:p>
        </w:tc>
        <w:tc>
          <w:tcPr>
            <w:tcW w:w="641" w:type="dxa"/>
            <w:shd w:val="clear" w:color="auto" w:fill="9D2235"/>
            <w:vAlign w:val="center"/>
            <w:hideMark/>
          </w:tcPr>
          <w:p w14:paraId="599C8DAF" w14:textId="77777777" w:rsidR="00A975CB" w:rsidRPr="00A975CB" w:rsidRDefault="00A975CB" w:rsidP="00A975CB">
            <w:pPr>
              <w:spacing w:after="0" w:line="240" w:lineRule="auto"/>
              <w:jc w:val="center"/>
              <w:rPr>
                <w:rFonts w:ascii="Arial" w:eastAsia="Times New Roman" w:hAnsi="Arial" w:cs="Arial"/>
                <w:b/>
                <w:bCs/>
                <w:color w:val="FFFFFF"/>
                <w:sz w:val="18"/>
                <w:szCs w:val="18"/>
                <w:lang w:eastAsia="es-ES"/>
              </w:rPr>
            </w:pPr>
            <w:r w:rsidRPr="00A975CB">
              <w:rPr>
                <w:rFonts w:ascii="Arial" w:eastAsia="Times New Roman" w:hAnsi="Arial" w:cs="Arial"/>
                <w:b/>
                <w:bCs/>
                <w:color w:val="FFFFFF"/>
                <w:sz w:val="18"/>
                <w:szCs w:val="18"/>
                <w:lang w:eastAsia="es-ES"/>
              </w:rPr>
              <w:t>Dia</w:t>
            </w:r>
          </w:p>
        </w:tc>
        <w:tc>
          <w:tcPr>
            <w:tcW w:w="1946" w:type="dxa"/>
            <w:shd w:val="clear" w:color="auto" w:fill="9D2235"/>
            <w:vAlign w:val="center"/>
            <w:hideMark/>
          </w:tcPr>
          <w:p w14:paraId="65F45208" w14:textId="77777777" w:rsidR="00A975CB" w:rsidRPr="00A975CB" w:rsidRDefault="00A975CB" w:rsidP="00A975CB">
            <w:pPr>
              <w:spacing w:after="0" w:line="240" w:lineRule="auto"/>
              <w:rPr>
                <w:rFonts w:ascii="Arial" w:eastAsia="Times New Roman" w:hAnsi="Arial" w:cs="Arial"/>
                <w:b/>
                <w:bCs/>
                <w:color w:val="FFFFFF"/>
                <w:sz w:val="18"/>
                <w:szCs w:val="18"/>
                <w:lang w:eastAsia="es-ES"/>
              </w:rPr>
            </w:pPr>
            <w:r w:rsidRPr="00A975CB">
              <w:rPr>
                <w:rFonts w:ascii="Arial" w:eastAsia="Times New Roman" w:hAnsi="Arial" w:cs="Arial"/>
                <w:b/>
                <w:bCs/>
                <w:color w:val="FFFFFF"/>
                <w:sz w:val="18"/>
                <w:szCs w:val="18"/>
                <w:lang w:eastAsia="es-ES"/>
              </w:rPr>
              <w:t>Perfil alumnat</w:t>
            </w:r>
          </w:p>
        </w:tc>
        <w:tc>
          <w:tcPr>
            <w:tcW w:w="567" w:type="dxa"/>
            <w:shd w:val="clear" w:color="auto" w:fill="9D2235"/>
            <w:vAlign w:val="center"/>
            <w:hideMark/>
          </w:tcPr>
          <w:p w14:paraId="68FBE67A" w14:textId="77777777" w:rsidR="00A975CB" w:rsidRPr="00A975CB" w:rsidRDefault="00A975CB" w:rsidP="00A975CB">
            <w:pPr>
              <w:spacing w:after="0" w:line="240" w:lineRule="auto"/>
              <w:jc w:val="center"/>
              <w:rPr>
                <w:rFonts w:ascii="Arial" w:eastAsia="Times New Roman" w:hAnsi="Arial" w:cs="Arial"/>
                <w:b/>
                <w:bCs/>
                <w:color w:val="FFFFFF"/>
                <w:sz w:val="18"/>
                <w:szCs w:val="18"/>
                <w:lang w:eastAsia="es-ES"/>
              </w:rPr>
            </w:pPr>
            <w:r w:rsidRPr="00A975CB">
              <w:rPr>
                <w:rFonts w:ascii="Arial" w:eastAsia="Times New Roman" w:hAnsi="Arial" w:cs="Arial"/>
                <w:b/>
                <w:bCs/>
                <w:color w:val="FFFFFF"/>
                <w:sz w:val="18"/>
                <w:szCs w:val="18"/>
                <w:lang w:eastAsia="es-ES"/>
              </w:rPr>
              <w:t>Nº</w:t>
            </w:r>
          </w:p>
          <w:p w14:paraId="22C5D3E7" w14:textId="77777777" w:rsidR="00A975CB" w:rsidRPr="00A975CB" w:rsidRDefault="00A975CB" w:rsidP="00A975CB">
            <w:pPr>
              <w:spacing w:after="0" w:line="240" w:lineRule="auto"/>
              <w:jc w:val="center"/>
              <w:rPr>
                <w:rFonts w:ascii="Arial" w:eastAsia="Times New Roman" w:hAnsi="Arial" w:cs="Arial"/>
                <w:b/>
                <w:bCs/>
                <w:color w:val="FFFFFF"/>
                <w:sz w:val="18"/>
                <w:szCs w:val="18"/>
                <w:lang w:eastAsia="es-ES"/>
              </w:rPr>
            </w:pPr>
          </w:p>
        </w:tc>
        <w:tc>
          <w:tcPr>
            <w:tcW w:w="850" w:type="dxa"/>
            <w:shd w:val="clear" w:color="auto" w:fill="9D2235"/>
            <w:vAlign w:val="center"/>
            <w:hideMark/>
          </w:tcPr>
          <w:p w14:paraId="1A5F08E1" w14:textId="77777777" w:rsidR="00A975CB" w:rsidRPr="00A975CB" w:rsidRDefault="00A975CB" w:rsidP="00A975CB">
            <w:pPr>
              <w:spacing w:after="0" w:line="240" w:lineRule="auto"/>
              <w:jc w:val="center"/>
              <w:rPr>
                <w:rFonts w:ascii="Arial" w:eastAsia="Times New Roman" w:hAnsi="Arial" w:cs="Arial"/>
                <w:b/>
                <w:bCs/>
                <w:color w:val="FFFFFF"/>
                <w:sz w:val="18"/>
                <w:szCs w:val="18"/>
                <w:lang w:eastAsia="es-ES"/>
              </w:rPr>
            </w:pPr>
            <w:r w:rsidRPr="00A975CB">
              <w:rPr>
                <w:rFonts w:ascii="Arial" w:eastAsia="Times New Roman" w:hAnsi="Arial" w:cs="Arial"/>
                <w:b/>
                <w:bCs/>
                <w:color w:val="FFFFFF"/>
                <w:sz w:val="18"/>
                <w:szCs w:val="18"/>
                <w:lang w:eastAsia="es-ES"/>
              </w:rPr>
              <w:t>% dones</w:t>
            </w:r>
          </w:p>
        </w:tc>
        <w:tc>
          <w:tcPr>
            <w:tcW w:w="851" w:type="dxa"/>
            <w:shd w:val="clear" w:color="auto" w:fill="9D2235"/>
            <w:vAlign w:val="center"/>
            <w:hideMark/>
          </w:tcPr>
          <w:p w14:paraId="4AE46FE9" w14:textId="77777777" w:rsidR="00A975CB" w:rsidRPr="00A975CB" w:rsidRDefault="00A975CB" w:rsidP="00A975CB">
            <w:pPr>
              <w:spacing w:after="0" w:line="240" w:lineRule="auto"/>
              <w:jc w:val="center"/>
              <w:rPr>
                <w:rFonts w:ascii="Arial" w:eastAsia="Times New Roman" w:hAnsi="Arial" w:cs="Arial"/>
                <w:b/>
                <w:bCs/>
                <w:color w:val="FFFFFF"/>
                <w:sz w:val="18"/>
                <w:szCs w:val="18"/>
                <w:lang w:eastAsia="es-ES"/>
              </w:rPr>
            </w:pPr>
            <w:r w:rsidRPr="00A975CB">
              <w:rPr>
                <w:rFonts w:ascii="Arial" w:eastAsia="Times New Roman" w:hAnsi="Arial" w:cs="Arial"/>
                <w:b/>
                <w:bCs/>
                <w:color w:val="FFFFFF"/>
                <w:sz w:val="18"/>
                <w:szCs w:val="18"/>
                <w:lang w:eastAsia="es-ES"/>
              </w:rPr>
              <w:t>% homes</w:t>
            </w:r>
          </w:p>
        </w:tc>
        <w:tc>
          <w:tcPr>
            <w:tcW w:w="1059" w:type="dxa"/>
            <w:shd w:val="clear" w:color="auto" w:fill="9D2235"/>
            <w:vAlign w:val="center"/>
            <w:hideMark/>
          </w:tcPr>
          <w:p w14:paraId="38A6251F" w14:textId="77777777" w:rsidR="00A975CB" w:rsidRPr="00A975CB" w:rsidRDefault="00A975CB" w:rsidP="00A975CB">
            <w:pPr>
              <w:spacing w:after="0" w:line="240" w:lineRule="auto"/>
              <w:jc w:val="center"/>
              <w:rPr>
                <w:rFonts w:ascii="Arial" w:eastAsia="Times New Roman" w:hAnsi="Arial" w:cs="Arial"/>
                <w:b/>
                <w:bCs/>
                <w:color w:val="FFFFFF"/>
                <w:sz w:val="18"/>
                <w:szCs w:val="18"/>
                <w:lang w:eastAsia="es-ES"/>
              </w:rPr>
            </w:pPr>
            <w:r w:rsidRPr="00A975CB">
              <w:rPr>
                <w:rFonts w:ascii="Arial" w:eastAsia="Times New Roman" w:hAnsi="Arial" w:cs="Arial"/>
                <w:b/>
                <w:bCs/>
                <w:color w:val="FFFFFF"/>
                <w:sz w:val="18"/>
                <w:szCs w:val="18"/>
                <w:lang w:eastAsia="es-ES"/>
              </w:rPr>
              <w:t>Valoració</w:t>
            </w:r>
          </w:p>
        </w:tc>
      </w:tr>
      <w:tr w:rsidR="00A975CB" w:rsidRPr="00A975CB" w14:paraId="373995ED" w14:textId="77777777" w:rsidTr="00581702">
        <w:trPr>
          <w:trHeight w:val="248"/>
        </w:trPr>
        <w:tc>
          <w:tcPr>
            <w:tcW w:w="8851" w:type="dxa"/>
            <w:gridSpan w:val="8"/>
            <w:shd w:val="clear" w:color="000000" w:fill="D9D9D9"/>
            <w:noWrap/>
            <w:vAlign w:val="center"/>
            <w:hideMark/>
          </w:tcPr>
          <w:p w14:paraId="4726D155" w14:textId="77777777" w:rsidR="00A975CB" w:rsidRPr="00A975CB" w:rsidRDefault="00A975CB" w:rsidP="00A975CB">
            <w:pPr>
              <w:spacing w:after="0" w:line="240" w:lineRule="auto"/>
              <w:jc w:val="center"/>
              <w:rPr>
                <w:rFonts w:ascii="Arial" w:eastAsia="Times New Roman" w:hAnsi="Arial" w:cs="Arial"/>
                <w:b/>
                <w:bCs/>
                <w:sz w:val="18"/>
                <w:szCs w:val="18"/>
                <w:lang w:eastAsia="es-ES"/>
              </w:rPr>
            </w:pPr>
            <w:r w:rsidRPr="00A975CB">
              <w:rPr>
                <w:rFonts w:ascii="Arial" w:eastAsia="Times New Roman" w:hAnsi="Arial" w:cs="Arial"/>
                <w:b/>
                <w:bCs/>
                <w:sz w:val="18"/>
                <w:szCs w:val="18"/>
                <w:lang w:eastAsia="es-ES"/>
              </w:rPr>
              <w:t>UNIVERSITAT DE VALÈNCIA</w:t>
            </w:r>
          </w:p>
        </w:tc>
      </w:tr>
      <w:tr w:rsidR="00A975CB" w:rsidRPr="00A975CB" w14:paraId="3FF3FD0B" w14:textId="77777777" w:rsidTr="00581702">
        <w:trPr>
          <w:trHeight w:val="245"/>
        </w:trPr>
        <w:tc>
          <w:tcPr>
            <w:tcW w:w="1452" w:type="dxa"/>
            <w:shd w:val="clear" w:color="auto" w:fill="auto"/>
            <w:noWrap/>
            <w:vAlign w:val="center"/>
            <w:hideMark/>
          </w:tcPr>
          <w:p w14:paraId="37397C17"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w:t>
            </w:r>
          </w:p>
        </w:tc>
        <w:tc>
          <w:tcPr>
            <w:tcW w:w="1485" w:type="dxa"/>
            <w:shd w:val="clear" w:color="auto" w:fill="auto"/>
            <w:noWrap/>
            <w:vAlign w:val="center"/>
            <w:hideMark/>
          </w:tcPr>
          <w:p w14:paraId="335A53C6" w14:textId="77777777" w:rsidR="00A975CB" w:rsidRPr="00A975CB" w:rsidRDefault="00A975CB" w:rsidP="00A975CB">
            <w:pPr>
              <w:spacing w:after="0" w:line="240" w:lineRule="auto"/>
              <w:rPr>
                <w:rFonts w:ascii="Arial" w:eastAsia="Times New Roman" w:hAnsi="Arial" w:cs="Arial"/>
                <w:color w:val="000000"/>
                <w:sz w:val="18"/>
                <w:szCs w:val="18"/>
                <w:lang w:eastAsia="es-ES"/>
              </w:rPr>
            </w:pPr>
          </w:p>
        </w:tc>
        <w:tc>
          <w:tcPr>
            <w:tcW w:w="641" w:type="dxa"/>
            <w:shd w:val="clear" w:color="auto" w:fill="auto"/>
            <w:noWrap/>
            <w:vAlign w:val="center"/>
            <w:hideMark/>
          </w:tcPr>
          <w:p w14:paraId="2B4CAF78"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01/10</w:t>
            </w:r>
          </w:p>
        </w:tc>
        <w:tc>
          <w:tcPr>
            <w:tcW w:w="1946" w:type="dxa"/>
            <w:shd w:val="clear" w:color="auto" w:fill="auto"/>
            <w:noWrap/>
            <w:vAlign w:val="center"/>
            <w:hideMark/>
          </w:tcPr>
          <w:p w14:paraId="37F44E95"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 Constitucional</w:t>
            </w:r>
          </w:p>
        </w:tc>
        <w:tc>
          <w:tcPr>
            <w:tcW w:w="567" w:type="dxa"/>
            <w:shd w:val="clear" w:color="auto" w:fill="auto"/>
            <w:noWrap/>
            <w:vAlign w:val="center"/>
            <w:hideMark/>
          </w:tcPr>
          <w:p w14:paraId="3277889D"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39</w:t>
            </w:r>
          </w:p>
        </w:tc>
        <w:tc>
          <w:tcPr>
            <w:tcW w:w="850" w:type="dxa"/>
            <w:shd w:val="clear" w:color="auto" w:fill="auto"/>
            <w:noWrap/>
            <w:vAlign w:val="center"/>
            <w:hideMark/>
          </w:tcPr>
          <w:p w14:paraId="2EC0CAC0"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63%</w:t>
            </w:r>
          </w:p>
        </w:tc>
        <w:tc>
          <w:tcPr>
            <w:tcW w:w="851" w:type="dxa"/>
            <w:shd w:val="clear" w:color="auto" w:fill="auto"/>
            <w:noWrap/>
            <w:vAlign w:val="center"/>
            <w:hideMark/>
          </w:tcPr>
          <w:p w14:paraId="352EE7D1"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37%</w:t>
            </w:r>
          </w:p>
        </w:tc>
        <w:tc>
          <w:tcPr>
            <w:tcW w:w="1059" w:type="dxa"/>
            <w:shd w:val="clear" w:color="auto" w:fill="auto"/>
            <w:noWrap/>
            <w:vAlign w:val="center"/>
            <w:hideMark/>
          </w:tcPr>
          <w:p w14:paraId="637FFC03"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8,27</w:t>
            </w:r>
          </w:p>
        </w:tc>
      </w:tr>
      <w:tr w:rsidR="00A975CB" w:rsidRPr="00A975CB" w14:paraId="378D8E09" w14:textId="77777777" w:rsidTr="00581702">
        <w:trPr>
          <w:trHeight w:val="245"/>
        </w:trPr>
        <w:tc>
          <w:tcPr>
            <w:tcW w:w="1452" w:type="dxa"/>
            <w:shd w:val="clear" w:color="auto" w:fill="auto"/>
            <w:noWrap/>
            <w:vAlign w:val="center"/>
            <w:hideMark/>
          </w:tcPr>
          <w:p w14:paraId="0E3F75CD"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Criminologia</w:t>
            </w:r>
          </w:p>
        </w:tc>
        <w:tc>
          <w:tcPr>
            <w:tcW w:w="1485" w:type="dxa"/>
            <w:shd w:val="clear" w:color="auto" w:fill="auto"/>
            <w:noWrap/>
            <w:vAlign w:val="center"/>
            <w:hideMark/>
          </w:tcPr>
          <w:p w14:paraId="3396F50B" w14:textId="77777777" w:rsidR="00A975CB" w:rsidRPr="00A975CB" w:rsidRDefault="00A975CB" w:rsidP="00A975CB">
            <w:pPr>
              <w:spacing w:after="0" w:line="240" w:lineRule="auto"/>
              <w:rPr>
                <w:rFonts w:ascii="Arial" w:eastAsia="Times New Roman" w:hAnsi="Arial" w:cs="Arial"/>
                <w:color w:val="000000"/>
                <w:sz w:val="18"/>
                <w:szCs w:val="18"/>
                <w:lang w:eastAsia="es-ES"/>
              </w:rPr>
            </w:pPr>
          </w:p>
        </w:tc>
        <w:tc>
          <w:tcPr>
            <w:tcW w:w="641" w:type="dxa"/>
            <w:shd w:val="clear" w:color="auto" w:fill="auto"/>
            <w:noWrap/>
            <w:vAlign w:val="center"/>
            <w:hideMark/>
          </w:tcPr>
          <w:p w14:paraId="414369FB"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26/10</w:t>
            </w:r>
          </w:p>
        </w:tc>
        <w:tc>
          <w:tcPr>
            <w:tcW w:w="1946" w:type="dxa"/>
            <w:shd w:val="clear" w:color="auto" w:fill="auto"/>
            <w:noWrap/>
            <w:vAlign w:val="center"/>
            <w:hideMark/>
          </w:tcPr>
          <w:p w14:paraId="5245AADC"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Habilitats i destreses</w:t>
            </w:r>
          </w:p>
        </w:tc>
        <w:tc>
          <w:tcPr>
            <w:tcW w:w="567" w:type="dxa"/>
            <w:shd w:val="clear" w:color="auto" w:fill="auto"/>
            <w:noWrap/>
            <w:vAlign w:val="center"/>
            <w:hideMark/>
          </w:tcPr>
          <w:p w14:paraId="55B88A3E"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81</w:t>
            </w:r>
          </w:p>
        </w:tc>
        <w:tc>
          <w:tcPr>
            <w:tcW w:w="850" w:type="dxa"/>
            <w:shd w:val="clear" w:color="auto" w:fill="auto"/>
            <w:noWrap/>
            <w:vAlign w:val="center"/>
            <w:hideMark/>
          </w:tcPr>
          <w:p w14:paraId="239C61F0"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52%</w:t>
            </w:r>
          </w:p>
        </w:tc>
        <w:tc>
          <w:tcPr>
            <w:tcW w:w="851" w:type="dxa"/>
            <w:shd w:val="clear" w:color="auto" w:fill="auto"/>
            <w:noWrap/>
            <w:vAlign w:val="center"/>
            <w:hideMark/>
          </w:tcPr>
          <w:p w14:paraId="4165FFDE"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48%</w:t>
            </w:r>
          </w:p>
        </w:tc>
        <w:tc>
          <w:tcPr>
            <w:tcW w:w="1059" w:type="dxa"/>
            <w:shd w:val="clear" w:color="auto" w:fill="auto"/>
            <w:noWrap/>
            <w:vAlign w:val="center"/>
            <w:hideMark/>
          </w:tcPr>
          <w:p w14:paraId="0115ACA9"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8,08</w:t>
            </w:r>
          </w:p>
        </w:tc>
      </w:tr>
      <w:tr w:rsidR="00A975CB" w:rsidRPr="00A975CB" w14:paraId="1BEB9E24" w14:textId="77777777" w:rsidTr="00581702">
        <w:trPr>
          <w:trHeight w:val="245"/>
        </w:trPr>
        <w:tc>
          <w:tcPr>
            <w:tcW w:w="8851" w:type="dxa"/>
            <w:gridSpan w:val="8"/>
            <w:shd w:val="clear" w:color="000000" w:fill="D9D9D9"/>
            <w:noWrap/>
            <w:vAlign w:val="center"/>
            <w:hideMark/>
          </w:tcPr>
          <w:p w14:paraId="4C8EC36A" w14:textId="77777777" w:rsidR="00A975CB" w:rsidRPr="00A975CB" w:rsidRDefault="00A975CB" w:rsidP="00A975CB">
            <w:pPr>
              <w:spacing w:after="0" w:line="240" w:lineRule="auto"/>
              <w:jc w:val="center"/>
              <w:rPr>
                <w:rFonts w:ascii="Arial" w:eastAsia="Times New Roman" w:hAnsi="Arial" w:cs="Arial"/>
                <w:b/>
                <w:bCs/>
                <w:sz w:val="18"/>
                <w:szCs w:val="18"/>
                <w:lang w:eastAsia="es-ES"/>
              </w:rPr>
            </w:pPr>
            <w:r w:rsidRPr="00A975CB">
              <w:rPr>
                <w:rFonts w:ascii="Arial" w:eastAsia="Times New Roman" w:hAnsi="Arial" w:cs="Arial"/>
                <w:b/>
                <w:bCs/>
                <w:sz w:val="18"/>
                <w:szCs w:val="18"/>
                <w:lang w:eastAsia="es-ES"/>
              </w:rPr>
              <w:t>UNIVERSITAT POLITÈCNICA DE VALÈNCIA</w:t>
            </w:r>
          </w:p>
        </w:tc>
      </w:tr>
      <w:tr w:rsidR="00A975CB" w:rsidRPr="00A975CB" w14:paraId="03D83A99" w14:textId="77777777" w:rsidTr="00581702">
        <w:trPr>
          <w:trHeight w:val="642"/>
        </w:trPr>
        <w:tc>
          <w:tcPr>
            <w:tcW w:w="1452" w:type="dxa"/>
            <w:shd w:val="clear" w:color="auto" w:fill="auto"/>
            <w:vAlign w:val="center"/>
            <w:hideMark/>
          </w:tcPr>
          <w:p w14:paraId="391E7C62"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Gestió d’Administració Pública</w:t>
            </w:r>
          </w:p>
        </w:tc>
        <w:tc>
          <w:tcPr>
            <w:tcW w:w="1485" w:type="dxa"/>
            <w:shd w:val="clear" w:color="auto" w:fill="auto"/>
            <w:noWrap/>
            <w:vAlign w:val="center"/>
            <w:hideMark/>
          </w:tcPr>
          <w:p w14:paraId="61968302" w14:textId="77777777" w:rsidR="00A975CB" w:rsidRPr="00A975CB" w:rsidRDefault="00A975CB" w:rsidP="00A975CB">
            <w:pPr>
              <w:spacing w:after="0" w:line="240" w:lineRule="auto"/>
              <w:rPr>
                <w:rFonts w:ascii="Arial" w:eastAsia="Times New Roman" w:hAnsi="Arial" w:cs="Arial"/>
                <w:color w:val="000000"/>
                <w:sz w:val="18"/>
                <w:szCs w:val="18"/>
                <w:lang w:eastAsia="es-ES"/>
              </w:rPr>
            </w:pPr>
          </w:p>
        </w:tc>
        <w:tc>
          <w:tcPr>
            <w:tcW w:w="641" w:type="dxa"/>
            <w:shd w:val="clear" w:color="auto" w:fill="auto"/>
            <w:noWrap/>
            <w:vAlign w:val="center"/>
            <w:hideMark/>
          </w:tcPr>
          <w:p w14:paraId="662CC189"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20/10</w:t>
            </w:r>
          </w:p>
        </w:tc>
        <w:tc>
          <w:tcPr>
            <w:tcW w:w="1946" w:type="dxa"/>
            <w:shd w:val="clear" w:color="auto" w:fill="auto"/>
            <w:noWrap/>
            <w:vAlign w:val="center"/>
            <w:hideMark/>
          </w:tcPr>
          <w:p w14:paraId="5E098E7E"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Informació i Documentació Administrativa</w:t>
            </w:r>
          </w:p>
        </w:tc>
        <w:tc>
          <w:tcPr>
            <w:tcW w:w="567" w:type="dxa"/>
            <w:shd w:val="clear" w:color="auto" w:fill="auto"/>
            <w:noWrap/>
            <w:vAlign w:val="center"/>
            <w:hideMark/>
          </w:tcPr>
          <w:p w14:paraId="2FAC5CEE"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13</w:t>
            </w:r>
          </w:p>
        </w:tc>
        <w:tc>
          <w:tcPr>
            <w:tcW w:w="850" w:type="dxa"/>
            <w:shd w:val="clear" w:color="auto" w:fill="auto"/>
            <w:noWrap/>
            <w:vAlign w:val="center"/>
            <w:hideMark/>
          </w:tcPr>
          <w:p w14:paraId="0275D22F"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23%</w:t>
            </w:r>
          </w:p>
        </w:tc>
        <w:tc>
          <w:tcPr>
            <w:tcW w:w="851" w:type="dxa"/>
            <w:shd w:val="clear" w:color="auto" w:fill="auto"/>
            <w:noWrap/>
            <w:vAlign w:val="center"/>
            <w:hideMark/>
          </w:tcPr>
          <w:p w14:paraId="7D0CFFA1"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77%</w:t>
            </w:r>
          </w:p>
        </w:tc>
        <w:tc>
          <w:tcPr>
            <w:tcW w:w="1059" w:type="dxa"/>
            <w:shd w:val="clear" w:color="auto" w:fill="auto"/>
            <w:noWrap/>
            <w:vAlign w:val="center"/>
            <w:hideMark/>
          </w:tcPr>
          <w:p w14:paraId="76B7CA49"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8,50</w:t>
            </w:r>
          </w:p>
        </w:tc>
      </w:tr>
      <w:tr w:rsidR="00A975CB" w:rsidRPr="00A975CB" w14:paraId="3038C435" w14:textId="77777777" w:rsidTr="00581702">
        <w:trPr>
          <w:trHeight w:val="245"/>
        </w:trPr>
        <w:tc>
          <w:tcPr>
            <w:tcW w:w="8851" w:type="dxa"/>
            <w:gridSpan w:val="8"/>
            <w:shd w:val="clear" w:color="000000" w:fill="D9D9D9"/>
            <w:noWrap/>
            <w:vAlign w:val="center"/>
            <w:hideMark/>
          </w:tcPr>
          <w:p w14:paraId="194CBE99" w14:textId="77777777" w:rsidR="00A975CB" w:rsidRPr="00A975CB" w:rsidRDefault="00A975CB" w:rsidP="00A975CB">
            <w:pPr>
              <w:spacing w:after="0" w:line="240" w:lineRule="auto"/>
              <w:jc w:val="center"/>
              <w:rPr>
                <w:rFonts w:ascii="Arial" w:eastAsia="Times New Roman" w:hAnsi="Arial" w:cs="Arial"/>
                <w:b/>
                <w:bCs/>
                <w:sz w:val="18"/>
                <w:szCs w:val="18"/>
                <w:lang w:eastAsia="es-ES"/>
              </w:rPr>
            </w:pPr>
            <w:r w:rsidRPr="00A975CB">
              <w:rPr>
                <w:rFonts w:ascii="Arial" w:eastAsia="Times New Roman" w:hAnsi="Arial" w:cs="Arial"/>
                <w:b/>
                <w:bCs/>
                <w:sz w:val="18"/>
                <w:szCs w:val="18"/>
                <w:lang w:eastAsia="es-ES"/>
              </w:rPr>
              <w:t>UNIVERSITAT D’ALACANT</w:t>
            </w:r>
          </w:p>
        </w:tc>
      </w:tr>
      <w:tr w:rsidR="00A975CB" w:rsidRPr="00A975CB" w14:paraId="066857B8" w14:textId="77777777" w:rsidTr="00581702">
        <w:trPr>
          <w:trHeight w:val="493"/>
        </w:trPr>
        <w:tc>
          <w:tcPr>
            <w:tcW w:w="1452" w:type="dxa"/>
            <w:shd w:val="clear" w:color="auto" w:fill="auto"/>
            <w:noWrap/>
            <w:vAlign w:val="center"/>
            <w:hideMark/>
          </w:tcPr>
          <w:p w14:paraId="0CCBE9D1"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w:t>
            </w:r>
          </w:p>
        </w:tc>
        <w:tc>
          <w:tcPr>
            <w:tcW w:w="1485" w:type="dxa"/>
            <w:shd w:val="clear" w:color="auto" w:fill="auto"/>
            <w:noWrap/>
            <w:vAlign w:val="center"/>
            <w:hideMark/>
          </w:tcPr>
          <w:p w14:paraId="05D5B21F" w14:textId="77777777" w:rsidR="00A975CB" w:rsidRPr="00A975CB" w:rsidRDefault="00A975CB" w:rsidP="00A975CB">
            <w:pPr>
              <w:spacing w:after="0" w:line="240" w:lineRule="auto"/>
              <w:rPr>
                <w:rFonts w:ascii="Arial" w:eastAsia="Times New Roman" w:hAnsi="Arial" w:cs="Arial"/>
                <w:color w:val="000000"/>
                <w:sz w:val="18"/>
                <w:szCs w:val="18"/>
                <w:lang w:eastAsia="es-ES"/>
              </w:rPr>
            </w:pPr>
          </w:p>
        </w:tc>
        <w:tc>
          <w:tcPr>
            <w:tcW w:w="641" w:type="dxa"/>
            <w:shd w:val="clear" w:color="auto" w:fill="auto"/>
            <w:noWrap/>
            <w:vAlign w:val="center"/>
            <w:hideMark/>
          </w:tcPr>
          <w:p w14:paraId="721F15C4"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20/10</w:t>
            </w:r>
          </w:p>
        </w:tc>
        <w:tc>
          <w:tcPr>
            <w:tcW w:w="1946" w:type="dxa"/>
            <w:shd w:val="clear" w:color="auto" w:fill="auto"/>
            <w:vAlign w:val="center"/>
            <w:hideMark/>
          </w:tcPr>
          <w:p w14:paraId="2D92FD7C"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Primer Curs</w:t>
            </w:r>
            <w:r w:rsidRPr="00A975CB">
              <w:rPr>
                <w:rFonts w:ascii="Arial" w:eastAsia="Times New Roman" w:hAnsi="Arial" w:cs="Arial"/>
                <w:color w:val="000000"/>
                <w:sz w:val="18"/>
                <w:szCs w:val="18"/>
                <w:lang w:eastAsia="es-ES"/>
              </w:rPr>
              <w:br/>
              <w:t>Història del Dret</w:t>
            </w:r>
          </w:p>
        </w:tc>
        <w:tc>
          <w:tcPr>
            <w:tcW w:w="567" w:type="dxa"/>
            <w:shd w:val="clear" w:color="auto" w:fill="auto"/>
            <w:noWrap/>
            <w:vAlign w:val="center"/>
            <w:hideMark/>
          </w:tcPr>
          <w:p w14:paraId="7B134C7E"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66</w:t>
            </w:r>
          </w:p>
        </w:tc>
        <w:tc>
          <w:tcPr>
            <w:tcW w:w="850" w:type="dxa"/>
            <w:shd w:val="clear" w:color="auto" w:fill="auto"/>
            <w:noWrap/>
            <w:vAlign w:val="center"/>
            <w:hideMark/>
          </w:tcPr>
          <w:p w14:paraId="2E6A84CC"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64%</w:t>
            </w:r>
          </w:p>
        </w:tc>
        <w:tc>
          <w:tcPr>
            <w:tcW w:w="851" w:type="dxa"/>
            <w:shd w:val="clear" w:color="auto" w:fill="auto"/>
            <w:noWrap/>
            <w:vAlign w:val="center"/>
            <w:hideMark/>
          </w:tcPr>
          <w:p w14:paraId="477545E0"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36%</w:t>
            </w:r>
          </w:p>
        </w:tc>
        <w:tc>
          <w:tcPr>
            <w:tcW w:w="1059" w:type="dxa"/>
            <w:shd w:val="clear" w:color="auto" w:fill="auto"/>
            <w:noWrap/>
            <w:vAlign w:val="center"/>
            <w:hideMark/>
          </w:tcPr>
          <w:p w14:paraId="79066BF4"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9,10</w:t>
            </w:r>
          </w:p>
        </w:tc>
      </w:tr>
      <w:tr w:rsidR="00A975CB" w:rsidRPr="00A975CB" w14:paraId="6E00848B" w14:textId="77777777" w:rsidTr="00581702">
        <w:trPr>
          <w:trHeight w:val="245"/>
        </w:trPr>
        <w:tc>
          <w:tcPr>
            <w:tcW w:w="8851" w:type="dxa"/>
            <w:gridSpan w:val="8"/>
            <w:shd w:val="clear" w:color="000000" w:fill="D9D9D9"/>
            <w:noWrap/>
            <w:vAlign w:val="center"/>
            <w:hideMark/>
          </w:tcPr>
          <w:p w14:paraId="6BF9ECDB" w14:textId="77777777" w:rsidR="00A975CB" w:rsidRPr="00A975CB" w:rsidRDefault="00A975CB" w:rsidP="00A975CB">
            <w:pPr>
              <w:spacing w:after="0" w:line="240" w:lineRule="auto"/>
              <w:jc w:val="center"/>
              <w:rPr>
                <w:rFonts w:ascii="Arial" w:eastAsia="Times New Roman" w:hAnsi="Arial" w:cs="Arial"/>
                <w:b/>
                <w:bCs/>
                <w:sz w:val="18"/>
                <w:szCs w:val="18"/>
                <w:lang w:eastAsia="es-ES"/>
              </w:rPr>
            </w:pPr>
            <w:r w:rsidRPr="00A975CB">
              <w:rPr>
                <w:rFonts w:ascii="Arial" w:eastAsia="Times New Roman" w:hAnsi="Arial" w:cs="Arial"/>
                <w:b/>
                <w:bCs/>
                <w:sz w:val="18"/>
                <w:szCs w:val="18"/>
                <w:lang w:eastAsia="es-ES"/>
              </w:rPr>
              <w:t>UNIVERSITAT JAUME I - CASTELLÓ</w:t>
            </w:r>
          </w:p>
        </w:tc>
      </w:tr>
      <w:tr w:rsidR="00A975CB" w:rsidRPr="00A975CB" w14:paraId="1DA4C357" w14:textId="77777777" w:rsidTr="00581702">
        <w:trPr>
          <w:trHeight w:val="493"/>
        </w:trPr>
        <w:tc>
          <w:tcPr>
            <w:tcW w:w="1452" w:type="dxa"/>
            <w:shd w:val="clear" w:color="auto" w:fill="auto"/>
            <w:noWrap/>
            <w:vAlign w:val="center"/>
          </w:tcPr>
          <w:p w14:paraId="24E9B36C"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w:t>
            </w:r>
          </w:p>
        </w:tc>
        <w:tc>
          <w:tcPr>
            <w:tcW w:w="1485" w:type="dxa"/>
            <w:shd w:val="clear" w:color="auto" w:fill="auto"/>
            <w:noWrap/>
            <w:vAlign w:val="center"/>
          </w:tcPr>
          <w:p w14:paraId="3494F181"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 Públic</w:t>
            </w:r>
          </w:p>
        </w:tc>
        <w:tc>
          <w:tcPr>
            <w:tcW w:w="641" w:type="dxa"/>
            <w:shd w:val="clear" w:color="auto" w:fill="auto"/>
            <w:noWrap/>
            <w:vAlign w:val="center"/>
          </w:tcPr>
          <w:p w14:paraId="5101AF57"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11/11</w:t>
            </w:r>
          </w:p>
        </w:tc>
        <w:tc>
          <w:tcPr>
            <w:tcW w:w="1946" w:type="dxa"/>
            <w:shd w:val="clear" w:color="auto" w:fill="auto"/>
            <w:vAlign w:val="center"/>
          </w:tcPr>
          <w:p w14:paraId="48B06F67"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 de la Unió Europea</w:t>
            </w:r>
          </w:p>
        </w:tc>
        <w:tc>
          <w:tcPr>
            <w:tcW w:w="567" w:type="dxa"/>
            <w:shd w:val="clear" w:color="auto" w:fill="auto"/>
            <w:noWrap/>
            <w:vAlign w:val="center"/>
          </w:tcPr>
          <w:p w14:paraId="33AE913E"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32</w:t>
            </w:r>
          </w:p>
        </w:tc>
        <w:tc>
          <w:tcPr>
            <w:tcW w:w="850" w:type="dxa"/>
            <w:shd w:val="clear" w:color="auto" w:fill="auto"/>
            <w:noWrap/>
            <w:vAlign w:val="center"/>
          </w:tcPr>
          <w:p w14:paraId="4B06D4A9"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75%</w:t>
            </w:r>
          </w:p>
        </w:tc>
        <w:tc>
          <w:tcPr>
            <w:tcW w:w="851" w:type="dxa"/>
            <w:shd w:val="clear" w:color="auto" w:fill="auto"/>
            <w:noWrap/>
            <w:vAlign w:val="center"/>
          </w:tcPr>
          <w:p w14:paraId="601928C4"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25%</w:t>
            </w:r>
          </w:p>
        </w:tc>
        <w:tc>
          <w:tcPr>
            <w:tcW w:w="1059" w:type="dxa"/>
            <w:shd w:val="clear" w:color="auto" w:fill="auto"/>
            <w:noWrap/>
            <w:vAlign w:val="center"/>
          </w:tcPr>
          <w:p w14:paraId="403DCB15"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9,00</w:t>
            </w:r>
          </w:p>
        </w:tc>
      </w:tr>
      <w:tr w:rsidR="00A975CB" w:rsidRPr="00A975CB" w14:paraId="303593FD" w14:textId="77777777" w:rsidTr="00581702">
        <w:trPr>
          <w:trHeight w:val="245"/>
        </w:trPr>
        <w:tc>
          <w:tcPr>
            <w:tcW w:w="8851" w:type="dxa"/>
            <w:gridSpan w:val="8"/>
            <w:shd w:val="clear" w:color="000000" w:fill="D9D9D9"/>
            <w:noWrap/>
            <w:vAlign w:val="center"/>
            <w:hideMark/>
          </w:tcPr>
          <w:p w14:paraId="54E6AADC" w14:textId="77777777" w:rsidR="00A975CB" w:rsidRPr="00A975CB" w:rsidRDefault="00A975CB" w:rsidP="00A975CB">
            <w:pPr>
              <w:spacing w:after="0" w:line="240" w:lineRule="auto"/>
              <w:jc w:val="center"/>
              <w:rPr>
                <w:rFonts w:ascii="Arial" w:eastAsia="Times New Roman" w:hAnsi="Arial" w:cs="Arial"/>
                <w:b/>
                <w:bCs/>
                <w:sz w:val="18"/>
                <w:szCs w:val="18"/>
                <w:lang w:eastAsia="es-ES"/>
              </w:rPr>
            </w:pPr>
            <w:r w:rsidRPr="00A975CB">
              <w:rPr>
                <w:rFonts w:ascii="Arial" w:eastAsia="Times New Roman" w:hAnsi="Arial" w:cs="Arial"/>
                <w:b/>
                <w:bCs/>
                <w:sz w:val="18"/>
                <w:szCs w:val="18"/>
                <w:lang w:eastAsia="es-ES"/>
              </w:rPr>
              <w:t>UNIVERSITAT MIGUEL HERNÁNDEZ - ELX</w:t>
            </w:r>
          </w:p>
        </w:tc>
      </w:tr>
      <w:tr w:rsidR="00A975CB" w:rsidRPr="00A975CB" w14:paraId="0A37BF53" w14:textId="77777777" w:rsidTr="00581702">
        <w:trPr>
          <w:trHeight w:val="848"/>
        </w:trPr>
        <w:tc>
          <w:tcPr>
            <w:tcW w:w="1452" w:type="dxa"/>
            <w:shd w:val="clear" w:color="auto" w:fill="auto"/>
            <w:noWrap/>
            <w:vAlign w:val="center"/>
            <w:hideMark/>
          </w:tcPr>
          <w:p w14:paraId="127B1120"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Periodisme</w:t>
            </w:r>
          </w:p>
        </w:tc>
        <w:tc>
          <w:tcPr>
            <w:tcW w:w="1485" w:type="dxa"/>
            <w:shd w:val="clear" w:color="auto" w:fill="auto"/>
            <w:noWrap/>
            <w:vAlign w:val="center"/>
            <w:hideMark/>
          </w:tcPr>
          <w:p w14:paraId="164CC5A7"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Ciències Socials i Humanes</w:t>
            </w:r>
          </w:p>
        </w:tc>
        <w:tc>
          <w:tcPr>
            <w:tcW w:w="641" w:type="dxa"/>
            <w:shd w:val="clear" w:color="auto" w:fill="auto"/>
            <w:noWrap/>
            <w:vAlign w:val="center"/>
            <w:hideMark/>
          </w:tcPr>
          <w:p w14:paraId="1A476705"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08/01</w:t>
            </w:r>
          </w:p>
        </w:tc>
        <w:tc>
          <w:tcPr>
            <w:tcW w:w="1946" w:type="dxa"/>
            <w:shd w:val="clear" w:color="auto" w:fill="auto"/>
            <w:vAlign w:val="center"/>
            <w:hideMark/>
          </w:tcPr>
          <w:p w14:paraId="4047EC01"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Quart curs.</w:t>
            </w:r>
            <w:r w:rsidRPr="00A975CB">
              <w:rPr>
                <w:rFonts w:ascii="Arial" w:eastAsia="Times New Roman" w:hAnsi="Arial" w:cs="Arial"/>
                <w:color w:val="000000"/>
                <w:sz w:val="18"/>
                <w:szCs w:val="18"/>
                <w:lang w:eastAsia="es-ES"/>
              </w:rPr>
              <w:br/>
              <w:t>Comunicació Política i Opinió Pública, Ètica i Deontologia Professional</w:t>
            </w:r>
          </w:p>
        </w:tc>
        <w:tc>
          <w:tcPr>
            <w:tcW w:w="567" w:type="dxa"/>
            <w:shd w:val="clear" w:color="auto" w:fill="auto"/>
            <w:noWrap/>
            <w:vAlign w:val="center"/>
            <w:hideMark/>
          </w:tcPr>
          <w:p w14:paraId="2235BD41"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47</w:t>
            </w:r>
          </w:p>
        </w:tc>
        <w:tc>
          <w:tcPr>
            <w:tcW w:w="850" w:type="dxa"/>
            <w:shd w:val="clear" w:color="auto" w:fill="auto"/>
            <w:noWrap/>
            <w:vAlign w:val="center"/>
            <w:hideMark/>
          </w:tcPr>
          <w:p w14:paraId="02AA26C2"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46%</w:t>
            </w:r>
          </w:p>
        </w:tc>
        <w:tc>
          <w:tcPr>
            <w:tcW w:w="851" w:type="dxa"/>
            <w:shd w:val="clear" w:color="auto" w:fill="auto"/>
            <w:noWrap/>
            <w:vAlign w:val="center"/>
            <w:hideMark/>
          </w:tcPr>
          <w:p w14:paraId="549D802C"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54%</w:t>
            </w:r>
          </w:p>
        </w:tc>
        <w:tc>
          <w:tcPr>
            <w:tcW w:w="1059" w:type="dxa"/>
            <w:shd w:val="clear" w:color="auto" w:fill="auto"/>
            <w:noWrap/>
            <w:vAlign w:val="center"/>
            <w:hideMark/>
          </w:tcPr>
          <w:p w14:paraId="394AEB75"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8,00</w:t>
            </w:r>
          </w:p>
        </w:tc>
      </w:tr>
      <w:tr w:rsidR="00A975CB" w:rsidRPr="00A975CB" w14:paraId="66BD6BCE" w14:textId="77777777" w:rsidTr="00581702">
        <w:trPr>
          <w:trHeight w:val="638"/>
        </w:trPr>
        <w:tc>
          <w:tcPr>
            <w:tcW w:w="1452" w:type="dxa"/>
            <w:shd w:val="clear" w:color="auto" w:fill="auto"/>
            <w:noWrap/>
            <w:vAlign w:val="center"/>
            <w:hideMark/>
          </w:tcPr>
          <w:p w14:paraId="17B38223"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Periodisme</w:t>
            </w:r>
          </w:p>
        </w:tc>
        <w:tc>
          <w:tcPr>
            <w:tcW w:w="1485" w:type="dxa"/>
            <w:shd w:val="clear" w:color="auto" w:fill="auto"/>
            <w:noWrap/>
            <w:vAlign w:val="center"/>
            <w:hideMark/>
          </w:tcPr>
          <w:p w14:paraId="5C9427EB"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Ciències Socials i Jurídiques</w:t>
            </w:r>
          </w:p>
        </w:tc>
        <w:tc>
          <w:tcPr>
            <w:tcW w:w="641" w:type="dxa"/>
            <w:shd w:val="clear" w:color="auto" w:fill="auto"/>
            <w:noWrap/>
            <w:vAlign w:val="center"/>
            <w:hideMark/>
          </w:tcPr>
          <w:p w14:paraId="3ACC4CD8"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03/12</w:t>
            </w:r>
          </w:p>
        </w:tc>
        <w:tc>
          <w:tcPr>
            <w:tcW w:w="1946" w:type="dxa"/>
            <w:shd w:val="clear" w:color="auto" w:fill="auto"/>
            <w:vAlign w:val="center"/>
            <w:hideMark/>
          </w:tcPr>
          <w:p w14:paraId="4AACD894"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Quart curs.</w:t>
            </w:r>
            <w:r w:rsidRPr="00A975CB">
              <w:rPr>
                <w:rFonts w:ascii="Arial" w:eastAsia="Times New Roman" w:hAnsi="Arial" w:cs="Arial"/>
                <w:color w:val="000000"/>
                <w:sz w:val="18"/>
                <w:szCs w:val="18"/>
                <w:lang w:eastAsia="es-ES"/>
              </w:rPr>
              <w:br/>
              <w:t>Ètica i Deontologia Professional i Comunicació Política</w:t>
            </w:r>
          </w:p>
        </w:tc>
        <w:tc>
          <w:tcPr>
            <w:tcW w:w="567" w:type="dxa"/>
            <w:shd w:val="clear" w:color="auto" w:fill="auto"/>
            <w:noWrap/>
            <w:vAlign w:val="center"/>
            <w:hideMark/>
          </w:tcPr>
          <w:p w14:paraId="63FD84FF"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23</w:t>
            </w:r>
          </w:p>
        </w:tc>
        <w:tc>
          <w:tcPr>
            <w:tcW w:w="850" w:type="dxa"/>
            <w:shd w:val="clear" w:color="auto" w:fill="auto"/>
            <w:noWrap/>
            <w:vAlign w:val="center"/>
            <w:hideMark/>
          </w:tcPr>
          <w:p w14:paraId="0FE425AC"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43%</w:t>
            </w:r>
          </w:p>
        </w:tc>
        <w:tc>
          <w:tcPr>
            <w:tcW w:w="851" w:type="dxa"/>
            <w:shd w:val="clear" w:color="auto" w:fill="auto"/>
            <w:noWrap/>
            <w:vAlign w:val="center"/>
            <w:hideMark/>
          </w:tcPr>
          <w:p w14:paraId="3E85F4B4"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57%</w:t>
            </w:r>
          </w:p>
        </w:tc>
        <w:tc>
          <w:tcPr>
            <w:tcW w:w="1059" w:type="dxa"/>
            <w:shd w:val="clear" w:color="auto" w:fill="auto"/>
            <w:noWrap/>
            <w:vAlign w:val="center"/>
            <w:hideMark/>
          </w:tcPr>
          <w:p w14:paraId="3409603A"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8,26</w:t>
            </w:r>
          </w:p>
        </w:tc>
      </w:tr>
      <w:tr w:rsidR="00A975CB" w:rsidRPr="00A975CB" w14:paraId="26267627" w14:textId="77777777" w:rsidTr="00581702">
        <w:trPr>
          <w:trHeight w:val="634"/>
        </w:trPr>
        <w:tc>
          <w:tcPr>
            <w:tcW w:w="1452" w:type="dxa"/>
            <w:shd w:val="clear" w:color="000000" w:fill="auto"/>
            <w:noWrap/>
            <w:vAlign w:val="center"/>
            <w:hideMark/>
          </w:tcPr>
          <w:p w14:paraId="0BDDBCC5"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Periodisme</w:t>
            </w:r>
          </w:p>
        </w:tc>
        <w:tc>
          <w:tcPr>
            <w:tcW w:w="1485" w:type="dxa"/>
            <w:shd w:val="clear" w:color="000000" w:fill="auto"/>
            <w:noWrap/>
            <w:vAlign w:val="center"/>
            <w:hideMark/>
          </w:tcPr>
          <w:p w14:paraId="549F7981"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Ciències Socials i Jurídiques</w:t>
            </w:r>
          </w:p>
        </w:tc>
        <w:tc>
          <w:tcPr>
            <w:tcW w:w="641" w:type="dxa"/>
            <w:shd w:val="clear" w:color="000000" w:fill="auto"/>
            <w:noWrap/>
            <w:vAlign w:val="center"/>
            <w:hideMark/>
          </w:tcPr>
          <w:p w14:paraId="05051C97"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16/12</w:t>
            </w:r>
          </w:p>
        </w:tc>
        <w:tc>
          <w:tcPr>
            <w:tcW w:w="1946" w:type="dxa"/>
            <w:shd w:val="clear" w:color="000000" w:fill="auto"/>
            <w:vAlign w:val="center"/>
            <w:hideMark/>
          </w:tcPr>
          <w:p w14:paraId="30266E5A"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Segon curs.</w:t>
            </w:r>
            <w:r w:rsidRPr="00A975CB">
              <w:rPr>
                <w:rFonts w:ascii="Arial" w:eastAsia="Times New Roman" w:hAnsi="Arial" w:cs="Arial"/>
                <w:color w:val="000000"/>
                <w:sz w:val="18"/>
                <w:szCs w:val="18"/>
                <w:lang w:eastAsia="es-ES"/>
              </w:rPr>
              <w:br/>
              <w:t>Institucions Jurídic Polítiques</w:t>
            </w:r>
          </w:p>
        </w:tc>
        <w:tc>
          <w:tcPr>
            <w:tcW w:w="567" w:type="dxa"/>
            <w:shd w:val="clear" w:color="000000" w:fill="auto"/>
            <w:noWrap/>
            <w:vAlign w:val="center"/>
            <w:hideMark/>
          </w:tcPr>
          <w:p w14:paraId="4D642D97"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49</w:t>
            </w:r>
          </w:p>
        </w:tc>
        <w:tc>
          <w:tcPr>
            <w:tcW w:w="850" w:type="dxa"/>
            <w:shd w:val="clear" w:color="000000" w:fill="auto"/>
            <w:noWrap/>
            <w:vAlign w:val="center"/>
            <w:hideMark/>
          </w:tcPr>
          <w:p w14:paraId="1735CADB"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57%</w:t>
            </w:r>
          </w:p>
        </w:tc>
        <w:tc>
          <w:tcPr>
            <w:tcW w:w="851" w:type="dxa"/>
            <w:shd w:val="clear" w:color="000000" w:fill="auto"/>
            <w:noWrap/>
            <w:vAlign w:val="center"/>
            <w:hideMark/>
          </w:tcPr>
          <w:p w14:paraId="05B3F49A"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43%</w:t>
            </w:r>
          </w:p>
        </w:tc>
        <w:tc>
          <w:tcPr>
            <w:tcW w:w="1059" w:type="dxa"/>
            <w:shd w:val="clear" w:color="000000" w:fill="auto"/>
            <w:noWrap/>
            <w:vAlign w:val="center"/>
            <w:hideMark/>
          </w:tcPr>
          <w:p w14:paraId="63BB5E88"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7,95</w:t>
            </w:r>
          </w:p>
        </w:tc>
      </w:tr>
      <w:tr w:rsidR="00A975CB" w:rsidRPr="00A975CB" w14:paraId="1780D1D6" w14:textId="77777777" w:rsidTr="00581702">
        <w:trPr>
          <w:trHeight w:val="245"/>
        </w:trPr>
        <w:tc>
          <w:tcPr>
            <w:tcW w:w="8851" w:type="dxa"/>
            <w:gridSpan w:val="8"/>
            <w:shd w:val="clear" w:color="000000" w:fill="D9D9D9"/>
            <w:noWrap/>
            <w:vAlign w:val="center"/>
            <w:hideMark/>
          </w:tcPr>
          <w:p w14:paraId="2C8F7B7A" w14:textId="77777777" w:rsidR="00A975CB" w:rsidRPr="00A975CB" w:rsidRDefault="00A975CB" w:rsidP="00A975CB">
            <w:pPr>
              <w:spacing w:after="0" w:line="240" w:lineRule="auto"/>
              <w:jc w:val="center"/>
              <w:rPr>
                <w:rFonts w:ascii="Arial" w:eastAsia="Times New Roman" w:hAnsi="Arial" w:cs="Arial"/>
                <w:b/>
                <w:bCs/>
                <w:sz w:val="18"/>
                <w:szCs w:val="18"/>
                <w:lang w:eastAsia="es-ES"/>
              </w:rPr>
            </w:pPr>
            <w:r w:rsidRPr="00A975CB">
              <w:rPr>
                <w:rFonts w:ascii="Arial" w:eastAsia="Times New Roman" w:hAnsi="Arial" w:cs="Arial"/>
                <w:b/>
                <w:bCs/>
                <w:sz w:val="18"/>
                <w:szCs w:val="18"/>
                <w:lang w:eastAsia="es-ES"/>
              </w:rPr>
              <w:t>UNIVERSIDAD CARDENAL HERRERA - CEU</w:t>
            </w:r>
          </w:p>
        </w:tc>
      </w:tr>
      <w:tr w:rsidR="00A975CB" w:rsidRPr="00A975CB" w14:paraId="66BE4E2D" w14:textId="77777777" w:rsidTr="00581702">
        <w:trPr>
          <w:trHeight w:val="741"/>
        </w:trPr>
        <w:tc>
          <w:tcPr>
            <w:tcW w:w="1452" w:type="dxa"/>
            <w:shd w:val="clear" w:color="auto" w:fill="auto"/>
            <w:vAlign w:val="center"/>
            <w:hideMark/>
          </w:tcPr>
          <w:p w14:paraId="43FEC267"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Comunicació Audiovisual</w:t>
            </w:r>
          </w:p>
        </w:tc>
        <w:tc>
          <w:tcPr>
            <w:tcW w:w="1485" w:type="dxa"/>
            <w:shd w:val="clear" w:color="auto" w:fill="auto"/>
            <w:vAlign w:val="center"/>
            <w:hideMark/>
          </w:tcPr>
          <w:p w14:paraId="1F74C415"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Humanitats i Ciències de la Comunicació</w:t>
            </w:r>
          </w:p>
        </w:tc>
        <w:tc>
          <w:tcPr>
            <w:tcW w:w="641" w:type="dxa"/>
            <w:shd w:val="clear" w:color="auto" w:fill="auto"/>
            <w:noWrap/>
            <w:vAlign w:val="center"/>
            <w:hideMark/>
          </w:tcPr>
          <w:p w14:paraId="5D932B39"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23/04</w:t>
            </w:r>
          </w:p>
        </w:tc>
        <w:tc>
          <w:tcPr>
            <w:tcW w:w="1946" w:type="dxa"/>
            <w:shd w:val="clear" w:color="auto" w:fill="auto"/>
            <w:vAlign w:val="center"/>
            <w:hideMark/>
          </w:tcPr>
          <w:p w14:paraId="71EE227D"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Segon curs.</w:t>
            </w:r>
            <w:r w:rsidRPr="00A975CB">
              <w:rPr>
                <w:rFonts w:ascii="Arial" w:eastAsia="Times New Roman" w:hAnsi="Arial" w:cs="Arial"/>
                <w:color w:val="000000"/>
                <w:sz w:val="18"/>
                <w:szCs w:val="18"/>
                <w:lang w:eastAsia="es-ES"/>
              </w:rPr>
              <w:br/>
              <w:t>Ètica de la Comunicació</w:t>
            </w:r>
          </w:p>
        </w:tc>
        <w:tc>
          <w:tcPr>
            <w:tcW w:w="567" w:type="dxa"/>
            <w:shd w:val="clear" w:color="auto" w:fill="auto"/>
            <w:noWrap/>
            <w:vAlign w:val="center"/>
            <w:hideMark/>
          </w:tcPr>
          <w:p w14:paraId="57AE0E1E"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35</w:t>
            </w:r>
          </w:p>
        </w:tc>
        <w:tc>
          <w:tcPr>
            <w:tcW w:w="850" w:type="dxa"/>
            <w:shd w:val="clear" w:color="auto" w:fill="auto"/>
            <w:noWrap/>
            <w:vAlign w:val="center"/>
            <w:hideMark/>
          </w:tcPr>
          <w:p w14:paraId="4B6086B7"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63%</w:t>
            </w:r>
          </w:p>
        </w:tc>
        <w:tc>
          <w:tcPr>
            <w:tcW w:w="851" w:type="dxa"/>
            <w:shd w:val="clear" w:color="auto" w:fill="auto"/>
            <w:noWrap/>
            <w:vAlign w:val="center"/>
            <w:hideMark/>
          </w:tcPr>
          <w:p w14:paraId="511CF0F2"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37%</w:t>
            </w:r>
          </w:p>
        </w:tc>
        <w:tc>
          <w:tcPr>
            <w:tcW w:w="1059" w:type="dxa"/>
            <w:shd w:val="clear" w:color="auto" w:fill="auto"/>
            <w:noWrap/>
            <w:vAlign w:val="center"/>
            <w:hideMark/>
          </w:tcPr>
          <w:p w14:paraId="5E546547"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8,09</w:t>
            </w:r>
          </w:p>
        </w:tc>
      </w:tr>
      <w:tr w:rsidR="00A975CB" w:rsidRPr="00A975CB" w14:paraId="499B6DCC" w14:textId="77777777" w:rsidTr="00581702">
        <w:trPr>
          <w:trHeight w:val="493"/>
        </w:trPr>
        <w:tc>
          <w:tcPr>
            <w:tcW w:w="1452" w:type="dxa"/>
            <w:shd w:val="clear" w:color="auto" w:fill="auto"/>
            <w:vAlign w:val="center"/>
            <w:hideMark/>
          </w:tcPr>
          <w:p w14:paraId="2DC9F814"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Doble grau Periodisme</w:t>
            </w:r>
          </w:p>
        </w:tc>
        <w:tc>
          <w:tcPr>
            <w:tcW w:w="1485" w:type="dxa"/>
            <w:shd w:val="clear" w:color="auto" w:fill="auto"/>
            <w:noWrap/>
            <w:vAlign w:val="center"/>
            <w:hideMark/>
          </w:tcPr>
          <w:p w14:paraId="383EE80A"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 Empresa i Ciències Polítiques</w:t>
            </w:r>
          </w:p>
        </w:tc>
        <w:tc>
          <w:tcPr>
            <w:tcW w:w="641" w:type="dxa"/>
            <w:shd w:val="clear" w:color="auto" w:fill="auto"/>
            <w:noWrap/>
            <w:vAlign w:val="center"/>
            <w:hideMark/>
          </w:tcPr>
          <w:p w14:paraId="60589A21"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30/09</w:t>
            </w:r>
          </w:p>
        </w:tc>
        <w:tc>
          <w:tcPr>
            <w:tcW w:w="1946" w:type="dxa"/>
            <w:shd w:val="clear" w:color="auto" w:fill="auto"/>
            <w:vAlign w:val="center"/>
            <w:hideMark/>
          </w:tcPr>
          <w:p w14:paraId="421DBD4E"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Quart curs.</w:t>
            </w:r>
            <w:r w:rsidRPr="00A975CB">
              <w:rPr>
                <w:rFonts w:ascii="Arial" w:eastAsia="Times New Roman" w:hAnsi="Arial" w:cs="Arial"/>
                <w:color w:val="000000"/>
                <w:sz w:val="18"/>
                <w:szCs w:val="18"/>
                <w:lang w:eastAsia="es-ES"/>
              </w:rPr>
              <w:br/>
              <w:t>Ciències Polítiques</w:t>
            </w:r>
          </w:p>
        </w:tc>
        <w:tc>
          <w:tcPr>
            <w:tcW w:w="567" w:type="dxa"/>
            <w:shd w:val="clear" w:color="auto" w:fill="auto"/>
            <w:noWrap/>
            <w:vAlign w:val="center"/>
            <w:hideMark/>
          </w:tcPr>
          <w:p w14:paraId="09F42099"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18</w:t>
            </w:r>
          </w:p>
        </w:tc>
        <w:tc>
          <w:tcPr>
            <w:tcW w:w="850" w:type="dxa"/>
            <w:shd w:val="clear" w:color="auto" w:fill="auto"/>
            <w:noWrap/>
            <w:vAlign w:val="center"/>
            <w:hideMark/>
          </w:tcPr>
          <w:p w14:paraId="75933717"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61%</w:t>
            </w:r>
          </w:p>
        </w:tc>
        <w:tc>
          <w:tcPr>
            <w:tcW w:w="851" w:type="dxa"/>
            <w:shd w:val="clear" w:color="auto" w:fill="auto"/>
            <w:noWrap/>
            <w:vAlign w:val="center"/>
            <w:hideMark/>
          </w:tcPr>
          <w:p w14:paraId="2BB55F53"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49%</w:t>
            </w:r>
          </w:p>
        </w:tc>
        <w:tc>
          <w:tcPr>
            <w:tcW w:w="1059" w:type="dxa"/>
            <w:shd w:val="clear" w:color="auto" w:fill="auto"/>
            <w:noWrap/>
            <w:vAlign w:val="center"/>
            <w:hideMark/>
          </w:tcPr>
          <w:p w14:paraId="6816B144"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8,10</w:t>
            </w:r>
          </w:p>
        </w:tc>
      </w:tr>
      <w:tr w:rsidR="00A975CB" w:rsidRPr="00A975CB" w14:paraId="49555534" w14:textId="77777777" w:rsidTr="00581702">
        <w:trPr>
          <w:trHeight w:val="741"/>
        </w:trPr>
        <w:tc>
          <w:tcPr>
            <w:tcW w:w="1452" w:type="dxa"/>
            <w:shd w:val="clear" w:color="auto" w:fill="auto"/>
            <w:noWrap/>
            <w:vAlign w:val="center"/>
            <w:hideMark/>
          </w:tcPr>
          <w:p w14:paraId="6ACFFAC2"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Periodisme</w:t>
            </w:r>
          </w:p>
        </w:tc>
        <w:tc>
          <w:tcPr>
            <w:tcW w:w="1485" w:type="dxa"/>
            <w:shd w:val="clear" w:color="auto" w:fill="auto"/>
            <w:vAlign w:val="center"/>
            <w:hideMark/>
          </w:tcPr>
          <w:p w14:paraId="47D3C18A"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Ciències Polítiques, Ètica i Sociologia</w:t>
            </w:r>
          </w:p>
        </w:tc>
        <w:tc>
          <w:tcPr>
            <w:tcW w:w="641" w:type="dxa"/>
            <w:shd w:val="clear" w:color="auto" w:fill="auto"/>
            <w:noWrap/>
            <w:vAlign w:val="center"/>
            <w:hideMark/>
          </w:tcPr>
          <w:p w14:paraId="21B495B0"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14/12</w:t>
            </w:r>
          </w:p>
        </w:tc>
        <w:tc>
          <w:tcPr>
            <w:tcW w:w="1946" w:type="dxa"/>
            <w:shd w:val="clear" w:color="auto" w:fill="auto"/>
            <w:vAlign w:val="center"/>
            <w:hideMark/>
          </w:tcPr>
          <w:p w14:paraId="27DF5083"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 xml:space="preserve">Segon curs. </w:t>
            </w:r>
            <w:r w:rsidRPr="00A975CB">
              <w:rPr>
                <w:rFonts w:ascii="Arial" w:eastAsia="Times New Roman" w:hAnsi="Arial" w:cs="Arial"/>
                <w:color w:val="000000"/>
                <w:sz w:val="18"/>
                <w:szCs w:val="18"/>
                <w:lang w:eastAsia="es-ES"/>
              </w:rPr>
              <w:br/>
              <w:t>Ètica de la Comunicació</w:t>
            </w:r>
          </w:p>
        </w:tc>
        <w:tc>
          <w:tcPr>
            <w:tcW w:w="567" w:type="dxa"/>
            <w:shd w:val="clear" w:color="auto" w:fill="auto"/>
            <w:noWrap/>
            <w:vAlign w:val="center"/>
            <w:hideMark/>
          </w:tcPr>
          <w:p w14:paraId="3D2087AF"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23</w:t>
            </w:r>
          </w:p>
        </w:tc>
        <w:tc>
          <w:tcPr>
            <w:tcW w:w="850" w:type="dxa"/>
            <w:shd w:val="clear" w:color="auto" w:fill="auto"/>
            <w:noWrap/>
            <w:vAlign w:val="center"/>
            <w:hideMark/>
          </w:tcPr>
          <w:p w14:paraId="2402131A"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96%</w:t>
            </w:r>
          </w:p>
        </w:tc>
        <w:tc>
          <w:tcPr>
            <w:tcW w:w="851" w:type="dxa"/>
            <w:shd w:val="clear" w:color="auto" w:fill="auto"/>
            <w:noWrap/>
            <w:vAlign w:val="center"/>
            <w:hideMark/>
          </w:tcPr>
          <w:p w14:paraId="7EA38DB4"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w:t>
            </w:r>
          </w:p>
        </w:tc>
        <w:tc>
          <w:tcPr>
            <w:tcW w:w="1059" w:type="dxa"/>
            <w:shd w:val="clear" w:color="auto" w:fill="auto"/>
            <w:noWrap/>
            <w:vAlign w:val="center"/>
            <w:hideMark/>
          </w:tcPr>
          <w:p w14:paraId="63803A9C"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8,18</w:t>
            </w:r>
          </w:p>
        </w:tc>
      </w:tr>
      <w:tr w:rsidR="00A975CB" w:rsidRPr="00A975CB" w14:paraId="2D8B2A3C" w14:textId="77777777" w:rsidTr="00581702">
        <w:trPr>
          <w:trHeight w:val="741"/>
        </w:trPr>
        <w:tc>
          <w:tcPr>
            <w:tcW w:w="1452" w:type="dxa"/>
            <w:shd w:val="clear" w:color="auto" w:fill="auto"/>
            <w:noWrap/>
            <w:vAlign w:val="center"/>
            <w:hideMark/>
          </w:tcPr>
          <w:p w14:paraId="69B28042"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w:t>
            </w:r>
          </w:p>
        </w:tc>
        <w:tc>
          <w:tcPr>
            <w:tcW w:w="1485" w:type="dxa"/>
            <w:shd w:val="clear" w:color="auto" w:fill="auto"/>
            <w:noWrap/>
            <w:vAlign w:val="center"/>
            <w:hideMark/>
          </w:tcPr>
          <w:p w14:paraId="7FEF520B"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Dret Administratiu</w:t>
            </w:r>
          </w:p>
        </w:tc>
        <w:tc>
          <w:tcPr>
            <w:tcW w:w="641" w:type="dxa"/>
            <w:shd w:val="clear" w:color="auto" w:fill="auto"/>
            <w:noWrap/>
            <w:vAlign w:val="center"/>
            <w:hideMark/>
          </w:tcPr>
          <w:p w14:paraId="1B2B69AF"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20/12</w:t>
            </w:r>
          </w:p>
        </w:tc>
        <w:tc>
          <w:tcPr>
            <w:tcW w:w="1946" w:type="dxa"/>
            <w:shd w:val="clear" w:color="auto" w:fill="auto"/>
            <w:vAlign w:val="center"/>
            <w:hideMark/>
          </w:tcPr>
          <w:p w14:paraId="6B821173" w14:textId="77777777" w:rsidR="00A975CB" w:rsidRPr="00A975CB" w:rsidRDefault="00A975CB" w:rsidP="00A975CB">
            <w:pPr>
              <w:spacing w:after="0" w:line="240" w:lineRule="auto"/>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Tercer curs.</w:t>
            </w:r>
            <w:r w:rsidRPr="00A975CB">
              <w:rPr>
                <w:rFonts w:ascii="Arial" w:eastAsia="Times New Roman" w:hAnsi="Arial" w:cs="Arial"/>
                <w:color w:val="000000"/>
                <w:sz w:val="18"/>
                <w:szCs w:val="18"/>
                <w:lang w:eastAsia="es-ES"/>
              </w:rPr>
              <w:br/>
              <w:t>Dret Administratiu</w:t>
            </w:r>
          </w:p>
        </w:tc>
        <w:tc>
          <w:tcPr>
            <w:tcW w:w="567" w:type="dxa"/>
            <w:shd w:val="clear" w:color="auto" w:fill="auto"/>
            <w:noWrap/>
            <w:vAlign w:val="center"/>
            <w:hideMark/>
          </w:tcPr>
          <w:p w14:paraId="77E44F6D"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19</w:t>
            </w:r>
          </w:p>
        </w:tc>
        <w:tc>
          <w:tcPr>
            <w:tcW w:w="850" w:type="dxa"/>
            <w:shd w:val="clear" w:color="auto" w:fill="auto"/>
            <w:noWrap/>
            <w:vAlign w:val="center"/>
            <w:hideMark/>
          </w:tcPr>
          <w:p w14:paraId="0CC8031C"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42%</w:t>
            </w:r>
          </w:p>
        </w:tc>
        <w:tc>
          <w:tcPr>
            <w:tcW w:w="851" w:type="dxa"/>
            <w:shd w:val="clear" w:color="auto" w:fill="auto"/>
            <w:noWrap/>
            <w:vAlign w:val="center"/>
            <w:hideMark/>
          </w:tcPr>
          <w:p w14:paraId="702BFC0C"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58%</w:t>
            </w:r>
          </w:p>
        </w:tc>
        <w:tc>
          <w:tcPr>
            <w:tcW w:w="1059" w:type="dxa"/>
            <w:shd w:val="clear" w:color="auto" w:fill="auto"/>
            <w:noWrap/>
            <w:vAlign w:val="center"/>
            <w:hideMark/>
          </w:tcPr>
          <w:p w14:paraId="62713F02" w14:textId="77777777" w:rsidR="00A975CB" w:rsidRPr="00A975CB" w:rsidRDefault="00A975CB" w:rsidP="00A975CB">
            <w:pPr>
              <w:spacing w:after="0" w:line="240" w:lineRule="auto"/>
              <w:jc w:val="center"/>
              <w:rPr>
                <w:rFonts w:ascii="Arial" w:eastAsia="Times New Roman" w:hAnsi="Arial" w:cs="Arial"/>
                <w:color w:val="000000"/>
                <w:sz w:val="18"/>
                <w:szCs w:val="18"/>
                <w:lang w:eastAsia="es-ES"/>
              </w:rPr>
            </w:pPr>
            <w:r w:rsidRPr="00A975CB">
              <w:rPr>
                <w:rFonts w:ascii="Arial" w:eastAsia="Times New Roman" w:hAnsi="Arial" w:cs="Arial"/>
                <w:color w:val="000000"/>
                <w:sz w:val="18"/>
                <w:szCs w:val="18"/>
                <w:lang w:eastAsia="es-ES"/>
              </w:rPr>
              <w:t>9,05</w:t>
            </w:r>
          </w:p>
        </w:tc>
      </w:tr>
      <w:tr w:rsidR="00A975CB" w:rsidRPr="00A975CB" w14:paraId="1C3F41F6" w14:textId="77777777" w:rsidTr="00581702">
        <w:trPr>
          <w:trHeight w:val="378"/>
        </w:trPr>
        <w:tc>
          <w:tcPr>
            <w:tcW w:w="5524" w:type="dxa"/>
            <w:gridSpan w:val="4"/>
            <w:shd w:val="clear" w:color="auto" w:fill="D9D9D9"/>
            <w:noWrap/>
            <w:vAlign w:val="center"/>
          </w:tcPr>
          <w:p w14:paraId="4EE018F6" w14:textId="77777777" w:rsidR="00A975CB" w:rsidRPr="00A975CB" w:rsidRDefault="00A975CB" w:rsidP="00A975CB">
            <w:pPr>
              <w:spacing w:after="0" w:line="240" w:lineRule="auto"/>
              <w:jc w:val="right"/>
              <w:rPr>
                <w:rFonts w:ascii="Arial" w:eastAsia="Times New Roman" w:hAnsi="Arial" w:cs="Arial"/>
                <w:b/>
                <w:color w:val="000000"/>
                <w:sz w:val="18"/>
                <w:szCs w:val="18"/>
                <w:lang w:eastAsia="es-ES"/>
              </w:rPr>
            </w:pPr>
            <w:r w:rsidRPr="00A975CB">
              <w:rPr>
                <w:rFonts w:ascii="Arial" w:eastAsia="Times New Roman" w:hAnsi="Arial" w:cs="Arial"/>
                <w:b/>
                <w:color w:val="000000"/>
                <w:sz w:val="18"/>
                <w:szCs w:val="18"/>
                <w:lang w:eastAsia="es-ES"/>
              </w:rPr>
              <w:t>Totals assistents a Docufòrum</w:t>
            </w:r>
          </w:p>
        </w:tc>
        <w:tc>
          <w:tcPr>
            <w:tcW w:w="567" w:type="dxa"/>
            <w:shd w:val="clear" w:color="auto" w:fill="D9D9D9"/>
            <w:noWrap/>
            <w:vAlign w:val="center"/>
          </w:tcPr>
          <w:p w14:paraId="062A750E" w14:textId="77777777" w:rsidR="00A975CB" w:rsidRPr="00A975CB" w:rsidRDefault="00A975CB" w:rsidP="00A975CB">
            <w:pPr>
              <w:spacing w:after="0" w:line="240" w:lineRule="auto"/>
              <w:jc w:val="center"/>
              <w:rPr>
                <w:rFonts w:ascii="Arial" w:eastAsia="Times New Roman" w:hAnsi="Arial" w:cs="Arial"/>
                <w:b/>
                <w:color w:val="000000"/>
                <w:sz w:val="18"/>
                <w:szCs w:val="18"/>
                <w:lang w:eastAsia="es-ES"/>
              </w:rPr>
            </w:pPr>
            <w:r w:rsidRPr="00A975CB">
              <w:rPr>
                <w:rFonts w:ascii="Arial" w:eastAsia="Times New Roman" w:hAnsi="Arial" w:cs="Arial"/>
                <w:b/>
                <w:color w:val="000000"/>
                <w:sz w:val="18"/>
                <w:szCs w:val="18"/>
                <w:lang w:eastAsia="es-ES"/>
              </w:rPr>
              <w:t>445</w:t>
            </w:r>
          </w:p>
        </w:tc>
        <w:tc>
          <w:tcPr>
            <w:tcW w:w="2760" w:type="dxa"/>
            <w:gridSpan w:val="3"/>
            <w:shd w:val="clear" w:color="auto" w:fill="D9D9D9"/>
            <w:noWrap/>
            <w:vAlign w:val="center"/>
          </w:tcPr>
          <w:p w14:paraId="25D94BD7" w14:textId="77777777" w:rsidR="00A975CB" w:rsidRPr="00A975CB" w:rsidRDefault="00A975CB" w:rsidP="00A975CB">
            <w:pPr>
              <w:spacing w:after="0" w:line="240" w:lineRule="auto"/>
              <w:jc w:val="center"/>
              <w:rPr>
                <w:rFonts w:ascii="Arial" w:eastAsia="Times New Roman" w:hAnsi="Arial" w:cs="Arial"/>
                <w:b/>
                <w:color w:val="000000"/>
                <w:sz w:val="18"/>
                <w:szCs w:val="18"/>
                <w:lang w:eastAsia="es-ES"/>
              </w:rPr>
            </w:pPr>
          </w:p>
        </w:tc>
      </w:tr>
    </w:tbl>
    <w:p w14:paraId="7D2A294F" w14:textId="557FA905" w:rsidR="00B23DB3" w:rsidRPr="00827DDE" w:rsidRDefault="00B23DB3" w:rsidP="0046212C">
      <w:pPr>
        <w:pStyle w:val="Texto"/>
        <w:spacing w:after="240"/>
        <w:rPr>
          <w:rFonts w:ascii="Arial" w:hAnsi="Arial" w:cs="Arial"/>
        </w:rPr>
      </w:pPr>
    </w:p>
    <w:p w14:paraId="161EA380" w14:textId="77777777" w:rsidR="00ED18BE" w:rsidRPr="00ED18BE" w:rsidRDefault="00ED18BE" w:rsidP="00ED18BE">
      <w:pPr>
        <w:pStyle w:val="Texto"/>
        <w:spacing w:after="240"/>
        <w:rPr>
          <w:rFonts w:ascii="Arial" w:hAnsi="Arial" w:cs="Arial"/>
          <w:b/>
          <w:i/>
          <w:iCs/>
        </w:rPr>
      </w:pPr>
      <w:r w:rsidRPr="00ED18BE">
        <w:rPr>
          <w:rFonts w:ascii="Arial" w:hAnsi="Arial" w:cs="Arial"/>
          <w:b/>
          <w:i/>
          <w:iCs/>
        </w:rPr>
        <w:t>Activitats formatives de l’Agència en postgraus universitaris</w:t>
      </w:r>
    </w:p>
    <w:p w14:paraId="3073148E" w14:textId="16AC6597" w:rsidR="00ED18BE" w:rsidRPr="00ED18BE" w:rsidRDefault="00ED18BE" w:rsidP="00ED18BE">
      <w:pPr>
        <w:pStyle w:val="Texto"/>
        <w:spacing w:after="240"/>
        <w:rPr>
          <w:rFonts w:ascii="Arial" w:hAnsi="Arial" w:cs="Arial"/>
          <w:bCs/>
          <w:i/>
          <w:iCs/>
        </w:rPr>
      </w:pPr>
      <w:r w:rsidRPr="00ED18BE">
        <w:rPr>
          <w:rFonts w:ascii="Arial" w:hAnsi="Arial" w:cs="Arial"/>
          <w:bCs/>
          <w:iCs/>
        </w:rPr>
        <w:t xml:space="preserve">De la mateixa manera, en 2021, l'Agència ha participats en màsters i postgraus universitaris </w:t>
      </w:r>
      <w:r w:rsidRPr="00C9578C">
        <w:rPr>
          <w:rFonts w:ascii="Arial" w:hAnsi="Arial" w:cs="Arial"/>
          <w:bCs/>
          <w:iCs/>
        </w:rPr>
        <w:t>(Taula 2</w:t>
      </w:r>
      <w:r w:rsidR="00A55252" w:rsidRPr="00C9578C">
        <w:rPr>
          <w:rFonts w:ascii="Arial" w:hAnsi="Arial" w:cs="Arial"/>
          <w:bCs/>
          <w:iCs/>
        </w:rPr>
        <w:t>5</w:t>
      </w:r>
      <w:r w:rsidRPr="00C9578C">
        <w:rPr>
          <w:rFonts w:ascii="Arial" w:hAnsi="Arial" w:cs="Arial"/>
          <w:bCs/>
          <w:iCs/>
        </w:rPr>
        <w:t>):</w:t>
      </w:r>
    </w:p>
    <w:p w14:paraId="49E8681F" w14:textId="77777777" w:rsidR="00ED18BE" w:rsidRPr="00ED18BE" w:rsidRDefault="00ED18BE" w:rsidP="0061495F">
      <w:pPr>
        <w:pStyle w:val="Texto"/>
        <w:numPr>
          <w:ilvl w:val="0"/>
          <w:numId w:val="73"/>
        </w:numPr>
        <w:spacing w:after="120"/>
        <w:ind w:left="709" w:hanging="357"/>
        <w:rPr>
          <w:rFonts w:ascii="Arial" w:hAnsi="Arial" w:cs="Arial"/>
          <w:b/>
          <w:iCs/>
        </w:rPr>
      </w:pPr>
      <w:r w:rsidRPr="00ED18BE">
        <w:rPr>
          <w:rFonts w:ascii="Arial" w:hAnsi="Arial" w:cs="Arial"/>
          <w:b/>
          <w:iCs/>
        </w:rPr>
        <w:t>Màster propi en Contractació Pública i Compliance i Certificat Universitari en Compliance de la Universitat de València</w:t>
      </w:r>
    </w:p>
    <w:p w14:paraId="73EF539C" w14:textId="77777777" w:rsidR="00ED18BE" w:rsidRPr="00ED18BE" w:rsidRDefault="00ED18BE" w:rsidP="00592EFE">
      <w:pPr>
        <w:pStyle w:val="Texto"/>
        <w:spacing w:after="120"/>
        <w:ind w:left="709"/>
        <w:rPr>
          <w:rFonts w:ascii="Arial" w:hAnsi="Arial" w:cs="Arial"/>
          <w:iCs/>
        </w:rPr>
      </w:pPr>
      <w:r w:rsidRPr="00ED18BE">
        <w:rPr>
          <w:rFonts w:ascii="Arial" w:hAnsi="Arial" w:cs="Arial"/>
          <w:iCs/>
        </w:rPr>
        <w:t xml:space="preserve">Organitzat pels departaments de Dret Administratiu i Dret Penal en ADEIT. </w:t>
      </w:r>
    </w:p>
    <w:p w14:paraId="3F678C85" w14:textId="77777777" w:rsidR="00ED18BE" w:rsidRPr="00ED18BE" w:rsidRDefault="00ED18BE" w:rsidP="00592EFE">
      <w:pPr>
        <w:pStyle w:val="Texto"/>
        <w:spacing w:after="120"/>
        <w:ind w:left="709"/>
        <w:rPr>
          <w:rFonts w:ascii="Arial" w:hAnsi="Arial" w:cs="Arial"/>
          <w:iCs/>
        </w:rPr>
      </w:pPr>
      <w:r w:rsidRPr="00ED18BE">
        <w:rPr>
          <w:rFonts w:ascii="Arial" w:hAnsi="Arial" w:cs="Arial"/>
          <w:iCs/>
        </w:rPr>
        <w:t>A aquesta activitat de formació assisteixen alumnes de grau, llicenciatura, diplomatura, funcionaris i empleats públics amb titulació universitària i estudiants, als quals els quede almenys un 10% per a obtindre el títol de grau.</w:t>
      </w:r>
    </w:p>
    <w:p w14:paraId="0286A61C" w14:textId="77777777" w:rsidR="00ED18BE" w:rsidRPr="00ED18BE" w:rsidRDefault="00ED18BE" w:rsidP="00592EFE">
      <w:pPr>
        <w:pStyle w:val="Texto"/>
        <w:spacing w:after="120"/>
        <w:ind w:left="709"/>
        <w:rPr>
          <w:rFonts w:ascii="Arial" w:hAnsi="Arial" w:cs="Arial"/>
          <w:i/>
          <w:iCs/>
        </w:rPr>
      </w:pPr>
      <w:r w:rsidRPr="00ED18BE">
        <w:rPr>
          <w:rFonts w:ascii="Arial" w:hAnsi="Arial" w:cs="Arial"/>
          <w:iCs/>
        </w:rPr>
        <w:t>El 5 de maig, l’AVAF va participar en el Màster tractant la temàtica de “Compliance específic per al sector públic: marc d'integritat. La tasca de les agències antifrau. La formació com a elements essencials de prevenció”. L'activitat va ser en línia</w:t>
      </w:r>
      <w:r w:rsidRPr="00ED18BE">
        <w:rPr>
          <w:rFonts w:ascii="Arial" w:hAnsi="Arial" w:cs="Arial"/>
          <w:i/>
          <w:iCs/>
        </w:rPr>
        <w:t>.</w:t>
      </w:r>
    </w:p>
    <w:p w14:paraId="029F20D8" w14:textId="77777777" w:rsidR="00ED18BE" w:rsidRPr="00ED18BE" w:rsidRDefault="00ED18BE" w:rsidP="0061495F">
      <w:pPr>
        <w:pStyle w:val="Texto"/>
        <w:numPr>
          <w:ilvl w:val="0"/>
          <w:numId w:val="73"/>
        </w:numPr>
        <w:spacing w:after="120"/>
        <w:ind w:left="709"/>
        <w:rPr>
          <w:rFonts w:ascii="Arial" w:hAnsi="Arial" w:cs="Arial"/>
          <w:b/>
          <w:iCs/>
        </w:rPr>
      </w:pPr>
      <w:r w:rsidRPr="00ED18BE">
        <w:rPr>
          <w:rFonts w:ascii="Arial" w:hAnsi="Arial" w:cs="Arial"/>
          <w:b/>
          <w:iCs/>
        </w:rPr>
        <w:t>Màster Oficial en Gestió Cultural de la Universitat Politècnica de València</w:t>
      </w:r>
    </w:p>
    <w:p w14:paraId="2DBBB971" w14:textId="77777777" w:rsidR="00ED18BE" w:rsidRPr="00ED18BE" w:rsidRDefault="00ED18BE" w:rsidP="00592EFE">
      <w:pPr>
        <w:pStyle w:val="Texto"/>
        <w:spacing w:after="120"/>
        <w:ind w:left="709"/>
        <w:rPr>
          <w:rFonts w:ascii="Arial" w:hAnsi="Arial" w:cs="Arial"/>
          <w:bCs/>
          <w:iCs/>
        </w:rPr>
      </w:pPr>
      <w:r w:rsidRPr="00ED18BE">
        <w:rPr>
          <w:rFonts w:ascii="Arial" w:hAnsi="Arial" w:cs="Arial"/>
          <w:bCs/>
          <w:iCs/>
        </w:rPr>
        <w:t xml:space="preserve">El màster ofereix una formació plural capaç de cobrir els diferents sectors socials, polítics, institucionals i econòmics que constitueixen el marc on s'inscriu la gestió cultural. </w:t>
      </w:r>
    </w:p>
    <w:p w14:paraId="1D83FF42" w14:textId="15C5ECA8" w:rsidR="00B23DB3" w:rsidRPr="00ED18BE" w:rsidRDefault="00ED18BE" w:rsidP="00592EFE">
      <w:pPr>
        <w:pStyle w:val="Texto"/>
        <w:spacing w:after="240"/>
        <w:ind w:left="709"/>
        <w:rPr>
          <w:rFonts w:ascii="Arial" w:hAnsi="Arial" w:cs="Arial"/>
        </w:rPr>
      </w:pPr>
      <w:r w:rsidRPr="00ED18BE">
        <w:rPr>
          <w:rFonts w:ascii="Arial" w:hAnsi="Arial" w:cs="Arial"/>
          <w:bCs/>
          <w:iCs/>
        </w:rPr>
        <w:t>El 2 de desembre es van celebrar dues conferències amb alumnes de l'assignatura de Sistemes d'Avaluació i Qualitat i Gestió de Pressupostos del Màster en Gestió Cultural, que van ser a càrrec de personal de l’AVAF i van tractar sobre les polítiques anticorrupció i la prevenció contra la corrupció en l'activitat cultural.</w:t>
      </w:r>
    </w:p>
    <w:p w14:paraId="58D0D6E7" w14:textId="77E32867" w:rsidR="00E57BBC" w:rsidRPr="00E57BBC" w:rsidRDefault="00E57BBC" w:rsidP="00E57BBC">
      <w:pPr>
        <w:pStyle w:val="Descripcin"/>
        <w:keepNext/>
        <w:rPr>
          <w:rFonts w:ascii="Arial" w:hAnsi="Arial" w:cs="Arial"/>
          <w:smallCaps w:val="0"/>
          <w:sz w:val="18"/>
          <w:szCs w:val="18"/>
        </w:rPr>
      </w:pPr>
      <w:bookmarkStart w:id="420" w:name="_Toc99110870"/>
      <w:r w:rsidRPr="00E57BBC">
        <w:rPr>
          <w:rFonts w:ascii="Arial" w:hAnsi="Arial" w:cs="Arial"/>
          <w:smallCaps w:val="0"/>
          <w:color w:val="9D2235" w:themeColor="accent1"/>
          <w:sz w:val="18"/>
          <w:szCs w:val="18"/>
        </w:rPr>
        <w:t xml:space="preserve">Taula </w:t>
      </w:r>
      <w:r w:rsidRPr="00E57BBC">
        <w:rPr>
          <w:rFonts w:ascii="Arial" w:hAnsi="Arial" w:cs="Arial"/>
          <w:smallCaps w:val="0"/>
          <w:color w:val="9D2235" w:themeColor="accent1"/>
          <w:sz w:val="18"/>
          <w:szCs w:val="18"/>
        </w:rPr>
        <w:fldChar w:fldCharType="begin" w:fldLock="1"/>
      </w:r>
      <w:r w:rsidRPr="00E57BBC">
        <w:rPr>
          <w:rFonts w:ascii="Arial" w:hAnsi="Arial" w:cs="Arial"/>
          <w:smallCaps w:val="0"/>
          <w:color w:val="9D2235" w:themeColor="accent1"/>
          <w:sz w:val="18"/>
          <w:szCs w:val="18"/>
        </w:rPr>
        <w:instrText xml:space="preserve"> SEQ Taula \* ARABIC </w:instrText>
      </w:r>
      <w:r w:rsidRPr="00E57BBC">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25</w:t>
      </w:r>
      <w:r w:rsidRPr="00E57BBC">
        <w:rPr>
          <w:rFonts w:ascii="Arial" w:hAnsi="Arial" w:cs="Arial"/>
          <w:smallCaps w:val="0"/>
          <w:color w:val="9D2235" w:themeColor="accent1"/>
          <w:sz w:val="18"/>
          <w:szCs w:val="18"/>
        </w:rPr>
        <w:fldChar w:fldCharType="end"/>
      </w:r>
      <w:r w:rsidRPr="00E57BBC">
        <w:rPr>
          <w:rFonts w:ascii="Arial" w:hAnsi="Arial" w:cs="Arial"/>
          <w:smallCaps w:val="0"/>
          <w:color w:val="9D2235" w:themeColor="accent1"/>
          <w:sz w:val="18"/>
          <w:szCs w:val="18"/>
        </w:rPr>
        <w:t xml:space="preserve">. </w:t>
      </w:r>
      <w:r w:rsidRPr="00E57BBC">
        <w:rPr>
          <w:rFonts w:ascii="Arial" w:hAnsi="Arial" w:cs="Arial"/>
          <w:smallCaps w:val="0"/>
          <w:sz w:val="18"/>
          <w:szCs w:val="18"/>
        </w:rPr>
        <w:t>Participació en Masters</w:t>
      </w:r>
      <w:bookmarkEnd w:id="420"/>
    </w:p>
    <w:tbl>
      <w:tblPr>
        <w:tblStyle w:val="Tablaconcuadrcula7"/>
        <w:tblW w:w="8520" w:type="dxa"/>
        <w:tblLook w:val="04A0" w:firstRow="1" w:lastRow="0" w:firstColumn="1" w:lastColumn="0" w:noHBand="0" w:noVBand="1"/>
      </w:tblPr>
      <w:tblGrid>
        <w:gridCol w:w="1264"/>
        <w:gridCol w:w="1655"/>
        <w:gridCol w:w="2888"/>
        <w:gridCol w:w="744"/>
        <w:gridCol w:w="1190"/>
        <w:gridCol w:w="779"/>
      </w:tblGrid>
      <w:tr w:rsidR="00E57BBC" w:rsidRPr="00E57BBC" w14:paraId="478CEADB" w14:textId="77777777" w:rsidTr="00581702">
        <w:trPr>
          <w:trHeight w:val="257"/>
        </w:trPr>
        <w:tc>
          <w:tcPr>
            <w:tcW w:w="1264" w:type="dxa"/>
            <w:tcBorders>
              <w:bottom w:val="single" w:sz="4" w:space="0" w:color="auto"/>
            </w:tcBorders>
            <w:shd w:val="clear" w:color="auto" w:fill="9D2235"/>
            <w:vAlign w:val="center"/>
          </w:tcPr>
          <w:p w14:paraId="342A5745" w14:textId="77777777" w:rsidR="00E57BBC" w:rsidRPr="00E57BBC" w:rsidRDefault="00E57BBC" w:rsidP="00E57BBC">
            <w:pPr>
              <w:rPr>
                <w:rFonts w:ascii="Arial" w:hAnsi="Arial" w:cs="Arial"/>
                <w:b/>
                <w:color w:val="FFFFFF"/>
                <w:sz w:val="17"/>
                <w:szCs w:val="17"/>
              </w:rPr>
            </w:pPr>
            <w:r w:rsidRPr="00E57BBC">
              <w:rPr>
                <w:rFonts w:ascii="Arial" w:hAnsi="Arial" w:cs="Arial"/>
                <w:b/>
                <w:color w:val="FFFFFF"/>
                <w:sz w:val="17"/>
                <w:szCs w:val="17"/>
              </w:rPr>
              <w:t>Entitat</w:t>
            </w:r>
          </w:p>
        </w:tc>
        <w:tc>
          <w:tcPr>
            <w:tcW w:w="1655" w:type="dxa"/>
            <w:tcBorders>
              <w:bottom w:val="single" w:sz="4" w:space="0" w:color="auto"/>
            </w:tcBorders>
            <w:shd w:val="clear" w:color="auto" w:fill="9D2235"/>
            <w:vAlign w:val="center"/>
          </w:tcPr>
          <w:p w14:paraId="5762B341" w14:textId="77777777" w:rsidR="00E57BBC" w:rsidRPr="00E57BBC" w:rsidRDefault="00E57BBC" w:rsidP="00E57BBC">
            <w:pPr>
              <w:rPr>
                <w:rFonts w:ascii="Arial" w:hAnsi="Arial" w:cs="Arial"/>
                <w:b/>
                <w:color w:val="FFFFFF"/>
                <w:sz w:val="17"/>
                <w:szCs w:val="17"/>
              </w:rPr>
            </w:pPr>
            <w:r w:rsidRPr="00E57BBC">
              <w:rPr>
                <w:rFonts w:ascii="Arial" w:hAnsi="Arial" w:cs="Arial"/>
                <w:b/>
                <w:color w:val="FFFFFF"/>
                <w:sz w:val="17"/>
                <w:szCs w:val="17"/>
              </w:rPr>
              <w:t>Activitat</w:t>
            </w:r>
          </w:p>
        </w:tc>
        <w:tc>
          <w:tcPr>
            <w:tcW w:w="2888" w:type="dxa"/>
            <w:tcBorders>
              <w:bottom w:val="single" w:sz="4" w:space="0" w:color="auto"/>
            </w:tcBorders>
            <w:shd w:val="clear" w:color="auto" w:fill="9D2235"/>
            <w:vAlign w:val="center"/>
          </w:tcPr>
          <w:p w14:paraId="00839F81" w14:textId="77777777" w:rsidR="00E57BBC" w:rsidRPr="00E57BBC" w:rsidRDefault="00E57BBC" w:rsidP="00E57BBC">
            <w:pPr>
              <w:rPr>
                <w:rFonts w:ascii="Arial" w:hAnsi="Arial" w:cs="Arial"/>
                <w:b/>
                <w:color w:val="FFFFFF"/>
                <w:sz w:val="17"/>
                <w:szCs w:val="17"/>
              </w:rPr>
            </w:pPr>
            <w:r w:rsidRPr="00E57BBC">
              <w:rPr>
                <w:rFonts w:ascii="Arial" w:hAnsi="Arial" w:cs="Arial"/>
                <w:b/>
                <w:color w:val="FFFFFF"/>
                <w:sz w:val="17"/>
                <w:szCs w:val="17"/>
              </w:rPr>
              <w:t>Conferència</w:t>
            </w:r>
          </w:p>
        </w:tc>
        <w:tc>
          <w:tcPr>
            <w:tcW w:w="744" w:type="dxa"/>
            <w:tcBorders>
              <w:bottom w:val="single" w:sz="4" w:space="0" w:color="auto"/>
            </w:tcBorders>
            <w:shd w:val="clear" w:color="auto" w:fill="9D2235"/>
            <w:vAlign w:val="center"/>
          </w:tcPr>
          <w:p w14:paraId="548AD800" w14:textId="77777777" w:rsidR="00E57BBC" w:rsidRPr="00E57BBC" w:rsidRDefault="00E57BBC" w:rsidP="00E57BBC">
            <w:pPr>
              <w:jc w:val="center"/>
              <w:rPr>
                <w:rFonts w:ascii="Arial" w:hAnsi="Arial" w:cs="Arial"/>
                <w:b/>
                <w:color w:val="FFFFFF"/>
                <w:sz w:val="17"/>
                <w:szCs w:val="17"/>
              </w:rPr>
            </w:pPr>
            <w:r w:rsidRPr="00E57BBC">
              <w:rPr>
                <w:rFonts w:ascii="Arial" w:hAnsi="Arial" w:cs="Arial"/>
                <w:b/>
                <w:color w:val="FFFFFF"/>
                <w:sz w:val="17"/>
                <w:szCs w:val="17"/>
              </w:rPr>
              <w:t>Data</w:t>
            </w:r>
          </w:p>
        </w:tc>
        <w:tc>
          <w:tcPr>
            <w:tcW w:w="1190" w:type="dxa"/>
            <w:tcBorders>
              <w:bottom w:val="single" w:sz="4" w:space="0" w:color="auto"/>
            </w:tcBorders>
            <w:shd w:val="clear" w:color="auto" w:fill="9D2235"/>
            <w:vAlign w:val="center"/>
          </w:tcPr>
          <w:p w14:paraId="6D8D646C" w14:textId="77777777" w:rsidR="00E57BBC" w:rsidRPr="00E57BBC" w:rsidRDefault="00E57BBC" w:rsidP="00E57BBC">
            <w:pPr>
              <w:jc w:val="center"/>
              <w:rPr>
                <w:rFonts w:ascii="Arial" w:hAnsi="Arial" w:cs="Arial"/>
                <w:b/>
                <w:color w:val="FFFFFF"/>
                <w:sz w:val="17"/>
                <w:szCs w:val="17"/>
              </w:rPr>
            </w:pPr>
            <w:r w:rsidRPr="00E57BBC">
              <w:rPr>
                <w:rFonts w:ascii="Arial" w:hAnsi="Arial" w:cs="Arial"/>
                <w:b/>
                <w:color w:val="FFFFFF"/>
                <w:sz w:val="17"/>
                <w:szCs w:val="17"/>
              </w:rPr>
              <w:t>Participants</w:t>
            </w:r>
          </w:p>
        </w:tc>
        <w:tc>
          <w:tcPr>
            <w:tcW w:w="779" w:type="dxa"/>
            <w:tcBorders>
              <w:bottom w:val="single" w:sz="4" w:space="0" w:color="auto"/>
            </w:tcBorders>
            <w:shd w:val="clear" w:color="auto" w:fill="9D2235"/>
            <w:vAlign w:val="center"/>
          </w:tcPr>
          <w:p w14:paraId="6452622B" w14:textId="77777777" w:rsidR="00E57BBC" w:rsidRPr="00E57BBC" w:rsidRDefault="00E57BBC" w:rsidP="00E57BBC">
            <w:pPr>
              <w:jc w:val="center"/>
              <w:rPr>
                <w:rFonts w:ascii="Arial" w:hAnsi="Arial" w:cs="Arial"/>
                <w:b/>
                <w:color w:val="FFFFFF"/>
                <w:sz w:val="17"/>
                <w:szCs w:val="17"/>
                <w:lang w:val="es-ES"/>
              </w:rPr>
            </w:pPr>
            <w:r w:rsidRPr="00E57BBC">
              <w:rPr>
                <w:rFonts w:ascii="Arial" w:hAnsi="Arial" w:cs="Arial"/>
                <w:b/>
                <w:color w:val="FFFFFF"/>
                <w:sz w:val="17"/>
                <w:szCs w:val="17"/>
                <w:lang w:val="es-ES"/>
              </w:rPr>
              <w:t>Hores</w:t>
            </w:r>
          </w:p>
        </w:tc>
      </w:tr>
      <w:tr w:rsidR="00E57BBC" w:rsidRPr="00E57BBC" w14:paraId="70B70C8C" w14:textId="77777777" w:rsidTr="00581702">
        <w:trPr>
          <w:trHeight w:val="257"/>
        </w:trPr>
        <w:tc>
          <w:tcPr>
            <w:tcW w:w="1264" w:type="dxa"/>
            <w:shd w:val="clear" w:color="auto" w:fill="auto"/>
            <w:vAlign w:val="center"/>
          </w:tcPr>
          <w:p w14:paraId="041AA83B" w14:textId="77777777" w:rsidR="00E57BBC" w:rsidRPr="00E57BBC" w:rsidRDefault="00E57BBC" w:rsidP="00E57BBC">
            <w:pPr>
              <w:rPr>
                <w:rFonts w:ascii="Arial" w:hAnsi="Arial" w:cs="Arial"/>
                <w:sz w:val="17"/>
                <w:szCs w:val="17"/>
              </w:rPr>
            </w:pPr>
            <w:r w:rsidRPr="00E57BBC">
              <w:rPr>
                <w:rFonts w:ascii="Arial" w:hAnsi="Arial" w:cs="Arial"/>
                <w:sz w:val="17"/>
                <w:szCs w:val="17"/>
              </w:rPr>
              <w:t>ADEIT</w:t>
            </w:r>
          </w:p>
        </w:tc>
        <w:tc>
          <w:tcPr>
            <w:tcW w:w="1655" w:type="dxa"/>
            <w:shd w:val="clear" w:color="auto" w:fill="auto"/>
            <w:vAlign w:val="center"/>
          </w:tcPr>
          <w:p w14:paraId="0DB49CA7" w14:textId="77777777" w:rsidR="00E57BBC" w:rsidRPr="00E57BBC" w:rsidRDefault="00E57BBC" w:rsidP="00E57BBC">
            <w:pPr>
              <w:rPr>
                <w:rFonts w:ascii="Arial" w:hAnsi="Arial" w:cs="Arial"/>
                <w:sz w:val="17"/>
                <w:szCs w:val="17"/>
              </w:rPr>
            </w:pPr>
            <w:r w:rsidRPr="00E57BBC">
              <w:rPr>
                <w:rFonts w:ascii="Arial" w:hAnsi="Arial" w:cs="Arial"/>
                <w:sz w:val="17"/>
                <w:szCs w:val="17"/>
              </w:rPr>
              <w:t xml:space="preserve">Màster propi de Contractació Pública i </w:t>
            </w:r>
            <w:r w:rsidRPr="00E57BBC">
              <w:rPr>
                <w:rFonts w:ascii="Arial" w:hAnsi="Arial" w:cs="Arial"/>
                <w:i/>
                <w:sz w:val="17"/>
                <w:szCs w:val="17"/>
              </w:rPr>
              <w:t>Compliance</w:t>
            </w:r>
          </w:p>
        </w:tc>
        <w:tc>
          <w:tcPr>
            <w:tcW w:w="2888" w:type="dxa"/>
            <w:shd w:val="clear" w:color="auto" w:fill="auto"/>
            <w:vAlign w:val="center"/>
          </w:tcPr>
          <w:p w14:paraId="64EA7581" w14:textId="77777777" w:rsidR="00E57BBC" w:rsidRPr="00E57BBC" w:rsidRDefault="00E57BBC" w:rsidP="00E57BBC">
            <w:pPr>
              <w:jc w:val="both"/>
              <w:rPr>
                <w:rFonts w:ascii="Arial" w:hAnsi="Arial" w:cs="Arial"/>
                <w:sz w:val="17"/>
                <w:szCs w:val="17"/>
              </w:rPr>
            </w:pPr>
            <w:r w:rsidRPr="00E57BBC">
              <w:rPr>
                <w:rFonts w:ascii="Arial" w:hAnsi="Arial" w:cs="Arial"/>
                <w:i/>
                <w:sz w:val="17"/>
                <w:szCs w:val="17"/>
              </w:rPr>
              <w:t>Compliance</w:t>
            </w:r>
            <w:r w:rsidRPr="00E57BBC">
              <w:rPr>
                <w:rFonts w:ascii="Arial" w:hAnsi="Arial" w:cs="Arial"/>
                <w:sz w:val="17"/>
                <w:szCs w:val="17"/>
              </w:rPr>
              <w:t xml:space="preserve"> específic pel sector públic: marcs d’integritat. La tasca de les agènces antifrau</w:t>
            </w:r>
          </w:p>
        </w:tc>
        <w:tc>
          <w:tcPr>
            <w:tcW w:w="744" w:type="dxa"/>
            <w:shd w:val="clear" w:color="auto" w:fill="auto"/>
            <w:vAlign w:val="center"/>
          </w:tcPr>
          <w:p w14:paraId="11AAB09B" w14:textId="77777777" w:rsidR="00E57BBC" w:rsidRPr="00E57BBC" w:rsidRDefault="00E57BBC" w:rsidP="00E57BBC">
            <w:pPr>
              <w:jc w:val="center"/>
              <w:rPr>
                <w:rFonts w:ascii="Arial" w:hAnsi="Arial" w:cs="Arial"/>
                <w:sz w:val="17"/>
                <w:szCs w:val="17"/>
              </w:rPr>
            </w:pPr>
            <w:r w:rsidRPr="00E57BBC">
              <w:rPr>
                <w:rFonts w:ascii="Arial" w:hAnsi="Arial" w:cs="Arial"/>
                <w:sz w:val="17"/>
                <w:szCs w:val="17"/>
              </w:rPr>
              <w:t>5-maig</w:t>
            </w:r>
          </w:p>
        </w:tc>
        <w:tc>
          <w:tcPr>
            <w:tcW w:w="1190" w:type="dxa"/>
            <w:shd w:val="clear" w:color="auto" w:fill="auto"/>
            <w:vAlign w:val="center"/>
          </w:tcPr>
          <w:p w14:paraId="5C45DC82" w14:textId="77777777" w:rsidR="00E57BBC" w:rsidRPr="00E57BBC" w:rsidRDefault="00E57BBC" w:rsidP="00E57BBC">
            <w:pPr>
              <w:jc w:val="center"/>
              <w:rPr>
                <w:rFonts w:ascii="Arial" w:hAnsi="Arial" w:cs="Arial"/>
                <w:sz w:val="17"/>
                <w:szCs w:val="17"/>
              </w:rPr>
            </w:pPr>
            <w:r w:rsidRPr="00E57BBC">
              <w:rPr>
                <w:rFonts w:ascii="Arial" w:hAnsi="Arial" w:cs="Arial"/>
                <w:sz w:val="17"/>
                <w:szCs w:val="17"/>
              </w:rPr>
              <w:t>9</w:t>
            </w:r>
          </w:p>
        </w:tc>
        <w:tc>
          <w:tcPr>
            <w:tcW w:w="779" w:type="dxa"/>
            <w:shd w:val="clear" w:color="auto" w:fill="auto"/>
            <w:vAlign w:val="center"/>
          </w:tcPr>
          <w:p w14:paraId="7F295BE3" w14:textId="77777777" w:rsidR="00E57BBC" w:rsidRPr="00E57BBC" w:rsidRDefault="00E57BBC" w:rsidP="00E57BBC">
            <w:pPr>
              <w:jc w:val="center"/>
              <w:rPr>
                <w:rFonts w:ascii="Arial" w:hAnsi="Arial" w:cs="Arial"/>
                <w:sz w:val="17"/>
                <w:szCs w:val="17"/>
                <w:lang w:val="es-ES"/>
              </w:rPr>
            </w:pPr>
            <w:r w:rsidRPr="00E57BBC">
              <w:rPr>
                <w:rFonts w:ascii="Arial" w:hAnsi="Arial" w:cs="Arial"/>
                <w:sz w:val="17"/>
                <w:szCs w:val="17"/>
                <w:lang w:val="es-ES"/>
              </w:rPr>
              <w:t>1</w:t>
            </w:r>
          </w:p>
        </w:tc>
      </w:tr>
      <w:tr w:rsidR="00E57BBC" w:rsidRPr="00E57BBC" w14:paraId="134842EF" w14:textId="77777777" w:rsidTr="00581702">
        <w:trPr>
          <w:trHeight w:val="1492"/>
        </w:trPr>
        <w:tc>
          <w:tcPr>
            <w:tcW w:w="1264" w:type="dxa"/>
            <w:shd w:val="clear" w:color="auto" w:fill="auto"/>
            <w:vAlign w:val="center"/>
          </w:tcPr>
          <w:p w14:paraId="39694514" w14:textId="77777777" w:rsidR="00E57BBC" w:rsidRPr="00E57BBC" w:rsidRDefault="00E57BBC" w:rsidP="00E57BBC">
            <w:pPr>
              <w:rPr>
                <w:rFonts w:ascii="Arial" w:hAnsi="Arial" w:cs="Arial"/>
                <w:sz w:val="17"/>
                <w:szCs w:val="17"/>
              </w:rPr>
            </w:pPr>
            <w:r w:rsidRPr="00E57BBC">
              <w:rPr>
                <w:rFonts w:ascii="Arial" w:hAnsi="Arial" w:cs="Arial"/>
                <w:sz w:val="17"/>
                <w:szCs w:val="17"/>
              </w:rPr>
              <w:t>Universitat Politècnica de València</w:t>
            </w:r>
          </w:p>
        </w:tc>
        <w:tc>
          <w:tcPr>
            <w:tcW w:w="1655" w:type="dxa"/>
            <w:shd w:val="clear" w:color="auto" w:fill="auto"/>
            <w:vAlign w:val="center"/>
          </w:tcPr>
          <w:p w14:paraId="168BF19A" w14:textId="77777777" w:rsidR="00E57BBC" w:rsidRPr="00E57BBC" w:rsidRDefault="00E57BBC" w:rsidP="00E57BBC">
            <w:pPr>
              <w:rPr>
                <w:rFonts w:ascii="Arial" w:hAnsi="Arial" w:cs="Arial"/>
                <w:sz w:val="17"/>
                <w:szCs w:val="17"/>
              </w:rPr>
            </w:pPr>
            <w:r w:rsidRPr="00E57BBC">
              <w:rPr>
                <w:rFonts w:ascii="Arial" w:hAnsi="Arial" w:cs="Arial"/>
                <w:sz w:val="17"/>
                <w:szCs w:val="17"/>
              </w:rPr>
              <w:t>Màster Gestió Cultural</w:t>
            </w:r>
          </w:p>
        </w:tc>
        <w:tc>
          <w:tcPr>
            <w:tcW w:w="2888" w:type="dxa"/>
            <w:shd w:val="clear" w:color="auto" w:fill="auto"/>
            <w:vAlign w:val="center"/>
          </w:tcPr>
          <w:p w14:paraId="11C0528D" w14:textId="77777777" w:rsidR="00E57BBC" w:rsidRPr="00E57BBC" w:rsidRDefault="00E57BBC" w:rsidP="00E57BBC">
            <w:pPr>
              <w:jc w:val="both"/>
              <w:rPr>
                <w:rFonts w:ascii="Arial" w:hAnsi="Arial" w:cs="Arial"/>
                <w:sz w:val="17"/>
                <w:szCs w:val="17"/>
              </w:rPr>
            </w:pPr>
            <w:r w:rsidRPr="00E57BBC">
              <w:rPr>
                <w:rFonts w:ascii="Arial" w:hAnsi="Arial" w:cs="Arial"/>
                <w:sz w:val="17"/>
                <w:szCs w:val="17"/>
              </w:rPr>
              <w:t>Les funcions i activitats de l’AVAF</w:t>
            </w:r>
          </w:p>
          <w:p w14:paraId="1A2BA824" w14:textId="77777777" w:rsidR="00E57BBC" w:rsidRPr="00E57BBC" w:rsidRDefault="00E57BBC" w:rsidP="00E57BBC">
            <w:pPr>
              <w:jc w:val="both"/>
              <w:rPr>
                <w:rFonts w:ascii="Arial" w:hAnsi="Arial" w:cs="Arial"/>
                <w:sz w:val="17"/>
                <w:szCs w:val="17"/>
              </w:rPr>
            </w:pPr>
            <w:r w:rsidRPr="00E57BBC">
              <w:rPr>
                <w:rFonts w:ascii="Arial" w:hAnsi="Arial" w:cs="Arial"/>
                <w:sz w:val="17"/>
                <w:szCs w:val="17"/>
              </w:rPr>
              <w:t>Les particularitats de la gestió administrativa cultural</w:t>
            </w:r>
          </w:p>
          <w:p w14:paraId="17DE3A68" w14:textId="77777777" w:rsidR="00E57BBC" w:rsidRPr="00E57BBC" w:rsidRDefault="00E57BBC" w:rsidP="00E57BBC">
            <w:pPr>
              <w:jc w:val="both"/>
              <w:rPr>
                <w:rFonts w:ascii="Arial" w:hAnsi="Arial" w:cs="Arial"/>
                <w:sz w:val="17"/>
                <w:szCs w:val="17"/>
              </w:rPr>
            </w:pPr>
            <w:r w:rsidRPr="00E57BBC">
              <w:rPr>
                <w:rFonts w:ascii="Arial" w:hAnsi="Arial" w:cs="Arial"/>
                <w:sz w:val="17"/>
                <w:szCs w:val="17"/>
              </w:rPr>
              <w:t>Els principals riscos de frau i corrupció que es poden donar en la gestió cultural</w:t>
            </w:r>
          </w:p>
        </w:tc>
        <w:tc>
          <w:tcPr>
            <w:tcW w:w="744" w:type="dxa"/>
            <w:shd w:val="clear" w:color="auto" w:fill="auto"/>
            <w:vAlign w:val="center"/>
          </w:tcPr>
          <w:p w14:paraId="43736CA4" w14:textId="77777777" w:rsidR="00E57BBC" w:rsidRPr="00E57BBC" w:rsidRDefault="00E57BBC" w:rsidP="00E57BBC">
            <w:pPr>
              <w:jc w:val="center"/>
              <w:rPr>
                <w:rFonts w:ascii="Arial" w:hAnsi="Arial" w:cs="Arial"/>
                <w:sz w:val="17"/>
                <w:szCs w:val="17"/>
              </w:rPr>
            </w:pPr>
            <w:r w:rsidRPr="00E57BBC">
              <w:rPr>
                <w:rFonts w:ascii="Arial" w:hAnsi="Arial" w:cs="Arial"/>
                <w:sz w:val="17"/>
                <w:szCs w:val="17"/>
              </w:rPr>
              <w:t>2-des</w:t>
            </w:r>
          </w:p>
        </w:tc>
        <w:tc>
          <w:tcPr>
            <w:tcW w:w="1190" w:type="dxa"/>
            <w:shd w:val="clear" w:color="auto" w:fill="auto"/>
            <w:vAlign w:val="center"/>
          </w:tcPr>
          <w:p w14:paraId="3E1BA6A5" w14:textId="77777777" w:rsidR="00E57BBC" w:rsidRPr="00E57BBC" w:rsidRDefault="00E57BBC" w:rsidP="00E57BBC">
            <w:pPr>
              <w:jc w:val="center"/>
              <w:rPr>
                <w:rFonts w:ascii="Arial" w:hAnsi="Arial" w:cs="Arial"/>
                <w:sz w:val="17"/>
                <w:szCs w:val="17"/>
              </w:rPr>
            </w:pPr>
            <w:r w:rsidRPr="00E57BBC">
              <w:rPr>
                <w:rFonts w:ascii="Arial" w:hAnsi="Arial" w:cs="Arial"/>
                <w:sz w:val="17"/>
                <w:szCs w:val="17"/>
              </w:rPr>
              <w:t>34</w:t>
            </w:r>
          </w:p>
        </w:tc>
        <w:tc>
          <w:tcPr>
            <w:tcW w:w="779" w:type="dxa"/>
            <w:shd w:val="clear" w:color="auto" w:fill="auto"/>
            <w:vAlign w:val="center"/>
          </w:tcPr>
          <w:p w14:paraId="45D4E454" w14:textId="77777777" w:rsidR="00E57BBC" w:rsidRPr="00E57BBC" w:rsidRDefault="00E57BBC" w:rsidP="00E57BBC">
            <w:pPr>
              <w:jc w:val="center"/>
              <w:rPr>
                <w:rFonts w:ascii="Arial" w:hAnsi="Arial" w:cs="Arial"/>
                <w:sz w:val="17"/>
                <w:szCs w:val="17"/>
                <w:lang w:val="es-ES"/>
              </w:rPr>
            </w:pPr>
            <w:r w:rsidRPr="00E57BBC">
              <w:rPr>
                <w:rFonts w:ascii="Arial" w:hAnsi="Arial" w:cs="Arial"/>
                <w:sz w:val="17"/>
                <w:szCs w:val="17"/>
                <w:lang w:val="es-ES"/>
              </w:rPr>
              <w:t>3</w:t>
            </w:r>
          </w:p>
        </w:tc>
      </w:tr>
      <w:tr w:rsidR="00E57BBC" w:rsidRPr="00E57BBC" w14:paraId="34C4BE0E" w14:textId="77777777" w:rsidTr="00581702">
        <w:trPr>
          <w:trHeight w:val="257"/>
        </w:trPr>
        <w:tc>
          <w:tcPr>
            <w:tcW w:w="6551" w:type="dxa"/>
            <w:gridSpan w:val="4"/>
            <w:tcBorders>
              <w:bottom w:val="single" w:sz="4" w:space="0" w:color="auto"/>
            </w:tcBorders>
            <w:shd w:val="clear" w:color="auto" w:fill="D9D9D9"/>
            <w:vAlign w:val="center"/>
          </w:tcPr>
          <w:p w14:paraId="563C8B30" w14:textId="77777777" w:rsidR="00E57BBC" w:rsidRPr="00E57BBC" w:rsidRDefault="00E57BBC" w:rsidP="00E57BBC">
            <w:pPr>
              <w:jc w:val="right"/>
              <w:rPr>
                <w:rFonts w:ascii="Arial" w:hAnsi="Arial" w:cs="Arial"/>
                <w:b/>
                <w:sz w:val="17"/>
                <w:szCs w:val="17"/>
              </w:rPr>
            </w:pPr>
            <w:r w:rsidRPr="00E57BBC">
              <w:rPr>
                <w:rFonts w:ascii="Arial" w:hAnsi="Arial" w:cs="Arial"/>
                <w:b/>
                <w:sz w:val="17"/>
                <w:szCs w:val="17"/>
              </w:rPr>
              <w:t>Totals</w:t>
            </w:r>
          </w:p>
        </w:tc>
        <w:tc>
          <w:tcPr>
            <w:tcW w:w="1190" w:type="dxa"/>
            <w:tcBorders>
              <w:bottom w:val="single" w:sz="4" w:space="0" w:color="auto"/>
            </w:tcBorders>
            <w:shd w:val="clear" w:color="auto" w:fill="D9D9D9"/>
            <w:vAlign w:val="center"/>
          </w:tcPr>
          <w:p w14:paraId="6BB48B66" w14:textId="77777777" w:rsidR="00E57BBC" w:rsidRPr="00E57BBC" w:rsidRDefault="00E57BBC" w:rsidP="00E57BBC">
            <w:pPr>
              <w:jc w:val="center"/>
              <w:rPr>
                <w:rFonts w:ascii="Arial" w:hAnsi="Arial" w:cs="Arial"/>
                <w:b/>
                <w:sz w:val="17"/>
                <w:szCs w:val="17"/>
              </w:rPr>
            </w:pPr>
            <w:r w:rsidRPr="00E57BBC">
              <w:rPr>
                <w:rFonts w:ascii="Arial" w:hAnsi="Arial" w:cs="Arial"/>
                <w:b/>
                <w:sz w:val="17"/>
                <w:szCs w:val="17"/>
              </w:rPr>
              <w:t xml:space="preserve">43 </w:t>
            </w:r>
          </w:p>
        </w:tc>
        <w:tc>
          <w:tcPr>
            <w:tcW w:w="779" w:type="dxa"/>
            <w:tcBorders>
              <w:bottom w:val="single" w:sz="4" w:space="0" w:color="auto"/>
            </w:tcBorders>
            <w:shd w:val="clear" w:color="auto" w:fill="D9D9D9"/>
            <w:vAlign w:val="center"/>
          </w:tcPr>
          <w:p w14:paraId="0854B587" w14:textId="77777777" w:rsidR="00E57BBC" w:rsidRPr="00E57BBC" w:rsidRDefault="00E57BBC" w:rsidP="00E57BBC">
            <w:pPr>
              <w:jc w:val="center"/>
              <w:rPr>
                <w:rFonts w:ascii="Arial" w:hAnsi="Arial" w:cs="Arial"/>
                <w:b/>
                <w:sz w:val="17"/>
                <w:szCs w:val="17"/>
                <w:lang w:val="es-ES"/>
              </w:rPr>
            </w:pPr>
            <w:r w:rsidRPr="00E57BBC">
              <w:rPr>
                <w:rFonts w:ascii="Arial" w:hAnsi="Arial" w:cs="Arial"/>
                <w:b/>
                <w:sz w:val="17"/>
                <w:szCs w:val="17"/>
                <w:lang w:val="es-ES"/>
              </w:rPr>
              <w:t xml:space="preserve">4 </w:t>
            </w:r>
          </w:p>
        </w:tc>
      </w:tr>
    </w:tbl>
    <w:p w14:paraId="2F04D5E8" w14:textId="678EF694" w:rsidR="00B23DB3" w:rsidRPr="00827DDE" w:rsidRDefault="00B23DB3" w:rsidP="00E57BBC">
      <w:pPr>
        <w:pStyle w:val="Texto"/>
        <w:spacing w:after="240"/>
        <w:jc w:val="center"/>
        <w:rPr>
          <w:rFonts w:ascii="Arial" w:hAnsi="Arial" w:cs="Arial"/>
        </w:rPr>
      </w:pPr>
    </w:p>
    <w:p w14:paraId="39A2A23A" w14:textId="77777777" w:rsidR="00E57BBC" w:rsidRPr="00E57BBC" w:rsidRDefault="00E57BBC" w:rsidP="00E57BBC">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E57BBC">
        <w:rPr>
          <w:rFonts w:ascii="Arial" w:eastAsia="Times New Roman" w:hAnsi="Arial" w:cs="Arial"/>
          <w:b/>
          <w:color w:val="9D2235"/>
          <w:sz w:val="24"/>
          <w:szCs w:val="24"/>
        </w:rPr>
        <w:t>Conferències en col·laboració amb universitats</w:t>
      </w:r>
    </w:p>
    <w:p w14:paraId="2F365F71" w14:textId="2425619F" w:rsidR="00E57BBC" w:rsidRPr="00E57BBC" w:rsidRDefault="00E57BBC" w:rsidP="00E57BBC">
      <w:pPr>
        <w:pStyle w:val="Texto"/>
        <w:spacing w:after="240"/>
        <w:rPr>
          <w:rFonts w:ascii="Arial" w:hAnsi="Arial" w:cs="Arial"/>
        </w:rPr>
      </w:pPr>
      <w:r w:rsidRPr="00E57BBC">
        <w:rPr>
          <w:rFonts w:ascii="Arial" w:hAnsi="Arial" w:cs="Arial"/>
          <w:bCs/>
        </w:rPr>
        <w:t xml:space="preserve">L'Agència Valenciana Antifrau és el referent principal en l'àmbit de la prevenció del frau i la corrupció en la Comunitat Valenciana i un model que ha inspirat a altres agències antifrau a Espanya, també pel que fa a l'activitat formativa per a la creació d'una cultura organitzativa fonamentada en l'ètica i integritat pública </w:t>
      </w:r>
      <w:r w:rsidRPr="00C9578C">
        <w:rPr>
          <w:rFonts w:ascii="Arial" w:hAnsi="Arial" w:cs="Arial"/>
          <w:bCs/>
        </w:rPr>
        <w:t>(Taula 2</w:t>
      </w:r>
      <w:r w:rsidR="00A55252" w:rsidRPr="00C9578C">
        <w:rPr>
          <w:rFonts w:ascii="Arial" w:hAnsi="Arial" w:cs="Arial"/>
          <w:bCs/>
        </w:rPr>
        <w:t>6</w:t>
      </w:r>
      <w:r w:rsidRPr="00C9578C">
        <w:rPr>
          <w:rFonts w:ascii="Arial" w:hAnsi="Arial" w:cs="Arial"/>
          <w:bCs/>
        </w:rPr>
        <w:t>)</w:t>
      </w:r>
      <w:r w:rsidRPr="00C9578C">
        <w:rPr>
          <w:rFonts w:ascii="Arial" w:hAnsi="Arial" w:cs="Arial"/>
        </w:rPr>
        <w:t>.</w:t>
      </w:r>
    </w:p>
    <w:p w14:paraId="53F839C2" w14:textId="77777777" w:rsidR="00E57BBC" w:rsidRPr="00E57BBC" w:rsidRDefault="00E57BBC" w:rsidP="00E57BBC">
      <w:pPr>
        <w:pStyle w:val="Texto"/>
        <w:spacing w:after="240"/>
        <w:rPr>
          <w:rFonts w:ascii="Arial" w:hAnsi="Arial" w:cs="Arial"/>
        </w:rPr>
      </w:pPr>
      <w:r w:rsidRPr="00E57BBC">
        <w:rPr>
          <w:rFonts w:ascii="Arial" w:hAnsi="Arial" w:cs="Arial"/>
        </w:rPr>
        <w:t>Per aquesta raó, en 2021 l’AVAF ha sigut convidada a participar en jornades, de caràcter universitari, amb conferències on es desitja conéixer el paper de les agències antifrau i la seua relació amb la ODS, la bona governança entre altres:</w:t>
      </w:r>
    </w:p>
    <w:p w14:paraId="74CC9ACB" w14:textId="77777777" w:rsidR="00E57BBC" w:rsidRPr="00E57BBC" w:rsidRDefault="00E57BBC" w:rsidP="00AD4D3B">
      <w:pPr>
        <w:pStyle w:val="Texto"/>
        <w:numPr>
          <w:ilvl w:val="0"/>
          <w:numId w:val="71"/>
        </w:numPr>
        <w:spacing w:after="120"/>
        <w:ind w:left="850" w:hanging="357"/>
        <w:rPr>
          <w:rFonts w:ascii="Arial" w:hAnsi="Arial" w:cs="Arial"/>
        </w:rPr>
      </w:pPr>
      <w:r w:rsidRPr="00E57BBC">
        <w:rPr>
          <w:rFonts w:ascii="Arial" w:hAnsi="Arial" w:cs="Arial"/>
        </w:rPr>
        <w:t xml:space="preserve">4 de març, conferència en la Universitat CEU Cardenal Herrera, en el projecte “Polítiques per…” En 2021 es va celebrar Polítiques pels ODS: objectiu 16.6, que fa referència a la pau i la justícia social, i més concretament a la necessitat de comptar amb institucions transparents. Des de la universitat es proposa a l'Agència participar en una taula redona amb organismes de control, juntament amb altres entitats com el Consell de Transparència de la Comunitat Valenciana i el Consell Nacional de Transparència i Bon Govern. </w:t>
      </w:r>
    </w:p>
    <w:p w14:paraId="685B5D59" w14:textId="66E9B783" w:rsidR="00E57BBC" w:rsidRDefault="00E57BBC" w:rsidP="00AD4D3B">
      <w:pPr>
        <w:pStyle w:val="Texto"/>
        <w:numPr>
          <w:ilvl w:val="0"/>
          <w:numId w:val="71"/>
        </w:numPr>
        <w:spacing w:after="120"/>
        <w:ind w:left="850" w:hanging="357"/>
        <w:rPr>
          <w:rFonts w:ascii="Arial" w:hAnsi="Arial" w:cs="Arial"/>
        </w:rPr>
      </w:pPr>
      <w:r w:rsidRPr="00E57BBC">
        <w:rPr>
          <w:rFonts w:ascii="Arial" w:hAnsi="Arial" w:cs="Arial"/>
        </w:rPr>
        <w:t xml:space="preserve">El 28 d'octubre, es va celebrar el workshop </w:t>
      </w:r>
      <w:r w:rsidRPr="00E57BBC">
        <w:rPr>
          <w:rFonts w:ascii="Arial" w:hAnsi="Arial" w:cs="Arial"/>
          <w:b/>
          <w:bCs/>
        </w:rPr>
        <w:t xml:space="preserve">Institutions and governance after the pandemic: International perspectives </w:t>
      </w:r>
      <w:r w:rsidRPr="00E57BBC">
        <w:rPr>
          <w:rFonts w:ascii="Arial" w:hAnsi="Arial" w:cs="Arial"/>
        </w:rPr>
        <w:t xml:space="preserve">de la Universitat Jaume I de Castelló, en el director de l'Agència va impartir la conferència inaugural amb la finalitat de donar a conéixer el paper de les agències antifrau en la lluita contra la corrupció. </w:t>
      </w:r>
    </w:p>
    <w:p w14:paraId="729668AD" w14:textId="0E72A3C4" w:rsidR="00B23DB3" w:rsidRDefault="00E57BBC" w:rsidP="00AD4D3B">
      <w:pPr>
        <w:pStyle w:val="Texto"/>
        <w:numPr>
          <w:ilvl w:val="0"/>
          <w:numId w:val="71"/>
        </w:numPr>
        <w:spacing w:after="240"/>
        <w:ind w:left="851"/>
        <w:rPr>
          <w:rFonts w:ascii="Arial" w:hAnsi="Arial" w:cs="Arial"/>
        </w:rPr>
      </w:pPr>
      <w:r w:rsidRPr="00E57BBC">
        <w:rPr>
          <w:rFonts w:ascii="Arial" w:hAnsi="Arial" w:cs="Arial"/>
        </w:rPr>
        <w:t xml:space="preserve">El 3 de novembre, l'Observatori de Transparència i Bon Govern de la Universitat Jaume I, va organitzar la Jornada </w:t>
      </w:r>
      <w:r w:rsidRPr="00E57BBC">
        <w:rPr>
          <w:rFonts w:ascii="Arial" w:hAnsi="Arial" w:cs="Arial"/>
          <w:b/>
          <w:bCs/>
        </w:rPr>
        <w:t>Bon Govern en la funció pública local</w:t>
      </w:r>
      <w:r w:rsidRPr="00E57BBC">
        <w:rPr>
          <w:rFonts w:ascii="Arial" w:hAnsi="Arial" w:cs="Arial"/>
        </w:rPr>
        <w:t>. La sessió es va realitzar en el Saló de Graus de la facultat de Ciències Jurídiques i Econòmiques de l'UJI. En la Jornada van participar responsables de l'Agència per a dur a terme la conferència inaugural sobre les polítiques antifrau i la conferència específica sobre els principals fraus en matèria de l'ocupació pública en l'administració local i com evitar-los.</w:t>
      </w:r>
    </w:p>
    <w:p w14:paraId="3FF86D20" w14:textId="5F05DAB8" w:rsidR="00AD4D3B" w:rsidRPr="00AD4D3B" w:rsidRDefault="00AD4D3B" w:rsidP="00AD4D3B">
      <w:pPr>
        <w:pStyle w:val="Descripcin"/>
        <w:keepNext/>
        <w:rPr>
          <w:rFonts w:ascii="Arial" w:hAnsi="Arial" w:cs="Arial"/>
          <w:smallCaps w:val="0"/>
          <w:sz w:val="18"/>
          <w:szCs w:val="18"/>
        </w:rPr>
      </w:pPr>
      <w:bookmarkStart w:id="421" w:name="_Toc99110871"/>
      <w:r w:rsidRPr="00AD4D3B">
        <w:rPr>
          <w:rFonts w:ascii="Arial" w:hAnsi="Arial" w:cs="Arial"/>
          <w:smallCaps w:val="0"/>
          <w:color w:val="9D2235" w:themeColor="accent1"/>
          <w:sz w:val="18"/>
          <w:szCs w:val="18"/>
        </w:rPr>
        <w:t xml:space="preserve">Taula </w:t>
      </w:r>
      <w:r w:rsidRPr="00AD4D3B">
        <w:rPr>
          <w:rFonts w:ascii="Arial" w:hAnsi="Arial" w:cs="Arial"/>
          <w:smallCaps w:val="0"/>
          <w:color w:val="9D2235" w:themeColor="accent1"/>
          <w:sz w:val="18"/>
          <w:szCs w:val="18"/>
        </w:rPr>
        <w:fldChar w:fldCharType="begin" w:fldLock="1"/>
      </w:r>
      <w:r w:rsidRPr="00AD4D3B">
        <w:rPr>
          <w:rFonts w:ascii="Arial" w:hAnsi="Arial" w:cs="Arial"/>
          <w:smallCaps w:val="0"/>
          <w:color w:val="9D2235" w:themeColor="accent1"/>
          <w:sz w:val="18"/>
          <w:szCs w:val="18"/>
        </w:rPr>
        <w:instrText xml:space="preserve"> SEQ Taula \* ARABIC </w:instrText>
      </w:r>
      <w:r w:rsidRPr="00AD4D3B">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26</w:t>
      </w:r>
      <w:r w:rsidRPr="00AD4D3B">
        <w:rPr>
          <w:rFonts w:ascii="Arial" w:hAnsi="Arial" w:cs="Arial"/>
          <w:smallCaps w:val="0"/>
          <w:color w:val="9D2235" w:themeColor="accent1"/>
          <w:sz w:val="18"/>
          <w:szCs w:val="18"/>
        </w:rPr>
        <w:fldChar w:fldCharType="end"/>
      </w:r>
      <w:r w:rsidRPr="00AD4D3B">
        <w:rPr>
          <w:rFonts w:ascii="Arial" w:hAnsi="Arial" w:cs="Arial"/>
          <w:smallCaps w:val="0"/>
          <w:color w:val="9D2235" w:themeColor="accent1"/>
          <w:sz w:val="18"/>
          <w:szCs w:val="18"/>
        </w:rPr>
        <w:t xml:space="preserve">. </w:t>
      </w:r>
      <w:r w:rsidRPr="00AD4D3B">
        <w:rPr>
          <w:rFonts w:ascii="Arial" w:hAnsi="Arial" w:cs="Arial"/>
          <w:smallCaps w:val="0"/>
          <w:sz w:val="18"/>
          <w:szCs w:val="18"/>
        </w:rPr>
        <w:t>Conferències en col·laboració amb universitats</w:t>
      </w:r>
      <w:bookmarkEnd w:id="421"/>
    </w:p>
    <w:tbl>
      <w:tblPr>
        <w:tblStyle w:val="Tablaconcuadrcula8"/>
        <w:tblW w:w="8520" w:type="dxa"/>
        <w:tblLook w:val="04A0" w:firstRow="1" w:lastRow="0" w:firstColumn="1" w:lastColumn="0" w:noHBand="0" w:noVBand="1"/>
      </w:tblPr>
      <w:tblGrid>
        <w:gridCol w:w="1477"/>
        <w:gridCol w:w="1423"/>
        <w:gridCol w:w="2907"/>
        <w:gridCol w:w="748"/>
        <w:gridCol w:w="1190"/>
        <w:gridCol w:w="775"/>
      </w:tblGrid>
      <w:tr w:rsidR="00AD4D3B" w:rsidRPr="00AD4D3B" w14:paraId="1B0541AE" w14:textId="77777777" w:rsidTr="00581702">
        <w:trPr>
          <w:trHeight w:val="257"/>
        </w:trPr>
        <w:tc>
          <w:tcPr>
            <w:tcW w:w="1477" w:type="dxa"/>
            <w:tcBorders>
              <w:bottom w:val="single" w:sz="4" w:space="0" w:color="auto"/>
            </w:tcBorders>
            <w:shd w:val="clear" w:color="auto" w:fill="9D2235"/>
            <w:vAlign w:val="center"/>
          </w:tcPr>
          <w:p w14:paraId="11870099" w14:textId="77777777" w:rsidR="00AD4D3B" w:rsidRPr="00AD4D3B" w:rsidRDefault="00AD4D3B" w:rsidP="00AD4D3B">
            <w:pPr>
              <w:rPr>
                <w:rFonts w:ascii="Arial" w:hAnsi="Arial" w:cs="Arial"/>
                <w:b/>
                <w:color w:val="FFFFFF"/>
                <w:sz w:val="17"/>
                <w:szCs w:val="17"/>
              </w:rPr>
            </w:pPr>
            <w:r w:rsidRPr="00AD4D3B">
              <w:rPr>
                <w:rFonts w:ascii="Arial" w:hAnsi="Arial" w:cs="Arial"/>
                <w:b/>
                <w:color w:val="FFFFFF"/>
                <w:sz w:val="17"/>
                <w:szCs w:val="17"/>
              </w:rPr>
              <w:t>Entitat</w:t>
            </w:r>
          </w:p>
        </w:tc>
        <w:tc>
          <w:tcPr>
            <w:tcW w:w="1423" w:type="dxa"/>
            <w:tcBorders>
              <w:bottom w:val="single" w:sz="4" w:space="0" w:color="auto"/>
            </w:tcBorders>
            <w:shd w:val="clear" w:color="auto" w:fill="9D2235"/>
            <w:vAlign w:val="center"/>
          </w:tcPr>
          <w:p w14:paraId="032EA3FC" w14:textId="77777777" w:rsidR="00AD4D3B" w:rsidRPr="00AD4D3B" w:rsidRDefault="00AD4D3B" w:rsidP="00AD4D3B">
            <w:pPr>
              <w:rPr>
                <w:rFonts w:ascii="Arial" w:hAnsi="Arial" w:cs="Arial"/>
                <w:b/>
                <w:color w:val="FFFFFF"/>
                <w:sz w:val="17"/>
                <w:szCs w:val="17"/>
              </w:rPr>
            </w:pPr>
            <w:r w:rsidRPr="00AD4D3B">
              <w:rPr>
                <w:rFonts w:ascii="Arial" w:hAnsi="Arial" w:cs="Arial"/>
                <w:b/>
                <w:color w:val="FFFFFF"/>
                <w:sz w:val="17"/>
                <w:szCs w:val="17"/>
              </w:rPr>
              <w:t>Activitat</w:t>
            </w:r>
          </w:p>
        </w:tc>
        <w:tc>
          <w:tcPr>
            <w:tcW w:w="2907" w:type="dxa"/>
            <w:tcBorders>
              <w:bottom w:val="single" w:sz="4" w:space="0" w:color="auto"/>
            </w:tcBorders>
            <w:shd w:val="clear" w:color="auto" w:fill="9D2235"/>
            <w:vAlign w:val="center"/>
          </w:tcPr>
          <w:p w14:paraId="2F55A914" w14:textId="77777777" w:rsidR="00AD4D3B" w:rsidRPr="00AD4D3B" w:rsidRDefault="00AD4D3B" w:rsidP="00AD4D3B">
            <w:pPr>
              <w:rPr>
                <w:rFonts w:ascii="Arial" w:hAnsi="Arial" w:cs="Arial"/>
                <w:b/>
                <w:color w:val="FFFFFF"/>
                <w:sz w:val="17"/>
                <w:szCs w:val="17"/>
              </w:rPr>
            </w:pPr>
            <w:r w:rsidRPr="00AD4D3B">
              <w:rPr>
                <w:rFonts w:ascii="Arial" w:hAnsi="Arial" w:cs="Arial"/>
                <w:b/>
                <w:color w:val="FFFFFF"/>
                <w:sz w:val="17"/>
                <w:szCs w:val="17"/>
              </w:rPr>
              <w:t>Conferència</w:t>
            </w:r>
          </w:p>
        </w:tc>
        <w:tc>
          <w:tcPr>
            <w:tcW w:w="748" w:type="dxa"/>
            <w:tcBorders>
              <w:bottom w:val="single" w:sz="4" w:space="0" w:color="auto"/>
            </w:tcBorders>
            <w:shd w:val="clear" w:color="auto" w:fill="9D2235"/>
            <w:vAlign w:val="center"/>
          </w:tcPr>
          <w:p w14:paraId="04443665" w14:textId="77777777" w:rsidR="00AD4D3B" w:rsidRPr="00AD4D3B" w:rsidRDefault="00AD4D3B" w:rsidP="00AD4D3B">
            <w:pPr>
              <w:jc w:val="center"/>
              <w:rPr>
                <w:rFonts w:ascii="Arial" w:hAnsi="Arial" w:cs="Arial"/>
                <w:b/>
                <w:color w:val="FFFFFF"/>
                <w:sz w:val="17"/>
                <w:szCs w:val="17"/>
              </w:rPr>
            </w:pPr>
            <w:r w:rsidRPr="00AD4D3B">
              <w:rPr>
                <w:rFonts w:ascii="Arial" w:hAnsi="Arial" w:cs="Arial"/>
                <w:b/>
                <w:color w:val="FFFFFF"/>
                <w:sz w:val="17"/>
                <w:szCs w:val="17"/>
              </w:rPr>
              <w:t>Data</w:t>
            </w:r>
          </w:p>
        </w:tc>
        <w:tc>
          <w:tcPr>
            <w:tcW w:w="1190" w:type="dxa"/>
            <w:tcBorders>
              <w:bottom w:val="single" w:sz="4" w:space="0" w:color="auto"/>
            </w:tcBorders>
            <w:shd w:val="clear" w:color="auto" w:fill="9D2235"/>
            <w:vAlign w:val="center"/>
          </w:tcPr>
          <w:p w14:paraId="47E767CE" w14:textId="77777777" w:rsidR="00AD4D3B" w:rsidRPr="00AD4D3B" w:rsidRDefault="00AD4D3B" w:rsidP="00AD4D3B">
            <w:pPr>
              <w:jc w:val="center"/>
              <w:rPr>
                <w:rFonts w:ascii="Arial" w:hAnsi="Arial" w:cs="Arial"/>
                <w:b/>
                <w:color w:val="FFFFFF"/>
                <w:sz w:val="17"/>
                <w:szCs w:val="17"/>
              </w:rPr>
            </w:pPr>
            <w:r w:rsidRPr="00AD4D3B">
              <w:rPr>
                <w:rFonts w:ascii="Arial" w:hAnsi="Arial" w:cs="Arial"/>
                <w:b/>
                <w:color w:val="FFFFFF"/>
                <w:sz w:val="17"/>
                <w:szCs w:val="17"/>
              </w:rPr>
              <w:t>Participants</w:t>
            </w:r>
          </w:p>
        </w:tc>
        <w:tc>
          <w:tcPr>
            <w:tcW w:w="775" w:type="dxa"/>
            <w:tcBorders>
              <w:bottom w:val="single" w:sz="4" w:space="0" w:color="auto"/>
            </w:tcBorders>
            <w:shd w:val="clear" w:color="auto" w:fill="9D2235"/>
            <w:vAlign w:val="center"/>
          </w:tcPr>
          <w:p w14:paraId="13861CA2" w14:textId="77777777" w:rsidR="00AD4D3B" w:rsidRPr="00AD4D3B" w:rsidRDefault="00AD4D3B" w:rsidP="00AD4D3B">
            <w:pPr>
              <w:jc w:val="center"/>
              <w:rPr>
                <w:rFonts w:ascii="Arial" w:hAnsi="Arial" w:cs="Arial"/>
                <w:b/>
                <w:color w:val="FFFFFF"/>
                <w:sz w:val="17"/>
                <w:szCs w:val="17"/>
                <w:lang w:val="es-ES"/>
              </w:rPr>
            </w:pPr>
            <w:r w:rsidRPr="00AD4D3B">
              <w:rPr>
                <w:rFonts w:ascii="Arial" w:hAnsi="Arial" w:cs="Arial"/>
                <w:b/>
                <w:color w:val="FFFFFF"/>
                <w:sz w:val="17"/>
                <w:szCs w:val="17"/>
                <w:lang w:val="es-ES"/>
              </w:rPr>
              <w:t>Hores</w:t>
            </w:r>
          </w:p>
        </w:tc>
      </w:tr>
      <w:tr w:rsidR="00AD4D3B" w:rsidRPr="00AD4D3B" w14:paraId="4B89CB3B" w14:textId="77777777" w:rsidTr="00581702">
        <w:trPr>
          <w:trHeight w:val="257"/>
        </w:trPr>
        <w:tc>
          <w:tcPr>
            <w:tcW w:w="1477" w:type="dxa"/>
            <w:shd w:val="clear" w:color="auto" w:fill="auto"/>
            <w:vAlign w:val="center"/>
          </w:tcPr>
          <w:p w14:paraId="33B566FC" w14:textId="77777777" w:rsidR="00AD4D3B" w:rsidRPr="00AD4D3B" w:rsidRDefault="00AD4D3B" w:rsidP="00AD4D3B">
            <w:pPr>
              <w:rPr>
                <w:rFonts w:ascii="Arial" w:hAnsi="Arial" w:cs="Arial"/>
                <w:sz w:val="17"/>
                <w:szCs w:val="17"/>
              </w:rPr>
            </w:pPr>
            <w:r w:rsidRPr="00AD4D3B">
              <w:rPr>
                <w:rFonts w:ascii="Arial" w:hAnsi="Arial" w:cs="Arial"/>
                <w:sz w:val="17"/>
                <w:szCs w:val="17"/>
              </w:rPr>
              <w:t>Universitat CEU Cardenal Herrera</w:t>
            </w:r>
          </w:p>
        </w:tc>
        <w:tc>
          <w:tcPr>
            <w:tcW w:w="1423" w:type="dxa"/>
            <w:shd w:val="clear" w:color="auto" w:fill="auto"/>
            <w:vAlign w:val="center"/>
          </w:tcPr>
          <w:p w14:paraId="513CA2EB" w14:textId="77777777" w:rsidR="00AD4D3B" w:rsidRPr="00AD4D3B" w:rsidRDefault="00AD4D3B" w:rsidP="00AD4D3B">
            <w:pPr>
              <w:rPr>
                <w:rFonts w:ascii="Arial" w:hAnsi="Arial" w:cs="Arial"/>
                <w:sz w:val="17"/>
                <w:szCs w:val="17"/>
              </w:rPr>
            </w:pPr>
            <w:r w:rsidRPr="00AD4D3B">
              <w:rPr>
                <w:rFonts w:ascii="Arial" w:hAnsi="Arial" w:cs="Arial"/>
                <w:sz w:val="17"/>
                <w:szCs w:val="17"/>
              </w:rPr>
              <w:t>Polítiques pels ODS: objetiu 16.6</w:t>
            </w:r>
          </w:p>
        </w:tc>
        <w:tc>
          <w:tcPr>
            <w:tcW w:w="2907" w:type="dxa"/>
            <w:shd w:val="clear" w:color="auto" w:fill="auto"/>
            <w:vAlign w:val="center"/>
          </w:tcPr>
          <w:p w14:paraId="1E42F541" w14:textId="77777777" w:rsidR="00AD4D3B" w:rsidRPr="00AD4D3B" w:rsidRDefault="00AD4D3B" w:rsidP="00AD4D3B">
            <w:pPr>
              <w:jc w:val="both"/>
              <w:rPr>
                <w:rFonts w:ascii="Arial" w:hAnsi="Arial" w:cs="Arial"/>
                <w:sz w:val="17"/>
                <w:szCs w:val="17"/>
              </w:rPr>
            </w:pPr>
            <w:r w:rsidRPr="00AD4D3B">
              <w:rPr>
                <w:rFonts w:ascii="Arial" w:hAnsi="Arial" w:cs="Arial"/>
                <w:sz w:val="17"/>
                <w:szCs w:val="17"/>
              </w:rPr>
              <w:t>Òrgans de control</w:t>
            </w:r>
          </w:p>
        </w:tc>
        <w:tc>
          <w:tcPr>
            <w:tcW w:w="748" w:type="dxa"/>
            <w:shd w:val="clear" w:color="auto" w:fill="auto"/>
            <w:vAlign w:val="center"/>
          </w:tcPr>
          <w:p w14:paraId="09C776F7"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4-mar</w:t>
            </w:r>
          </w:p>
        </w:tc>
        <w:tc>
          <w:tcPr>
            <w:tcW w:w="1190" w:type="dxa"/>
            <w:shd w:val="clear" w:color="auto" w:fill="auto"/>
            <w:vAlign w:val="center"/>
          </w:tcPr>
          <w:p w14:paraId="442B859F"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42</w:t>
            </w:r>
          </w:p>
        </w:tc>
        <w:tc>
          <w:tcPr>
            <w:tcW w:w="775" w:type="dxa"/>
            <w:shd w:val="clear" w:color="auto" w:fill="auto"/>
            <w:vAlign w:val="center"/>
          </w:tcPr>
          <w:p w14:paraId="54B1FED3" w14:textId="77777777" w:rsidR="00AD4D3B" w:rsidRPr="00AD4D3B" w:rsidRDefault="00AD4D3B" w:rsidP="00AD4D3B">
            <w:pPr>
              <w:jc w:val="center"/>
              <w:rPr>
                <w:rFonts w:ascii="Arial" w:hAnsi="Arial" w:cs="Arial"/>
                <w:sz w:val="17"/>
                <w:szCs w:val="17"/>
                <w:lang w:val="es-ES"/>
              </w:rPr>
            </w:pPr>
            <w:r w:rsidRPr="00AD4D3B">
              <w:rPr>
                <w:rFonts w:ascii="Arial" w:hAnsi="Arial" w:cs="Arial"/>
                <w:sz w:val="17"/>
                <w:szCs w:val="17"/>
                <w:lang w:val="es-ES"/>
              </w:rPr>
              <w:t>2</w:t>
            </w:r>
          </w:p>
        </w:tc>
      </w:tr>
      <w:tr w:rsidR="00AD4D3B" w:rsidRPr="00AD4D3B" w14:paraId="4CAAAB9A" w14:textId="77777777" w:rsidTr="00581702">
        <w:trPr>
          <w:trHeight w:val="257"/>
        </w:trPr>
        <w:tc>
          <w:tcPr>
            <w:tcW w:w="1477" w:type="dxa"/>
            <w:shd w:val="clear" w:color="auto" w:fill="auto"/>
            <w:vAlign w:val="center"/>
          </w:tcPr>
          <w:p w14:paraId="00466377" w14:textId="77777777" w:rsidR="00AD4D3B" w:rsidRPr="00AD4D3B" w:rsidRDefault="00AD4D3B" w:rsidP="00AD4D3B">
            <w:pPr>
              <w:rPr>
                <w:rFonts w:ascii="Arial" w:hAnsi="Arial" w:cs="Arial"/>
                <w:sz w:val="17"/>
                <w:szCs w:val="17"/>
              </w:rPr>
            </w:pPr>
            <w:r w:rsidRPr="00AD4D3B">
              <w:rPr>
                <w:rFonts w:ascii="Arial" w:hAnsi="Arial" w:cs="Arial"/>
                <w:sz w:val="17"/>
                <w:szCs w:val="17"/>
              </w:rPr>
              <w:t>Universitat Jaume I</w:t>
            </w:r>
          </w:p>
        </w:tc>
        <w:tc>
          <w:tcPr>
            <w:tcW w:w="1423" w:type="dxa"/>
            <w:shd w:val="clear" w:color="auto" w:fill="auto"/>
            <w:vAlign w:val="center"/>
          </w:tcPr>
          <w:p w14:paraId="27627538" w14:textId="77777777" w:rsidR="00AD4D3B" w:rsidRPr="00AD4D3B" w:rsidRDefault="00AD4D3B" w:rsidP="00AD4D3B">
            <w:pPr>
              <w:rPr>
                <w:rFonts w:ascii="Arial" w:hAnsi="Arial" w:cs="Arial"/>
                <w:sz w:val="17"/>
                <w:szCs w:val="17"/>
              </w:rPr>
            </w:pPr>
            <w:r w:rsidRPr="00AD4D3B">
              <w:rPr>
                <w:rFonts w:ascii="Arial" w:hAnsi="Arial" w:cs="Arial"/>
                <w:i/>
                <w:sz w:val="17"/>
                <w:szCs w:val="17"/>
              </w:rPr>
              <w:t>Workshop</w:t>
            </w:r>
            <w:r w:rsidRPr="00AD4D3B">
              <w:rPr>
                <w:rFonts w:ascii="Arial" w:hAnsi="Arial" w:cs="Arial"/>
                <w:sz w:val="17"/>
                <w:szCs w:val="17"/>
              </w:rPr>
              <w:t>, conferència inaugural</w:t>
            </w:r>
          </w:p>
        </w:tc>
        <w:tc>
          <w:tcPr>
            <w:tcW w:w="2907" w:type="dxa"/>
            <w:shd w:val="clear" w:color="auto" w:fill="auto"/>
            <w:vAlign w:val="center"/>
          </w:tcPr>
          <w:p w14:paraId="0737A689" w14:textId="77777777" w:rsidR="00AD4D3B" w:rsidRPr="00AD4D3B" w:rsidRDefault="00AD4D3B" w:rsidP="00AD4D3B">
            <w:pPr>
              <w:jc w:val="both"/>
              <w:rPr>
                <w:rFonts w:ascii="Arial" w:hAnsi="Arial" w:cs="Arial"/>
                <w:sz w:val="17"/>
                <w:szCs w:val="17"/>
              </w:rPr>
            </w:pPr>
            <w:r w:rsidRPr="00AD4D3B">
              <w:rPr>
                <w:rFonts w:ascii="Arial" w:hAnsi="Arial" w:cs="Arial"/>
                <w:sz w:val="17"/>
                <w:szCs w:val="17"/>
              </w:rPr>
              <w:t>El paper de las agències antifrau en la lluita contra la corrupció per la integritat pública</w:t>
            </w:r>
          </w:p>
        </w:tc>
        <w:tc>
          <w:tcPr>
            <w:tcW w:w="748" w:type="dxa"/>
            <w:shd w:val="clear" w:color="auto" w:fill="auto"/>
            <w:vAlign w:val="center"/>
          </w:tcPr>
          <w:p w14:paraId="7CFC98AD"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28-oct</w:t>
            </w:r>
          </w:p>
        </w:tc>
        <w:tc>
          <w:tcPr>
            <w:tcW w:w="1190" w:type="dxa"/>
            <w:shd w:val="clear" w:color="auto" w:fill="auto"/>
            <w:vAlign w:val="center"/>
          </w:tcPr>
          <w:p w14:paraId="017A2CEC"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15</w:t>
            </w:r>
          </w:p>
        </w:tc>
        <w:tc>
          <w:tcPr>
            <w:tcW w:w="775" w:type="dxa"/>
            <w:shd w:val="clear" w:color="auto" w:fill="auto"/>
            <w:vAlign w:val="center"/>
          </w:tcPr>
          <w:p w14:paraId="471A07D1" w14:textId="77777777" w:rsidR="00AD4D3B" w:rsidRPr="00AD4D3B" w:rsidRDefault="00AD4D3B" w:rsidP="00AD4D3B">
            <w:pPr>
              <w:jc w:val="center"/>
              <w:rPr>
                <w:rFonts w:ascii="Arial" w:hAnsi="Arial" w:cs="Arial"/>
                <w:sz w:val="17"/>
                <w:szCs w:val="17"/>
                <w:lang w:val="es-ES"/>
              </w:rPr>
            </w:pPr>
            <w:r w:rsidRPr="00AD4D3B">
              <w:rPr>
                <w:rFonts w:ascii="Arial" w:hAnsi="Arial" w:cs="Arial"/>
                <w:sz w:val="17"/>
                <w:szCs w:val="17"/>
                <w:lang w:val="es-ES"/>
              </w:rPr>
              <w:t>1</w:t>
            </w:r>
          </w:p>
        </w:tc>
      </w:tr>
      <w:tr w:rsidR="00AD4D3B" w:rsidRPr="00AD4D3B" w14:paraId="779ED992" w14:textId="77777777" w:rsidTr="00581702">
        <w:trPr>
          <w:trHeight w:val="243"/>
        </w:trPr>
        <w:tc>
          <w:tcPr>
            <w:tcW w:w="1477" w:type="dxa"/>
            <w:vAlign w:val="center"/>
          </w:tcPr>
          <w:p w14:paraId="4A860D9C" w14:textId="77777777" w:rsidR="00AD4D3B" w:rsidRPr="00AD4D3B" w:rsidRDefault="00AD4D3B" w:rsidP="00AD4D3B">
            <w:pPr>
              <w:rPr>
                <w:rFonts w:ascii="Arial" w:hAnsi="Arial" w:cs="Arial"/>
                <w:sz w:val="17"/>
                <w:szCs w:val="17"/>
              </w:rPr>
            </w:pPr>
            <w:r w:rsidRPr="00AD4D3B">
              <w:rPr>
                <w:rFonts w:ascii="Arial" w:hAnsi="Arial" w:cs="Arial"/>
                <w:sz w:val="17"/>
                <w:szCs w:val="17"/>
              </w:rPr>
              <w:t>Observatori de Transparència i Bon Govern de l’UJI</w:t>
            </w:r>
          </w:p>
        </w:tc>
        <w:tc>
          <w:tcPr>
            <w:tcW w:w="1423" w:type="dxa"/>
            <w:vAlign w:val="center"/>
          </w:tcPr>
          <w:p w14:paraId="13C4EB46" w14:textId="77777777" w:rsidR="00AD4D3B" w:rsidRPr="00AD4D3B" w:rsidRDefault="00AD4D3B" w:rsidP="00AD4D3B">
            <w:pPr>
              <w:rPr>
                <w:rFonts w:ascii="Arial" w:hAnsi="Arial" w:cs="Arial"/>
                <w:sz w:val="17"/>
                <w:szCs w:val="17"/>
              </w:rPr>
            </w:pPr>
            <w:r w:rsidRPr="00AD4D3B">
              <w:rPr>
                <w:rFonts w:ascii="Arial" w:hAnsi="Arial" w:cs="Arial"/>
                <w:sz w:val="17"/>
                <w:szCs w:val="17"/>
              </w:rPr>
              <w:t>Jornada</w:t>
            </w:r>
          </w:p>
        </w:tc>
        <w:tc>
          <w:tcPr>
            <w:tcW w:w="2907" w:type="dxa"/>
            <w:vAlign w:val="center"/>
          </w:tcPr>
          <w:p w14:paraId="0482887E" w14:textId="77777777" w:rsidR="00AD4D3B" w:rsidRPr="00AD4D3B" w:rsidRDefault="00AD4D3B" w:rsidP="00AD4D3B">
            <w:pPr>
              <w:jc w:val="both"/>
              <w:rPr>
                <w:rFonts w:ascii="Arial" w:hAnsi="Arial" w:cs="Arial"/>
                <w:sz w:val="17"/>
                <w:szCs w:val="17"/>
              </w:rPr>
            </w:pPr>
            <w:r w:rsidRPr="00AD4D3B">
              <w:rPr>
                <w:rFonts w:ascii="Arial" w:hAnsi="Arial" w:cs="Arial"/>
                <w:sz w:val="17"/>
                <w:szCs w:val="17"/>
              </w:rPr>
              <w:t>Bon govern en la funció pública local</w:t>
            </w:r>
          </w:p>
        </w:tc>
        <w:tc>
          <w:tcPr>
            <w:tcW w:w="748" w:type="dxa"/>
            <w:vAlign w:val="center"/>
          </w:tcPr>
          <w:p w14:paraId="1EBAF5C2"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3-nov</w:t>
            </w:r>
          </w:p>
        </w:tc>
        <w:tc>
          <w:tcPr>
            <w:tcW w:w="1190" w:type="dxa"/>
            <w:vAlign w:val="center"/>
          </w:tcPr>
          <w:p w14:paraId="0572DEDC"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51</w:t>
            </w:r>
          </w:p>
        </w:tc>
        <w:tc>
          <w:tcPr>
            <w:tcW w:w="775" w:type="dxa"/>
            <w:vAlign w:val="center"/>
          </w:tcPr>
          <w:p w14:paraId="22DC470F" w14:textId="77777777" w:rsidR="00AD4D3B" w:rsidRPr="00AD4D3B" w:rsidRDefault="00AD4D3B" w:rsidP="00AD4D3B">
            <w:pPr>
              <w:jc w:val="center"/>
              <w:rPr>
                <w:rFonts w:ascii="Arial" w:hAnsi="Arial" w:cs="Arial"/>
                <w:sz w:val="17"/>
                <w:szCs w:val="17"/>
                <w:lang w:val="es-ES"/>
              </w:rPr>
            </w:pPr>
            <w:r w:rsidRPr="00AD4D3B">
              <w:rPr>
                <w:rFonts w:ascii="Arial" w:hAnsi="Arial" w:cs="Arial"/>
                <w:sz w:val="17"/>
                <w:szCs w:val="17"/>
                <w:lang w:val="es-ES"/>
              </w:rPr>
              <w:t>4</w:t>
            </w:r>
          </w:p>
        </w:tc>
      </w:tr>
      <w:tr w:rsidR="00AD4D3B" w:rsidRPr="00AD4D3B" w14:paraId="0F94913D" w14:textId="77777777" w:rsidTr="00581702">
        <w:trPr>
          <w:trHeight w:val="243"/>
        </w:trPr>
        <w:tc>
          <w:tcPr>
            <w:tcW w:w="6555" w:type="dxa"/>
            <w:gridSpan w:val="4"/>
            <w:shd w:val="clear" w:color="auto" w:fill="D9D9D9"/>
            <w:vAlign w:val="center"/>
          </w:tcPr>
          <w:p w14:paraId="240DAF0D" w14:textId="77777777" w:rsidR="00AD4D3B" w:rsidRPr="00AD4D3B" w:rsidRDefault="00AD4D3B" w:rsidP="00AD4D3B">
            <w:pPr>
              <w:jc w:val="right"/>
              <w:rPr>
                <w:rFonts w:ascii="Arial" w:hAnsi="Arial" w:cs="Arial"/>
                <w:b/>
                <w:sz w:val="17"/>
                <w:szCs w:val="17"/>
              </w:rPr>
            </w:pPr>
            <w:r w:rsidRPr="00AD4D3B">
              <w:rPr>
                <w:rFonts w:ascii="Arial" w:hAnsi="Arial" w:cs="Arial"/>
                <w:b/>
                <w:sz w:val="17"/>
                <w:szCs w:val="17"/>
              </w:rPr>
              <w:t xml:space="preserve">Totals conferències </w:t>
            </w:r>
          </w:p>
        </w:tc>
        <w:tc>
          <w:tcPr>
            <w:tcW w:w="1190" w:type="dxa"/>
            <w:shd w:val="clear" w:color="auto" w:fill="D9D9D9"/>
            <w:vAlign w:val="center"/>
          </w:tcPr>
          <w:p w14:paraId="3C0146B0" w14:textId="77777777" w:rsidR="00AD4D3B" w:rsidRPr="00AD4D3B" w:rsidRDefault="00AD4D3B" w:rsidP="00AD4D3B">
            <w:pPr>
              <w:jc w:val="center"/>
              <w:rPr>
                <w:rFonts w:ascii="Arial" w:hAnsi="Arial" w:cs="Arial"/>
                <w:b/>
                <w:sz w:val="17"/>
                <w:szCs w:val="17"/>
              </w:rPr>
            </w:pPr>
            <w:r w:rsidRPr="00AD4D3B">
              <w:rPr>
                <w:rFonts w:ascii="Arial" w:hAnsi="Arial" w:cs="Arial"/>
                <w:b/>
                <w:sz w:val="17"/>
                <w:szCs w:val="17"/>
              </w:rPr>
              <w:t>108</w:t>
            </w:r>
          </w:p>
        </w:tc>
        <w:tc>
          <w:tcPr>
            <w:tcW w:w="775" w:type="dxa"/>
            <w:shd w:val="clear" w:color="auto" w:fill="D9D9D9"/>
            <w:vAlign w:val="center"/>
          </w:tcPr>
          <w:p w14:paraId="180193EC" w14:textId="77777777" w:rsidR="00AD4D3B" w:rsidRPr="00AD4D3B" w:rsidRDefault="00AD4D3B" w:rsidP="00AD4D3B">
            <w:pPr>
              <w:jc w:val="center"/>
              <w:rPr>
                <w:rFonts w:ascii="Arial" w:hAnsi="Arial" w:cs="Arial"/>
                <w:b/>
                <w:sz w:val="17"/>
                <w:szCs w:val="17"/>
                <w:lang w:val="es-ES"/>
              </w:rPr>
            </w:pPr>
            <w:r w:rsidRPr="00AD4D3B">
              <w:rPr>
                <w:rFonts w:ascii="Arial" w:hAnsi="Arial" w:cs="Arial"/>
                <w:b/>
                <w:sz w:val="17"/>
                <w:szCs w:val="17"/>
                <w:lang w:val="es-ES"/>
              </w:rPr>
              <w:t>7</w:t>
            </w:r>
          </w:p>
        </w:tc>
      </w:tr>
    </w:tbl>
    <w:p w14:paraId="026FB682" w14:textId="77777777" w:rsidR="00AD4D3B" w:rsidRPr="00AD4D3B" w:rsidRDefault="00AD4D3B" w:rsidP="00AD4D3B">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AD4D3B">
        <w:rPr>
          <w:rFonts w:ascii="Arial" w:eastAsia="Times New Roman" w:hAnsi="Arial" w:cs="Arial"/>
          <w:b/>
          <w:color w:val="9D2235"/>
          <w:sz w:val="24"/>
          <w:szCs w:val="24"/>
        </w:rPr>
        <w:t>Unisocietat</w:t>
      </w:r>
    </w:p>
    <w:p w14:paraId="12B9547F" w14:textId="77777777" w:rsidR="00AD4D3B" w:rsidRPr="00AD4D3B" w:rsidRDefault="00AD4D3B" w:rsidP="00AD4D3B">
      <w:pPr>
        <w:pStyle w:val="Texto"/>
        <w:spacing w:after="240"/>
        <w:rPr>
          <w:rFonts w:ascii="Arial" w:hAnsi="Arial" w:cs="Arial"/>
        </w:rPr>
      </w:pPr>
      <w:r w:rsidRPr="00AD4D3B">
        <w:rPr>
          <w:rFonts w:ascii="Arial" w:hAnsi="Arial" w:cs="Arial"/>
        </w:rPr>
        <w:t>Al juny de 2020, l'Agència Valenciana Antifrau i la Universitat de València, van formalitzar un conveni específic de col·laboració per a desenvolupar el projecte Activitats formatives per al bon govern i la ciutadania en el territori valencià.</w:t>
      </w:r>
    </w:p>
    <w:p w14:paraId="6AEB599D" w14:textId="77777777" w:rsidR="00AD4D3B" w:rsidRPr="00AD4D3B" w:rsidRDefault="00AD4D3B" w:rsidP="00AD4D3B">
      <w:pPr>
        <w:pStyle w:val="Texto"/>
        <w:spacing w:after="240"/>
        <w:rPr>
          <w:rFonts w:ascii="Arial" w:hAnsi="Arial" w:cs="Arial"/>
        </w:rPr>
      </w:pPr>
      <w:r w:rsidRPr="00AD4D3B">
        <w:rPr>
          <w:rFonts w:ascii="Arial" w:hAnsi="Arial" w:cs="Arial"/>
        </w:rPr>
        <w:t>En el marc d'aquest conveni es desenvolupen 3 tipus d'activitats: les conferències per a la ciutadania del programa Unisocietat, les Jornades específiques AVAF-UV i la producció d'audiovisuals pel Taller d'Audiovisuals de la Universitat (TAU).</w:t>
      </w:r>
    </w:p>
    <w:p w14:paraId="36E78743" w14:textId="40717AC2" w:rsidR="00B23DB3" w:rsidRPr="00AD4D3B" w:rsidRDefault="00AD4D3B" w:rsidP="00AD4D3B">
      <w:pPr>
        <w:pStyle w:val="Texto"/>
        <w:spacing w:after="240"/>
        <w:rPr>
          <w:rFonts w:ascii="Arial" w:hAnsi="Arial" w:cs="Arial"/>
        </w:rPr>
      </w:pPr>
      <w:r w:rsidRPr="00AD4D3B">
        <w:rPr>
          <w:rFonts w:ascii="Arial" w:hAnsi="Arial" w:cs="Arial"/>
        </w:rPr>
        <w:t xml:space="preserve">En concret, l'Agència ha participat i promogut les següents activitats del programa Unisocietat, desenvolupades en 12 municipis de la província de València </w:t>
      </w:r>
      <w:r w:rsidRPr="00C9578C">
        <w:rPr>
          <w:rFonts w:ascii="Arial" w:hAnsi="Arial" w:cs="Arial"/>
        </w:rPr>
        <w:t>(Taula 2</w:t>
      </w:r>
      <w:r w:rsidR="00A55252" w:rsidRPr="00C9578C">
        <w:rPr>
          <w:rFonts w:ascii="Arial" w:hAnsi="Arial" w:cs="Arial"/>
        </w:rPr>
        <w:t>7</w:t>
      </w:r>
      <w:r w:rsidRPr="00C9578C">
        <w:rPr>
          <w:rFonts w:ascii="Arial" w:hAnsi="Arial" w:cs="Arial"/>
        </w:rPr>
        <w:t>).</w:t>
      </w:r>
    </w:p>
    <w:p w14:paraId="3220C04F" w14:textId="126E3F45" w:rsidR="00AD4D3B" w:rsidRPr="005F448E" w:rsidRDefault="00AD4D3B" w:rsidP="00AD4D3B">
      <w:pPr>
        <w:pStyle w:val="Descripcin"/>
        <w:keepNext/>
        <w:rPr>
          <w:rFonts w:ascii="Arial" w:hAnsi="Arial" w:cs="Arial"/>
          <w:smallCaps w:val="0"/>
          <w:sz w:val="18"/>
          <w:szCs w:val="18"/>
        </w:rPr>
      </w:pPr>
      <w:bookmarkStart w:id="422" w:name="_Toc99110872"/>
      <w:r w:rsidRPr="005F448E">
        <w:rPr>
          <w:rFonts w:ascii="Arial" w:hAnsi="Arial" w:cs="Arial"/>
          <w:smallCaps w:val="0"/>
          <w:color w:val="9D2235" w:themeColor="accent1"/>
          <w:sz w:val="18"/>
          <w:szCs w:val="18"/>
        </w:rPr>
        <w:t xml:space="preserve">Taula </w:t>
      </w:r>
      <w:r w:rsidRPr="005F448E">
        <w:rPr>
          <w:rFonts w:ascii="Arial" w:hAnsi="Arial" w:cs="Arial"/>
          <w:smallCaps w:val="0"/>
          <w:color w:val="9D2235" w:themeColor="accent1"/>
          <w:sz w:val="18"/>
          <w:szCs w:val="18"/>
        </w:rPr>
        <w:fldChar w:fldCharType="begin" w:fldLock="1"/>
      </w:r>
      <w:r w:rsidRPr="005F448E">
        <w:rPr>
          <w:rFonts w:ascii="Arial" w:hAnsi="Arial" w:cs="Arial"/>
          <w:smallCaps w:val="0"/>
          <w:color w:val="9D2235" w:themeColor="accent1"/>
          <w:sz w:val="18"/>
          <w:szCs w:val="18"/>
        </w:rPr>
        <w:instrText xml:space="preserve"> SEQ Taula \* ARABIC </w:instrText>
      </w:r>
      <w:r w:rsidRPr="005F448E">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27</w:t>
      </w:r>
      <w:r w:rsidRPr="005F448E">
        <w:rPr>
          <w:rFonts w:ascii="Arial" w:hAnsi="Arial" w:cs="Arial"/>
          <w:smallCaps w:val="0"/>
          <w:color w:val="9D2235" w:themeColor="accent1"/>
          <w:sz w:val="18"/>
          <w:szCs w:val="18"/>
        </w:rPr>
        <w:fldChar w:fldCharType="end"/>
      </w:r>
      <w:r w:rsidRPr="005F448E">
        <w:rPr>
          <w:rFonts w:ascii="Arial" w:hAnsi="Arial" w:cs="Arial"/>
          <w:smallCaps w:val="0"/>
          <w:color w:val="9D2235" w:themeColor="accent1"/>
          <w:sz w:val="18"/>
          <w:szCs w:val="18"/>
        </w:rPr>
        <w:t xml:space="preserve">. </w:t>
      </w:r>
      <w:r w:rsidRPr="005F448E">
        <w:rPr>
          <w:rFonts w:ascii="Arial" w:hAnsi="Arial" w:cs="Arial"/>
          <w:smallCaps w:val="0"/>
          <w:sz w:val="18"/>
          <w:szCs w:val="18"/>
        </w:rPr>
        <w:t>Conferències per a la ciutadania en el programa Unisocietat</w:t>
      </w:r>
      <w:bookmarkEnd w:id="422"/>
    </w:p>
    <w:tbl>
      <w:tblPr>
        <w:tblStyle w:val="Tablaconcuadrcula9"/>
        <w:tblW w:w="862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1555"/>
        <w:gridCol w:w="3969"/>
        <w:gridCol w:w="850"/>
        <w:gridCol w:w="992"/>
        <w:gridCol w:w="1256"/>
      </w:tblGrid>
      <w:tr w:rsidR="00AD4D3B" w:rsidRPr="00AD4D3B" w14:paraId="17C5035F" w14:textId="77777777" w:rsidTr="005F448E">
        <w:trPr>
          <w:trHeight w:val="405"/>
          <w:tblHeader/>
        </w:trPr>
        <w:tc>
          <w:tcPr>
            <w:tcW w:w="1555" w:type="dxa"/>
            <w:shd w:val="clear" w:color="auto" w:fill="9D2235"/>
            <w:vAlign w:val="center"/>
          </w:tcPr>
          <w:p w14:paraId="3A7B2F23" w14:textId="77777777" w:rsidR="00AD4D3B" w:rsidRPr="00AD4D3B" w:rsidRDefault="00AD4D3B" w:rsidP="00AD4D3B">
            <w:pPr>
              <w:rPr>
                <w:rFonts w:ascii="Arial" w:eastAsia="Times New Roman" w:hAnsi="Arial" w:cs="Arial"/>
                <w:b/>
                <w:bCs/>
                <w:color w:val="FFFFFF"/>
                <w:sz w:val="17"/>
                <w:szCs w:val="17"/>
                <w:lang w:eastAsia="es-ES"/>
              </w:rPr>
            </w:pPr>
            <w:r w:rsidRPr="00AD4D3B">
              <w:rPr>
                <w:rFonts w:ascii="Arial" w:eastAsia="Times New Roman" w:hAnsi="Arial" w:cs="Arial"/>
                <w:b/>
                <w:bCs/>
                <w:color w:val="FFFFFF"/>
                <w:sz w:val="17"/>
                <w:szCs w:val="17"/>
                <w:lang w:eastAsia="es-ES"/>
              </w:rPr>
              <w:t>Localitat</w:t>
            </w:r>
          </w:p>
        </w:tc>
        <w:tc>
          <w:tcPr>
            <w:tcW w:w="3969" w:type="dxa"/>
            <w:shd w:val="clear" w:color="auto" w:fill="9D2235"/>
            <w:vAlign w:val="center"/>
          </w:tcPr>
          <w:p w14:paraId="22CC2569" w14:textId="77777777" w:rsidR="00AD4D3B" w:rsidRPr="00AD4D3B" w:rsidRDefault="00AD4D3B" w:rsidP="00AD4D3B">
            <w:pPr>
              <w:rPr>
                <w:rFonts w:ascii="Arial" w:eastAsia="Times New Roman" w:hAnsi="Arial" w:cs="Arial"/>
                <w:b/>
                <w:bCs/>
                <w:color w:val="FFFFFF"/>
                <w:sz w:val="17"/>
                <w:szCs w:val="17"/>
                <w:lang w:eastAsia="es-ES"/>
              </w:rPr>
            </w:pPr>
            <w:r w:rsidRPr="00AD4D3B">
              <w:rPr>
                <w:rFonts w:ascii="Arial" w:eastAsia="Times New Roman" w:hAnsi="Arial" w:cs="Arial"/>
                <w:b/>
                <w:bCs/>
                <w:color w:val="FFFFFF"/>
                <w:sz w:val="17"/>
                <w:szCs w:val="17"/>
                <w:lang w:eastAsia="es-ES"/>
              </w:rPr>
              <w:t>Ponència</w:t>
            </w:r>
          </w:p>
        </w:tc>
        <w:tc>
          <w:tcPr>
            <w:tcW w:w="850" w:type="dxa"/>
            <w:shd w:val="clear" w:color="auto" w:fill="9D2235"/>
            <w:vAlign w:val="center"/>
          </w:tcPr>
          <w:p w14:paraId="0CC402DE" w14:textId="77777777" w:rsidR="00AD4D3B" w:rsidRPr="00AD4D3B" w:rsidRDefault="00AD4D3B" w:rsidP="00AD4D3B">
            <w:pPr>
              <w:rPr>
                <w:rFonts w:ascii="Arial" w:eastAsia="Times New Roman" w:hAnsi="Arial" w:cs="Arial"/>
                <w:b/>
                <w:bCs/>
                <w:color w:val="FFFFFF"/>
                <w:sz w:val="17"/>
                <w:szCs w:val="17"/>
                <w:lang w:eastAsia="es-ES"/>
              </w:rPr>
            </w:pPr>
            <w:r w:rsidRPr="00AD4D3B">
              <w:rPr>
                <w:rFonts w:ascii="Arial" w:eastAsia="Times New Roman" w:hAnsi="Arial" w:cs="Arial"/>
                <w:b/>
                <w:bCs/>
                <w:color w:val="FFFFFF"/>
                <w:sz w:val="17"/>
                <w:szCs w:val="17"/>
                <w:lang w:eastAsia="es-ES"/>
              </w:rPr>
              <w:t>Data</w:t>
            </w:r>
          </w:p>
        </w:tc>
        <w:tc>
          <w:tcPr>
            <w:tcW w:w="992" w:type="dxa"/>
            <w:shd w:val="clear" w:color="auto" w:fill="9D2235"/>
            <w:vAlign w:val="center"/>
          </w:tcPr>
          <w:p w14:paraId="56AEAA55" w14:textId="77777777" w:rsidR="00AD4D3B" w:rsidRPr="00AD4D3B" w:rsidRDefault="00AD4D3B" w:rsidP="00AD4D3B">
            <w:pPr>
              <w:rPr>
                <w:rFonts w:ascii="Arial" w:eastAsia="Times New Roman" w:hAnsi="Arial" w:cs="Arial"/>
                <w:b/>
                <w:bCs/>
                <w:color w:val="FFFFFF"/>
                <w:sz w:val="17"/>
                <w:szCs w:val="17"/>
                <w:lang w:eastAsia="es-ES"/>
              </w:rPr>
            </w:pPr>
            <w:r w:rsidRPr="00AD4D3B">
              <w:rPr>
                <w:rFonts w:ascii="Arial" w:eastAsia="Times New Roman" w:hAnsi="Arial" w:cs="Arial"/>
                <w:b/>
                <w:bCs/>
                <w:color w:val="FFFFFF"/>
                <w:sz w:val="17"/>
                <w:szCs w:val="17"/>
                <w:lang w:eastAsia="es-ES"/>
              </w:rPr>
              <w:t>Duració</w:t>
            </w:r>
          </w:p>
        </w:tc>
        <w:tc>
          <w:tcPr>
            <w:tcW w:w="1256" w:type="dxa"/>
            <w:shd w:val="clear" w:color="auto" w:fill="9D2235"/>
            <w:vAlign w:val="center"/>
          </w:tcPr>
          <w:p w14:paraId="05C954C0" w14:textId="77777777" w:rsidR="00AD4D3B" w:rsidRPr="00AD4D3B" w:rsidRDefault="00AD4D3B" w:rsidP="00AD4D3B">
            <w:pPr>
              <w:rPr>
                <w:rFonts w:ascii="Arial" w:eastAsia="Times New Roman" w:hAnsi="Arial" w:cs="Arial"/>
                <w:b/>
                <w:bCs/>
                <w:color w:val="FFFFFF"/>
                <w:sz w:val="17"/>
                <w:szCs w:val="17"/>
                <w:lang w:eastAsia="es-ES"/>
              </w:rPr>
            </w:pPr>
            <w:r w:rsidRPr="00AD4D3B">
              <w:rPr>
                <w:rFonts w:ascii="Arial" w:eastAsia="Times New Roman" w:hAnsi="Arial" w:cs="Arial"/>
                <w:b/>
                <w:bCs/>
                <w:color w:val="FFFFFF"/>
                <w:sz w:val="17"/>
                <w:szCs w:val="17"/>
                <w:lang w:eastAsia="es-ES"/>
              </w:rPr>
              <w:t>Assistents</w:t>
            </w:r>
          </w:p>
        </w:tc>
      </w:tr>
      <w:tr w:rsidR="00AD4D3B" w:rsidRPr="00AD4D3B" w14:paraId="42E2BFC7" w14:textId="77777777" w:rsidTr="00581702">
        <w:trPr>
          <w:trHeight w:val="676"/>
        </w:trPr>
        <w:tc>
          <w:tcPr>
            <w:tcW w:w="1555" w:type="dxa"/>
            <w:vAlign w:val="center"/>
          </w:tcPr>
          <w:p w14:paraId="7C1F2122" w14:textId="77777777" w:rsidR="00AD4D3B" w:rsidRPr="00AD4D3B" w:rsidRDefault="00AD4D3B" w:rsidP="00AD4D3B">
            <w:pPr>
              <w:rPr>
                <w:rFonts w:ascii="Arial" w:hAnsi="Arial" w:cs="Arial"/>
                <w:sz w:val="17"/>
                <w:szCs w:val="17"/>
              </w:rPr>
            </w:pPr>
            <w:r w:rsidRPr="00AD4D3B">
              <w:rPr>
                <w:rFonts w:ascii="Arial" w:hAnsi="Arial" w:cs="Arial"/>
                <w:sz w:val="17"/>
                <w:szCs w:val="17"/>
              </w:rPr>
              <w:t>Riba-roja de Túria</w:t>
            </w:r>
          </w:p>
        </w:tc>
        <w:tc>
          <w:tcPr>
            <w:tcW w:w="3969" w:type="dxa"/>
            <w:vAlign w:val="center"/>
          </w:tcPr>
          <w:p w14:paraId="51471C72" w14:textId="77777777" w:rsidR="00AD4D3B" w:rsidRPr="00AD4D3B" w:rsidRDefault="00AD4D3B" w:rsidP="00AD4D3B">
            <w:pPr>
              <w:rPr>
                <w:rFonts w:ascii="Arial" w:hAnsi="Arial" w:cs="Arial"/>
                <w:sz w:val="17"/>
                <w:szCs w:val="17"/>
              </w:rPr>
            </w:pPr>
            <w:r w:rsidRPr="00AD4D3B">
              <w:rPr>
                <w:rFonts w:ascii="Arial" w:hAnsi="Arial" w:cs="Arial"/>
                <w:sz w:val="17"/>
                <w:szCs w:val="17"/>
              </w:rPr>
              <w:t>Té o no límits la llibertat d'expressió? (En línea)</w:t>
            </w:r>
          </w:p>
        </w:tc>
        <w:tc>
          <w:tcPr>
            <w:tcW w:w="850" w:type="dxa"/>
            <w:vAlign w:val="center"/>
          </w:tcPr>
          <w:p w14:paraId="301B2E70"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19-feb</w:t>
            </w:r>
          </w:p>
        </w:tc>
        <w:tc>
          <w:tcPr>
            <w:tcW w:w="992" w:type="dxa"/>
            <w:vAlign w:val="center"/>
          </w:tcPr>
          <w:p w14:paraId="1DD13D2E"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7F24D3EA"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150</w:t>
            </w:r>
          </w:p>
        </w:tc>
      </w:tr>
      <w:tr w:rsidR="00AD4D3B" w:rsidRPr="00AD4D3B" w14:paraId="34E0B51F" w14:textId="77777777" w:rsidTr="00581702">
        <w:trPr>
          <w:trHeight w:val="689"/>
        </w:trPr>
        <w:tc>
          <w:tcPr>
            <w:tcW w:w="1555" w:type="dxa"/>
            <w:vAlign w:val="center"/>
          </w:tcPr>
          <w:p w14:paraId="0FE4143B" w14:textId="77777777" w:rsidR="00AD4D3B" w:rsidRPr="00AD4D3B" w:rsidRDefault="00AD4D3B" w:rsidP="00AD4D3B">
            <w:pPr>
              <w:rPr>
                <w:rFonts w:ascii="Arial" w:hAnsi="Arial" w:cs="Arial"/>
                <w:sz w:val="17"/>
                <w:szCs w:val="17"/>
              </w:rPr>
            </w:pPr>
            <w:r w:rsidRPr="00AD4D3B">
              <w:rPr>
                <w:rFonts w:ascii="Arial" w:hAnsi="Arial" w:cs="Arial"/>
                <w:sz w:val="17"/>
                <w:szCs w:val="17"/>
              </w:rPr>
              <w:t>Gandia</w:t>
            </w:r>
          </w:p>
        </w:tc>
        <w:tc>
          <w:tcPr>
            <w:tcW w:w="3969" w:type="dxa"/>
            <w:vAlign w:val="center"/>
          </w:tcPr>
          <w:p w14:paraId="3BE8D43B" w14:textId="77777777" w:rsidR="00AD4D3B" w:rsidRPr="00AD4D3B" w:rsidRDefault="00AD4D3B" w:rsidP="00AD4D3B">
            <w:pPr>
              <w:rPr>
                <w:rFonts w:ascii="Arial" w:hAnsi="Arial" w:cs="Arial"/>
                <w:sz w:val="17"/>
                <w:szCs w:val="17"/>
              </w:rPr>
            </w:pPr>
            <w:r w:rsidRPr="00AD4D3B">
              <w:rPr>
                <w:rFonts w:ascii="Arial" w:hAnsi="Arial" w:cs="Arial"/>
                <w:sz w:val="17"/>
                <w:szCs w:val="17"/>
              </w:rPr>
              <w:t>Funciona realment això de la transparència, o és només una moda?</w:t>
            </w:r>
          </w:p>
        </w:tc>
        <w:tc>
          <w:tcPr>
            <w:tcW w:w="850" w:type="dxa"/>
            <w:vAlign w:val="center"/>
          </w:tcPr>
          <w:p w14:paraId="6E22A922"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24-mar</w:t>
            </w:r>
          </w:p>
        </w:tc>
        <w:tc>
          <w:tcPr>
            <w:tcW w:w="992" w:type="dxa"/>
            <w:vAlign w:val="center"/>
          </w:tcPr>
          <w:p w14:paraId="42BF650D"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43948C8C"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21</w:t>
            </w:r>
          </w:p>
        </w:tc>
      </w:tr>
      <w:tr w:rsidR="00AD4D3B" w:rsidRPr="00AD4D3B" w14:paraId="22636CE2" w14:textId="77777777" w:rsidTr="00581702">
        <w:trPr>
          <w:trHeight w:val="446"/>
        </w:trPr>
        <w:tc>
          <w:tcPr>
            <w:tcW w:w="1555" w:type="dxa"/>
            <w:vAlign w:val="center"/>
          </w:tcPr>
          <w:p w14:paraId="2B912D12" w14:textId="77777777" w:rsidR="00AD4D3B" w:rsidRPr="00AD4D3B" w:rsidRDefault="00AD4D3B" w:rsidP="00AD4D3B">
            <w:pPr>
              <w:rPr>
                <w:rFonts w:ascii="Arial" w:hAnsi="Arial" w:cs="Arial"/>
                <w:sz w:val="17"/>
                <w:szCs w:val="17"/>
              </w:rPr>
            </w:pPr>
            <w:r w:rsidRPr="00AD4D3B">
              <w:rPr>
                <w:rFonts w:ascii="Arial" w:hAnsi="Arial" w:cs="Arial"/>
                <w:sz w:val="17"/>
                <w:szCs w:val="17"/>
              </w:rPr>
              <w:t>Benetússer</w:t>
            </w:r>
          </w:p>
        </w:tc>
        <w:tc>
          <w:tcPr>
            <w:tcW w:w="3969" w:type="dxa"/>
            <w:vAlign w:val="center"/>
          </w:tcPr>
          <w:p w14:paraId="7B7AD7F6" w14:textId="77777777" w:rsidR="00AD4D3B" w:rsidRPr="00AD4D3B" w:rsidRDefault="00AD4D3B" w:rsidP="00AD4D3B">
            <w:pPr>
              <w:rPr>
                <w:rFonts w:ascii="Arial" w:hAnsi="Arial" w:cs="Arial"/>
                <w:sz w:val="17"/>
                <w:szCs w:val="17"/>
              </w:rPr>
            </w:pPr>
            <w:r w:rsidRPr="00AD4D3B">
              <w:rPr>
                <w:rFonts w:ascii="Arial" w:hAnsi="Arial" w:cs="Arial"/>
                <w:sz w:val="17"/>
                <w:szCs w:val="17"/>
              </w:rPr>
              <w:t>El sistema financer i la Covid-19</w:t>
            </w:r>
          </w:p>
        </w:tc>
        <w:tc>
          <w:tcPr>
            <w:tcW w:w="850" w:type="dxa"/>
            <w:vAlign w:val="center"/>
          </w:tcPr>
          <w:p w14:paraId="32BC0310"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28-abr</w:t>
            </w:r>
          </w:p>
        </w:tc>
        <w:tc>
          <w:tcPr>
            <w:tcW w:w="992" w:type="dxa"/>
            <w:vAlign w:val="center"/>
          </w:tcPr>
          <w:p w14:paraId="71CE38AD"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0F614A13"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9</w:t>
            </w:r>
          </w:p>
        </w:tc>
      </w:tr>
      <w:tr w:rsidR="00AD4D3B" w:rsidRPr="00AD4D3B" w14:paraId="58007C80" w14:textId="77777777" w:rsidTr="00581702">
        <w:trPr>
          <w:trHeight w:val="459"/>
        </w:trPr>
        <w:tc>
          <w:tcPr>
            <w:tcW w:w="1555" w:type="dxa"/>
            <w:vAlign w:val="center"/>
          </w:tcPr>
          <w:p w14:paraId="5B54D37F" w14:textId="77777777" w:rsidR="00AD4D3B" w:rsidRPr="00AD4D3B" w:rsidRDefault="00AD4D3B" w:rsidP="00AD4D3B">
            <w:pPr>
              <w:rPr>
                <w:rFonts w:ascii="Arial" w:hAnsi="Arial" w:cs="Arial"/>
                <w:sz w:val="17"/>
                <w:szCs w:val="17"/>
              </w:rPr>
            </w:pPr>
            <w:r w:rsidRPr="00AD4D3B">
              <w:rPr>
                <w:rFonts w:ascii="Arial" w:hAnsi="Arial" w:cs="Arial"/>
                <w:sz w:val="17"/>
                <w:szCs w:val="17"/>
              </w:rPr>
              <w:t>Alzira</w:t>
            </w:r>
          </w:p>
        </w:tc>
        <w:tc>
          <w:tcPr>
            <w:tcW w:w="3969" w:type="dxa"/>
            <w:vAlign w:val="center"/>
          </w:tcPr>
          <w:p w14:paraId="60428E38" w14:textId="77777777" w:rsidR="00AD4D3B" w:rsidRPr="00AD4D3B" w:rsidRDefault="00AD4D3B" w:rsidP="00AD4D3B">
            <w:pPr>
              <w:rPr>
                <w:rFonts w:ascii="Arial" w:hAnsi="Arial" w:cs="Arial"/>
                <w:sz w:val="17"/>
                <w:szCs w:val="17"/>
              </w:rPr>
            </w:pPr>
            <w:r w:rsidRPr="00AD4D3B">
              <w:rPr>
                <w:rFonts w:ascii="Arial" w:hAnsi="Arial" w:cs="Arial"/>
                <w:sz w:val="17"/>
                <w:szCs w:val="17"/>
              </w:rPr>
              <w:t>Covid-19 i drets fonamentals</w:t>
            </w:r>
          </w:p>
        </w:tc>
        <w:tc>
          <w:tcPr>
            <w:tcW w:w="850" w:type="dxa"/>
            <w:vAlign w:val="center"/>
          </w:tcPr>
          <w:p w14:paraId="7456E770"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25-maig</w:t>
            </w:r>
          </w:p>
        </w:tc>
        <w:tc>
          <w:tcPr>
            <w:tcW w:w="992" w:type="dxa"/>
            <w:vAlign w:val="center"/>
          </w:tcPr>
          <w:p w14:paraId="44F99F82"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376926C1"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22</w:t>
            </w:r>
          </w:p>
        </w:tc>
      </w:tr>
      <w:tr w:rsidR="00AD4D3B" w:rsidRPr="00AD4D3B" w14:paraId="0D7CCACF" w14:textId="77777777" w:rsidTr="00581702">
        <w:trPr>
          <w:trHeight w:val="676"/>
        </w:trPr>
        <w:tc>
          <w:tcPr>
            <w:tcW w:w="1555" w:type="dxa"/>
            <w:vAlign w:val="center"/>
          </w:tcPr>
          <w:p w14:paraId="25B511CB" w14:textId="77777777" w:rsidR="00AD4D3B" w:rsidRPr="00AD4D3B" w:rsidRDefault="00AD4D3B" w:rsidP="00AD4D3B">
            <w:pPr>
              <w:rPr>
                <w:rFonts w:ascii="Arial" w:hAnsi="Arial" w:cs="Arial"/>
                <w:sz w:val="17"/>
                <w:szCs w:val="17"/>
              </w:rPr>
            </w:pPr>
            <w:r w:rsidRPr="00AD4D3B">
              <w:rPr>
                <w:rFonts w:ascii="Arial" w:hAnsi="Arial" w:cs="Arial"/>
                <w:sz w:val="17"/>
                <w:szCs w:val="17"/>
              </w:rPr>
              <w:t>Quart de Poblet</w:t>
            </w:r>
          </w:p>
        </w:tc>
        <w:tc>
          <w:tcPr>
            <w:tcW w:w="3969" w:type="dxa"/>
            <w:vAlign w:val="center"/>
          </w:tcPr>
          <w:p w14:paraId="2E7863AD" w14:textId="77777777" w:rsidR="00AD4D3B" w:rsidRPr="00AD4D3B" w:rsidRDefault="00AD4D3B" w:rsidP="00AD4D3B">
            <w:pPr>
              <w:rPr>
                <w:rFonts w:ascii="Arial" w:hAnsi="Arial" w:cs="Arial"/>
                <w:sz w:val="17"/>
                <w:szCs w:val="17"/>
              </w:rPr>
            </w:pPr>
            <w:r w:rsidRPr="00AD4D3B">
              <w:rPr>
                <w:rFonts w:ascii="Arial" w:hAnsi="Arial" w:cs="Arial"/>
                <w:sz w:val="17"/>
                <w:szCs w:val="17"/>
              </w:rPr>
              <w:t xml:space="preserve">Els mecanismes de control públics dels fons europeus </w:t>
            </w:r>
            <w:r w:rsidRPr="00AD4D3B">
              <w:rPr>
                <w:rFonts w:ascii="Arial" w:hAnsi="Arial" w:cs="Arial"/>
                <w:i/>
                <w:sz w:val="17"/>
                <w:szCs w:val="17"/>
              </w:rPr>
              <w:t>Next Generation</w:t>
            </w:r>
          </w:p>
        </w:tc>
        <w:tc>
          <w:tcPr>
            <w:tcW w:w="850" w:type="dxa"/>
            <w:vAlign w:val="center"/>
          </w:tcPr>
          <w:p w14:paraId="5B94AFE6"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26-maig</w:t>
            </w:r>
          </w:p>
        </w:tc>
        <w:tc>
          <w:tcPr>
            <w:tcW w:w="992" w:type="dxa"/>
            <w:vAlign w:val="center"/>
          </w:tcPr>
          <w:p w14:paraId="722CF267"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415C502E"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15</w:t>
            </w:r>
          </w:p>
        </w:tc>
      </w:tr>
      <w:tr w:rsidR="00AD4D3B" w:rsidRPr="00AD4D3B" w14:paraId="06093C4C" w14:textId="77777777" w:rsidTr="00581702">
        <w:trPr>
          <w:trHeight w:val="459"/>
        </w:trPr>
        <w:tc>
          <w:tcPr>
            <w:tcW w:w="1555" w:type="dxa"/>
            <w:vAlign w:val="center"/>
          </w:tcPr>
          <w:p w14:paraId="077D0F5D" w14:textId="77777777" w:rsidR="00AD4D3B" w:rsidRPr="00AD4D3B" w:rsidRDefault="00AD4D3B" w:rsidP="00AD4D3B">
            <w:pPr>
              <w:rPr>
                <w:rFonts w:ascii="Arial" w:hAnsi="Arial" w:cs="Arial"/>
                <w:sz w:val="17"/>
                <w:szCs w:val="17"/>
              </w:rPr>
            </w:pPr>
            <w:r w:rsidRPr="00AD4D3B">
              <w:rPr>
                <w:rFonts w:ascii="Arial" w:hAnsi="Arial" w:cs="Arial"/>
                <w:sz w:val="17"/>
                <w:szCs w:val="17"/>
              </w:rPr>
              <w:t>Requena</w:t>
            </w:r>
          </w:p>
        </w:tc>
        <w:tc>
          <w:tcPr>
            <w:tcW w:w="3969" w:type="dxa"/>
            <w:vAlign w:val="center"/>
          </w:tcPr>
          <w:p w14:paraId="63C3240C" w14:textId="77777777" w:rsidR="00AD4D3B" w:rsidRPr="00AD4D3B" w:rsidRDefault="00AD4D3B" w:rsidP="00AD4D3B">
            <w:pPr>
              <w:rPr>
                <w:rFonts w:ascii="Arial" w:hAnsi="Arial" w:cs="Arial"/>
                <w:sz w:val="17"/>
                <w:szCs w:val="17"/>
              </w:rPr>
            </w:pPr>
            <w:r w:rsidRPr="00AD4D3B">
              <w:rPr>
                <w:rFonts w:ascii="Arial" w:hAnsi="Arial" w:cs="Arial"/>
                <w:sz w:val="17"/>
                <w:szCs w:val="17"/>
              </w:rPr>
              <w:t>El sistema financer i la Covid-19</w:t>
            </w:r>
          </w:p>
        </w:tc>
        <w:tc>
          <w:tcPr>
            <w:tcW w:w="850" w:type="dxa"/>
            <w:vAlign w:val="center"/>
          </w:tcPr>
          <w:p w14:paraId="504AC237"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3-jun</w:t>
            </w:r>
          </w:p>
        </w:tc>
        <w:tc>
          <w:tcPr>
            <w:tcW w:w="992" w:type="dxa"/>
            <w:vAlign w:val="center"/>
          </w:tcPr>
          <w:p w14:paraId="5F099A5C"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0E73A839"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15</w:t>
            </w:r>
          </w:p>
        </w:tc>
      </w:tr>
      <w:tr w:rsidR="00AD4D3B" w:rsidRPr="00AD4D3B" w14:paraId="3F78FE73" w14:textId="77777777" w:rsidTr="00581702">
        <w:trPr>
          <w:trHeight w:val="459"/>
        </w:trPr>
        <w:tc>
          <w:tcPr>
            <w:tcW w:w="1555" w:type="dxa"/>
            <w:vAlign w:val="center"/>
          </w:tcPr>
          <w:p w14:paraId="2B5ADBD2" w14:textId="77777777" w:rsidR="00AD4D3B" w:rsidRPr="00AD4D3B" w:rsidRDefault="00AD4D3B" w:rsidP="00AD4D3B">
            <w:pPr>
              <w:rPr>
                <w:rFonts w:ascii="Arial" w:hAnsi="Arial" w:cs="Arial"/>
                <w:sz w:val="17"/>
                <w:szCs w:val="17"/>
              </w:rPr>
            </w:pPr>
            <w:r w:rsidRPr="00AD4D3B">
              <w:rPr>
                <w:rFonts w:ascii="Arial" w:hAnsi="Arial" w:cs="Arial"/>
                <w:sz w:val="17"/>
                <w:szCs w:val="17"/>
              </w:rPr>
              <w:t>Ontinyent</w:t>
            </w:r>
          </w:p>
        </w:tc>
        <w:tc>
          <w:tcPr>
            <w:tcW w:w="3969" w:type="dxa"/>
            <w:vAlign w:val="center"/>
          </w:tcPr>
          <w:p w14:paraId="57AFC135" w14:textId="77777777" w:rsidR="00AD4D3B" w:rsidRPr="00AD4D3B" w:rsidRDefault="00AD4D3B" w:rsidP="00AD4D3B">
            <w:pPr>
              <w:rPr>
                <w:rFonts w:ascii="Arial" w:hAnsi="Arial" w:cs="Arial"/>
                <w:sz w:val="17"/>
                <w:szCs w:val="17"/>
              </w:rPr>
            </w:pPr>
            <w:r w:rsidRPr="00AD4D3B">
              <w:rPr>
                <w:rFonts w:ascii="Arial" w:hAnsi="Arial" w:cs="Arial"/>
                <w:sz w:val="17"/>
                <w:szCs w:val="17"/>
              </w:rPr>
              <w:t>El sistema financer i la Covid-19</w:t>
            </w:r>
          </w:p>
        </w:tc>
        <w:tc>
          <w:tcPr>
            <w:tcW w:w="850" w:type="dxa"/>
            <w:vAlign w:val="center"/>
          </w:tcPr>
          <w:p w14:paraId="0C93F7C2"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17-jun</w:t>
            </w:r>
          </w:p>
        </w:tc>
        <w:tc>
          <w:tcPr>
            <w:tcW w:w="992" w:type="dxa"/>
            <w:vAlign w:val="center"/>
          </w:tcPr>
          <w:p w14:paraId="2394775D"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11B3F2DF"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50</w:t>
            </w:r>
          </w:p>
        </w:tc>
      </w:tr>
      <w:tr w:rsidR="00AD4D3B" w:rsidRPr="00AD4D3B" w14:paraId="4D9ED7C1" w14:textId="77777777" w:rsidTr="00581702">
        <w:trPr>
          <w:trHeight w:val="676"/>
        </w:trPr>
        <w:tc>
          <w:tcPr>
            <w:tcW w:w="1555" w:type="dxa"/>
            <w:vAlign w:val="center"/>
          </w:tcPr>
          <w:p w14:paraId="1FC6466A" w14:textId="77777777" w:rsidR="00AD4D3B" w:rsidRPr="00AD4D3B" w:rsidRDefault="00AD4D3B" w:rsidP="00AD4D3B">
            <w:pPr>
              <w:rPr>
                <w:rFonts w:ascii="Arial" w:hAnsi="Arial" w:cs="Arial"/>
                <w:sz w:val="17"/>
                <w:szCs w:val="17"/>
              </w:rPr>
            </w:pPr>
            <w:r w:rsidRPr="00AD4D3B">
              <w:rPr>
                <w:rFonts w:ascii="Arial" w:hAnsi="Arial" w:cs="Arial"/>
                <w:sz w:val="17"/>
                <w:szCs w:val="17"/>
              </w:rPr>
              <w:t>Massamagrell</w:t>
            </w:r>
          </w:p>
        </w:tc>
        <w:tc>
          <w:tcPr>
            <w:tcW w:w="3969" w:type="dxa"/>
            <w:vAlign w:val="center"/>
          </w:tcPr>
          <w:p w14:paraId="148812AC" w14:textId="77777777" w:rsidR="00AD4D3B" w:rsidRPr="00AD4D3B" w:rsidRDefault="00AD4D3B" w:rsidP="00AD4D3B">
            <w:pPr>
              <w:rPr>
                <w:rFonts w:ascii="Arial" w:hAnsi="Arial" w:cs="Arial"/>
                <w:sz w:val="17"/>
                <w:szCs w:val="17"/>
              </w:rPr>
            </w:pPr>
            <w:r w:rsidRPr="00AD4D3B">
              <w:rPr>
                <w:rFonts w:ascii="Arial" w:hAnsi="Arial" w:cs="Arial"/>
                <w:sz w:val="17"/>
                <w:szCs w:val="17"/>
              </w:rPr>
              <w:t>El paper de la justícia en la lluita contra la corrupció i la Covid-19</w:t>
            </w:r>
          </w:p>
        </w:tc>
        <w:tc>
          <w:tcPr>
            <w:tcW w:w="850" w:type="dxa"/>
            <w:vAlign w:val="center"/>
          </w:tcPr>
          <w:p w14:paraId="434112DF"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22-jun</w:t>
            </w:r>
          </w:p>
        </w:tc>
        <w:tc>
          <w:tcPr>
            <w:tcW w:w="992" w:type="dxa"/>
            <w:vAlign w:val="center"/>
          </w:tcPr>
          <w:p w14:paraId="327DCC4E"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1F139744"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16</w:t>
            </w:r>
          </w:p>
        </w:tc>
      </w:tr>
      <w:tr w:rsidR="00AD4D3B" w:rsidRPr="00AD4D3B" w14:paraId="69254666" w14:textId="77777777" w:rsidTr="00581702">
        <w:trPr>
          <w:trHeight w:val="689"/>
        </w:trPr>
        <w:tc>
          <w:tcPr>
            <w:tcW w:w="1555" w:type="dxa"/>
            <w:vAlign w:val="center"/>
          </w:tcPr>
          <w:p w14:paraId="61C7EEF6" w14:textId="77777777" w:rsidR="00AD4D3B" w:rsidRPr="00AD4D3B" w:rsidRDefault="00AD4D3B" w:rsidP="00AD4D3B">
            <w:pPr>
              <w:rPr>
                <w:rFonts w:ascii="Arial" w:hAnsi="Arial" w:cs="Arial"/>
                <w:sz w:val="17"/>
                <w:szCs w:val="17"/>
              </w:rPr>
            </w:pPr>
            <w:r w:rsidRPr="00AD4D3B">
              <w:rPr>
                <w:rFonts w:ascii="Arial" w:hAnsi="Arial" w:cs="Arial"/>
                <w:sz w:val="17"/>
                <w:szCs w:val="17"/>
              </w:rPr>
              <w:t>Bétera</w:t>
            </w:r>
          </w:p>
        </w:tc>
        <w:tc>
          <w:tcPr>
            <w:tcW w:w="3969" w:type="dxa"/>
            <w:vAlign w:val="center"/>
          </w:tcPr>
          <w:p w14:paraId="4E274A21" w14:textId="77777777" w:rsidR="00AD4D3B" w:rsidRPr="00AD4D3B" w:rsidRDefault="00AD4D3B" w:rsidP="00AD4D3B">
            <w:pPr>
              <w:rPr>
                <w:rFonts w:ascii="Arial" w:hAnsi="Arial" w:cs="Arial"/>
                <w:sz w:val="17"/>
                <w:szCs w:val="17"/>
              </w:rPr>
            </w:pPr>
            <w:r w:rsidRPr="00AD4D3B">
              <w:rPr>
                <w:rFonts w:ascii="Arial" w:hAnsi="Arial" w:cs="Arial"/>
                <w:sz w:val="17"/>
                <w:szCs w:val="17"/>
              </w:rPr>
              <w:t>La percepció de la corrupció per la ciutadania en la vacunació contra la Covid-19</w:t>
            </w:r>
          </w:p>
        </w:tc>
        <w:tc>
          <w:tcPr>
            <w:tcW w:w="850" w:type="dxa"/>
            <w:vAlign w:val="center"/>
          </w:tcPr>
          <w:p w14:paraId="5453AA01"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20-oct</w:t>
            </w:r>
          </w:p>
        </w:tc>
        <w:tc>
          <w:tcPr>
            <w:tcW w:w="992" w:type="dxa"/>
            <w:vAlign w:val="center"/>
          </w:tcPr>
          <w:p w14:paraId="28ADD649"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300273E8"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20</w:t>
            </w:r>
          </w:p>
        </w:tc>
      </w:tr>
      <w:tr w:rsidR="00AD4D3B" w:rsidRPr="00AD4D3B" w14:paraId="4D0F2CBA" w14:textId="77777777" w:rsidTr="00581702">
        <w:trPr>
          <w:trHeight w:val="446"/>
        </w:trPr>
        <w:tc>
          <w:tcPr>
            <w:tcW w:w="1555" w:type="dxa"/>
            <w:vAlign w:val="center"/>
          </w:tcPr>
          <w:p w14:paraId="560A9CF5" w14:textId="77777777" w:rsidR="00AD4D3B" w:rsidRPr="00AD4D3B" w:rsidRDefault="00AD4D3B" w:rsidP="00AD4D3B">
            <w:pPr>
              <w:rPr>
                <w:rFonts w:ascii="Arial" w:hAnsi="Arial" w:cs="Arial"/>
                <w:sz w:val="17"/>
                <w:szCs w:val="17"/>
              </w:rPr>
            </w:pPr>
            <w:r w:rsidRPr="00AD4D3B">
              <w:rPr>
                <w:rFonts w:ascii="Arial" w:hAnsi="Arial" w:cs="Arial"/>
                <w:sz w:val="17"/>
                <w:szCs w:val="17"/>
              </w:rPr>
              <w:t>Cullera</w:t>
            </w:r>
          </w:p>
        </w:tc>
        <w:tc>
          <w:tcPr>
            <w:tcW w:w="3969" w:type="dxa"/>
            <w:vAlign w:val="center"/>
          </w:tcPr>
          <w:p w14:paraId="70343E0A" w14:textId="77777777" w:rsidR="00AD4D3B" w:rsidRPr="00AD4D3B" w:rsidRDefault="00AD4D3B" w:rsidP="00AD4D3B">
            <w:pPr>
              <w:rPr>
                <w:rFonts w:ascii="Arial" w:hAnsi="Arial" w:cs="Arial"/>
                <w:sz w:val="17"/>
                <w:szCs w:val="17"/>
              </w:rPr>
            </w:pPr>
            <w:r w:rsidRPr="00AD4D3B">
              <w:rPr>
                <w:rFonts w:ascii="Arial" w:hAnsi="Arial" w:cs="Arial"/>
                <w:sz w:val="17"/>
                <w:szCs w:val="17"/>
              </w:rPr>
              <w:t>Drets socials i Covid-19</w:t>
            </w:r>
          </w:p>
        </w:tc>
        <w:tc>
          <w:tcPr>
            <w:tcW w:w="850" w:type="dxa"/>
            <w:vAlign w:val="center"/>
          </w:tcPr>
          <w:p w14:paraId="1F3CFA13"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26-oct</w:t>
            </w:r>
          </w:p>
        </w:tc>
        <w:tc>
          <w:tcPr>
            <w:tcW w:w="992" w:type="dxa"/>
            <w:vAlign w:val="center"/>
          </w:tcPr>
          <w:p w14:paraId="015268DF"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518DEECE"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25</w:t>
            </w:r>
          </w:p>
        </w:tc>
      </w:tr>
      <w:tr w:rsidR="00AD4D3B" w:rsidRPr="00AD4D3B" w14:paraId="691E9FCF" w14:textId="77777777" w:rsidTr="00581702">
        <w:trPr>
          <w:trHeight w:val="459"/>
        </w:trPr>
        <w:tc>
          <w:tcPr>
            <w:tcW w:w="1555" w:type="dxa"/>
            <w:vAlign w:val="center"/>
          </w:tcPr>
          <w:p w14:paraId="5A33C358" w14:textId="77777777" w:rsidR="00AD4D3B" w:rsidRPr="00AD4D3B" w:rsidRDefault="00AD4D3B" w:rsidP="00AD4D3B">
            <w:pPr>
              <w:rPr>
                <w:rFonts w:ascii="Arial" w:hAnsi="Arial" w:cs="Arial"/>
                <w:sz w:val="17"/>
                <w:szCs w:val="17"/>
              </w:rPr>
            </w:pPr>
            <w:r w:rsidRPr="00AD4D3B">
              <w:rPr>
                <w:rFonts w:ascii="Arial" w:hAnsi="Arial" w:cs="Arial"/>
                <w:sz w:val="17"/>
                <w:szCs w:val="17"/>
              </w:rPr>
              <w:t>L’Eliana</w:t>
            </w:r>
          </w:p>
        </w:tc>
        <w:tc>
          <w:tcPr>
            <w:tcW w:w="3969" w:type="dxa"/>
            <w:vAlign w:val="center"/>
          </w:tcPr>
          <w:p w14:paraId="0ED9F6C4" w14:textId="77777777" w:rsidR="00AD4D3B" w:rsidRPr="00AD4D3B" w:rsidRDefault="00AD4D3B" w:rsidP="00AD4D3B">
            <w:pPr>
              <w:rPr>
                <w:rFonts w:ascii="Arial" w:hAnsi="Arial" w:cs="Arial"/>
                <w:sz w:val="17"/>
                <w:szCs w:val="17"/>
              </w:rPr>
            </w:pPr>
            <w:r w:rsidRPr="00AD4D3B">
              <w:rPr>
                <w:rFonts w:ascii="Arial" w:hAnsi="Arial" w:cs="Arial"/>
                <w:sz w:val="17"/>
                <w:szCs w:val="17"/>
              </w:rPr>
              <w:t>Notícies falses i Covid-19</w:t>
            </w:r>
          </w:p>
        </w:tc>
        <w:tc>
          <w:tcPr>
            <w:tcW w:w="850" w:type="dxa"/>
            <w:vAlign w:val="center"/>
          </w:tcPr>
          <w:p w14:paraId="5ADC70FA"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9-nov</w:t>
            </w:r>
          </w:p>
        </w:tc>
        <w:tc>
          <w:tcPr>
            <w:tcW w:w="992" w:type="dxa"/>
            <w:vAlign w:val="center"/>
          </w:tcPr>
          <w:p w14:paraId="55E7145D"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1D05230E"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21</w:t>
            </w:r>
          </w:p>
        </w:tc>
      </w:tr>
      <w:tr w:rsidR="00AD4D3B" w:rsidRPr="00AD4D3B" w14:paraId="1611DB8B" w14:textId="77777777" w:rsidTr="00581702">
        <w:trPr>
          <w:trHeight w:val="676"/>
        </w:trPr>
        <w:tc>
          <w:tcPr>
            <w:tcW w:w="1555" w:type="dxa"/>
            <w:vAlign w:val="center"/>
          </w:tcPr>
          <w:p w14:paraId="56E5AC3A" w14:textId="77777777" w:rsidR="00AD4D3B" w:rsidRPr="00AD4D3B" w:rsidRDefault="00AD4D3B" w:rsidP="00AD4D3B">
            <w:pPr>
              <w:rPr>
                <w:rFonts w:ascii="Arial" w:hAnsi="Arial" w:cs="Arial"/>
                <w:sz w:val="17"/>
                <w:szCs w:val="17"/>
              </w:rPr>
            </w:pPr>
            <w:r w:rsidRPr="00AD4D3B">
              <w:rPr>
                <w:rFonts w:ascii="Arial" w:hAnsi="Arial" w:cs="Arial"/>
                <w:sz w:val="17"/>
                <w:szCs w:val="17"/>
              </w:rPr>
              <w:t>Paterna</w:t>
            </w:r>
          </w:p>
        </w:tc>
        <w:tc>
          <w:tcPr>
            <w:tcW w:w="3969" w:type="dxa"/>
            <w:vAlign w:val="center"/>
          </w:tcPr>
          <w:p w14:paraId="440D19B7" w14:textId="77777777" w:rsidR="00AD4D3B" w:rsidRPr="00AD4D3B" w:rsidRDefault="00AD4D3B" w:rsidP="00AD4D3B">
            <w:pPr>
              <w:rPr>
                <w:rFonts w:ascii="Arial" w:hAnsi="Arial" w:cs="Arial"/>
                <w:sz w:val="17"/>
                <w:szCs w:val="17"/>
              </w:rPr>
            </w:pPr>
            <w:r w:rsidRPr="00AD4D3B">
              <w:rPr>
                <w:rFonts w:ascii="Arial" w:hAnsi="Arial" w:cs="Arial"/>
                <w:sz w:val="17"/>
                <w:szCs w:val="17"/>
              </w:rPr>
              <w:t>Transparència, rendició de comptes i bon govern en la Covid-19</w:t>
            </w:r>
          </w:p>
        </w:tc>
        <w:tc>
          <w:tcPr>
            <w:tcW w:w="850" w:type="dxa"/>
            <w:vAlign w:val="center"/>
          </w:tcPr>
          <w:p w14:paraId="45A069DB"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18-nov</w:t>
            </w:r>
          </w:p>
        </w:tc>
        <w:tc>
          <w:tcPr>
            <w:tcW w:w="992" w:type="dxa"/>
            <w:vAlign w:val="center"/>
          </w:tcPr>
          <w:p w14:paraId="3609D15F"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2 hores</w:t>
            </w:r>
          </w:p>
        </w:tc>
        <w:tc>
          <w:tcPr>
            <w:tcW w:w="1256" w:type="dxa"/>
            <w:vAlign w:val="center"/>
          </w:tcPr>
          <w:p w14:paraId="31B2090C" w14:textId="77777777" w:rsidR="00AD4D3B" w:rsidRPr="00AD4D3B" w:rsidRDefault="00AD4D3B" w:rsidP="00AD4D3B">
            <w:pPr>
              <w:jc w:val="center"/>
              <w:rPr>
                <w:rFonts w:ascii="Arial" w:hAnsi="Arial" w:cs="Arial"/>
                <w:sz w:val="17"/>
                <w:szCs w:val="17"/>
              </w:rPr>
            </w:pPr>
            <w:r w:rsidRPr="00AD4D3B">
              <w:rPr>
                <w:rFonts w:ascii="Arial" w:hAnsi="Arial" w:cs="Arial"/>
                <w:sz w:val="17"/>
                <w:szCs w:val="17"/>
              </w:rPr>
              <w:t>15</w:t>
            </w:r>
          </w:p>
        </w:tc>
      </w:tr>
      <w:tr w:rsidR="00AD4D3B" w:rsidRPr="00AD4D3B" w14:paraId="39270437" w14:textId="77777777" w:rsidTr="00581702">
        <w:trPr>
          <w:trHeight w:val="459"/>
        </w:trPr>
        <w:tc>
          <w:tcPr>
            <w:tcW w:w="6374" w:type="dxa"/>
            <w:gridSpan w:val="3"/>
            <w:shd w:val="clear" w:color="auto" w:fill="D9D9D9"/>
            <w:vAlign w:val="center"/>
          </w:tcPr>
          <w:p w14:paraId="4620103A" w14:textId="77777777" w:rsidR="00AD4D3B" w:rsidRPr="00AD4D3B" w:rsidRDefault="00AD4D3B" w:rsidP="00AD4D3B">
            <w:pPr>
              <w:jc w:val="right"/>
              <w:rPr>
                <w:rFonts w:ascii="Arial" w:hAnsi="Arial" w:cs="Arial"/>
                <w:sz w:val="17"/>
                <w:szCs w:val="17"/>
              </w:rPr>
            </w:pPr>
            <w:r w:rsidRPr="00AD4D3B">
              <w:rPr>
                <w:rFonts w:ascii="Arial" w:hAnsi="Arial" w:cs="Arial"/>
                <w:b/>
                <w:sz w:val="17"/>
                <w:szCs w:val="17"/>
              </w:rPr>
              <w:t>Totals Unisocietat</w:t>
            </w:r>
          </w:p>
        </w:tc>
        <w:tc>
          <w:tcPr>
            <w:tcW w:w="992" w:type="dxa"/>
            <w:shd w:val="clear" w:color="auto" w:fill="D9D9D9"/>
            <w:vAlign w:val="center"/>
          </w:tcPr>
          <w:p w14:paraId="571B6BC4" w14:textId="77777777" w:rsidR="00AD4D3B" w:rsidRPr="00AD4D3B" w:rsidRDefault="00AD4D3B" w:rsidP="00AD4D3B">
            <w:pPr>
              <w:jc w:val="center"/>
              <w:rPr>
                <w:rFonts w:ascii="Arial" w:hAnsi="Arial" w:cs="Arial"/>
                <w:b/>
                <w:sz w:val="17"/>
                <w:szCs w:val="17"/>
              </w:rPr>
            </w:pPr>
            <w:r w:rsidRPr="00AD4D3B">
              <w:rPr>
                <w:rFonts w:ascii="Arial" w:hAnsi="Arial" w:cs="Arial"/>
                <w:b/>
                <w:sz w:val="17"/>
                <w:szCs w:val="17"/>
              </w:rPr>
              <w:t>24 hores</w:t>
            </w:r>
          </w:p>
        </w:tc>
        <w:tc>
          <w:tcPr>
            <w:tcW w:w="1256" w:type="dxa"/>
            <w:shd w:val="clear" w:color="auto" w:fill="D9D9D9"/>
            <w:vAlign w:val="center"/>
          </w:tcPr>
          <w:p w14:paraId="52023138" w14:textId="77777777" w:rsidR="00AD4D3B" w:rsidRPr="00AD4D3B" w:rsidRDefault="00AD4D3B" w:rsidP="00AD4D3B">
            <w:pPr>
              <w:jc w:val="center"/>
              <w:rPr>
                <w:rFonts w:ascii="Arial" w:hAnsi="Arial" w:cs="Arial"/>
                <w:sz w:val="17"/>
                <w:szCs w:val="17"/>
              </w:rPr>
            </w:pPr>
            <w:r w:rsidRPr="00AD4D3B">
              <w:rPr>
                <w:rFonts w:ascii="Arial" w:hAnsi="Arial" w:cs="Arial"/>
                <w:b/>
                <w:sz w:val="17"/>
                <w:szCs w:val="17"/>
              </w:rPr>
              <w:t>379</w:t>
            </w:r>
          </w:p>
        </w:tc>
      </w:tr>
    </w:tbl>
    <w:p w14:paraId="4140CE66" w14:textId="77777777" w:rsidR="005F448E" w:rsidRPr="005F448E" w:rsidRDefault="005F448E" w:rsidP="005F448E">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5F448E">
        <w:rPr>
          <w:rFonts w:ascii="Arial" w:eastAsia="Times New Roman" w:hAnsi="Arial" w:cs="Arial"/>
          <w:b/>
          <w:color w:val="9D2235"/>
          <w:sz w:val="24"/>
          <w:szCs w:val="24"/>
        </w:rPr>
        <w:t>Jornades específiques AVAF-UV</w:t>
      </w:r>
    </w:p>
    <w:p w14:paraId="6E3B05A1" w14:textId="4DDF605D" w:rsidR="005F448E" w:rsidRPr="005F448E" w:rsidRDefault="005F448E" w:rsidP="005F448E">
      <w:pPr>
        <w:pStyle w:val="Texto"/>
        <w:spacing w:after="240"/>
        <w:rPr>
          <w:rFonts w:ascii="Arial" w:hAnsi="Arial" w:cs="Arial"/>
        </w:rPr>
      </w:pPr>
      <w:r w:rsidRPr="005F448E">
        <w:rPr>
          <w:rFonts w:ascii="Arial" w:hAnsi="Arial" w:cs="Arial"/>
        </w:rPr>
        <w:t xml:space="preserve">En el marc del conveni entre la AVAF i la UV s'han realitzat dues jornades específiques territorials al llarg del </w:t>
      </w:r>
      <w:r w:rsidRPr="00C9578C">
        <w:rPr>
          <w:rFonts w:ascii="Arial" w:hAnsi="Arial" w:cs="Arial"/>
        </w:rPr>
        <w:t>2021 (Taula 2</w:t>
      </w:r>
      <w:r w:rsidR="00A55252" w:rsidRPr="00C9578C">
        <w:rPr>
          <w:rFonts w:ascii="Arial" w:hAnsi="Arial" w:cs="Arial"/>
        </w:rPr>
        <w:t>8</w:t>
      </w:r>
      <w:r w:rsidRPr="00C9578C">
        <w:rPr>
          <w:rFonts w:ascii="Arial" w:hAnsi="Arial" w:cs="Arial"/>
        </w:rPr>
        <w:t>):</w:t>
      </w:r>
      <w:r w:rsidRPr="005F448E">
        <w:rPr>
          <w:rFonts w:ascii="Arial" w:hAnsi="Arial" w:cs="Arial"/>
        </w:rPr>
        <w:t xml:space="preserve"> </w:t>
      </w:r>
    </w:p>
    <w:p w14:paraId="6953E4E0" w14:textId="77777777" w:rsidR="005F448E" w:rsidRPr="005F448E" w:rsidRDefault="005F448E" w:rsidP="0061495F">
      <w:pPr>
        <w:pStyle w:val="Texto"/>
        <w:numPr>
          <w:ilvl w:val="0"/>
          <w:numId w:val="74"/>
        </w:numPr>
        <w:spacing w:after="120"/>
        <w:rPr>
          <w:rFonts w:ascii="Arial" w:hAnsi="Arial" w:cs="Arial"/>
        </w:rPr>
      </w:pPr>
      <w:r w:rsidRPr="005F448E">
        <w:rPr>
          <w:rFonts w:ascii="Arial" w:hAnsi="Arial" w:cs="Arial"/>
        </w:rPr>
        <w:t>Jornada “Covid-19, drets i responsabilitats”, Llíria, 6 de maig. La jornada es va celebrar en el Espai Turisme de Llíria, amb la participació de 110 persones, tant de manera presencial com en línia</w:t>
      </w:r>
      <w:r w:rsidRPr="005F448E">
        <w:rPr>
          <w:rFonts w:ascii="Arial" w:hAnsi="Arial" w:cs="Arial"/>
          <w:iCs/>
        </w:rPr>
        <w:t>.</w:t>
      </w:r>
      <w:r w:rsidRPr="005F448E">
        <w:rPr>
          <w:rFonts w:ascii="Arial" w:hAnsi="Arial" w:cs="Arial"/>
        </w:rPr>
        <w:t xml:space="preserve"> </w:t>
      </w:r>
    </w:p>
    <w:p w14:paraId="52805B16" w14:textId="77777777" w:rsidR="005F448E" w:rsidRPr="005F448E" w:rsidRDefault="005F448E" w:rsidP="005F448E">
      <w:pPr>
        <w:pStyle w:val="Texto"/>
        <w:spacing w:after="120"/>
        <w:ind w:left="709"/>
        <w:rPr>
          <w:rFonts w:ascii="Arial" w:hAnsi="Arial" w:cs="Arial"/>
        </w:rPr>
      </w:pPr>
      <w:r w:rsidRPr="005F448E">
        <w:rPr>
          <w:rFonts w:ascii="Arial" w:hAnsi="Arial" w:cs="Arial"/>
        </w:rPr>
        <w:t>La relació entre els drets fonamentals bàsics del sistema democràtic, la seguretat sanitària de la població i les responsabilitats dels poders públics i de la ciutadania en la situació de pandèmia a causa de la Covid-19 va centrar aquesta jornada de debat.</w:t>
      </w:r>
    </w:p>
    <w:p w14:paraId="2133428C" w14:textId="77777777" w:rsidR="005F448E" w:rsidRPr="005F448E" w:rsidRDefault="005F448E" w:rsidP="0061495F">
      <w:pPr>
        <w:pStyle w:val="Texto"/>
        <w:numPr>
          <w:ilvl w:val="0"/>
          <w:numId w:val="75"/>
        </w:numPr>
        <w:spacing w:after="120"/>
        <w:ind w:left="709"/>
        <w:rPr>
          <w:rFonts w:ascii="Arial" w:hAnsi="Arial" w:cs="Arial"/>
          <w:i/>
        </w:rPr>
      </w:pPr>
      <w:r w:rsidRPr="005F448E">
        <w:rPr>
          <w:rFonts w:ascii="Arial" w:hAnsi="Arial" w:cs="Arial"/>
        </w:rPr>
        <w:t xml:space="preserve">Jornada </w:t>
      </w:r>
      <w:r w:rsidRPr="005F448E">
        <w:rPr>
          <w:rFonts w:ascii="Arial" w:hAnsi="Arial" w:cs="Arial"/>
          <w:b/>
          <w:bCs/>
        </w:rPr>
        <w:t>“Protecció dels alertadores”</w:t>
      </w:r>
      <w:r w:rsidRPr="005F448E">
        <w:rPr>
          <w:rFonts w:ascii="Arial" w:hAnsi="Arial" w:cs="Arial"/>
        </w:rPr>
        <w:t>, Torrent, 16 de novembre. La jornada es va realitzar en l'antic mercat de Torrent, amb la participació de 123 persones tant de manera presencial com en línia</w:t>
      </w:r>
      <w:r w:rsidRPr="005F448E">
        <w:rPr>
          <w:rFonts w:ascii="Arial" w:hAnsi="Arial" w:cs="Arial"/>
          <w:iCs/>
        </w:rPr>
        <w:t>.</w:t>
      </w:r>
    </w:p>
    <w:p w14:paraId="468CA962" w14:textId="77777777" w:rsidR="005F448E" w:rsidRPr="005F448E" w:rsidRDefault="005F448E" w:rsidP="005F448E">
      <w:pPr>
        <w:pStyle w:val="Texto"/>
        <w:spacing w:after="240"/>
        <w:ind w:left="709"/>
        <w:rPr>
          <w:rFonts w:ascii="Arial" w:hAnsi="Arial" w:cs="Arial"/>
          <w:i/>
        </w:rPr>
      </w:pPr>
      <w:r w:rsidRPr="005F448E">
        <w:rPr>
          <w:rFonts w:ascii="Arial" w:hAnsi="Arial" w:cs="Arial"/>
        </w:rPr>
        <w:t>En la Jornada es va reflexionar sobre el valor i les conseqüències de la Directiva Europea 2019/1937 relativa a la protecció de les persones que informen sobre infraccions del Dret de la Unió, també coneguda com a Directiva Whistleblowers</w:t>
      </w:r>
      <w:r w:rsidRPr="005F448E">
        <w:rPr>
          <w:rFonts w:ascii="Arial" w:hAnsi="Arial" w:cs="Arial"/>
          <w:i/>
        </w:rPr>
        <w:t>.</w:t>
      </w:r>
    </w:p>
    <w:p w14:paraId="1D4AFB1B" w14:textId="77777777" w:rsidR="005F448E" w:rsidRPr="005F448E" w:rsidRDefault="005F448E" w:rsidP="005F448E">
      <w:pPr>
        <w:pStyle w:val="Texto"/>
        <w:rPr>
          <w:rFonts w:ascii="Arial" w:hAnsi="Arial" w:cs="Arial"/>
        </w:rPr>
      </w:pPr>
      <w:r w:rsidRPr="005F448E">
        <w:rPr>
          <w:rFonts w:ascii="Arial" w:hAnsi="Arial" w:cs="Arial"/>
        </w:rPr>
        <w:t>Amb la celebració de les dues Jornades específiques, a Llíria i Torrent, s'ha arribat a més públic que el que va participar en les universitats estacionals singulars de 2020.</w:t>
      </w:r>
    </w:p>
    <w:p w14:paraId="5E36E0A4" w14:textId="609000DD" w:rsidR="00B23DB3" w:rsidRPr="00827DDE" w:rsidRDefault="005F448E" w:rsidP="005F448E">
      <w:pPr>
        <w:pStyle w:val="Texto"/>
        <w:spacing w:after="240"/>
        <w:rPr>
          <w:rFonts w:ascii="Arial" w:hAnsi="Arial" w:cs="Arial"/>
        </w:rPr>
      </w:pPr>
      <w:r w:rsidRPr="005F448E">
        <w:rPr>
          <w:rFonts w:ascii="Arial" w:hAnsi="Arial" w:cs="Arial"/>
        </w:rPr>
        <w:t xml:space="preserve">Totes les ponències de jornades estan a la disposició de la ciutadania en el </w:t>
      </w:r>
      <w:r w:rsidRPr="005F448E">
        <w:rPr>
          <w:rFonts w:ascii="Arial" w:hAnsi="Arial" w:cs="Arial"/>
          <w:b/>
          <w:bCs/>
        </w:rPr>
        <w:t>canal de YouTube</w:t>
      </w:r>
      <w:r w:rsidRPr="005F448E">
        <w:rPr>
          <w:rFonts w:ascii="Arial" w:hAnsi="Arial" w:cs="Arial"/>
        </w:rPr>
        <w:t xml:space="preserve"> de l’AVAF </w:t>
      </w:r>
      <w:r w:rsidRPr="005F448E">
        <w:rPr>
          <w:rFonts w:ascii="Arial" w:hAnsi="Arial" w:cs="Arial"/>
          <w:sz w:val="18"/>
          <w:szCs w:val="18"/>
        </w:rPr>
        <w:t>[</w:t>
      </w:r>
      <w:hyperlink r:id="rId526" w:history="1">
        <w:r w:rsidRPr="005F448E">
          <w:rPr>
            <w:rStyle w:val="Hipervnculo"/>
            <w:rFonts w:ascii="Arial" w:hAnsi="Arial" w:cs="Arial"/>
            <w:sz w:val="18"/>
            <w:szCs w:val="18"/>
          </w:rPr>
          <w:t>https://www.youtube.com/channel/UCkDS5OEUZu3iTEWg7gu8XXQ/featured</w:t>
        </w:r>
      </w:hyperlink>
      <w:r w:rsidRPr="005F448E">
        <w:rPr>
          <w:rFonts w:ascii="Arial" w:hAnsi="Arial" w:cs="Arial"/>
          <w:sz w:val="18"/>
          <w:szCs w:val="18"/>
          <w:lang w:val="es-ES"/>
        </w:rPr>
        <w:t>]</w:t>
      </w:r>
    </w:p>
    <w:p w14:paraId="3B16008A" w14:textId="4C6BFDD7" w:rsidR="005F448E" w:rsidRPr="005F448E" w:rsidRDefault="005F448E" w:rsidP="005F448E">
      <w:pPr>
        <w:pStyle w:val="Descripcin"/>
        <w:keepNext/>
        <w:rPr>
          <w:rFonts w:ascii="Arial" w:hAnsi="Arial" w:cs="Arial"/>
          <w:smallCaps w:val="0"/>
          <w:sz w:val="18"/>
          <w:szCs w:val="18"/>
        </w:rPr>
      </w:pPr>
      <w:bookmarkStart w:id="423" w:name="_Toc99110873"/>
      <w:r w:rsidRPr="005F448E">
        <w:rPr>
          <w:rFonts w:ascii="Arial" w:hAnsi="Arial" w:cs="Arial"/>
          <w:smallCaps w:val="0"/>
          <w:color w:val="9D2235" w:themeColor="accent1"/>
          <w:sz w:val="18"/>
          <w:szCs w:val="18"/>
        </w:rPr>
        <w:t xml:space="preserve">Taula </w:t>
      </w:r>
      <w:r w:rsidRPr="005F448E">
        <w:rPr>
          <w:rFonts w:ascii="Arial" w:hAnsi="Arial" w:cs="Arial"/>
          <w:smallCaps w:val="0"/>
          <w:color w:val="9D2235" w:themeColor="accent1"/>
          <w:sz w:val="18"/>
          <w:szCs w:val="18"/>
        </w:rPr>
        <w:fldChar w:fldCharType="begin" w:fldLock="1"/>
      </w:r>
      <w:r w:rsidRPr="005F448E">
        <w:rPr>
          <w:rFonts w:ascii="Arial" w:hAnsi="Arial" w:cs="Arial"/>
          <w:smallCaps w:val="0"/>
          <w:color w:val="9D2235" w:themeColor="accent1"/>
          <w:sz w:val="18"/>
          <w:szCs w:val="18"/>
        </w:rPr>
        <w:instrText xml:space="preserve"> SEQ Taula \* ARABIC </w:instrText>
      </w:r>
      <w:r w:rsidRPr="005F448E">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28</w:t>
      </w:r>
      <w:r w:rsidRPr="005F448E">
        <w:rPr>
          <w:rFonts w:ascii="Arial" w:hAnsi="Arial" w:cs="Arial"/>
          <w:smallCaps w:val="0"/>
          <w:color w:val="9D2235" w:themeColor="accent1"/>
          <w:sz w:val="18"/>
          <w:szCs w:val="18"/>
        </w:rPr>
        <w:fldChar w:fldCharType="end"/>
      </w:r>
      <w:r w:rsidRPr="005F448E">
        <w:rPr>
          <w:rFonts w:ascii="Arial" w:hAnsi="Arial" w:cs="Arial"/>
          <w:smallCaps w:val="0"/>
          <w:color w:val="9D2235" w:themeColor="accent1"/>
          <w:sz w:val="18"/>
          <w:szCs w:val="18"/>
        </w:rPr>
        <w:t xml:space="preserve">. </w:t>
      </w:r>
      <w:r w:rsidRPr="005F448E">
        <w:rPr>
          <w:rFonts w:ascii="Arial" w:hAnsi="Arial" w:cs="Arial"/>
          <w:smallCaps w:val="0"/>
          <w:sz w:val="18"/>
          <w:szCs w:val="18"/>
        </w:rPr>
        <w:t>Resum de Jornades específiques AVAF-UV</w:t>
      </w:r>
      <w:bookmarkEnd w:id="423"/>
    </w:p>
    <w:tbl>
      <w:tblPr>
        <w:tblStyle w:val="Tablaconcuadrcula10"/>
        <w:tblW w:w="8619"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151"/>
        <w:gridCol w:w="4089"/>
        <w:gridCol w:w="1134"/>
        <w:gridCol w:w="992"/>
        <w:gridCol w:w="1253"/>
      </w:tblGrid>
      <w:tr w:rsidR="005F448E" w:rsidRPr="005F448E" w14:paraId="3A614812" w14:textId="77777777" w:rsidTr="00581702">
        <w:trPr>
          <w:trHeight w:val="356"/>
        </w:trPr>
        <w:tc>
          <w:tcPr>
            <w:tcW w:w="1151" w:type="dxa"/>
            <w:shd w:val="clear" w:color="auto" w:fill="9D2235"/>
            <w:vAlign w:val="center"/>
          </w:tcPr>
          <w:p w14:paraId="7E619EBF" w14:textId="77777777" w:rsidR="005F448E" w:rsidRPr="005F448E" w:rsidRDefault="005F448E" w:rsidP="005F448E">
            <w:pPr>
              <w:rPr>
                <w:rFonts w:ascii="Arial" w:eastAsia="Times New Roman" w:hAnsi="Arial" w:cs="Arial"/>
                <w:b/>
                <w:bCs/>
                <w:color w:val="FFFFFF"/>
                <w:sz w:val="18"/>
                <w:szCs w:val="18"/>
                <w:lang w:eastAsia="es-ES"/>
              </w:rPr>
            </w:pPr>
            <w:r w:rsidRPr="005F448E">
              <w:rPr>
                <w:rFonts w:ascii="Arial" w:eastAsia="Times New Roman" w:hAnsi="Arial" w:cs="Arial"/>
                <w:b/>
                <w:bCs/>
                <w:color w:val="FFFFFF"/>
                <w:sz w:val="18"/>
                <w:szCs w:val="18"/>
                <w:lang w:eastAsia="es-ES"/>
              </w:rPr>
              <w:t>Localitat</w:t>
            </w:r>
          </w:p>
        </w:tc>
        <w:tc>
          <w:tcPr>
            <w:tcW w:w="4089" w:type="dxa"/>
            <w:shd w:val="clear" w:color="auto" w:fill="9D2235"/>
            <w:vAlign w:val="center"/>
          </w:tcPr>
          <w:p w14:paraId="0214078B" w14:textId="77777777" w:rsidR="005F448E" w:rsidRPr="005F448E" w:rsidRDefault="005F448E" w:rsidP="005F448E">
            <w:pPr>
              <w:rPr>
                <w:rFonts w:ascii="Arial" w:eastAsia="Times New Roman" w:hAnsi="Arial" w:cs="Arial"/>
                <w:b/>
                <w:bCs/>
                <w:color w:val="FFFFFF"/>
                <w:sz w:val="18"/>
                <w:szCs w:val="18"/>
                <w:lang w:eastAsia="es-ES"/>
              </w:rPr>
            </w:pPr>
            <w:r w:rsidRPr="005F448E">
              <w:rPr>
                <w:rFonts w:ascii="Arial" w:eastAsia="Times New Roman" w:hAnsi="Arial" w:cs="Arial"/>
                <w:b/>
                <w:bCs/>
                <w:color w:val="FFFFFF"/>
                <w:sz w:val="18"/>
                <w:szCs w:val="18"/>
                <w:lang w:eastAsia="es-ES"/>
              </w:rPr>
              <w:t>Ponència</w:t>
            </w:r>
          </w:p>
        </w:tc>
        <w:tc>
          <w:tcPr>
            <w:tcW w:w="1134" w:type="dxa"/>
            <w:shd w:val="clear" w:color="auto" w:fill="9D2235"/>
            <w:vAlign w:val="center"/>
          </w:tcPr>
          <w:p w14:paraId="5572003D" w14:textId="77777777" w:rsidR="005F448E" w:rsidRPr="005F448E" w:rsidRDefault="005F448E" w:rsidP="005F448E">
            <w:pPr>
              <w:jc w:val="center"/>
              <w:rPr>
                <w:rFonts w:ascii="Arial" w:eastAsia="Times New Roman" w:hAnsi="Arial" w:cs="Arial"/>
                <w:b/>
                <w:bCs/>
                <w:color w:val="FFFFFF"/>
                <w:sz w:val="18"/>
                <w:szCs w:val="18"/>
                <w:lang w:eastAsia="es-ES"/>
              </w:rPr>
            </w:pPr>
            <w:r w:rsidRPr="005F448E">
              <w:rPr>
                <w:rFonts w:ascii="Arial" w:eastAsia="Times New Roman" w:hAnsi="Arial" w:cs="Arial"/>
                <w:b/>
                <w:bCs/>
                <w:color w:val="FFFFFF"/>
                <w:sz w:val="18"/>
                <w:szCs w:val="18"/>
                <w:lang w:eastAsia="es-ES"/>
              </w:rPr>
              <w:t>Data</w:t>
            </w:r>
          </w:p>
        </w:tc>
        <w:tc>
          <w:tcPr>
            <w:tcW w:w="992" w:type="dxa"/>
            <w:shd w:val="clear" w:color="auto" w:fill="9D2235"/>
            <w:vAlign w:val="center"/>
          </w:tcPr>
          <w:p w14:paraId="11800C77" w14:textId="77777777" w:rsidR="005F448E" w:rsidRPr="005F448E" w:rsidRDefault="005F448E" w:rsidP="005F448E">
            <w:pPr>
              <w:jc w:val="center"/>
              <w:rPr>
                <w:rFonts w:ascii="Arial" w:eastAsia="Times New Roman" w:hAnsi="Arial" w:cs="Arial"/>
                <w:b/>
                <w:bCs/>
                <w:color w:val="FFFFFF"/>
                <w:sz w:val="18"/>
                <w:szCs w:val="18"/>
                <w:lang w:eastAsia="es-ES"/>
              </w:rPr>
            </w:pPr>
            <w:r w:rsidRPr="005F448E">
              <w:rPr>
                <w:rFonts w:ascii="Arial" w:eastAsia="Times New Roman" w:hAnsi="Arial" w:cs="Arial"/>
                <w:b/>
                <w:bCs/>
                <w:color w:val="FFFFFF"/>
                <w:sz w:val="18"/>
                <w:szCs w:val="18"/>
                <w:lang w:eastAsia="es-ES"/>
              </w:rPr>
              <w:t>Duració</w:t>
            </w:r>
          </w:p>
        </w:tc>
        <w:tc>
          <w:tcPr>
            <w:tcW w:w="1253" w:type="dxa"/>
            <w:shd w:val="clear" w:color="auto" w:fill="9D2235"/>
            <w:vAlign w:val="center"/>
          </w:tcPr>
          <w:p w14:paraId="786AF5B6" w14:textId="77777777" w:rsidR="005F448E" w:rsidRPr="005F448E" w:rsidRDefault="005F448E" w:rsidP="005F448E">
            <w:pPr>
              <w:jc w:val="center"/>
              <w:rPr>
                <w:rFonts w:ascii="Arial" w:eastAsia="Times New Roman" w:hAnsi="Arial" w:cs="Arial"/>
                <w:b/>
                <w:bCs/>
                <w:color w:val="FFFFFF"/>
                <w:sz w:val="18"/>
                <w:szCs w:val="18"/>
                <w:lang w:eastAsia="es-ES"/>
              </w:rPr>
            </w:pPr>
            <w:r w:rsidRPr="005F448E">
              <w:rPr>
                <w:rFonts w:ascii="Arial" w:eastAsia="Times New Roman" w:hAnsi="Arial" w:cs="Arial"/>
                <w:b/>
                <w:bCs/>
                <w:color w:val="FFFFFF"/>
                <w:sz w:val="18"/>
                <w:szCs w:val="18"/>
                <w:lang w:eastAsia="es-ES"/>
              </w:rPr>
              <w:t>Participen</w:t>
            </w:r>
          </w:p>
        </w:tc>
      </w:tr>
      <w:tr w:rsidR="005F448E" w:rsidRPr="005F448E" w14:paraId="661563C7" w14:textId="77777777" w:rsidTr="00581702">
        <w:trPr>
          <w:trHeight w:val="567"/>
        </w:trPr>
        <w:tc>
          <w:tcPr>
            <w:tcW w:w="1151" w:type="dxa"/>
            <w:vAlign w:val="center"/>
          </w:tcPr>
          <w:p w14:paraId="4116A53E" w14:textId="77777777" w:rsidR="005F448E" w:rsidRPr="005F448E" w:rsidRDefault="005F448E" w:rsidP="005F448E">
            <w:pPr>
              <w:rPr>
                <w:rFonts w:ascii="Arial" w:hAnsi="Arial" w:cs="Arial"/>
                <w:sz w:val="18"/>
                <w:szCs w:val="18"/>
              </w:rPr>
            </w:pPr>
            <w:r w:rsidRPr="005F448E">
              <w:rPr>
                <w:rFonts w:ascii="Arial" w:hAnsi="Arial" w:cs="Arial"/>
                <w:sz w:val="18"/>
                <w:szCs w:val="18"/>
              </w:rPr>
              <w:t>Llíria</w:t>
            </w:r>
          </w:p>
        </w:tc>
        <w:tc>
          <w:tcPr>
            <w:tcW w:w="4089" w:type="dxa"/>
            <w:vAlign w:val="center"/>
          </w:tcPr>
          <w:p w14:paraId="1CCE1909" w14:textId="77777777" w:rsidR="005F448E" w:rsidRPr="005F448E" w:rsidRDefault="005F448E" w:rsidP="005F448E">
            <w:pPr>
              <w:rPr>
                <w:rFonts w:ascii="Arial" w:hAnsi="Arial" w:cs="Arial"/>
                <w:sz w:val="18"/>
                <w:szCs w:val="18"/>
              </w:rPr>
            </w:pPr>
            <w:r w:rsidRPr="005F448E">
              <w:rPr>
                <w:rFonts w:ascii="Arial" w:hAnsi="Arial" w:cs="Arial"/>
                <w:sz w:val="18"/>
                <w:szCs w:val="18"/>
              </w:rPr>
              <w:t>Covid-19, drets i responsabilitats</w:t>
            </w:r>
          </w:p>
        </w:tc>
        <w:tc>
          <w:tcPr>
            <w:tcW w:w="1134" w:type="dxa"/>
            <w:vAlign w:val="center"/>
          </w:tcPr>
          <w:p w14:paraId="29A33C1F" w14:textId="77777777" w:rsidR="005F448E" w:rsidRPr="005F448E" w:rsidRDefault="005F448E" w:rsidP="005F448E">
            <w:pPr>
              <w:jc w:val="center"/>
              <w:rPr>
                <w:rFonts w:ascii="Arial" w:hAnsi="Arial" w:cs="Arial"/>
                <w:sz w:val="18"/>
                <w:szCs w:val="18"/>
              </w:rPr>
            </w:pPr>
            <w:r w:rsidRPr="005F448E">
              <w:rPr>
                <w:rFonts w:ascii="Arial" w:hAnsi="Arial" w:cs="Arial"/>
                <w:sz w:val="18"/>
                <w:szCs w:val="18"/>
              </w:rPr>
              <w:t>6-may</w:t>
            </w:r>
          </w:p>
        </w:tc>
        <w:tc>
          <w:tcPr>
            <w:tcW w:w="992" w:type="dxa"/>
            <w:vAlign w:val="center"/>
          </w:tcPr>
          <w:p w14:paraId="76464088" w14:textId="77777777" w:rsidR="005F448E" w:rsidRPr="005F448E" w:rsidRDefault="005F448E" w:rsidP="005F448E">
            <w:pPr>
              <w:jc w:val="center"/>
              <w:rPr>
                <w:rFonts w:ascii="Arial" w:hAnsi="Arial" w:cs="Arial"/>
                <w:sz w:val="18"/>
                <w:szCs w:val="18"/>
              </w:rPr>
            </w:pPr>
            <w:r w:rsidRPr="005F448E">
              <w:rPr>
                <w:rFonts w:ascii="Arial" w:hAnsi="Arial" w:cs="Arial"/>
                <w:sz w:val="18"/>
                <w:szCs w:val="18"/>
              </w:rPr>
              <w:t>5 hores</w:t>
            </w:r>
          </w:p>
        </w:tc>
        <w:tc>
          <w:tcPr>
            <w:tcW w:w="1253" w:type="dxa"/>
            <w:vAlign w:val="center"/>
          </w:tcPr>
          <w:p w14:paraId="0026A85B" w14:textId="77777777" w:rsidR="005F448E" w:rsidRPr="005F448E" w:rsidRDefault="005F448E" w:rsidP="005F448E">
            <w:pPr>
              <w:jc w:val="center"/>
              <w:rPr>
                <w:rFonts w:ascii="Arial" w:hAnsi="Arial" w:cs="Arial"/>
                <w:sz w:val="18"/>
                <w:szCs w:val="18"/>
              </w:rPr>
            </w:pPr>
            <w:r w:rsidRPr="005F448E">
              <w:rPr>
                <w:rFonts w:ascii="Arial" w:hAnsi="Arial" w:cs="Arial"/>
                <w:sz w:val="18"/>
                <w:szCs w:val="18"/>
              </w:rPr>
              <w:t>110</w:t>
            </w:r>
          </w:p>
        </w:tc>
      </w:tr>
      <w:tr w:rsidR="005F448E" w:rsidRPr="005F448E" w14:paraId="6A33A549" w14:textId="77777777" w:rsidTr="00581702">
        <w:trPr>
          <w:trHeight w:val="567"/>
        </w:trPr>
        <w:tc>
          <w:tcPr>
            <w:tcW w:w="1151" w:type="dxa"/>
            <w:vAlign w:val="center"/>
          </w:tcPr>
          <w:p w14:paraId="5DA1B663" w14:textId="77777777" w:rsidR="005F448E" w:rsidRPr="005F448E" w:rsidRDefault="005F448E" w:rsidP="005F448E">
            <w:pPr>
              <w:rPr>
                <w:rFonts w:ascii="Arial" w:hAnsi="Arial" w:cs="Arial"/>
                <w:sz w:val="18"/>
                <w:szCs w:val="18"/>
              </w:rPr>
            </w:pPr>
            <w:r w:rsidRPr="005F448E">
              <w:rPr>
                <w:rFonts w:ascii="Arial" w:hAnsi="Arial" w:cs="Arial"/>
                <w:sz w:val="18"/>
                <w:szCs w:val="18"/>
              </w:rPr>
              <w:t>Torrent</w:t>
            </w:r>
          </w:p>
        </w:tc>
        <w:tc>
          <w:tcPr>
            <w:tcW w:w="4089" w:type="dxa"/>
            <w:vAlign w:val="center"/>
          </w:tcPr>
          <w:p w14:paraId="1FDEEE2D" w14:textId="77777777" w:rsidR="005F448E" w:rsidRPr="005F448E" w:rsidRDefault="005F448E" w:rsidP="005F448E">
            <w:pPr>
              <w:rPr>
                <w:rFonts w:ascii="Arial" w:hAnsi="Arial" w:cs="Arial"/>
                <w:sz w:val="18"/>
                <w:szCs w:val="18"/>
              </w:rPr>
            </w:pPr>
            <w:r w:rsidRPr="005F448E">
              <w:rPr>
                <w:rFonts w:ascii="Arial" w:hAnsi="Arial" w:cs="Arial"/>
                <w:sz w:val="18"/>
                <w:szCs w:val="18"/>
              </w:rPr>
              <w:t>Protecció d'Alertadors</w:t>
            </w:r>
          </w:p>
        </w:tc>
        <w:tc>
          <w:tcPr>
            <w:tcW w:w="1134" w:type="dxa"/>
            <w:vAlign w:val="center"/>
          </w:tcPr>
          <w:p w14:paraId="4663F1A4" w14:textId="77777777" w:rsidR="005F448E" w:rsidRPr="005F448E" w:rsidRDefault="005F448E" w:rsidP="005F448E">
            <w:pPr>
              <w:jc w:val="center"/>
              <w:rPr>
                <w:rFonts w:ascii="Arial" w:hAnsi="Arial" w:cs="Arial"/>
                <w:sz w:val="18"/>
                <w:szCs w:val="18"/>
              </w:rPr>
            </w:pPr>
            <w:r w:rsidRPr="005F448E">
              <w:rPr>
                <w:rFonts w:ascii="Arial" w:hAnsi="Arial" w:cs="Arial"/>
                <w:sz w:val="18"/>
                <w:szCs w:val="18"/>
              </w:rPr>
              <w:t>16-nov</w:t>
            </w:r>
          </w:p>
        </w:tc>
        <w:tc>
          <w:tcPr>
            <w:tcW w:w="992" w:type="dxa"/>
            <w:vAlign w:val="center"/>
          </w:tcPr>
          <w:p w14:paraId="0339EA63" w14:textId="77777777" w:rsidR="005F448E" w:rsidRPr="005F448E" w:rsidRDefault="005F448E" w:rsidP="005F448E">
            <w:pPr>
              <w:jc w:val="center"/>
              <w:rPr>
                <w:rFonts w:ascii="Arial" w:hAnsi="Arial" w:cs="Arial"/>
                <w:sz w:val="18"/>
                <w:szCs w:val="18"/>
              </w:rPr>
            </w:pPr>
            <w:r w:rsidRPr="005F448E">
              <w:rPr>
                <w:rFonts w:ascii="Arial" w:hAnsi="Arial" w:cs="Arial"/>
                <w:sz w:val="18"/>
                <w:szCs w:val="18"/>
              </w:rPr>
              <w:t>5 hores</w:t>
            </w:r>
          </w:p>
        </w:tc>
        <w:tc>
          <w:tcPr>
            <w:tcW w:w="1253" w:type="dxa"/>
            <w:vAlign w:val="center"/>
          </w:tcPr>
          <w:p w14:paraId="5FE18838" w14:textId="77777777" w:rsidR="005F448E" w:rsidRPr="005F448E" w:rsidRDefault="005F448E" w:rsidP="005F448E">
            <w:pPr>
              <w:jc w:val="center"/>
              <w:rPr>
                <w:rFonts w:ascii="Arial" w:hAnsi="Arial" w:cs="Arial"/>
                <w:sz w:val="18"/>
                <w:szCs w:val="18"/>
              </w:rPr>
            </w:pPr>
            <w:r w:rsidRPr="005F448E">
              <w:rPr>
                <w:rFonts w:ascii="Arial" w:hAnsi="Arial" w:cs="Arial"/>
                <w:sz w:val="18"/>
                <w:szCs w:val="18"/>
              </w:rPr>
              <w:t>123</w:t>
            </w:r>
          </w:p>
        </w:tc>
      </w:tr>
      <w:tr w:rsidR="005F448E" w:rsidRPr="005F448E" w14:paraId="06B5F9E5" w14:textId="77777777" w:rsidTr="00581702">
        <w:trPr>
          <w:trHeight w:val="464"/>
        </w:trPr>
        <w:tc>
          <w:tcPr>
            <w:tcW w:w="6374" w:type="dxa"/>
            <w:gridSpan w:val="3"/>
            <w:shd w:val="clear" w:color="auto" w:fill="D9D9D9"/>
            <w:vAlign w:val="center"/>
          </w:tcPr>
          <w:p w14:paraId="5A58C34D" w14:textId="77777777" w:rsidR="005F448E" w:rsidRPr="005F448E" w:rsidRDefault="005F448E" w:rsidP="005F448E">
            <w:pPr>
              <w:jc w:val="right"/>
              <w:rPr>
                <w:rFonts w:ascii="Arial" w:hAnsi="Arial" w:cs="Arial"/>
                <w:b/>
                <w:sz w:val="18"/>
                <w:szCs w:val="18"/>
              </w:rPr>
            </w:pPr>
            <w:r w:rsidRPr="005F448E">
              <w:rPr>
                <w:rFonts w:ascii="Arial" w:hAnsi="Arial" w:cs="Arial"/>
                <w:b/>
                <w:sz w:val="18"/>
                <w:szCs w:val="18"/>
              </w:rPr>
              <w:t>Total Jornades específiques AVAF-UV</w:t>
            </w:r>
          </w:p>
        </w:tc>
        <w:tc>
          <w:tcPr>
            <w:tcW w:w="992" w:type="dxa"/>
            <w:shd w:val="clear" w:color="auto" w:fill="D9D9D9"/>
            <w:vAlign w:val="center"/>
          </w:tcPr>
          <w:p w14:paraId="1A493C63" w14:textId="77777777" w:rsidR="005F448E" w:rsidRPr="005F448E" w:rsidRDefault="005F448E" w:rsidP="005F448E">
            <w:pPr>
              <w:jc w:val="center"/>
              <w:rPr>
                <w:rFonts w:ascii="Arial" w:hAnsi="Arial" w:cs="Arial"/>
                <w:sz w:val="18"/>
                <w:szCs w:val="18"/>
              </w:rPr>
            </w:pPr>
            <w:r w:rsidRPr="005F448E">
              <w:rPr>
                <w:rFonts w:ascii="Arial" w:hAnsi="Arial" w:cs="Arial"/>
                <w:b/>
                <w:sz w:val="18"/>
                <w:szCs w:val="18"/>
              </w:rPr>
              <w:t>10 hores</w:t>
            </w:r>
          </w:p>
        </w:tc>
        <w:tc>
          <w:tcPr>
            <w:tcW w:w="1253" w:type="dxa"/>
            <w:shd w:val="clear" w:color="auto" w:fill="D9D9D9"/>
            <w:vAlign w:val="center"/>
          </w:tcPr>
          <w:p w14:paraId="069E6C86" w14:textId="77777777" w:rsidR="005F448E" w:rsidRPr="005F448E" w:rsidRDefault="005F448E" w:rsidP="005F448E">
            <w:pPr>
              <w:jc w:val="center"/>
              <w:rPr>
                <w:rFonts w:ascii="Arial" w:hAnsi="Arial" w:cs="Arial"/>
                <w:sz w:val="18"/>
                <w:szCs w:val="18"/>
              </w:rPr>
            </w:pPr>
            <w:r w:rsidRPr="005F448E">
              <w:rPr>
                <w:rFonts w:ascii="Arial" w:hAnsi="Arial" w:cs="Arial"/>
                <w:b/>
                <w:sz w:val="18"/>
                <w:szCs w:val="18"/>
              </w:rPr>
              <w:t xml:space="preserve">233 </w:t>
            </w:r>
          </w:p>
        </w:tc>
      </w:tr>
    </w:tbl>
    <w:p w14:paraId="4008AC8C" w14:textId="77777777" w:rsidR="00B043BA" w:rsidRPr="00B043BA" w:rsidRDefault="00B043BA" w:rsidP="00B043BA">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B043BA">
        <w:rPr>
          <w:rFonts w:ascii="Arial" w:eastAsia="Times New Roman" w:hAnsi="Arial" w:cs="Arial"/>
          <w:b/>
          <w:color w:val="9D2235"/>
          <w:sz w:val="24"/>
          <w:szCs w:val="24"/>
        </w:rPr>
        <w:t>Creació de vídeos documentals - Docufòrum</w:t>
      </w:r>
    </w:p>
    <w:p w14:paraId="27D04BC1" w14:textId="77777777" w:rsidR="00B043BA" w:rsidRPr="00B043BA" w:rsidRDefault="00B043BA" w:rsidP="00B043BA">
      <w:pPr>
        <w:pStyle w:val="Texto"/>
        <w:spacing w:after="240"/>
        <w:rPr>
          <w:rFonts w:ascii="Arial" w:hAnsi="Arial" w:cs="Arial"/>
          <w:b/>
        </w:rPr>
      </w:pPr>
      <w:r w:rsidRPr="00B043BA">
        <w:rPr>
          <w:rFonts w:ascii="Arial" w:hAnsi="Arial" w:cs="Arial"/>
          <w:b/>
        </w:rPr>
        <w:t>Documental “Conflicte d’interés”</w:t>
      </w:r>
    </w:p>
    <w:p w14:paraId="7CF6FD3B" w14:textId="0576386F" w:rsidR="00B043BA" w:rsidRPr="00B043BA" w:rsidRDefault="00B043BA" w:rsidP="00B043BA">
      <w:pPr>
        <w:pStyle w:val="Texto"/>
        <w:spacing w:after="240"/>
        <w:rPr>
          <w:rFonts w:ascii="Arial" w:hAnsi="Arial" w:cs="Arial"/>
          <w:bCs/>
        </w:rPr>
      </w:pPr>
      <w:r w:rsidRPr="00B043BA">
        <w:rPr>
          <w:rFonts w:ascii="Arial" w:hAnsi="Arial" w:cs="Arial"/>
          <w:bCs/>
        </w:rPr>
        <w:t xml:space="preserve">Dins del marc del conveni de col·laboració amb la Universitat de València, s'ha realitzat un documental </w:t>
      </w:r>
      <w:r w:rsidRPr="00B043BA">
        <w:rPr>
          <w:rFonts w:ascii="Arial" w:hAnsi="Arial" w:cs="Arial"/>
          <w:bCs/>
          <w:i/>
          <w:iCs/>
        </w:rPr>
        <w:t>Els conflictes d'interés i la integritat pública</w:t>
      </w:r>
      <w:r w:rsidRPr="00B043BA">
        <w:rPr>
          <w:rFonts w:ascii="Arial" w:hAnsi="Arial" w:cs="Arial"/>
          <w:bCs/>
        </w:rPr>
        <w:t xml:space="preserve"> [</w:t>
      </w:r>
      <w:hyperlink r:id="rId527" w:history="1">
        <w:r w:rsidRPr="00B043BA">
          <w:rPr>
            <w:rStyle w:val="Hipervnculo"/>
            <w:rFonts w:ascii="Arial" w:hAnsi="Arial" w:cs="Arial"/>
            <w:bCs/>
          </w:rPr>
          <w:t>https://youtu.be/F65q4Z3Yu9w</w:t>
        </w:r>
      </w:hyperlink>
      <w:r w:rsidRPr="00B043BA">
        <w:rPr>
          <w:rFonts w:ascii="Arial" w:hAnsi="Arial" w:cs="Arial"/>
          <w:bCs/>
        </w:rPr>
        <w:t>]. Documental de 20 minuts i 3 píndoles extretes del documental. Materials editats tant en valencià com en castellà, disponibles en el canal de YouTube de l'Agència [</w:t>
      </w:r>
      <w:hyperlink r:id="rId528" w:history="1">
        <w:r w:rsidRPr="00B043BA">
          <w:rPr>
            <w:rStyle w:val="Hipervnculo"/>
            <w:rFonts w:ascii="Arial" w:hAnsi="Arial" w:cs="Arial"/>
            <w:bCs/>
          </w:rPr>
          <w:t>https://www.youtube.com/channel/UCkDS5OEUZu3iTEWg7gu8XXQ/videos</w:t>
        </w:r>
      </w:hyperlink>
      <w:r w:rsidRPr="00B043BA">
        <w:rPr>
          <w:rFonts w:ascii="Arial" w:hAnsi="Arial" w:cs="Arial"/>
          <w:bCs/>
        </w:rPr>
        <w:t>]</w:t>
      </w:r>
    </w:p>
    <w:p w14:paraId="2A5DC3A2" w14:textId="77777777" w:rsidR="00B043BA" w:rsidRPr="00B043BA" w:rsidRDefault="00B043BA" w:rsidP="00B043BA">
      <w:pPr>
        <w:pStyle w:val="Prrafodelista"/>
        <w:keepNext/>
        <w:numPr>
          <w:ilvl w:val="2"/>
          <w:numId w:val="16"/>
        </w:numPr>
        <w:suppressAutoHyphens/>
        <w:spacing w:before="360" w:after="240" w:line="276" w:lineRule="auto"/>
        <w:ind w:left="1134" w:hanging="1134"/>
        <w:contextualSpacing w:val="0"/>
        <w:jc w:val="both"/>
        <w:outlineLvl w:val="2"/>
        <w:rPr>
          <w:rFonts w:ascii="Arial" w:hAnsi="Arial"/>
          <w:b/>
          <w:color w:val="9D2235"/>
          <w:sz w:val="28"/>
          <w:szCs w:val="28"/>
        </w:rPr>
      </w:pPr>
      <w:bookmarkStart w:id="424" w:name="_Toc96517844"/>
      <w:bookmarkStart w:id="425" w:name="_Toc99110820"/>
      <w:r w:rsidRPr="00B043BA">
        <w:rPr>
          <w:rFonts w:ascii="Arial" w:hAnsi="Arial"/>
          <w:b/>
          <w:color w:val="9D2235"/>
          <w:sz w:val="28"/>
          <w:szCs w:val="28"/>
        </w:rPr>
        <w:t>Col·laboracions amb diferents institucions</w:t>
      </w:r>
      <w:bookmarkEnd w:id="424"/>
      <w:bookmarkEnd w:id="425"/>
    </w:p>
    <w:p w14:paraId="6A26F9C9" w14:textId="77777777" w:rsidR="00B043BA" w:rsidRPr="00B043BA" w:rsidRDefault="00B043BA" w:rsidP="00B043BA">
      <w:pPr>
        <w:pStyle w:val="Texto"/>
        <w:spacing w:after="240"/>
        <w:rPr>
          <w:rFonts w:ascii="Arial" w:hAnsi="Arial" w:cs="Arial"/>
        </w:rPr>
      </w:pPr>
      <w:r w:rsidRPr="00B043BA">
        <w:rPr>
          <w:rFonts w:ascii="Arial" w:hAnsi="Arial" w:cs="Arial"/>
        </w:rPr>
        <w:t xml:space="preserve">Durant 2021 ha sigut voluntat de l'Agència continuar consolidant les relacions amb les universitats i altres institucions. </w:t>
      </w:r>
    </w:p>
    <w:p w14:paraId="74498F59" w14:textId="77777777" w:rsidR="00B043BA" w:rsidRPr="00B043BA" w:rsidRDefault="00B043BA" w:rsidP="00B043BA">
      <w:pPr>
        <w:pStyle w:val="Texto"/>
        <w:spacing w:after="240"/>
        <w:rPr>
          <w:rFonts w:ascii="Arial" w:hAnsi="Arial" w:cs="Arial"/>
        </w:rPr>
      </w:pPr>
      <w:r w:rsidRPr="00B043BA">
        <w:rPr>
          <w:rFonts w:ascii="Arial" w:hAnsi="Arial" w:cs="Arial"/>
        </w:rPr>
        <w:t xml:space="preserve">Durant 2021 ha sigut voluntat de l'Agència continuar consolidant les relacions amb les universitats i altres institucions. </w:t>
      </w:r>
    </w:p>
    <w:p w14:paraId="450D48C9" w14:textId="77777777" w:rsidR="00B043BA" w:rsidRPr="00B043BA" w:rsidRDefault="00B043BA" w:rsidP="00B043BA">
      <w:pPr>
        <w:pStyle w:val="Texto"/>
        <w:spacing w:after="240"/>
        <w:rPr>
          <w:rFonts w:ascii="Arial" w:hAnsi="Arial" w:cs="Arial"/>
        </w:rPr>
      </w:pPr>
      <w:r w:rsidRPr="00B043BA">
        <w:rPr>
          <w:rFonts w:ascii="Arial" w:hAnsi="Arial" w:cs="Arial"/>
        </w:rPr>
        <w:t xml:space="preserve">Més enllà dels convenis ja subscrits, s'han establit col·laboracions amb diferents institucions de l'àmbit universitari i administracions públiques per a afavorir mitjançant accions formatives un sistema d'integritat pública. En aquest sentit, com hem indicat, al llarg de 2021, s'han dut a terme activitats formatives amb totes les universitats públiques de la Comunitat Valenciana, així com amb el CEU Cardenal Herrera, la Fundació Universitat-Empresa (ADEIT) de la Universitat de València, així com amb l'Observatori de Transparència i Bon Govern de la Universitat Jaume I. </w:t>
      </w:r>
    </w:p>
    <w:p w14:paraId="29AE1FD0" w14:textId="77777777" w:rsidR="00B043BA" w:rsidRPr="00B043BA" w:rsidRDefault="00B043BA" w:rsidP="00B043BA">
      <w:pPr>
        <w:pStyle w:val="Texto"/>
        <w:spacing w:after="240"/>
        <w:rPr>
          <w:rFonts w:ascii="Arial" w:hAnsi="Arial" w:cs="Arial"/>
        </w:rPr>
      </w:pPr>
      <w:r w:rsidRPr="00B043BA">
        <w:rPr>
          <w:rFonts w:ascii="Arial" w:hAnsi="Arial" w:cs="Arial"/>
        </w:rPr>
        <w:t xml:space="preserve">L'Agència també ha col·laborat amb la Fundació NovaGob, ecosistema d'innovació pública per a Iberoamèrica, amb una conferència en el VIII Congrés NovaGob d'Innovació Pública, a Saragossa (en línia). De la mateixa manera, ha sigut present a Madrid, amb una conferència en l'XI Congrés Nacional d'Innovació i Serveis Públics (CNIS) i amb l'Institut Trivium amb una conferència en línia. </w:t>
      </w:r>
    </w:p>
    <w:p w14:paraId="18072B68" w14:textId="77777777" w:rsidR="00B043BA" w:rsidRPr="00B043BA" w:rsidRDefault="00B043BA" w:rsidP="00B043BA">
      <w:pPr>
        <w:pStyle w:val="Texto"/>
        <w:spacing w:after="240"/>
        <w:rPr>
          <w:rFonts w:ascii="Arial" w:hAnsi="Arial" w:cs="Arial"/>
        </w:rPr>
      </w:pPr>
      <w:r w:rsidRPr="00B043BA">
        <w:rPr>
          <w:rFonts w:ascii="Arial" w:hAnsi="Arial" w:cs="Arial"/>
        </w:rPr>
        <w:t>En 2021 s'ha establit, així mateix, una col·laboració estreta amb la Conselleria de Participació, Transparència, Cooperació i Qualitat Democràtica de la Generalitat Valenciana i la Federació Valenciana de Municipis i Províncies, que s'ha traduït, en la Jornada de Plans Antifrau en la gestió del Pla de Recuperació, Transformació i Resiliència, celebrada el 21 de desembre, abans citada.</w:t>
      </w:r>
    </w:p>
    <w:p w14:paraId="4EA5E777" w14:textId="1D933E4E" w:rsidR="005F448E" w:rsidRPr="00B043BA" w:rsidRDefault="00B043BA" w:rsidP="00B043BA">
      <w:pPr>
        <w:pStyle w:val="Texto"/>
        <w:spacing w:after="240"/>
        <w:rPr>
          <w:rFonts w:ascii="Arial" w:hAnsi="Arial" w:cs="Arial"/>
        </w:rPr>
      </w:pPr>
      <w:r w:rsidRPr="00B043BA">
        <w:rPr>
          <w:rFonts w:ascii="Arial" w:hAnsi="Arial" w:cs="Arial"/>
        </w:rPr>
        <w:t xml:space="preserve">Voluntat col·laborativa que en 2021 també s'ha materialitzat, com s'ha indicat, en col·laboracions amb l'INAP i les diputacions provincials valencianes </w:t>
      </w:r>
      <w:r w:rsidRPr="00C9578C">
        <w:rPr>
          <w:rFonts w:ascii="Arial" w:hAnsi="Arial" w:cs="Arial"/>
        </w:rPr>
        <w:t xml:space="preserve">(Gràfic </w:t>
      </w:r>
      <w:r w:rsidR="00A55252" w:rsidRPr="00C9578C">
        <w:rPr>
          <w:rFonts w:ascii="Arial" w:hAnsi="Arial" w:cs="Arial"/>
        </w:rPr>
        <w:t>3</w:t>
      </w:r>
      <w:r w:rsidRPr="00C9578C">
        <w:rPr>
          <w:rFonts w:ascii="Arial" w:hAnsi="Arial" w:cs="Arial"/>
        </w:rPr>
        <w:t>4).</w:t>
      </w:r>
    </w:p>
    <w:p w14:paraId="0D27B59A" w14:textId="77777777" w:rsidR="00683640" w:rsidRDefault="00B043BA" w:rsidP="00B043BA">
      <w:pPr>
        <w:pStyle w:val="Texto"/>
        <w:keepNext/>
        <w:spacing w:after="240"/>
        <w:jc w:val="center"/>
        <w:rPr>
          <w:rFonts w:ascii="Arial" w:hAnsi="Arial" w:cs="Arial"/>
          <w:b/>
          <w:bCs/>
          <w:smallCaps/>
          <w:color w:val="9D2235" w:themeColor="accent1"/>
          <w:sz w:val="18"/>
          <w:szCs w:val="18"/>
        </w:rPr>
      </w:pPr>
      <w:r w:rsidRPr="001772C2">
        <w:rPr>
          <w:rFonts w:ascii="Arial" w:eastAsia="Calibri" w:hAnsi="Arial" w:cs="Arial"/>
          <w:noProof/>
        </w:rPr>
        <w:drawing>
          <wp:inline distT="0" distB="0" distL="0" distR="0" wp14:anchorId="0D70A2B2" wp14:editId="351E4B73">
            <wp:extent cx="5347411" cy="3254278"/>
            <wp:effectExtent l="0" t="0" r="5715" b="3810"/>
            <wp:docPr id="70" name="Imagen 70"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 Gráfico de burbujas&#10;&#10;Descripción generada automáticamente"/>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5360631" cy="3262323"/>
                    </a:xfrm>
                    <a:prstGeom prst="rect">
                      <a:avLst/>
                    </a:prstGeom>
                    <a:noFill/>
                  </pic:spPr>
                </pic:pic>
              </a:graphicData>
            </a:graphic>
          </wp:inline>
        </w:drawing>
      </w:r>
    </w:p>
    <w:p w14:paraId="1A890FDC" w14:textId="256D0232" w:rsidR="005F448E" w:rsidRPr="003D3409" w:rsidRDefault="00B043BA" w:rsidP="00B043BA">
      <w:pPr>
        <w:pStyle w:val="Texto"/>
        <w:keepNext/>
        <w:spacing w:after="240"/>
        <w:jc w:val="center"/>
        <w:rPr>
          <w:rFonts w:ascii="Arial" w:hAnsi="Arial" w:cs="Arial"/>
          <w:b/>
          <w:bCs/>
          <w:sz w:val="18"/>
          <w:szCs w:val="18"/>
        </w:rPr>
      </w:pPr>
      <w:bookmarkStart w:id="426" w:name="_Toc99110993"/>
      <w:r w:rsidRPr="003D3409">
        <w:rPr>
          <w:rFonts w:ascii="Arial" w:hAnsi="Arial" w:cs="Arial"/>
          <w:b/>
          <w:bCs/>
          <w:color w:val="9D2235" w:themeColor="accent1"/>
          <w:sz w:val="18"/>
          <w:szCs w:val="18"/>
        </w:rPr>
        <w:t xml:space="preserve">Gràfic </w:t>
      </w:r>
      <w:r w:rsidRPr="003D3409">
        <w:rPr>
          <w:rFonts w:ascii="Arial" w:hAnsi="Arial" w:cs="Arial"/>
          <w:b/>
          <w:bCs/>
          <w:color w:val="9D2235" w:themeColor="accent1"/>
          <w:sz w:val="18"/>
          <w:szCs w:val="18"/>
        </w:rPr>
        <w:fldChar w:fldCharType="begin" w:fldLock="1"/>
      </w:r>
      <w:r w:rsidRPr="003D3409">
        <w:rPr>
          <w:rFonts w:ascii="Arial" w:hAnsi="Arial" w:cs="Arial"/>
          <w:b/>
          <w:bCs/>
          <w:color w:val="9D2235" w:themeColor="accent1"/>
          <w:sz w:val="18"/>
          <w:szCs w:val="18"/>
        </w:rPr>
        <w:instrText xml:space="preserve"> SEQ Gràfic \* ARABIC </w:instrText>
      </w:r>
      <w:r w:rsidRPr="003D3409">
        <w:rPr>
          <w:rFonts w:ascii="Arial" w:hAnsi="Arial" w:cs="Arial"/>
          <w:b/>
          <w:bCs/>
          <w:color w:val="9D2235" w:themeColor="accent1"/>
          <w:sz w:val="18"/>
          <w:szCs w:val="18"/>
        </w:rPr>
        <w:fldChar w:fldCharType="separate"/>
      </w:r>
      <w:r w:rsidR="00651990" w:rsidRPr="003D3409">
        <w:rPr>
          <w:rFonts w:ascii="Arial" w:hAnsi="Arial" w:cs="Arial"/>
          <w:b/>
          <w:bCs/>
          <w:noProof/>
          <w:color w:val="9D2235" w:themeColor="accent1"/>
          <w:sz w:val="18"/>
          <w:szCs w:val="18"/>
        </w:rPr>
        <w:t>34</w:t>
      </w:r>
      <w:r w:rsidRPr="003D3409">
        <w:rPr>
          <w:rFonts w:ascii="Arial" w:hAnsi="Arial" w:cs="Arial"/>
          <w:b/>
          <w:bCs/>
          <w:color w:val="9D2235" w:themeColor="accent1"/>
          <w:sz w:val="18"/>
          <w:szCs w:val="18"/>
        </w:rPr>
        <w:fldChar w:fldCharType="end"/>
      </w:r>
      <w:r w:rsidRPr="003D3409">
        <w:rPr>
          <w:rFonts w:ascii="Arial" w:hAnsi="Arial" w:cs="Arial"/>
          <w:b/>
          <w:bCs/>
          <w:color w:val="9D2235" w:themeColor="accent1"/>
          <w:sz w:val="18"/>
          <w:szCs w:val="18"/>
        </w:rPr>
        <w:t xml:space="preserve">. </w:t>
      </w:r>
      <w:r w:rsidRPr="003D3409">
        <w:rPr>
          <w:rFonts w:ascii="Arial" w:hAnsi="Arial" w:cs="Arial"/>
          <w:b/>
          <w:bCs/>
          <w:sz w:val="18"/>
          <w:szCs w:val="18"/>
        </w:rPr>
        <w:t>Col·laboració institucional en activitats formatives</w:t>
      </w:r>
      <w:bookmarkEnd w:id="426"/>
    </w:p>
    <w:p w14:paraId="7AE16869" w14:textId="44B658B9" w:rsidR="005F448E" w:rsidRPr="003415D4" w:rsidRDefault="003415D4" w:rsidP="00AD4D3B">
      <w:pPr>
        <w:pStyle w:val="Texto"/>
        <w:spacing w:after="240"/>
        <w:rPr>
          <w:rFonts w:ascii="Arial" w:hAnsi="Arial" w:cs="Arial"/>
        </w:rPr>
      </w:pPr>
      <w:r w:rsidRPr="003415D4">
        <w:rPr>
          <w:rFonts w:ascii="Arial" w:hAnsi="Arial" w:cs="Arial"/>
        </w:rPr>
        <w:t xml:space="preserve">En aquest sentit, les activitats formatives de 2021 s'han concentrat en les universitats, realitzant 32 activitats amb les universitats, 1 amb la fundació universitat-empresa, 3 amb les diputacions provincials, 3 amb diferents associacions, 2 amb l'INAP i 1 amb la Generalitat Valenciana i la FVMP </w:t>
      </w:r>
      <w:r w:rsidRPr="00C9578C">
        <w:rPr>
          <w:rFonts w:ascii="Arial" w:hAnsi="Arial" w:cs="Arial"/>
        </w:rPr>
        <w:t>conjuntament (Taula 2</w:t>
      </w:r>
      <w:r w:rsidR="00A55252" w:rsidRPr="00C9578C">
        <w:rPr>
          <w:rFonts w:ascii="Arial" w:hAnsi="Arial" w:cs="Arial"/>
        </w:rPr>
        <w:t>9</w:t>
      </w:r>
      <w:r w:rsidRPr="00C9578C">
        <w:rPr>
          <w:rFonts w:ascii="Arial" w:hAnsi="Arial" w:cs="Arial"/>
        </w:rPr>
        <w:t>).</w:t>
      </w:r>
    </w:p>
    <w:p w14:paraId="02AF6B5A" w14:textId="774D869A" w:rsidR="003415D4" w:rsidRPr="003415D4" w:rsidRDefault="003415D4" w:rsidP="003415D4">
      <w:pPr>
        <w:pStyle w:val="Descripcin"/>
        <w:keepNext/>
        <w:jc w:val="both"/>
        <w:rPr>
          <w:rFonts w:ascii="Arial" w:hAnsi="Arial" w:cs="Arial"/>
          <w:smallCaps w:val="0"/>
          <w:sz w:val="18"/>
          <w:szCs w:val="18"/>
        </w:rPr>
      </w:pPr>
      <w:bookmarkStart w:id="427" w:name="_Toc99110874"/>
      <w:r w:rsidRPr="003415D4">
        <w:rPr>
          <w:rFonts w:ascii="Arial" w:hAnsi="Arial" w:cs="Arial"/>
          <w:smallCaps w:val="0"/>
          <w:color w:val="9D2235" w:themeColor="accent1"/>
          <w:sz w:val="18"/>
          <w:szCs w:val="18"/>
        </w:rPr>
        <w:t xml:space="preserve">Taula </w:t>
      </w:r>
      <w:r w:rsidRPr="003415D4">
        <w:rPr>
          <w:rFonts w:ascii="Arial" w:hAnsi="Arial" w:cs="Arial"/>
          <w:smallCaps w:val="0"/>
          <w:color w:val="9D2235" w:themeColor="accent1"/>
          <w:sz w:val="18"/>
          <w:szCs w:val="18"/>
        </w:rPr>
        <w:fldChar w:fldCharType="begin" w:fldLock="1"/>
      </w:r>
      <w:r w:rsidRPr="003415D4">
        <w:rPr>
          <w:rFonts w:ascii="Arial" w:hAnsi="Arial" w:cs="Arial"/>
          <w:smallCaps w:val="0"/>
          <w:color w:val="9D2235" w:themeColor="accent1"/>
          <w:sz w:val="18"/>
          <w:szCs w:val="18"/>
        </w:rPr>
        <w:instrText xml:space="preserve"> SEQ Taula \* ARABIC </w:instrText>
      </w:r>
      <w:r w:rsidRPr="003415D4">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29</w:t>
      </w:r>
      <w:r w:rsidRPr="003415D4">
        <w:rPr>
          <w:rFonts w:ascii="Arial" w:hAnsi="Arial" w:cs="Arial"/>
          <w:smallCaps w:val="0"/>
          <w:color w:val="9D2235" w:themeColor="accent1"/>
          <w:sz w:val="18"/>
          <w:szCs w:val="18"/>
        </w:rPr>
        <w:fldChar w:fldCharType="end"/>
      </w:r>
      <w:r w:rsidRPr="003415D4">
        <w:rPr>
          <w:rFonts w:ascii="Arial" w:hAnsi="Arial" w:cs="Arial"/>
          <w:smallCaps w:val="0"/>
          <w:color w:val="9D2235" w:themeColor="accent1"/>
          <w:sz w:val="18"/>
          <w:szCs w:val="18"/>
        </w:rPr>
        <w:t xml:space="preserve">. </w:t>
      </w:r>
      <w:r w:rsidRPr="003415D4">
        <w:rPr>
          <w:rFonts w:ascii="Arial" w:hAnsi="Arial" w:cs="Arial"/>
          <w:smallCaps w:val="0"/>
          <w:sz w:val="18"/>
          <w:szCs w:val="18"/>
        </w:rPr>
        <w:t>Activitats formatives 2017-2021 per entitats col·laboradors</w:t>
      </w:r>
      <w:bookmarkEnd w:id="427"/>
    </w:p>
    <w:p w14:paraId="340469CA" w14:textId="73797436" w:rsidR="005F448E" w:rsidRDefault="003415D4" w:rsidP="00AD4D3B">
      <w:pPr>
        <w:pStyle w:val="Texto"/>
        <w:spacing w:after="240"/>
        <w:rPr>
          <w:rFonts w:ascii="Arial" w:hAnsi="Arial" w:cs="Arial"/>
        </w:rPr>
      </w:pPr>
      <w:r>
        <w:rPr>
          <w:noProof/>
        </w:rPr>
        <w:drawing>
          <wp:inline distT="0" distB="0" distL="0" distR="0" wp14:anchorId="156C29EA" wp14:editId="3E52BB3E">
            <wp:extent cx="5400040" cy="1254760"/>
            <wp:effectExtent l="0" t="0" r="0" b="2540"/>
            <wp:docPr id="71" name="Imagen 7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Gráfico&#10;&#10;Descripción generada automáticamente"/>
                    <pic:cNvPicPr/>
                  </pic:nvPicPr>
                  <pic:blipFill>
                    <a:blip r:embed="rId530"/>
                    <a:stretch>
                      <a:fillRect/>
                    </a:stretch>
                  </pic:blipFill>
                  <pic:spPr>
                    <a:xfrm>
                      <a:off x="0" y="0"/>
                      <a:ext cx="5400040" cy="1254760"/>
                    </a:xfrm>
                    <a:prstGeom prst="rect">
                      <a:avLst/>
                    </a:prstGeom>
                  </pic:spPr>
                </pic:pic>
              </a:graphicData>
            </a:graphic>
          </wp:inline>
        </w:drawing>
      </w:r>
    </w:p>
    <w:p w14:paraId="0B72BE70" w14:textId="77777777" w:rsidR="003415D4" w:rsidRPr="003415D4" w:rsidRDefault="003415D4" w:rsidP="004A6B18">
      <w:pPr>
        <w:pStyle w:val="Prrafodelista"/>
        <w:keepNext/>
        <w:numPr>
          <w:ilvl w:val="2"/>
          <w:numId w:val="16"/>
        </w:numPr>
        <w:suppressAutoHyphens/>
        <w:spacing w:after="240" w:line="276" w:lineRule="auto"/>
        <w:ind w:left="1134" w:hanging="1134"/>
        <w:contextualSpacing w:val="0"/>
        <w:jc w:val="both"/>
        <w:outlineLvl w:val="2"/>
        <w:rPr>
          <w:rFonts w:ascii="Arial" w:hAnsi="Arial"/>
          <w:b/>
          <w:color w:val="9D2235"/>
          <w:sz w:val="28"/>
          <w:szCs w:val="28"/>
        </w:rPr>
      </w:pPr>
      <w:bookmarkStart w:id="428" w:name="_Toc96517845"/>
      <w:bookmarkStart w:id="429" w:name="_Toc99110821"/>
      <w:r w:rsidRPr="003415D4">
        <w:rPr>
          <w:rFonts w:ascii="Arial" w:hAnsi="Arial"/>
          <w:b/>
          <w:color w:val="9D2235"/>
          <w:sz w:val="28"/>
          <w:szCs w:val="28"/>
        </w:rPr>
        <w:t>Reflexió final</w:t>
      </w:r>
      <w:bookmarkEnd w:id="428"/>
      <w:bookmarkEnd w:id="429"/>
    </w:p>
    <w:p w14:paraId="4C007D84" w14:textId="77777777" w:rsidR="003415D4" w:rsidRPr="003415D4" w:rsidRDefault="003415D4" w:rsidP="003415D4">
      <w:pPr>
        <w:pStyle w:val="Texto"/>
        <w:spacing w:after="240"/>
        <w:rPr>
          <w:rFonts w:ascii="Arial" w:hAnsi="Arial" w:cs="Arial"/>
        </w:rPr>
      </w:pPr>
      <w:r w:rsidRPr="003415D4">
        <w:rPr>
          <w:rFonts w:ascii="Arial" w:hAnsi="Arial" w:cs="Arial"/>
        </w:rPr>
        <w:t>La formació és un dels pilars essencials per a la prevenció i erradicació del frau i la corrupció i per a l'impuls de la integritat i ètica pública.</w:t>
      </w:r>
    </w:p>
    <w:p w14:paraId="49DC1EF3" w14:textId="77777777" w:rsidR="003415D4" w:rsidRPr="003415D4" w:rsidRDefault="003415D4" w:rsidP="003415D4">
      <w:pPr>
        <w:pStyle w:val="Texto"/>
        <w:spacing w:after="240"/>
        <w:rPr>
          <w:rFonts w:ascii="Arial" w:hAnsi="Arial" w:cs="Arial"/>
        </w:rPr>
      </w:pPr>
      <w:r w:rsidRPr="003415D4">
        <w:rPr>
          <w:rFonts w:ascii="Arial" w:hAnsi="Arial" w:cs="Arial"/>
        </w:rPr>
        <w:t xml:space="preserve">L'any 2011, Espanya es va incorporar a l'Aliança per al Govern Obert. L'IV Pla de Govern Obert del Govern d'Espanya, aprovat en 2020, defineix el govern obert com un “model  de cogovernança pública més transparent i participatiu, més compromés amb la integritat pública i més pròxim a la ciutadania”. El Pla afirma, igualment, la relació creixent del govern obert i la integritat pública s'ha manifestat en aquest IV Pla de Govern Obert amb l'aparició del tercer eix, el d'integritat, on s'ha manifestat a través de dos compromisos: </w:t>
      </w:r>
    </w:p>
    <w:p w14:paraId="1C9C1CA2" w14:textId="77777777" w:rsidR="003415D4" w:rsidRPr="003415D4" w:rsidRDefault="003415D4" w:rsidP="0061495F">
      <w:pPr>
        <w:pStyle w:val="Texto"/>
        <w:numPr>
          <w:ilvl w:val="0"/>
          <w:numId w:val="76"/>
        </w:numPr>
        <w:spacing w:after="120"/>
        <w:ind w:left="714" w:hanging="357"/>
        <w:rPr>
          <w:rFonts w:ascii="Arial" w:hAnsi="Arial" w:cs="Arial"/>
        </w:rPr>
      </w:pPr>
      <w:r w:rsidRPr="003415D4">
        <w:rPr>
          <w:rFonts w:ascii="Arial" w:hAnsi="Arial" w:cs="Arial"/>
        </w:rPr>
        <w:t>Implantar sistemes d'integritat pública.</w:t>
      </w:r>
    </w:p>
    <w:p w14:paraId="2C0329DA" w14:textId="77777777" w:rsidR="003415D4" w:rsidRPr="003415D4" w:rsidRDefault="003415D4" w:rsidP="0061495F">
      <w:pPr>
        <w:pStyle w:val="Texto"/>
        <w:numPr>
          <w:ilvl w:val="0"/>
          <w:numId w:val="76"/>
        </w:numPr>
        <w:spacing w:after="240"/>
        <w:rPr>
          <w:rFonts w:ascii="Arial" w:hAnsi="Arial" w:cs="Arial"/>
        </w:rPr>
      </w:pPr>
      <w:r w:rsidRPr="003415D4">
        <w:rPr>
          <w:rFonts w:ascii="Arial" w:hAnsi="Arial" w:cs="Arial"/>
        </w:rPr>
        <w:t>Protecció als denunciants.</w:t>
      </w:r>
    </w:p>
    <w:p w14:paraId="1069501D" w14:textId="77777777" w:rsidR="003415D4" w:rsidRPr="003415D4" w:rsidRDefault="003415D4" w:rsidP="003415D4">
      <w:pPr>
        <w:pStyle w:val="Texto"/>
        <w:spacing w:after="240"/>
        <w:rPr>
          <w:rFonts w:ascii="Arial" w:hAnsi="Arial" w:cs="Arial"/>
        </w:rPr>
      </w:pPr>
      <w:r w:rsidRPr="003415D4">
        <w:rPr>
          <w:rFonts w:ascii="Arial" w:hAnsi="Arial" w:cs="Arial"/>
        </w:rPr>
        <w:t>El primer compromís, basat en els sistemes d'integritat posseeix quatre línies d'acció, entre les quals destaquen, el diagnòstic dels mecanismes existents en l'actualitat i millorar els sistemes preventius d'integritat pública, a través de l'elaboració de mapes de risc, codis de conducta i la millora de la formació i assessorament de les empleades i els empleats públics en la matèria.</w:t>
      </w:r>
    </w:p>
    <w:p w14:paraId="333319B0" w14:textId="77777777" w:rsidR="003415D4" w:rsidRPr="003415D4" w:rsidRDefault="003415D4" w:rsidP="003415D4">
      <w:pPr>
        <w:pStyle w:val="Texto"/>
        <w:spacing w:after="240"/>
        <w:rPr>
          <w:rFonts w:ascii="Arial" w:hAnsi="Arial" w:cs="Arial"/>
        </w:rPr>
      </w:pPr>
      <w:r w:rsidRPr="003415D4">
        <w:rPr>
          <w:rFonts w:ascii="Arial" w:hAnsi="Arial" w:cs="Arial"/>
        </w:rPr>
        <w:t>El segon compromís del tercer eix, el d'integritat, se centra en la protecció de denunciants a través de la transposició de la Directiva (UE) 2019/1937, de 23 d'octubre de 2019, relativa a la protecció de les persones que informen sobre infraccions del dret de la UE.</w:t>
      </w:r>
    </w:p>
    <w:p w14:paraId="4A6D54C5" w14:textId="77777777" w:rsidR="003415D4" w:rsidRPr="003415D4" w:rsidRDefault="003415D4" w:rsidP="003415D4">
      <w:pPr>
        <w:pStyle w:val="Texto"/>
        <w:spacing w:after="240"/>
        <w:rPr>
          <w:rFonts w:ascii="Arial" w:hAnsi="Arial" w:cs="Arial"/>
        </w:rPr>
      </w:pPr>
      <w:r w:rsidRPr="003415D4">
        <w:rPr>
          <w:rFonts w:ascii="Arial" w:hAnsi="Arial" w:cs="Arial"/>
        </w:rPr>
        <w:t xml:space="preserve">Al seu torn, com detalla el IV Pla de Govern Obert del Govern d'Espanya “El govern obert constitueix un paradigma clau per al compliment de l'Objectiu de Desenvolupament Sostenible 16 (ODS 16) de l'Agenda 2030”. </w:t>
      </w:r>
    </w:p>
    <w:p w14:paraId="5F59EF9E" w14:textId="77777777" w:rsidR="003415D4" w:rsidRPr="003415D4" w:rsidRDefault="003415D4" w:rsidP="003415D4">
      <w:pPr>
        <w:pStyle w:val="Texto"/>
        <w:spacing w:after="240"/>
        <w:rPr>
          <w:rFonts w:ascii="Arial" w:hAnsi="Arial" w:cs="Arial"/>
        </w:rPr>
      </w:pPr>
      <w:r w:rsidRPr="003415D4">
        <w:rPr>
          <w:rFonts w:ascii="Arial" w:hAnsi="Arial" w:cs="Arial"/>
        </w:rPr>
        <w:t xml:space="preserve">L'Agenda 2030 insisteix en la necessitat de teixir xarxes socials i impulsar experiències formatives i de sensibilització, amb l'objectiu de construir institucions públiques íntegres que fomenten la cultura del rebuig del frau i la corrupció. </w:t>
      </w:r>
    </w:p>
    <w:p w14:paraId="184A6960" w14:textId="77777777" w:rsidR="003415D4" w:rsidRPr="003415D4" w:rsidRDefault="003415D4" w:rsidP="003415D4">
      <w:pPr>
        <w:pStyle w:val="Texto"/>
        <w:spacing w:after="240"/>
        <w:rPr>
          <w:rFonts w:ascii="Arial" w:hAnsi="Arial" w:cs="Arial"/>
        </w:rPr>
      </w:pPr>
      <w:r w:rsidRPr="003415D4">
        <w:rPr>
          <w:rFonts w:ascii="Arial" w:hAnsi="Arial" w:cs="Arial"/>
        </w:rPr>
        <w:t xml:space="preserve">Aquesta és la voluntat de l'estratègia de formació de l'Agència i la informació actualitzada sobre les iniciatives formatives de l’AVAF es pot trobar en la secció </w:t>
      </w:r>
      <w:r w:rsidRPr="003415D4">
        <w:rPr>
          <w:rFonts w:ascii="Arial" w:hAnsi="Arial" w:cs="Arial"/>
          <w:i/>
          <w:iCs/>
        </w:rPr>
        <w:t>Activitats Formatives i Ètica Pública</w:t>
      </w:r>
      <w:r w:rsidRPr="003415D4">
        <w:rPr>
          <w:rFonts w:ascii="Arial" w:hAnsi="Arial" w:cs="Arial"/>
        </w:rPr>
        <w:t xml:space="preserve">, en la pestanya </w:t>
      </w:r>
      <w:r w:rsidRPr="003415D4">
        <w:rPr>
          <w:rFonts w:ascii="Arial" w:hAnsi="Arial" w:cs="Arial"/>
          <w:b/>
          <w:bCs/>
        </w:rPr>
        <w:t>Prevenció i Formació</w:t>
      </w:r>
      <w:r w:rsidRPr="003415D4">
        <w:rPr>
          <w:rFonts w:ascii="Arial" w:hAnsi="Arial" w:cs="Arial"/>
        </w:rPr>
        <w:t xml:space="preserve"> [</w:t>
      </w:r>
      <w:hyperlink r:id="rId531" w:history="1">
        <w:r w:rsidRPr="003415D4">
          <w:rPr>
            <w:rStyle w:val="Hipervnculo"/>
            <w:rFonts w:ascii="Arial" w:hAnsi="Arial" w:cs="Arial"/>
          </w:rPr>
          <w:t>https://www.antifraucv.es/cursos-formacion/</w:t>
        </w:r>
      </w:hyperlink>
      <w:r w:rsidRPr="003415D4">
        <w:rPr>
          <w:rFonts w:ascii="Arial" w:hAnsi="Arial" w:cs="Arial"/>
        </w:rPr>
        <w:t>] i en l’</w:t>
      </w:r>
      <w:r w:rsidRPr="003415D4">
        <w:rPr>
          <w:rFonts w:ascii="Arial" w:hAnsi="Arial" w:cs="Arial"/>
          <w:b/>
          <w:bCs/>
        </w:rPr>
        <w:t>Agenda</w:t>
      </w:r>
      <w:r w:rsidRPr="003415D4">
        <w:rPr>
          <w:rFonts w:ascii="Arial" w:hAnsi="Arial" w:cs="Arial"/>
        </w:rPr>
        <w:t xml:space="preserve"> web [</w:t>
      </w:r>
      <w:hyperlink r:id="rId532" w:history="1">
        <w:r w:rsidRPr="003415D4">
          <w:rPr>
            <w:rStyle w:val="Hipervnculo"/>
            <w:rFonts w:ascii="Arial" w:hAnsi="Arial" w:cs="Arial"/>
          </w:rPr>
          <w:t>https://www.antifraucv.es/events/</w:t>
        </w:r>
      </w:hyperlink>
      <w:r w:rsidRPr="003415D4">
        <w:rPr>
          <w:rFonts w:ascii="Arial" w:hAnsi="Arial" w:cs="Arial"/>
        </w:rPr>
        <w:t>] de la pàgina web de l’AVAF.</w:t>
      </w:r>
    </w:p>
    <w:p w14:paraId="79B94DB4" w14:textId="77777777" w:rsidR="003415D4" w:rsidRPr="003415D4" w:rsidRDefault="003415D4" w:rsidP="00CC15EA">
      <w:pPr>
        <w:pStyle w:val="Texto"/>
        <w:spacing w:after="240"/>
        <w:contextualSpacing/>
        <w:rPr>
          <w:rFonts w:ascii="Arial" w:hAnsi="Arial" w:cs="Arial"/>
        </w:rPr>
      </w:pPr>
      <w:r w:rsidRPr="003415D4">
        <w:rPr>
          <w:rFonts w:ascii="Arial" w:hAnsi="Arial" w:cs="Arial"/>
        </w:rPr>
        <w:t xml:space="preserve">D'igual manera, les intervencions formatives gravades, així com altres activitats de sensibilització social sobre la prevenció de la corrupció i el frau es poden trobar i veure en el </w:t>
      </w:r>
      <w:r w:rsidRPr="003415D4">
        <w:rPr>
          <w:rFonts w:ascii="Arial" w:hAnsi="Arial" w:cs="Arial"/>
          <w:b/>
          <w:bCs/>
        </w:rPr>
        <w:t>Canal de YouTube</w:t>
      </w:r>
      <w:r w:rsidRPr="003415D4">
        <w:rPr>
          <w:rFonts w:ascii="Arial" w:hAnsi="Arial" w:cs="Arial"/>
        </w:rPr>
        <w:t xml:space="preserve"> de l'Agència Valenciana Antifrau.</w:t>
      </w:r>
    </w:p>
    <w:p w14:paraId="4DC88DBC" w14:textId="54E6FDAE" w:rsidR="005F448E" w:rsidRPr="003415D4" w:rsidRDefault="003415D4" w:rsidP="003415D4">
      <w:pPr>
        <w:pStyle w:val="Texto"/>
        <w:spacing w:after="240"/>
        <w:rPr>
          <w:rFonts w:ascii="Arial" w:hAnsi="Arial" w:cs="Arial"/>
        </w:rPr>
      </w:pPr>
      <w:r w:rsidRPr="003415D4">
        <w:rPr>
          <w:rFonts w:ascii="Arial" w:hAnsi="Arial" w:cs="Arial"/>
        </w:rPr>
        <w:t>[</w:t>
      </w:r>
      <w:hyperlink r:id="rId533" w:history="1">
        <w:r w:rsidRPr="003415D4">
          <w:rPr>
            <w:rStyle w:val="Hipervnculo"/>
            <w:rFonts w:ascii="Arial" w:hAnsi="Arial" w:cs="Arial"/>
          </w:rPr>
          <w:t>https://www.youtube.com/channel/UCkDS5OEUZu3iTEWg7gu8XXQ/featured</w:t>
        </w:r>
      </w:hyperlink>
      <w:r w:rsidRPr="003415D4">
        <w:rPr>
          <w:rFonts w:ascii="Arial" w:hAnsi="Arial" w:cs="Arial"/>
        </w:rPr>
        <w:t>]</w:t>
      </w:r>
    </w:p>
    <w:p w14:paraId="0DDA2E94" w14:textId="77777777" w:rsidR="00CC15EA" w:rsidRPr="00CC15EA" w:rsidRDefault="00CC15EA" w:rsidP="00CC15EA">
      <w:pPr>
        <w:pStyle w:val="Prrafodelista"/>
        <w:keepNext/>
        <w:numPr>
          <w:ilvl w:val="1"/>
          <w:numId w:val="16"/>
        </w:numPr>
        <w:suppressAutoHyphens/>
        <w:spacing w:before="360" w:after="240" w:line="276" w:lineRule="auto"/>
        <w:ind w:left="851" w:hanging="851"/>
        <w:contextualSpacing w:val="0"/>
        <w:outlineLvl w:val="1"/>
        <w:rPr>
          <w:rFonts w:ascii="Arial" w:hAnsi="Arial"/>
          <w:b/>
          <w:color w:val="9D2235"/>
          <w:sz w:val="32"/>
          <w:szCs w:val="32"/>
        </w:rPr>
      </w:pPr>
      <w:bookmarkStart w:id="430" w:name="_Toc96517846"/>
      <w:bookmarkStart w:id="431" w:name="_Toc99110822"/>
      <w:r w:rsidRPr="00CC15EA">
        <w:rPr>
          <w:rFonts w:ascii="Arial" w:hAnsi="Arial"/>
          <w:b/>
          <w:color w:val="9D2235"/>
          <w:sz w:val="32"/>
          <w:szCs w:val="32"/>
        </w:rPr>
        <w:t>Documentació i informes</w:t>
      </w:r>
      <w:bookmarkEnd w:id="430"/>
      <w:bookmarkEnd w:id="431"/>
    </w:p>
    <w:p w14:paraId="0639A508" w14:textId="77777777" w:rsidR="00CC15EA" w:rsidRPr="00CC15EA" w:rsidRDefault="00CC15EA" w:rsidP="004A6B18">
      <w:pPr>
        <w:pStyle w:val="Prrafodelista"/>
        <w:keepNext/>
        <w:numPr>
          <w:ilvl w:val="2"/>
          <w:numId w:val="16"/>
        </w:numPr>
        <w:suppressAutoHyphens/>
        <w:spacing w:after="240" w:line="276" w:lineRule="auto"/>
        <w:ind w:left="1134" w:hanging="1134"/>
        <w:contextualSpacing w:val="0"/>
        <w:jc w:val="both"/>
        <w:outlineLvl w:val="2"/>
        <w:rPr>
          <w:rFonts w:ascii="Arial" w:hAnsi="Arial"/>
          <w:b/>
          <w:color w:val="9D2235"/>
          <w:sz w:val="28"/>
          <w:szCs w:val="28"/>
        </w:rPr>
      </w:pPr>
      <w:bookmarkStart w:id="432" w:name="_Toc93922339"/>
      <w:bookmarkStart w:id="433" w:name="_Toc96517847"/>
      <w:bookmarkStart w:id="434" w:name="_Toc99110823"/>
      <w:r w:rsidRPr="00CC15EA">
        <w:rPr>
          <w:rFonts w:ascii="Arial" w:hAnsi="Arial"/>
          <w:b/>
          <w:color w:val="9D2235"/>
          <w:sz w:val="28"/>
          <w:szCs w:val="28"/>
        </w:rPr>
        <w:t>Introducció al Servei</w:t>
      </w:r>
      <w:bookmarkEnd w:id="432"/>
      <w:bookmarkEnd w:id="433"/>
      <w:bookmarkEnd w:id="434"/>
    </w:p>
    <w:p w14:paraId="6C7CDF66" w14:textId="77777777" w:rsidR="00CC15EA" w:rsidRPr="00CC15EA" w:rsidRDefault="00CC15EA" w:rsidP="00CC15EA">
      <w:pPr>
        <w:pStyle w:val="Texto"/>
        <w:spacing w:after="240"/>
        <w:rPr>
          <w:rFonts w:ascii="Arial" w:hAnsi="Arial" w:cs="Arial"/>
        </w:rPr>
      </w:pPr>
      <w:r w:rsidRPr="00CC15EA">
        <w:rPr>
          <w:rFonts w:ascii="Arial" w:hAnsi="Arial" w:cs="Arial"/>
        </w:rPr>
        <w:t>El Reglament de l'Agència de Prevenció i Lluita contra el Frau i la Corrupció de la Comunitat Valenciana és el que marca les obligacions principals del Servei de Documentació i Informes. En primer lloc establir, planificar i gestionar el sistema d'informació i documentació de l'Agència [article 19 apartats f, i m], en segon lloc, establir, planificar i gestionar el Centre de Documentació sobre la Prevenció i Lluita contra el Frau i la Corrupció [article 29], i finalment, gestionar l'arxiu amb vocació de facilitar l'accés a la informació generada per l'Agència en l'acompliment de les seues funcions i fomentar la transparència en les institucions públiques [article 11 i article 19 n]. Tot això per a contribuir a la finalitat primordial de l'Agència que és impulsar la integritat i l'ètica pública, previndre i erradicar el frau i la corrupció de les institucions públiques valencianes, fomentar una cultura de bones pràctiques i de rebuig del frau i la corrupció i, en definitiva, evitar que es produïsca un empitjorament moral i un empobriment econòmic que redunde en perjudici de la ciutadania valenciana.</w:t>
      </w:r>
    </w:p>
    <w:p w14:paraId="0D932E70" w14:textId="156A202F" w:rsidR="00CC15EA" w:rsidRPr="00CC15EA" w:rsidRDefault="00CC15EA" w:rsidP="00CC15EA">
      <w:pPr>
        <w:pStyle w:val="Texto"/>
        <w:spacing w:after="240"/>
        <w:rPr>
          <w:rFonts w:ascii="Arial" w:hAnsi="Arial" w:cs="Arial"/>
        </w:rPr>
      </w:pPr>
      <w:r w:rsidRPr="00CC15EA">
        <w:rPr>
          <w:rFonts w:ascii="Arial" w:hAnsi="Arial" w:cs="Arial"/>
        </w:rPr>
        <w:t xml:space="preserve">El 15 de febrer de 2021 s'aprova per </w:t>
      </w:r>
      <w:r w:rsidR="00BF7CAF">
        <w:rPr>
          <w:rFonts w:ascii="Arial" w:hAnsi="Arial" w:cs="Arial"/>
        </w:rPr>
        <w:t>R</w:t>
      </w:r>
      <w:r w:rsidRPr="00CC15EA">
        <w:rPr>
          <w:rFonts w:ascii="Arial" w:hAnsi="Arial" w:cs="Arial"/>
        </w:rPr>
        <w:t>esolució del director de l'Agència de Prevenció i Lluita contra el Frau i la Corrupció de la Comunitat Valenciana el pla estratègic del Servei de Documentació i Informes 2021-2024. En ell s'estableix que la missió del Servei és facilitar l'accés a recursos d'informació i documentació en l'àmbit de la lluita contra el frau i la corrupció, per a contribuir en les labors d'investigació, prevenció, formació i divulgació de l'Agència Valenciana Antifrau, i col·laborar en els processos de creació i difusió de coneixement que són propis a les seues funcions, tot això per a impulsar una societat més ben informada i participativa en la qual una cultura de rebuig a la corrupció enfortisca els valors democràtics.</w:t>
      </w:r>
    </w:p>
    <w:p w14:paraId="62694531" w14:textId="77777777" w:rsidR="00CC15EA" w:rsidRPr="00CC15EA" w:rsidRDefault="00CC15EA" w:rsidP="00CC15EA">
      <w:pPr>
        <w:pStyle w:val="Texto"/>
        <w:spacing w:after="240"/>
        <w:rPr>
          <w:rFonts w:ascii="Arial" w:hAnsi="Arial" w:cs="Arial"/>
        </w:rPr>
      </w:pPr>
      <w:r w:rsidRPr="00CC15EA">
        <w:rPr>
          <w:rFonts w:ascii="Arial" w:hAnsi="Arial" w:cs="Arial"/>
        </w:rPr>
        <w:t>El pla estratègic s'estructura en 3 metes i 17 línies estratègiques al seu torn compostes d'objectius a partir dels quals s'organitzen les tasques del Servei, es planifiquen les fites i es valora periòdicament el seu compliment a fi d'aplicar, si escau, les correccions necessàries. Es destaca a continuació el més rellevant del Servei escomés en 2021.</w:t>
      </w:r>
    </w:p>
    <w:p w14:paraId="7B906614" w14:textId="77777777" w:rsidR="00CC15EA" w:rsidRPr="00CC15EA" w:rsidRDefault="00CC15EA" w:rsidP="004A6B18">
      <w:pPr>
        <w:pStyle w:val="Prrafodelista"/>
        <w:keepNext/>
        <w:numPr>
          <w:ilvl w:val="2"/>
          <w:numId w:val="16"/>
        </w:numPr>
        <w:suppressAutoHyphens/>
        <w:spacing w:after="240" w:line="276" w:lineRule="auto"/>
        <w:ind w:left="1134" w:hanging="1134"/>
        <w:contextualSpacing w:val="0"/>
        <w:jc w:val="both"/>
        <w:outlineLvl w:val="2"/>
        <w:rPr>
          <w:rFonts w:ascii="Arial" w:hAnsi="Arial"/>
          <w:b/>
          <w:color w:val="9D2235"/>
          <w:sz w:val="28"/>
          <w:szCs w:val="28"/>
        </w:rPr>
      </w:pPr>
      <w:bookmarkStart w:id="435" w:name="_Toc93922340"/>
      <w:bookmarkStart w:id="436" w:name="_Toc96517848"/>
      <w:bookmarkStart w:id="437" w:name="_Toc99110824"/>
      <w:r w:rsidRPr="00CC15EA">
        <w:rPr>
          <w:rFonts w:ascii="Arial" w:hAnsi="Arial"/>
          <w:b/>
          <w:color w:val="9D2235"/>
          <w:sz w:val="28"/>
          <w:szCs w:val="28"/>
        </w:rPr>
        <w:t>Recursos humans i tecnològics</w:t>
      </w:r>
      <w:bookmarkEnd w:id="435"/>
      <w:bookmarkEnd w:id="436"/>
      <w:bookmarkEnd w:id="437"/>
    </w:p>
    <w:p w14:paraId="6DA90214" w14:textId="77777777" w:rsidR="00CC15EA" w:rsidRPr="00CC15EA" w:rsidRDefault="00CC15EA" w:rsidP="00CC15EA">
      <w:pPr>
        <w:pStyle w:val="Texto"/>
        <w:spacing w:after="240"/>
        <w:rPr>
          <w:rFonts w:ascii="Arial" w:hAnsi="Arial" w:cs="Arial"/>
        </w:rPr>
      </w:pPr>
      <w:r w:rsidRPr="00CC15EA">
        <w:rPr>
          <w:rFonts w:ascii="Arial" w:hAnsi="Arial" w:cs="Arial"/>
        </w:rPr>
        <w:t>En aquest exercici el Servei de Documentació ha funcionat durant els primers mesos exclusivament amb la titular en cap del Servei. La incorporació al Servei del cap de negociat del Servei ha sigut efectiva en el segon trimestre de l'any, fins a aquest moment la Direcció de Prevenció, Formació i Documentació ha tingut el suport administratiu d'un cap de negociat comú per als tres Serveis. Encara que la provisió definitiva de tots els llocs de treball assignats a l'Àrea, incloent el cap de negociat del Servei, estava prevista per a l'exercici 2021 aquesta no s'ha produït i la seua provisió actual és de caràcter temporal. La seua provisió de manera definitiva està prevista al llarg de 2022, això ens permetrà continuar ampliant les tasques i objectius consignats en el Pla estratègic del Servei. Els recursos humans i la seua necessària formació i especialització són la peça angular per a desenvolupar amb qualitat i rigor les funcions que tenim assignades que són heterogènies, dinàmiques i en adaptació constant a les necessitats informatives de l'Agència.</w:t>
      </w:r>
    </w:p>
    <w:p w14:paraId="07C19A00" w14:textId="77777777" w:rsidR="00CC15EA" w:rsidRPr="00CC15EA" w:rsidRDefault="00CC15EA" w:rsidP="00CC15EA">
      <w:pPr>
        <w:pStyle w:val="Texto"/>
        <w:spacing w:after="240"/>
        <w:rPr>
          <w:rFonts w:ascii="Arial" w:hAnsi="Arial" w:cs="Arial"/>
        </w:rPr>
      </w:pPr>
      <w:r w:rsidRPr="00CC15EA">
        <w:rPr>
          <w:rFonts w:ascii="Arial" w:hAnsi="Arial" w:cs="Arial"/>
        </w:rPr>
        <w:t>L'accés a recursos informatius i la provisió de serveis d'informació i documentació tenen un component altament tecnològic i gran dependència de les TICs. Les biblioteques i centres de documentació utilitzen per a la seua gestió un programari específic destinat a la gestió informatitzada dels recursos d'informació, dels diferents perfils dels seus usuaris, dels serveis a prestar i de totes les activitats necessàries per al seu funcionament. Des del Servei es busca incorporar una solució que siga convergent, global i integradora que, d'una banda, permeta fer una gestió eficient de les col·leccions pròpies, usuaris i serveis i, d'altra banda, ens facilite la integració i col·laboració amb altres biblioteques i centres de documentació compartint recursos i experiències. En 2021 el Servei ha manifestat la necessitat de comptar amb un programari de gestió bibliotecària i ha proposat la seua contractació que esperem que es duga a terme al llarg de 2022.</w:t>
      </w:r>
    </w:p>
    <w:p w14:paraId="293DB8A9" w14:textId="77777777" w:rsidR="00CC15EA" w:rsidRPr="00CC15EA" w:rsidRDefault="00CC15EA" w:rsidP="00CC15EA">
      <w:pPr>
        <w:pStyle w:val="Texto"/>
        <w:spacing w:after="240"/>
        <w:rPr>
          <w:rFonts w:ascii="Arial" w:hAnsi="Arial" w:cs="Arial"/>
        </w:rPr>
      </w:pPr>
      <w:r w:rsidRPr="00CC15EA">
        <w:rPr>
          <w:rFonts w:ascii="Arial" w:hAnsi="Arial" w:cs="Arial"/>
        </w:rPr>
        <w:t>També continuem avançant en la implementació de les funcionalitats relacionades amb la transferència i arxiu en la plataforma d'administració electrònica perquè reculla el que indica la nostra Política de gestió de document electrònic de l’AVAF.</w:t>
      </w:r>
    </w:p>
    <w:p w14:paraId="3FE1E9E3" w14:textId="715DF427" w:rsidR="00CC15EA" w:rsidRPr="00CC15EA" w:rsidRDefault="00CC15EA" w:rsidP="004A6B18">
      <w:pPr>
        <w:pStyle w:val="Prrafodelista"/>
        <w:keepNext/>
        <w:numPr>
          <w:ilvl w:val="2"/>
          <w:numId w:val="16"/>
        </w:numPr>
        <w:suppressAutoHyphens/>
        <w:spacing w:after="240" w:line="276" w:lineRule="auto"/>
        <w:ind w:left="1134" w:hanging="1134"/>
        <w:contextualSpacing w:val="0"/>
        <w:jc w:val="both"/>
        <w:outlineLvl w:val="2"/>
        <w:rPr>
          <w:rFonts w:ascii="Arial" w:hAnsi="Arial"/>
          <w:b/>
          <w:color w:val="9D2235"/>
          <w:sz w:val="28"/>
          <w:szCs w:val="28"/>
        </w:rPr>
      </w:pPr>
      <w:bookmarkStart w:id="438" w:name="_Toc93922343"/>
      <w:bookmarkStart w:id="439" w:name="_Toc96517849"/>
      <w:bookmarkStart w:id="440" w:name="_Toc99110825"/>
      <w:r w:rsidRPr="00CC15EA">
        <w:rPr>
          <w:rFonts w:ascii="Arial" w:hAnsi="Arial"/>
          <w:b/>
          <w:color w:val="9D2235"/>
          <w:sz w:val="28"/>
          <w:szCs w:val="28"/>
        </w:rPr>
        <w:t>Col·leccions i processos tècnics</w:t>
      </w:r>
      <w:bookmarkEnd w:id="438"/>
      <w:bookmarkEnd w:id="439"/>
      <w:bookmarkEnd w:id="440"/>
    </w:p>
    <w:p w14:paraId="58D66FAC" w14:textId="77777777" w:rsidR="00CC15EA" w:rsidRPr="00CC15EA" w:rsidRDefault="00CC15EA" w:rsidP="00CC15EA">
      <w:pPr>
        <w:pStyle w:val="Texto"/>
        <w:spacing w:after="240"/>
        <w:rPr>
          <w:rFonts w:ascii="Arial" w:hAnsi="Arial" w:cs="Arial"/>
        </w:rPr>
      </w:pPr>
      <w:r w:rsidRPr="00CC15EA">
        <w:rPr>
          <w:rFonts w:ascii="Arial" w:hAnsi="Arial" w:cs="Arial"/>
        </w:rPr>
        <w:t>No ha sigut fins a l'últim quadrimestre de l'any que l’AVAF compta amb un contracte de subministrament de llibres i altres materials bibliogràfics licitat a través de la plataforma de contractació del sector públic. Malgrat l'escassetat del temps disponible la dedicació dels recursos humans del Servei ha permés executar el 85% del pressupost assignat per a tot l'any. Tal com ho preveu el contracte s'ha procedit dins del termini previst a l'aprovació de la primera pròrroga de l'esmentat contracte de subministrament que abasta tot l'any 2022.</w:t>
      </w:r>
    </w:p>
    <w:p w14:paraId="3586FAE4" w14:textId="77777777" w:rsidR="00CC15EA" w:rsidRPr="00CC15EA" w:rsidRDefault="00CC15EA" w:rsidP="00CC15EA">
      <w:pPr>
        <w:pStyle w:val="Texto"/>
        <w:spacing w:after="240"/>
        <w:rPr>
          <w:rFonts w:ascii="Arial" w:hAnsi="Arial" w:cs="Arial"/>
        </w:rPr>
      </w:pPr>
      <w:r w:rsidRPr="00CC15EA">
        <w:rPr>
          <w:rFonts w:ascii="Arial" w:hAnsi="Arial" w:cs="Arial"/>
        </w:rPr>
        <w:t>Durant l'any 2021 s'ha aprovat també la Política de donacions de llibres i altres materials bibliogràfics per a l'Agència de Prevenció i Lluita contra el Frau i la Corrupció de la Comunitat Valenciana. L’AVAF ha adoptat una política de donacions passiva (ni sol·licita ni promou donacions) compatible amb la seua normativa i amb el seu Codi Ètic. Encara que el mecanisme principal de desenvolupament de la seua col·lecció és l'adquisició mitjançant compra a través del seu contracte de subministrament licitat, les donacions que es produeixen, en la seua majoria com a resultat de la col·laboració institucional, permeten enriquir els fons de la biblioteca juntament amb altres tipus d'adquisicions com la compra, subscripció, i intercanvi o bescanvi. L'esmentada Política de donacions té com a objectius establir uns criteris i condicions per a l'acceptació de donacions, tipificar les possibles donacions i, finalment, instaurar un procediment que permeta al Servei racionalitzar el conjunt de procediments a dur a terme.</w:t>
      </w:r>
    </w:p>
    <w:p w14:paraId="1653DBC4" w14:textId="77777777" w:rsidR="00CC15EA" w:rsidRPr="00CC15EA" w:rsidRDefault="00CC15EA" w:rsidP="00CC15EA">
      <w:pPr>
        <w:pStyle w:val="Texto"/>
        <w:spacing w:after="240"/>
        <w:rPr>
          <w:rFonts w:ascii="Arial" w:hAnsi="Arial" w:cs="Arial"/>
        </w:rPr>
      </w:pPr>
      <w:r w:rsidRPr="00CC15EA">
        <w:rPr>
          <w:rFonts w:ascii="Arial" w:hAnsi="Arial" w:cs="Arial"/>
        </w:rPr>
        <w:t>Com l'any anterior el Servei de Documentació i Informes ha gestionat, per a l'Agència Valenciana Antifrau, la subscripció institucional a una base de dades bibliogràfica i a una base de dades jurídica. En tots dos casos l'Agència s'assegura un doble accés mitjançant adreces IP i registre d'usuari amb correu electrònic institucional que ha resultat crucial en un context de teletreball. A partir de l'explotació de totes dues bases de dades el Servei elabora i reenvia periòdicament alertes sobre temes d'interés de manera personalitzada al personal de l'Agència en funció de les investigacions en curs o funcions atribuïdes. Així mateix, des del Servei s'incentiva i es presta ajuda en l'ús autònom de totes dues eines.</w:t>
      </w:r>
    </w:p>
    <w:p w14:paraId="15912CE8" w14:textId="2A22A700" w:rsidR="00AD4D3B" w:rsidRPr="00CC15EA" w:rsidRDefault="00CC15EA" w:rsidP="00CC15EA">
      <w:pPr>
        <w:pStyle w:val="Texto"/>
        <w:spacing w:after="240"/>
        <w:rPr>
          <w:rFonts w:ascii="Arial" w:hAnsi="Arial" w:cs="Arial"/>
        </w:rPr>
      </w:pPr>
      <w:r w:rsidRPr="00CC15EA">
        <w:rPr>
          <w:rFonts w:ascii="Arial" w:hAnsi="Arial" w:cs="Arial"/>
        </w:rPr>
        <w:t>No existeixen en tot el territori espanyol recursos d'informació especialitzats en la prevenció i lluita contra el frau i la corrupció. Si bé molts dels documents que conté la col·lecció de l’AVAF poden localitzar-se en altres biblioteques de l'administració i en biblioteques universitàries, estem davant el projecte de reunió d'una col·lecció única, amb vocació així mateix d'obertura a la ciutadania.</w:t>
      </w:r>
    </w:p>
    <w:p w14:paraId="0A57509C" w14:textId="52BC2DBD" w:rsidR="00CC15EA" w:rsidRDefault="00CC15EA" w:rsidP="00AD4D3B">
      <w:pPr>
        <w:pStyle w:val="Texto"/>
        <w:spacing w:after="240"/>
        <w:rPr>
          <w:rFonts w:ascii="Arial" w:hAnsi="Arial" w:cs="Arial"/>
        </w:rPr>
      </w:pPr>
    </w:p>
    <w:p w14:paraId="183386ED" w14:textId="0BCBEEB8" w:rsidR="00CC15EA" w:rsidRDefault="00CC15EA" w:rsidP="00AD4D3B">
      <w:pPr>
        <w:pStyle w:val="Texto"/>
        <w:spacing w:after="240"/>
        <w:rPr>
          <w:rFonts w:ascii="Arial" w:hAnsi="Arial" w:cs="Arial"/>
        </w:rPr>
      </w:pPr>
    </w:p>
    <w:p w14:paraId="2991BA4C" w14:textId="56A4CAF4" w:rsidR="00CC15EA" w:rsidRDefault="00CC15EA" w:rsidP="00AD4D3B">
      <w:pPr>
        <w:pStyle w:val="Texto"/>
        <w:spacing w:after="240"/>
        <w:rPr>
          <w:rFonts w:ascii="Arial" w:hAnsi="Arial" w:cs="Arial"/>
        </w:rPr>
      </w:pPr>
    </w:p>
    <w:p w14:paraId="0B0AC836" w14:textId="37AF83BA" w:rsidR="00CC15EA" w:rsidRDefault="00CC15EA" w:rsidP="00AD4D3B">
      <w:pPr>
        <w:pStyle w:val="Texto"/>
        <w:spacing w:after="240"/>
        <w:rPr>
          <w:rFonts w:ascii="Arial" w:hAnsi="Arial" w:cs="Arial"/>
        </w:rPr>
      </w:pPr>
    </w:p>
    <w:p w14:paraId="30213358" w14:textId="77777777" w:rsidR="00450382" w:rsidRDefault="00450382" w:rsidP="00450382">
      <w:pPr>
        <w:pStyle w:val="Texto"/>
        <w:keepNext/>
        <w:spacing w:after="240"/>
        <w:jc w:val="center"/>
      </w:pPr>
      <w:r w:rsidRPr="00927EA9">
        <w:rPr>
          <w:rFonts w:ascii="Arial" w:eastAsia="Calibri" w:hAnsi="Arial" w:cs="Arial"/>
          <w:noProof/>
        </w:rPr>
        <w:drawing>
          <wp:inline distT="0" distB="0" distL="0" distR="0" wp14:anchorId="59694E5D" wp14:editId="63D8FC30">
            <wp:extent cx="5400040" cy="2491105"/>
            <wp:effectExtent l="19050" t="19050" r="10160" b="23495"/>
            <wp:docPr id="72" name="Imagen 72" descr="Un librero con libr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librero con libros&#10;&#10;Descripción generada automáticamente"/>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5400040" cy="2491105"/>
                    </a:xfrm>
                    <a:prstGeom prst="rect">
                      <a:avLst/>
                    </a:prstGeom>
                    <a:ln>
                      <a:solidFill>
                        <a:srgbClr val="4472C4"/>
                      </a:solidFill>
                    </a:ln>
                    <a:effectLst>
                      <a:softEdge rad="12700"/>
                    </a:effectLst>
                  </pic:spPr>
                </pic:pic>
              </a:graphicData>
            </a:graphic>
          </wp:inline>
        </w:drawing>
      </w:r>
    </w:p>
    <w:p w14:paraId="635D54AE" w14:textId="68A74CF9" w:rsidR="00CC15EA" w:rsidRPr="00450382" w:rsidRDefault="00450382" w:rsidP="00450382">
      <w:pPr>
        <w:pStyle w:val="Descripcin"/>
        <w:jc w:val="center"/>
        <w:rPr>
          <w:rFonts w:ascii="Arial" w:hAnsi="Arial" w:cs="Arial"/>
          <w:smallCaps w:val="0"/>
          <w:sz w:val="18"/>
          <w:szCs w:val="18"/>
        </w:rPr>
      </w:pPr>
      <w:bookmarkStart w:id="441" w:name="_Toc99110903"/>
      <w:r w:rsidRPr="00450382">
        <w:rPr>
          <w:rFonts w:ascii="Arial" w:hAnsi="Arial" w:cs="Arial"/>
          <w:smallCaps w:val="0"/>
          <w:color w:val="9D2235" w:themeColor="accent1"/>
          <w:sz w:val="18"/>
          <w:szCs w:val="18"/>
        </w:rPr>
        <w:t xml:space="preserve">Imatge </w:t>
      </w:r>
      <w:r w:rsidRPr="00450382">
        <w:rPr>
          <w:rFonts w:ascii="Arial" w:hAnsi="Arial" w:cs="Arial"/>
          <w:smallCaps w:val="0"/>
          <w:color w:val="9D2235" w:themeColor="accent1"/>
          <w:sz w:val="18"/>
          <w:szCs w:val="18"/>
        </w:rPr>
        <w:fldChar w:fldCharType="begin" w:fldLock="1"/>
      </w:r>
      <w:r w:rsidRPr="00450382">
        <w:rPr>
          <w:rFonts w:ascii="Arial" w:hAnsi="Arial" w:cs="Arial"/>
          <w:smallCaps w:val="0"/>
          <w:color w:val="9D2235" w:themeColor="accent1"/>
          <w:sz w:val="18"/>
          <w:szCs w:val="18"/>
        </w:rPr>
        <w:instrText xml:space="preserve"> SEQ Imatge \* ARABIC </w:instrText>
      </w:r>
      <w:r w:rsidRPr="00450382">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14</w:t>
      </w:r>
      <w:r w:rsidRPr="00450382">
        <w:rPr>
          <w:rFonts w:ascii="Arial" w:hAnsi="Arial" w:cs="Arial"/>
          <w:smallCaps w:val="0"/>
          <w:color w:val="9D2235" w:themeColor="accent1"/>
          <w:sz w:val="18"/>
          <w:szCs w:val="18"/>
        </w:rPr>
        <w:fldChar w:fldCharType="end"/>
      </w:r>
      <w:r w:rsidRPr="00450382">
        <w:rPr>
          <w:rFonts w:ascii="Arial" w:hAnsi="Arial" w:cs="Arial"/>
          <w:smallCaps w:val="0"/>
          <w:color w:val="9D2235" w:themeColor="accent1"/>
          <w:sz w:val="18"/>
          <w:szCs w:val="18"/>
        </w:rPr>
        <w:t xml:space="preserve">. </w:t>
      </w:r>
      <w:r w:rsidRPr="00450382">
        <w:rPr>
          <w:rFonts w:ascii="Arial" w:hAnsi="Arial" w:cs="Arial"/>
          <w:smallCaps w:val="0"/>
          <w:sz w:val="18"/>
          <w:szCs w:val="18"/>
        </w:rPr>
        <w:t>Biblioteca de l'AVAF</w:t>
      </w:r>
      <w:bookmarkEnd w:id="441"/>
    </w:p>
    <w:p w14:paraId="168243F7" w14:textId="77777777" w:rsidR="00C651F6" w:rsidRPr="00C651F6" w:rsidRDefault="00C651F6" w:rsidP="00C651F6">
      <w:pPr>
        <w:pStyle w:val="Texto"/>
        <w:spacing w:after="240"/>
        <w:rPr>
          <w:rFonts w:ascii="Arial" w:hAnsi="Arial" w:cs="Arial"/>
        </w:rPr>
      </w:pPr>
      <w:r w:rsidRPr="00C651F6">
        <w:rPr>
          <w:rFonts w:ascii="Arial" w:hAnsi="Arial" w:cs="Arial"/>
        </w:rPr>
        <w:t>La col·lecció s'ha incrementat en l'últim any un 275% i compta, a data de redacció de la Memòria, amb 380 volums. S'està desenvolupant entorn de temes molt específics que concerneixen a les funcions de creació de l'Agència com són l'ètica i integritat pública; la transparència, accés a la informació pública, participació ciutadana i bon govern; la prevenció del frau i la corrupció; la sensibilització social enfront del frau i la corrupció; l'anàlisi, investigació i estudi de casos de corrupció; el whistleblowing i la protecció de denunciants. Atenem per descomptat també a temes més generals de caràcter instrumental com el dret i procediment administratiu, l'administració electrònica i transformació digital, el context geogràfic, social, normatiu i institucional de l'Agència i el seu àmbit d'actuació, i les relacions institucionals. Finalment, també tenen cabuda en la col·lecció obres de temàtica relacionada amb l'ètica, la deontologia professional i la responsabilitat social i empresarial.</w:t>
      </w:r>
    </w:p>
    <w:p w14:paraId="1E760AFD" w14:textId="77777777" w:rsidR="00C651F6" w:rsidRPr="00C651F6" w:rsidRDefault="00C651F6" w:rsidP="00C651F6">
      <w:pPr>
        <w:pStyle w:val="Texto"/>
        <w:spacing w:after="240"/>
        <w:rPr>
          <w:rFonts w:ascii="Arial" w:hAnsi="Arial" w:cs="Arial"/>
        </w:rPr>
      </w:pPr>
      <w:r w:rsidRPr="00C651F6">
        <w:rPr>
          <w:rFonts w:ascii="Arial" w:hAnsi="Arial" w:cs="Arial"/>
        </w:rPr>
        <w:t>Hem posat en marxa un protocol d'incorporació de documents a la biblioteca que cobreix totes les fases des de la recepció de les obres fins a la posada a disposició als usuaris.</w:t>
      </w:r>
    </w:p>
    <w:p w14:paraId="31903E7D" w14:textId="77777777" w:rsidR="00C651F6" w:rsidRPr="00C651F6" w:rsidRDefault="00C651F6" w:rsidP="00C651F6">
      <w:pPr>
        <w:pStyle w:val="Texto"/>
        <w:spacing w:after="240"/>
        <w:rPr>
          <w:rFonts w:ascii="Arial" w:hAnsi="Arial" w:cs="Arial"/>
        </w:rPr>
      </w:pPr>
      <w:r w:rsidRPr="00C651F6">
        <w:rPr>
          <w:rFonts w:ascii="Arial" w:hAnsi="Arial" w:cs="Arial"/>
        </w:rPr>
        <w:t>El desenvolupament de la col·lecció bibliogràfica de l’AVAF es fa seguint criteris de pertinència temàtica, bé perquè el contingut de les obres es fa necessari per al desenvolupament de les funcions del personal de l’AVAF que són els usuaris en primera instància, bé perquè la temàtica cobreix qualsevol aspecte de la lluita contra el frau i la corrupció en sentit ampli i que són d'interés per a la seua posada a disposició a la ciutadania en general en un centre de documentació creat amb aquesta finalitat.</w:t>
      </w:r>
    </w:p>
    <w:p w14:paraId="05BA0C31" w14:textId="77777777" w:rsidR="00C651F6" w:rsidRPr="00C651F6" w:rsidRDefault="00C651F6" w:rsidP="00C651F6">
      <w:pPr>
        <w:pStyle w:val="Texto"/>
        <w:spacing w:after="240"/>
        <w:rPr>
          <w:rFonts w:ascii="Arial" w:hAnsi="Arial" w:cs="Arial"/>
        </w:rPr>
      </w:pPr>
      <w:r w:rsidRPr="00C651F6">
        <w:rPr>
          <w:rFonts w:ascii="Arial" w:hAnsi="Arial" w:cs="Arial"/>
        </w:rPr>
        <w:t>En el cas de les adquisicions per compra es verifica que totes les dades bibliogràfiques coincideixen exactament amb l'obra sol·licitada. Després es comprova que no existisquen defectes formals que pogueren motivar una devolució en execució de la seua garantia. Tot seguit es passa avaluar l'obra quant a la qualitat editorial i la qualitat formal.</w:t>
      </w:r>
    </w:p>
    <w:p w14:paraId="4D7271EA" w14:textId="77777777" w:rsidR="00C651F6" w:rsidRPr="00C651F6" w:rsidRDefault="00C651F6" w:rsidP="00C651F6">
      <w:pPr>
        <w:pStyle w:val="Texto"/>
        <w:spacing w:after="240"/>
        <w:rPr>
          <w:rFonts w:ascii="Arial" w:hAnsi="Arial" w:cs="Arial"/>
        </w:rPr>
      </w:pPr>
      <w:r w:rsidRPr="00C651F6">
        <w:rPr>
          <w:rFonts w:ascii="Arial" w:hAnsi="Arial" w:cs="Arial"/>
        </w:rPr>
        <w:t xml:space="preserve">D'una banda, quant a la qualitat editorial es té en compte l'autoria, tant dels continguts principals, com del pròleg, introducció, diferents capítols, traducció, etc. S'observa el prestigi editorial, per al que utilitzem com a mesura objectiva el rànquing SPI (Scholarly Publishers Indicators) per a editorials d'humanitats i ciències socials </w:t>
      </w:r>
      <w:r w:rsidRPr="009D649E">
        <w:rPr>
          <w:rFonts w:ascii="Arial" w:hAnsi="Arial" w:cs="Arial"/>
          <w:sz w:val="18"/>
          <w:szCs w:val="18"/>
        </w:rPr>
        <w:t>[</w:t>
      </w:r>
      <w:hyperlink r:id="rId535" w:history="1">
        <w:r w:rsidRPr="009D649E">
          <w:rPr>
            <w:rStyle w:val="Hipervnculo"/>
            <w:rFonts w:ascii="Arial" w:hAnsi="Arial" w:cs="Arial"/>
            <w:sz w:val="18"/>
            <w:szCs w:val="18"/>
          </w:rPr>
          <w:t>http://ilia.cchs.csic.es/spi/index.html</w:t>
        </w:r>
      </w:hyperlink>
      <w:r w:rsidRPr="009D649E">
        <w:rPr>
          <w:rFonts w:ascii="Arial" w:hAnsi="Arial" w:cs="Arial"/>
          <w:sz w:val="18"/>
          <w:szCs w:val="18"/>
        </w:rPr>
        <w:t>]</w:t>
      </w:r>
      <w:r w:rsidRPr="00C651F6">
        <w:rPr>
          <w:rFonts w:ascii="Arial" w:hAnsi="Arial" w:cs="Arial"/>
        </w:rPr>
        <w:t>. Es té en compte si l'obra s'ha publicat dins d'una col·lecció editorial, el seu director, consell editorial, etc. El nombre d'edicions, revisions, actualitzacions, traduccions a altres llengües, també són indicadors de qualitat dels llibres i són tinguts en compte en el procés de valoració. D'altra banda, quant a les estimacions relatives a la qualitat formal, s'aprecia l'enquadernació, la presència i disposició de les dades bibliogràfiques completes de l'obra en portada, coberta, llom, encapçalats i peus de pàgina. I les aportacions relatives a l'organització de la informació i facilitació de l'accés a la mateixa com a taula de contingut, índex analític, bibliografia, taules, gràfics, il·lustracions, mapes, esquemes, cronologies, etc.</w:t>
      </w:r>
    </w:p>
    <w:p w14:paraId="3A890E1A" w14:textId="77777777" w:rsidR="00C651F6" w:rsidRPr="00C651F6" w:rsidRDefault="00C651F6" w:rsidP="00C651F6">
      <w:pPr>
        <w:pStyle w:val="Texto"/>
        <w:spacing w:after="240"/>
        <w:rPr>
          <w:rFonts w:ascii="Arial" w:hAnsi="Arial" w:cs="Arial"/>
        </w:rPr>
      </w:pPr>
      <w:r w:rsidRPr="00C651F6">
        <w:rPr>
          <w:rFonts w:ascii="Arial" w:hAnsi="Arial" w:cs="Arial"/>
        </w:rPr>
        <w:t>Després de la valoració i la decisió de la incorporació definitiva a la col·lecció de l’AVAF es procedeix al procés tècnic bibliotecari que inclou el registre, per a totes les obres, incloses les donacions i intercanvis; el segellat, i teixellat. En absència de moment d'un programari específic de gestió bibliotecària totes les tasques es duen a terme amb eines d'escriptori, incloses la catalogació i la circulació de la col·lecció. Finalitzat el procés tècnic si l'obra es tracta d'una desiderata es comunica al peticionari i per als llibres que no són desiderates, es comuniquen com a novetat d'adquisició de la biblioteca, agrupant-los en un butlletí periòdic sense perjudici d'avisos amb caràcter immediat sobre la base de temes d'interés o d'investigacions en curs.</w:t>
      </w:r>
    </w:p>
    <w:p w14:paraId="36EECB18" w14:textId="77777777" w:rsidR="00C651F6" w:rsidRPr="00C651F6" w:rsidRDefault="00C651F6" w:rsidP="00C651F6">
      <w:pPr>
        <w:pStyle w:val="Texto"/>
        <w:spacing w:after="240"/>
        <w:rPr>
          <w:rFonts w:ascii="Arial" w:hAnsi="Arial" w:cs="Arial"/>
        </w:rPr>
      </w:pPr>
      <w:r w:rsidRPr="00C651F6">
        <w:rPr>
          <w:rFonts w:ascii="Arial" w:hAnsi="Arial" w:cs="Arial"/>
        </w:rPr>
        <w:t>Una de les línies estratègiques del Servei de Documentació és contribuir al disseny dels espais físics destinats a la biblioteca de l'Agència. Al llarg de 2021 el Servei ha manifestat, a iniciativa pròpia i a petició d'altres àrees, necessitats relatives a l'emplaçament i mobiliari restringint les exigències als espais estrictament necessaris per a acollir les col·leccions que van arribant. El lloc que alberga provisionalment la col·lecció està concebut com una ubicació en lliure accés, que permet una cerca i localització de la informació ràpida i fàcil, i l'accés a tots els documents per part de la plantilla de l’AVAF, que són els seus usuaris immediats.</w:t>
      </w:r>
    </w:p>
    <w:p w14:paraId="577AC815" w14:textId="01F234C9" w:rsidR="00CC15EA" w:rsidRPr="00C651F6" w:rsidRDefault="00C651F6" w:rsidP="00C651F6">
      <w:pPr>
        <w:pStyle w:val="Texto"/>
        <w:spacing w:after="240"/>
        <w:rPr>
          <w:rFonts w:ascii="Arial" w:hAnsi="Arial" w:cs="Arial"/>
        </w:rPr>
      </w:pPr>
      <w:r w:rsidRPr="00C651F6">
        <w:rPr>
          <w:rFonts w:ascii="Arial" w:hAnsi="Arial" w:cs="Arial"/>
        </w:rPr>
        <w:t>No obstant això, contemplem a mitjà termini el compromís explicitat en l'article 29 del reglament de l'Agència, de construir un centre de documentació de referència especialitzat en la prevenció i lluita contra el frau i la corrupció, que es trobe al servei de la ciutadania. Els centres de documentació i les biblioteques s'han vist directament afectats per la transformació cultural i social vinculada a les societats del coneixement, en les quals l'emmagatzematge i posada a la disposició dels documents físics no són ja la primera i principal de les activitats de les unitats d'informació. La tendència és que els centres de documentació i biblioteques siguen identificats com l’espai més social dins d'una institució matriu, proporcionant també els llocs de reunió i formació, la qual cosa requereix compaginar la necessària flexibilitat en el disseny d'espais amb la dotació d'una identitat diferenciada.</w:t>
      </w:r>
    </w:p>
    <w:p w14:paraId="1DEFF6ED" w14:textId="77777777" w:rsidR="00C651F6" w:rsidRPr="00C651F6" w:rsidRDefault="00C651F6" w:rsidP="004A6B18">
      <w:pPr>
        <w:pStyle w:val="Prrafodelista"/>
        <w:keepNext/>
        <w:numPr>
          <w:ilvl w:val="2"/>
          <w:numId w:val="16"/>
        </w:numPr>
        <w:suppressAutoHyphens/>
        <w:spacing w:after="240" w:line="276" w:lineRule="auto"/>
        <w:ind w:left="1134" w:hanging="1134"/>
        <w:contextualSpacing w:val="0"/>
        <w:jc w:val="both"/>
        <w:outlineLvl w:val="2"/>
        <w:rPr>
          <w:rFonts w:ascii="Arial" w:hAnsi="Arial"/>
          <w:b/>
          <w:color w:val="9D2235"/>
          <w:sz w:val="28"/>
          <w:szCs w:val="28"/>
        </w:rPr>
      </w:pPr>
      <w:bookmarkStart w:id="442" w:name="_Toc93922348"/>
      <w:bookmarkStart w:id="443" w:name="_Toc96517850"/>
      <w:bookmarkStart w:id="444" w:name="_Toc99110826"/>
      <w:r w:rsidRPr="00C651F6">
        <w:rPr>
          <w:rFonts w:ascii="Arial" w:hAnsi="Arial"/>
          <w:b/>
          <w:color w:val="9D2235"/>
          <w:sz w:val="28"/>
          <w:szCs w:val="28"/>
        </w:rPr>
        <w:t>Vigilància de l’entorn i serveis de referència</w:t>
      </w:r>
      <w:bookmarkEnd w:id="442"/>
      <w:bookmarkEnd w:id="443"/>
      <w:bookmarkEnd w:id="444"/>
    </w:p>
    <w:p w14:paraId="19E097D3" w14:textId="77777777" w:rsidR="00C651F6" w:rsidRPr="00C651F6" w:rsidRDefault="00C651F6" w:rsidP="00C651F6">
      <w:pPr>
        <w:pStyle w:val="Texto"/>
        <w:spacing w:after="240"/>
        <w:rPr>
          <w:rFonts w:ascii="Arial" w:hAnsi="Arial" w:cs="Arial"/>
        </w:rPr>
      </w:pPr>
      <w:r w:rsidRPr="00C651F6">
        <w:rPr>
          <w:rFonts w:ascii="Arial" w:hAnsi="Arial" w:cs="Arial"/>
        </w:rPr>
        <w:t>Les activitats de vigilància permeten a les organitzacions afrontar la situació d'explosió informativa, optimitzar l'ús dels recursos, anticipar-se a canvis, innovar, desenvolupar una cultura de cooperació i difondre els propis assoliments en el seu entorn.</w:t>
      </w:r>
    </w:p>
    <w:p w14:paraId="582D3631" w14:textId="77777777" w:rsidR="00C651F6" w:rsidRPr="00C651F6" w:rsidRDefault="00C651F6" w:rsidP="00C651F6">
      <w:pPr>
        <w:pStyle w:val="Texto"/>
        <w:spacing w:after="240"/>
        <w:rPr>
          <w:rFonts w:ascii="Arial" w:hAnsi="Arial" w:cs="Arial"/>
        </w:rPr>
      </w:pPr>
      <w:r w:rsidRPr="00C651F6">
        <w:rPr>
          <w:rFonts w:ascii="Arial" w:hAnsi="Arial" w:cs="Arial"/>
        </w:rPr>
        <w:t>Per a això el Servei ha desenvolupat al llarg de 2021 alguns projectes, en alguns casos de manera independent i en uns altres en col·laboració amb altres serveis, a partir d'assumptes d'interés que han anat sorgint.</w:t>
      </w:r>
    </w:p>
    <w:p w14:paraId="5984ED03" w14:textId="77777777" w:rsidR="00C651F6" w:rsidRPr="00C651F6" w:rsidRDefault="00C651F6" w:rsidP="00C651F6">
      <w:pPr>
        <w:pStyle w:val="Texto"/>
        <w:spacing w:after="240"/>
        <w:rPr>
          <w:rFonts w:ascii="Arial" w:hAnsi="Arial" w:cs="Arial"/>
        </w:rPr>
      </w:pPr>
      <w:r w:rsidRPr="00C651F6">
        <w:rPr>
          <w:rFonts w:ascii="Arial" w:hAnsi="Arial" w:cs="Arial"/>
        </w:rPr>
        <w:t>S'ha elaborat un calendari d'esdeveniments permanent que conté els congressos, reunions, seminaris, jornades, tallers i esdeveniments en general relacionats amb la lluita contra el frau i la corrupció a nivell internacional, la qual cosa ha permés al Servei també la identificació de fonts d'informació personals i institucionals.</w:t>
      </w:r>
    </w:p>
    <w:p w14:paraId="5B85658E" w14:textId="77777777" w:rsidR="00C651F6" w:rsidRPr="00C651F6" w:rsidRDefault="00C651F6" w:rsidP="00C651F6">
      <w:pPr>
        <w:pStyle w:val="Texto"/>
        <w:spacing w:after="240"/>
        <w:rPr>
          <w:rFonts w:ascii="Arial" w:hAnsi="Arial" w:cs="Arial"/>
        </w:rPr>
      </w:pPr>
      <w:r w:rsidRPr="00C651F6">
        <w:rPr>
          <w:rFonts w:ascii="Arial" w:hAnsi="Arial" w:cs="Arial"/>
        </w:rPr>
        <w:t>La intel·ligència artificial, el big data, i altres desenvolupaments tecnològics associats poden ser una eina útil per a la prevenció i lluita contra el frau i la corrupció. Multipliquen de manera exponencial la capacitat d'analitzar grans volums d'informació en poc temps i de manera recurrent; permeten establir correlacions i inferències que escaparien a l'aplicació d'una percepció i lògica humana; i possibiliten la utilització de gran quantitat de dades per a anticipar patrons de conducta per a identificar situacions en les quals, de manera estadísticament significativa, es donen casos de frau o corrupció. El Servei de Documentació ha considerat estratègic per a l'Agència Valenciana Antifrau fer un seguiment d'aquestes iniciatives i inclou entre les seues línies de treball el seguiment de bibliografia, normativa i projectes d'I+D+i orientats en la lluita contra el frau i la corrupció que puguen anar sorgint.</w:t>
      </w:r>
    </w:p>
    <w:p w14:paraId="2795CDC8" w14:textId="77777777" w:rsidR="00C651F6" w:rsidRPr="00C651F6" w:rsidRDefault="00C651F6" w:rsidP="00C651F6">
      <w:pPr>
        <w:pStyle w:val="Texto"/>
        <w:spacing w:after="240"/>
        <w:rPr>
          <w:rFonts w:ascii="Arial" w:hAnsi="Arial" w:cs="Arial"/>
        </w:rPr>
      </w:pPr>
      <w:r w:rsidRPr="00C651F6">
        <w:rPr>
          <w:rFonts w:ascii="Arial" w:hAnsi="Arial" w:cs="Arial"/>
        </w:rPr>
        <w:t>El Servei ha elaborat una recopilació de la informació disponible, així com una sistematització de fonts d'informació a vigilar, relativa a plans d'integritat i plans de mesures antifrau, relacionats o concordants amb l'Ordre HFP/1030/2021, de 29 de setembre; i l'ha compartida amb els membres de la Xarxa d'Oficines i Agències Anticorrupció, atés que l'eina de finançament europeu EU Next Generation suposa una oportunitat única per a la recuperació econòmica i social post-pandèmia de COVID i la contribució des dels organismes de prevenció de la corrupció serà molt rellevant.</w:t>
      </w:r>
    </w:p>
    <w:p w14:paraId="3904394A" w14:textId="77777777" w:rsidR="00C651F6" w:rsidRPr="00C651F6" w:rsidRDefault="00C651F6" w:rsidP="00C651F6">
      <w:pPr>
        <w:pStyle w:val="Texto"/>
        <w:spacing w:after="240"/>
        <w:rPr>
          <w:rFonts w:ascii="Arial" w:hAnsi="Arial" w:cs="Arial"/>
        </w:rPr>
      </w:pPr>
      <w:r w:rsidRPr="00C651F6">
        <w:rPr>
          <w:rFonts w:ascii="Arial" w:hAnsi="Arial" w:cs="Arial"/>
        </w:rPr>
        <w:t>El Servei de Documentació i Informes ha continuat atenent consultes a partir de temes d'investigació, activitats formatives programades, autors concrets, i sol·licituds d'obtenció d'informes i documents.</w:t>
      </w:r>
    </w:p>
    <w:p w14:paraId="7216983B" w14:textId="77777777" w:rsidR="00C651F6" w:rsidRPr="00C651F6" w:rsidRDefault="00C651F6" w:rsidP="00C651F6">
      <w:pPr>
        <w:pStyle w:val="Texto"/>
        <w:spacing w:after="240"/>
        <w:rPr>
          <w:rFonts w:ascii="Arial" w:hAnsi="Arial" w:cs="Arial"/>
        </w:rPr>
      </w:pPr>
      <w:r w:rsidRPr="00C651F6">
        <w:rPr>
          <w:rFonts w:ascii="Arial" w:hAnsi="Arial" w:cs="Arial"/>
        </w:rPr>
        <w:t>Quant a formació d'usuaris s'han dut a terme dues sessions, una per a la base de dades legislativa impartida per personal de l'empresa proveïdora i una altra sobre la base de dades bibliogràfica impartida des del propi Servei.</w:t>
      </w:r>
    </w:p>
    <w:p w14:paraId="67DB1328" w14:textId="77777777" w:rsidR="00C651F6" w:rsidRPr="00C651F6" w:rsidRDefault="00C651F6" w:rsidP="004A6B18">
      <w:pPr>
        <w:pStyle w:val="Prrafodelista"/>
        <w:keepNext/>
        <w:numPr>
          <w:ilvl w:val="2"/>
          <w:numId w:val="16"/>
        </w:numPr>
        <w:suppressAutoHyphens/>
        <w:spacing w:after="240" w:line="276" w:lineRule="auto"/>
        <w:ind w:left="1134" w:hanging="1134"/>
        <w:contextualSpacing w:val="0"/>
        <w:jc w:val="both"/>
        <w:outlineLvl w:val="2"/>
        <w:rPr>
          <w:rFonts w:ascii="Arial" w:hAnsi="Arial"/>
          <w:b/>
          <w:color w:val="9D2235"/>
          <w:sz w:val="28"/>
          <w:szCs w:val="28"/>
        </w:rPr>
      </w:pPr>
      <w:bookmarkStart w:id="445" w:name="_Toc96517851"/>
      <w:bookmarkStart w:id="446" w:name="_Toc99110827"/>
      <w:r w:rsidRPr="00C651F6">
        <w:rPr>
          <w:rFonts w:ascii="Arial" w:hAnsi="Arial"/>
          <w:b/>
          <w:color w:val="9D2235"/>
          <w:sz w:val="28"/>
          <w:szCs w:val="28"/>
        </w:rPr>
        <w:t>Política de Gestió de Documents Electrònics</w:t>
      </w:r>
      <w:bookmarkEnd w:id="445"/>
      <w:bookmarkEnd w:id="446"/>
    </w:p>
    <w:p w14:paraId="5A7ACBF5" w14:textId="77777777" w:rsidR="00C651F6" w:rsidRPr="00C651F6" w:rsidRDefault="00C651F6" w:rsidP="00C651F6">
      <w:pPr>
        <w:pStyle w:val="Texto"/>
        <w:spacing w:after="240"/>
        <w:rPr>
          <w:rFonts w:ascii="Arial" w:hAnsi="Arial" w:cs="Arial"/>
        </w:rPr>
      </w:pPr>
      <w:r w:rsidRPr="00C651F6">
        <w:rPr>
          <w:rFonts w:ascii="Arial" w:hAnsi="Arial" w:cs="Arial"/>
        </w:rPr>
        <w:t>A fi d'aplicar i mantindre actualitzada la Política de Gestió de Documents Electrònics, durant aquest any s'han produït actualitzacions en el quadre de classificació relacionades amb les sèries documentals de gestió econòmica, contractació, i gabinet, per a recollir els expedients relacionats amb les polítiques d'igualtat de gènere.</w:t>
      </w:r>
    </w:p>
    <w:p w14:paraId="33EF5B75" w14:textId="77777777" w:rsidR="00C651F6" w:rsidRPr="00C651F6" w:rsidRDefault="00C651F6" w:rsidP="00C651F6">
      <w:pPr>
        <w:pStyle w:val="Texto"/>
        <w:spacing w:after="240"/>
        <w:rPr>
          <w:rFonts w:ascii="Arial" w:hAnsi="Arial" w:cs="Arial"/>
        </w:rPr>
      </w:pPr>
      <w:r w:rsidRPr="00C651F6">
        <w:rPr>
          <w:rFonts w:ascii="Arial" w:hAnsi="Arial" w:cs="Arial"/>
        </w:rPr>
        <w:t>Per als treballs d'elaboració de les taules de valoració documental, s'ha configurat la comissió de valoració documental de l'Agència Valenciana Antifrau que està formada per la direcció de l'Agència; la Direcció d'Assumptes Jurídics; la Direcció de Prevenció, Formació i Documentació; un representant de la direcció funcional o àrea responsable de les sèries documentals a valorar en cada sessió; i la cap de Servei del Servei de Documentació i Informes. S'ha traslladat a la Junta Qualificadora de Documents Administratius perquè en prenguen coneixement i s'espera començar les sessions de valoració de les sèries al llarg de 2022.</w:t>
      </w:r>
    </w:p>
    <w:p w14:paraId="00946F19" w14:textId="77777777" w:rsidR="00C651F6" w:rsidRPr="00C651F6" w:rsidRDefault="00C651F6" w:rsidP="004A6B18">
      <w:pPr>
        <w:pStyle w:val="Prrafodelista"/>
        <w:keepNext/>
        <w:numPr>
          <w:ilvl w:val="2"/>
          <w:numId w:val="16"/>
        </w:numPr>
        <w:suppressAutoHyphens/>
        <w:spacing w:after="240" w:line="276" w:lineRule="auto"/>
        <w:ind w:left="1134" w:hanging="1134"/>
        <w:contextualSpacing w:val="0"/>
        <w:jc w:val="both"/>
        <w:outlineLvl w:val="2"/>
        <w:rPr>
          <w:rFonts w:ascii="Arial" w:hAnsi="Arial"/>
          <w:b/>
          <w:color w:val="9D2235"/>
          <w:sz w:val="28"/>
          <w:szCs w:val="28"/>
        </w:rPr>
      </w:pPr>
      <w:bookmarkStart w:id="447" w:name="_Toc93922354"/>
      <w:bookmarkStart w:id="448" w:name="_Toc96517852"/>
      <w:bookmarkStart w:id="449" w:name="_Toc99110828"/>
      <w:r w:rsidRPr="00C651F6">
        <w:rPr>
          <w:rFonts w:ascii="Arial" w:hAnsi="Arial"/>
          <w:b/>
          <w:color w:val="9D2235"/>
          <w:sz w:val="28"/>
          <w:szCs w:val="28"/>
        </w:rPr>
        <w:t>Visibilització</w:t>
      </w:r>
      <w:bookmarkEnd w:id="447"/>
      <w:bookmarkEnd w:id="448"/>
      <w:bookmarkEnd w:id="449"/>
    </w:p>
    <w:p w14:paraId="5976D285" w14:textId="77777777" w:rsidR="00C651F6" w:rsidRPr="00C651F6" w:rsidRDefault="00C651F6" w:rsidP="00C651F6">
      <w:pPr>
        <w:pStyle w:val="Texto"/>
        <w:spacing w:after="240"/>
        <w:rPr>
          <w:rFonts w:ascii="Arial" w:hAnsi="Arial" w:cs="Arial"/>
        </w:rPr>
      </w:pPr>
      <w:r w:rsidRPr="00C651F6">
        <w:rPr>
          <w:rFonts w:ascii="Arial" w:hAnsi="Arial" w:cs="Arial"/>
        </w:rPr>
        <w:t>Enguany hem dut a terme una revisió i control d'autoritats de publicacions de membres de l’AVAF per a facilitar la visibilització de les publicacions seguint criteris d'avaluació científica. L'objectiu és la visibilització de l'Agència Valenciana Antifrau en l'entorn acadèmic i entre els qui són els seus parells en els mateixos àmbits d'estudi.</w:t>
      </w:r>
    </w:p>
    <w:p w14:paraId="3E771A40" w14:textId="77777777" w:rsidR="00C651F6" w:rsidRPr="00C651F6" w:rsidRDefault="00C651F6" w:rsidP="00C651F6">
      <w:pPr>
        <w:pStyle w:val="Texto"/>
        <w:spacing w:after="240"/>
        <w:rPr>
          <w:rFonts w:ascii="Arial" w:hAnsi="Arial" w:cs="Arial"/>
        </w:rPr>
      </w:pPr>
      <w:r w:rsidRPr="00C651F6">
        <w:rPr>
          <w:rFonts w:ascii="Arial" w:hAnsi="Arial" w:cs="Arial"/>
        </w:rPr>
        <w:t>En 2021 han vist la llum diverses obres editorials que esmenten l'Agència o en les quals s'ha sol·licitat expressament la seua contribució. L'Agència Valenciana Antifrau es va crear per a fomentar una cultura social de bones pràctiques i de rebuig del frau i la corrupció a més de per a previndre i erradicar el frau i la corrupció de les institucions i impulsar la integritat i l'ètica pública. Aquesta cultura social de rebuig a la corrupció va més enllà de la necessària persecució de casos concrets i protecció de persones, però és fins i tot més difícil de mesurar i avaluar. No obstant això, aquesta al·lusió en obres editorials de diferent mena del treball dut a terme per l'Agència pot considerar-se com un bon indicador de la transferència d'aquesta cultura de rebuig a la corrupció per part de l'Agència a la societat en general. A continuació, es ressenyen breument aquestes obres.</w:t>
      </w:r>
    </w:p>
    <w:p w14:paraId="5E4D2774" w14:textId="1FD45D9E" w:rsidR="00CC15EA" w:rsidRDefault="00581EB6" w:rsidP="00581EB6">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581EB6">
        <w:rPr>
          <w:rFonts w:ascii="Arial" w:eastAsia="Times New Roman" w:hAnsi="Arial" w:cs="Arial"/>
          <w:b/>
          <w:color w:val="9D2235"/>
          <w:sz w:val="24"/>
          <w:szCs w:val="24"/>
        </w:rPr>
        <w:t>Mar Vivó Jiménez i Carlos Remohí Rius. Les cares de l'evasió fiscal. Institució Alfons el Magnànim-Centre Valencià d'Estudis i d'Investigació, 2021</w:t>
      </w:r>
    </w:p>
    <w:p w14:paraId="289C64E2" w14:textId="77777777" w:rsidR="00581EB6" w:rsidRDefault="00581EB6" w:rsidP="005E7D9A">
      <w:pPr>
        <w:pStyle w:val="Texto"/>
        <w:keepNext/>
        <w:spacing w:after="240"/>
        <w:jc w:val="center"/>
      </w:pPr>
      <w:r w:rsidRPr="00927EA9">
        <w:rPr>
          <w:rFonts w:ascii="Arial" w:eastAsia="Calibri" w:hAnsi="Arial" w:cs="Arial"/>
          <w:noProof/>
        </w:rPr>
        <w:drawing>
          <wp:inline distT="0" distB="0" distL="0" distR="0" wp14:anchorId="4C42ECEF" wp14:editId="3E8861CB">
            <wp:extent cx="1785600" cy="2880000"/>
            <wp:effectExtent l="19050" t="19050" r="24765" b="15875"/>
            <wp:docPr id="64" name="Imagen 64"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Mapa&#10;&#10;Descripción generada automáticamente"/>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1785600" cy="2880000"/>
                    </a:xfrm>
                    <a:prstGeom prst="rect">
                      <a:avLst/>
                    </a:prstGeom>
                    <a:ln>
                      <a:solidFill>
                        <a:srgbClr val="4472C4"/>
                      </a:solidFill>
                    </a:ln>
                    <a:effectLst>
                      <a:softEdge rad="12700"/>
                    </a:effectLst>
                  </pic:spPr>
                </pic:pic>
              </a:graphicData>
            </a:graphic>
          </wp:inline>
        </w:drawing>
      </w:r>
    </w:p>
    <w:p w14:paraId="37A1D093" w14:textId="7486CDC6" w:rsidR="00C651F6" w:rsidRPr="00581EB6" w:rsidRDefault="00581EB6" w:rsidP="00B32F42">
      <w:pPr>
        <w:pStyle w:val="Descripcin"/>
        <w:spacing w:after="240"/>
        <w:jc w:val="center"/>
        <w:rPr>
          <w:rFonts w:ascii="Arial" w:hAnsi="Arial" w:cs="Arial"/>
          <w:smallCaps w:val="0"/>
          <w:sz w:val="18"/>
          <w:szCs w:val="18"/>
        </w:rPr>
      </w:pPr>
      <w:bookmarkStart w:id="450" w:name="_Toc99110904"/>
      <w:r w:rsidRPr="00581EB6">
        <w:rPr>
          <w:rFonts w:ascii="Arial" w:hAnsi="Arial" w:cs="Arial"/>
          <w:smallCaps w:val="0"/>
          <w:color w:val="9D2235" w:themeColor="accent1"/>
          <w:sz w:val="18"/>
          <w:szCs w:val="18"/>
        </w:rPr>
        <w:t xml:space="preserve">Imatge </w:t>
      </w:r>
      <w:r w:rsidRPr="00581EB6">
        <w:rPr>
          <w:rFonts w:ascii="Arial" w:hAnsi="Arial" w:cs="Arial"/>
          <w:smallCaps w:val="0"/>
          <w:color w:val="9D2235" w:themeColor="accent1"/>
          <w:sz w:val="18"/>
          <w:szCs w:val="18"/>
        </w:rPr>
        <w:fldChar w:fldCharType="begin" w:fldLock="1"/>
      </w:r>
      <w:r w:rsidRPr="00581EB6">
        <w:rPr>
          <w:rFonts w:ascii="Arial" w:hAnsi="Arial" w:cs="Arial"/>
          <w:smallCaps w:val="0"/>
          <w:color w:val="9D2235" w:themeColor="accent1"/>
          <w:sz w:val="18"/>
          <w:szCs w:val="18"/>
        </w:rPr>
        <w:instrText xml:space="preserve"> SEQ Imatge \* ARABIC </w:instrText>
      </w:r>
      <w:r w:rsidRPr="00581EB6">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15</w:t>
      </w:r>
      <w:r w:rsidRPr="00581EB6">
        <w:rPr>
          <w:rFonts w:ascii="Arial" w:hAnsi="Arial" w:cs="Arial"/>
          <w:smallCaps w:val="0"/>
          <w:color w:val="9D2235" w:themeColor="accent1"/>
          <w:sz w:val="18"/>
          <w:szCs w:val="18"/>
        </w:rPr>
        <w:fldChar w:fldCharType="end"/>
      </w:r>
      <w:r w:rsidRPr="00581EB6">
        <w:rPr>
          <w:rFonts w:ascii="Arial" w:hAnsi="Arial" w:cs="Arial"/>
          <w:smallCaps w:val="0"/>
          <w:color w:val="9D2235" w:themeColor="accent1"/>
          <w:sz w:val="18"/>
          <w:szCs w:val="18"/>
        </w:rPr>
        <w:t xml:space="preserve">. </w:t>
      </w:r>
      <w:r w:rsidRPr="00581EB6">
        <w:rPr>
          <w:rFonts w:ascii="Arial" w:hAnsi="Arial" w:cs="Arial"/>
          <w:smallCaps w:val="0"/>
          <w:sz w:val="18"/>
          <w:szCs w:val="18"/>
        </w:rPr>
        <w:t>Coberta del llibre Les cares de l'evasió fiscal</w:t>
      </w:r>
      <w:bookmarkEnd w:id="450"/>
    </w:p>
    <w:p w14:paraId="76591A20" w14:textId="4154035C" w:rsidR="00581EB6" w:rsidRPr="00581EB6" w:rsidRDefault="00581EB6" w:rsidP="00581EB6">
      <w:pPr>
        <w:pStyle w:val="Texto"/>
        <w:spacing w:after="240"/>
        <w:rPr>
          <w:rFonts w:ascii="Arial" w:hAnsi="Arial" w:cs="Arial"/>
        </w:rPr>
      </w:pPr>
      <w:r w:rsidRPr="00581EB6">
        <w:rPr>
          <w:rFonts w:ascii="Arial" w:hAnsi="Arial" w:cs="Arial"/>
          <w:i/>
          <w:iCs/>
        </w:rPr>
        <w:t>Les cares de l'evasió fiscal: Pobresa, frau i corrupció a la Comunitat Valenciana</w:t>
      </w:r>
      <w:r w:rsidRPr="00581EB6">
        <w:rPr>
          <w:rFonts w:ascii="Arial" w:hAnsi="Arial" w:cs="Arial"/>
        </w:rPr>
        <w:t xml:space="preserve"> de Mar Vivó Jiménez i Carlos Remohí Rius és un treball de periodisme d'investigació dels seus autors, que van obtindre amb el seu projecte la Beca Josep Torrent de la Unió de Periodistes Valencians i que ha publicat la Institució Alfons el Magnànim dins de la seua col·lecció Periodisme.</w:t>
      </w:r>
    </w:p>
    <w:p w14:paraId="534C4731" w14:textId="77777777" w:rsidR="00581EB6" w:rsidRPr="00581EB6" w:rsidRDefault="00581EB6" w:rsidP="00581EB6">
      <w:pPr>
        <w:pStyle w:val="Texto"/>
        <w:spacing w:after="240"/>
        <w:rPr>
          <w:rFonts w:ascii="Arial" w:hAnsi="Arial" w:cs="Arial"/>
        </w:rPr>
      </w:pPr>
      <w:r w:rsidRPr="00581EB6">
        <w:rPr>
          <w:rFonts w:ascii="Arial" w:hAnsi="Arial" w:cs="Arial"/>
        </w:rPr>
        <w:t>Com el seu títol complet anticipa, el llibre posa en relació l'evasió fiscal i les situacions de risc de pobresa o pobresa efectiva en la Comunitat Valenciana. Ho fa des del rigor i l'objectivitat del periodisme d'investigació, aportant, d'una banda, gran profusió de dades, taules i gràfics que resumeixen situacions i comparatives; i per un altre, testimoniatges i treballs de persones expertes: Susana Ruíz, responsable i experta de justícia fiscal d’Oxfam International; Clara Martínez-Toledano, investigadora de la School of Economics de París; Francisco Gaspar, coordinador de Gestha, Sindicat de Tècnics del Ministeri d'Hisenda, en la Comunitat Valenciana; José Luis González Meseguer, activista i portaveu de la PAH, Plataforma d'Afectats per la Hipoteca de València; Carmelo Lozano, catedràtic de la Universitat de València en Dret financer i tributari; Juan Hernández Vigueras, del Consell Científic d’ATTATC España, Associació per la Taxació de les Transaccions financeres i per l'Acció Ciutadana; José Goerlich Gisbert, doctor en Ciències econòmiques per la Universitat de València; i Mari Carmen, Jessenia, i Erika, com a persones expertes en pobresa perquè la viuen dia a dia, totes elles dones. El llibre dona aqueix difícil pas que és la divulgació a la societat en general d'un treball de recerca rigorós. El treball presenta perquè el lector concloga; i s'entén.</w:t>
      </w:r>
    </w:p>
    <w:p w14:paraId="30540F86" w14:textId="77777777" w:rsidR="00581EB6" w:rsidRPr="00581EB6" w:rsidRDefault="00581EB6" w:rsidP="00845AB6">
      <w:pPr>
        <w:pStyle w:val="Texto"/>
        <w:spacing w:after="240"/>
        <w:rPr>
          <w:rFonts w:ascii="Arial" w:hAnsi="Arial" w:cs="Arial"/>
        </w:rPr>
      </w:pPr>
      <w:r w:rsidRPr="00581EB6">
        <w:rPr>
          <w:rFonts w:ascii="Arial" w:hAnsi="Arial" w:cs="Arial"/>
        </w:rPr>
        <w:t>Al llarg de cinc capítols el llibre explica el sistema tributari espanyol, les desigualtats territorials que comporta, les competències atribuïdes a la Comunitat Valenciana, i la seua evolució recent amb atenció a la situació anterior i posterior a la crisi econòmica que va esclatar en 2008. Parla també d'en què consisteixen l'economia submergida, el frau fiscal, i les amnisties i paradisos fiscals.</w:t>
      </w:r>
    </w:p>
    <w:p w14:paraId="23E450A9" w14:textId="77777777" w:rsidR="00581EB6" w:rsidRPr="00581EB6" w:rsidRDefault="00581EB6" w:rsidP="00845AB6">
      <w:pPr>
        <w:pStyle w:val="Texto"/>
        <w:spacing w:after="240"/>
        <w:rPr>
          <w:rFonts w:ascii="Arial" w:hAnsi="Arial" w:cs="Arial"/>
        </w:rPr>
      </w:pPr>
      <w:r w:rsidRPr="00581EB6">
        <w:rPr>
          <w:rFonts w:ascii="Arial" w:hAnsi="Arial" w:cs="Arial"/>
        </w:rPr>
        <w:t>En aqueix context els autors dediquen un capítol complet a l'Agència Valenciana Antifrau en el qual s'aporta, segons els mateixos autors, molt de sentit comú, anàlisi i propostes.</w:t>
      </w:r>
    </w:p>
    <w:p w14:paraId="08F73A17" w14:textId="77777777" w:rsidR="00581EB6" w:rsidRPr="00581EB6" w:rsidRDefault="00581EB6" w:rsidP="00845AB6">
      <w:pPr>
        <w:pStyle w:val="Texto"/>
        <w:spacing w:after="240"/>
        <w:rPr>
          <w:rFonts w:ascii="Arial" w:hAnsi="Arial" w:cs="Arial"/>
        </w:rPr>
      </w:pPr>
      <w:r w:rsidRPr="00581EB6">
        <w:rPr>
          <w:rFonts w:ascii="Arial" w:hAnsi="Arial" w:cs="Arial"/>
        </w:rPr>
        <w:t>La corrupció, que té entre altres mecanismes el frau fiscal, no és només un fenomen econòmic d'enriquiment d'uns a costa d'uns altres. A més dels costos materials i quantificables, té uns costos intangibles difícils de quantificar com la desconfiança ciutadana en les institucions, el minvament de la competitivitat empresarial, la desigualtat social, o la reculada en drets humans.</w:t>
      </w:r>
    </w:p>
    <w:p w14:paraId="0F7C3DE7" w14:textId="77777777" w:rsidR="00581EB6" w:rsidRPr="00581EB6" w:rsidRDefault="00581EB6" w:rsidP="00845AB6">
      <w:pPr>
        <w:pStyle w:val="Texto"/>
        <w:spacing w:after="240"/>
        <w:rPr>
          <w:rFonts w:ascii="Arial" w:hAnsi="Arial" w:cs="Arial"/>
        </w:rPr>
      </w:pPr>
      <w:r w:rsidRPr="00581EB6">
        <w:rPr>
          <w:rFonts w:ascii="Arial" w:hAnsi="Arial" w:cs="Arial"/>
        </w:rPr>
        <w:t>Explica també el paper de les persones que s'atreveixen a denunciar corrupció i sense la valentia i el pas en avant dels quals molts casos quedarien ocults a la justícia i a la societat. El corporativisme entre institucions que tenen la seua raó de ser en el que és comú i en el servei públic, s'oposa a la decència i a l'ètica, i castiga i persegueix els denunciants de corrupció. L'estatut de persona denunciant de l'Agència, pioner a Espanya, està perquè els servidors públics no miren cap a un altre costat quan siguen testimonis de corrupció i senten el suport d'una societat que els protegeix i els necessita com a persones que gestionen serveis i diners públics.</w:t>
      </w:r>
    </w:p>
    <w:p w14:paraId="2C5F8D94" w14:textId="77777777" w:rsidR="00581EB6" w:rsidRPr="00581EB6" w:rsidRDefault="00581EB6" w:rsidP="00845AB6">
      <w:pPr>
        <w:pStyle w:val="Texto"/>
        <w:spacing w:after="240"/>
        <w:rPr>
          <w:rFonts w:ascii="Arial" w:hAnsi="Arial" w:cs="Arial"/>
        </w:rPr>
      </w:pPr>
      <w:r w:rsidRPr="00581EB6">
        <w:rPr>
          <w:rFonts w:ascii="Arial" w:hAnsi="Arial" w:cs="Arial"/>
        </w:rPr>
        <w:t>El llibre també recull el testimoniatge de Jesús Castro Revorio, secretari interventor d'ajuntament i primer denunciant protegit per l’AVAF. Ell va denunciar que la seua signatura havia sigut falsificada per l'ajuntament en el qual treballa per a finançar una empresa a compte de diverses obres que ja estaven pagades i obres que encara no s'havien licitat. Tot això en un municipi de la Marina Alta que, segons presenta entre les seues dades el llibre, té a una de cada tres persones en risc de pobresa.</w:t>
      </w:r>
    </w:p>
    <w:p w14:paraId="68C72541" w14:textId="2A1C924C" w:rsidR="00581EB6" w:rsidRDefault="00581EB6" w:rsidP="00845AB6">
      <w:pPr>
        <w:pStyle w:val="Texto"/>
        <w:spacing w:after="240"/>
        <w:rPr>
          <w:rFonts w:ascii="Arial" w:hAnsi="Arial" w:cs="Arial"/>
        </w:rPr>
      </w:pPr>
      <w:r w:rsidRPr="00581EB6">
        <w:rPr>
          <w:rFonts w:ascii="Arial" w:hAnsi="Arial" w:cs="Arial"/>
        </w:rPr>
        <w:t>El director de l’AVAF conclou que els delictes de corrupció no són només delictes contra l'administració, sinó delictes contra la Constitució, perquè atempten contra un pilar fonamental de la mateixa que és la igualtat de tots els ciutadans. Els impostos, com altres tants assumptes de la vida en societat, són un repartiment de càrregues; i si tothom pagara el que li toca segurament tots pagaríem menys o s'aconseguiria per a fer molt més. L'Agència Valenciana Antifrau reconeix la necessitat d'un llibre com aquest i que el que compta forme part del que s'ensenya a les escoles.</w:t>
      </w:r>
    </w:p>
    <w:p w14:paraId="77E6D326" w14:textId="7200AA59" w:rsidR="00C651F6" w:rsidRDefault="005E7D9A" w:rsidP="005E7D9A">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bookmarkStart w:id="451" w:name="_Toc93922358"/>
      <w:r w:rsidRPr="005E7D9A">
        <w:rPr>
          <w:rFonts w:ascii="Arial" w:eastAsia="Times New Roman" w:hAnsi="Arial" w:cs="Arial"/>
          <w:b/>
          <w:color w:val="9D2235"/>
          <w:sz w:val="24"/>
          <w:szCs w:val="24"/>
        </w:rPr>
        <w:t>Hugo Aznar, María Puchalt Lopez, Katia Esteve Mallent, i Teresa Bruno Carlos (Eds.) Informe sobre la transparencia local en la Comunitat Valenciana (2019). Tirant lo Blanch, 2021</w:t>
      </w:r>
      <w:bookmarkEnd w:id="451"/>
    </w:p>
    <w:p w14:paraId="485DBE94" w14:textId="77777777" w:rsidR="005E7D9A" w:rsidRDefault="005E7D9A" w:rsidP="005E7D9A">
      <w:pPr>
        <w:pStyle w:val="Texto"/>
        <w:keepNext/>
        <w:spacing w:after="240"/>
        <w:jc w:val="center"/>
      </w:pPr>
      <w:r w:rsidRPr="00927EA9">
        <w:rPr>
          <w:rFonts w:ascii="Arial" w:eastAsia="Calibri" w:hAnsi="Arial" w:cs="Arial"/>
          <w:noProof/>
        </w:rPr>
        <w:drawing>
          <wp:inline distT="0" distB="0" distL="0" distR="0" wp14:anchorId="6DD22C16" wp14:editId="32F22C53">
            <wp:extent cx="1839600" cy="2880000"/>
            <wp:effectExtent l="19050" t="19050" r="27305" b="15875"/>
            <wp:docPr id="73" name="Imagen 73"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Patrón de fondo&#10;&#10;Descripción generada automáticamente"/>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1839600" cy="2880000"/>
                    </a:xfrm>
                    <a:prstGeom prst="rect">
                      <a:avLst/>
                    </a:prstGeom>
                    <a:ln>
                      <a:solidFill>
                        <a:srgbClr val="4472C4"/>
                      </a:solidFill>
                    </a:ln>
                    <a:effectLst>
                      <a:softEdge rad="12700"/>
                    </a:effectLst>
                  </pic:spPr>
                </pic:pic>
              </a:graphicData>
            </a:graphic>
          </wp:inline>
        </w:drawing>
      </w:r>
    </w:p>
    <w:p w14:paraId="33C4C233" w14:textId="030A0E2E" w:rsidR="00C651F6" w:rsidRDefault="005E7D9A" w:rsidP="00095559">
      <w:pPr>
        <w:pStyle w:val="Descripcin"/>
        <w:spacing w:after="240"/>
        <w:jc w:val="center"/>
        <w:rPr>
          <w:rFonts w:ascii="Arial" w:hAnsi="Arial" w:cs="Arial"/>
        </w:rPr>
      </w:pPr>
      <w:bookmarkStart w:id="452" w:name="_Toc99110905"/>
      <w:r w:rsidRPr="005E7D9A">
        <w:rPr>
          <w:rFonts w:ascii="Arial" w:hAnsi="Arial" w:cs="Arial"/>
          <w:smallCaps w:val="0"/>
          <w:color w:val="9D2235" w:themeColor="accent1"/>
          <w:sz w:val="18"/>
          <w:szCs w:val="18"/>
        </w:rPr>
        <w:t xml:space="preserve">Imatge </w:t>
      </w:r>
      <w:r w:rsidRPr="005E7D9A">
        <w:rPr>
          <w:rFonts w:ascii="Arial" w:hAnsi="Arial" w:cs="Arial"/>
          <w:smallCaps w:val="0"/>
          <w:color w:val="9D2235" w:themeColor="accent1"/>
          <w:sz w:val="18"/>
          <w:szCs w:val="18"/>
        </w:rPr>
        <w:fldChar w:fldCharType="begin" w:fldLock="1"/>
      </w:r>
      <w:r w:rsidRPr="005E7D9A">
        <w:rPr>
          <w:rFonts w:ascii="Arial" w:hAnsi="Arial" w:cs="Arial"/>
          <w:smallCaps w:val="0"/>
          <w:color w:val="9D2235" w:themeColor="accent1"/>
          <w:sz w:val="18"/>
          <w:szCs w:val="18"/>
        </w:rPr>
        <w:instrText xml:space="preserve"> SEQ Imatge \* ARABIC </w:instrText>
      </w:r>
      <w:r w:rsidRPr="005E7D9A">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16</w:t>
      </w:r>
      <w:r w:rsidRPr="005E7D9A">
        <w:rPr>
          <w:rFonts w:ascii="Arial" w:hAnsi="Arial" w:cs="Arial"/>
          <w:smallCaps w:val="0"/>
          <w:color w:val="9D2235" w:themeColor="accent1"/>
          <w:sz w:val="18"/>
          <w:szCs w:val="18"/>
        </w:rPr>
        <w:fldChar w:fldCharType="end"/>
      </w:r>
      <w:r w:rsidRPr="005E7D9A">
        <w:rPr>
          <w:rFonts w:ascii="Arial" w:hAnsi="Arial" w:cs="Arial"/>
          <w:smallCaps w:val="0"/>
          <w:color w:val="9D2235" w:themeColor="accent1"/>
          <w:sz w:val="18"/>
          <w:szCs w:val="18"/>
        </w:rPr>
        <w:t xml:space="preserve">. </w:t>
      </w:r>
      <w:r w:rsidRPr="005E7D9A">
        <w:rPr>
          <w:rFonts w:ascii="Arial" w:hAnsi="Arial" w:cs="Arial"/>
          <w:smallCaps w:val="0"/>
          <w:sz w:val="18"/>
          <w:szCs w:val="18"/>
        </w:rPr>
        <w:t>Coberta de l'Informe sobre la transparència local en la Comunitat Valenciana</w:t>
      </w:r>
      <w:r>
        <w:t xml:space="preserve"> (2019)</w:t>
      </w:r>
      <w:bookmarkEnd w:id="452"/>
    </w:p>
    <w:p w14:paraId="7CEBB1AF" w14:textId="72FBB259" w:rsidR="005E7D9A" w:rsidRPr="005E7D9A" w:rsidRDefault="005E7D9A" w:rsidP="00845AB6">
      <w:pPr>
        <w:pStyle w:val="Texto"/>
        <w:spacing w:after="240"/>
        <w:rPr>
          <w:rFonts w:ascii="Arial" w:hAnsi="Arial" w:cs="Arial"/>
        </w:rPr>
      </w:pPr>
      <w:r w:rsidRPr="005E7D9A">
        <w:rPr>
          <w:rFonts w:ascii="Arial" w:hAnsi="Arial" w:cs="Arial"/>
        </w:rPr>
        <w:t>Des de març de 2020, l'Agència té formalitzat un conveni marc de col·laboració amb la Universitat CEU Cardenal Herrera per a la realització conjunta d'activitats culturals, educatives, científiques i editorials. L'Observatori de Governança, Transparència i RSC de la Universitat CEU Cardenal Herrera participa en l'avaluació de les webs i els portals de transparència de les administracions locals de la Comunitat Valenciana, amb el mètode InfoParticipa i el reconeixement dels avanços en publicitat activa a través del Segell InfoParticipa. A partir d'aquelles anàlisis per a l'any 2021 la Universitat CEU Cardenal Herrera ha proposat la publicació de l'última edició del Mapa InfoParticipa en la Comunitat Valenciana, corresponent a l'exercici 2019, i en el marc del citat conveni de col·laboració, ha convidat a l’AVAF a participar en aquesta publicació amb la redacció d'un article sobre la funció i la importància de la transparència en general i les actuacions de l'Agència Valenciana Antifrau.</w:t>
      </w:r>
    </w:p>
    <w:p w14:paraId="790C94B6" w14:textId="77777777" w:rsidR="005E7D9A" w:rsidRPr="005E7D9A" w:rsidRDefault="005E7D9A" w:rsidP="009D649E">
      <w:pPr>
        <w:pStyle w:val="Texto"/>
        <w:spacing w:after="360"/>
        <w:rPr>
          <w:rFonts w:ascii="Arial" w:hAnsi="Arial" w:cs="Arial"/>
        </w:rPr>
      </w:pPr>
      <w:r w:rsidRPr="005E7D9A">
        <w:rPr>
          <w:rFonts w:ascii="Arial" w:hAnsi="Arial" w:cs="Arial"/>
        </w:rPr>
        <w:t>Des de la Direcció General de l'Agència es va proposar a la directora de la Direcció de Prevenció, Formació i Documentació, en el seu moment Sílvia Vèrnia Trillo, l'elaboració d'un article sobre la promoció de la transparència continguda en el Conveni de Nacions Unides contra la corrupció.</w:t>
      </w:r>
    </w:p>
    <w:p w14:paraId="72B1F9FB" w14:textId="77777777" w:rsidR="005E7D9A" w:rsidRPr="005E7D9A" w:rsidRDefault="005E7D9A" w:rsidP="009D649E">
      <w:pPr>
        <w:pStyle w:val="Texto"/>
        <w:spacing w:after="360"/>
        <w:rPr>
          <w:rFonts w:ascii="Arial" w:hAnsi="Arial" w:cs="Arial"/>
        </w:rPr>
      </w:pPr>
      <w:r w:rsidRPr="005E7D9A">
        <w:rPr>
          <w:rFonts w:ascii="Arial" w:hAnsi="Arial" w:cs="Arial"/>
        </w:rPr>
        <w:t>Fruit d'aquest treball s'ha publicat l'obra: Vèrnia Trillo, Sílvia (2021). La promoción del principio de transparencia en la Convención de las Naciones Unidas contra la corrupción. En Hugo Aznar, María Puchalt Lopez, Katia Esteve Mallent, i Teresa Bruno Carlos (Eds.), Informe sobre la transparencia local en la Comunitat Valenciana (2019) (pp. 19-32) Editorial Tirant lo Blanch. La monografia ha sigut publicada dins de la col·lecció “Tirant Humanidades” de l'editorial Tirant lo Blanch.</w:t>
      </w:r>
    </w:p>
    <w:p w14:paraId="30D019BB" w14:textId="77777777" w:rsidR="005E7D9A" w:rsidRPr="005E7D9A" w:rsidRDefault="005E7D9A" w:rsidP="009D649E">
      <w:pPr>
        <w:pStyle w:val="Texto"/>
        <w:spacing w:after="360"/>
        <w:rPr>
          <w:rFonts w:ascii="Arial" w:hAnsi="Arial" w:cs="Arial"/>
        </w:rPr>
      </w:pPr>
      <w:r w:rsidRPr="005E7D9A">
        <w:rPr>
          <w:rFonts w:ascii="Arial" w:hAnsi="Arial" w:cs="Arial"/>
        </w:rPr>
        <w:t>Aquest capítol, el primer en l'obra, és una contribució per invitació el que suposa en si mateix un reconeixement a la labor de l'Agència. Les aportacions del treball es fan sobre la base de l'experiència acumulada en les diverses funcions de l'Agència: estudis en prevenció de la corrupció, investigació de casos de corrupció i protecció de denunciants.</w:t>
      </w:r>
    </w:p>
    <w:p w14:paraId="3A77E50A" w14:textId="77777777" w:rsidR="005E7D9A" w:rsidRPr="005E7D9A" w:rsidRDefault="005E7D9A" w:rsidP="009D649E">
      <w:pPr>
        <w:pStyle w:val="Texto"/>
        <w:spacing w:after="360"/>
        <w:rPr>
          <w:rFonts w:ascii="Arial" w:hAnsi="Arial" w:cs="Arial"/>
        </w:rPr>
      </w:pPr>
      <w:r w:rsidRPr="005E7D9A">
        <w:rPr>
          <w:rFonts w:ascii="Arial" w:hAnsi="Arial" w:cs="Arial"/>
        </w:rPr>
        <w:t>L'Agència ha constatat que la transparència serveix a la prevenció de la corrupció en diferents àmbits com són la contractació pública, les situacions de conflictes d'interés, els processos de presa de decisions, i les despeses dels grups polítics municipals.</w:t>
      </w:r>
    </w:p>
    <w:p w14:paraId="249A7CC3" w14:textId="77777777" w:rsidR="005E7D9A" w:rsidRPr="005E7D9A" w:rsidRDefault="005E7D9A" w:rsidP="009D649E">
      <w:pPr>
        <w:pStyle w:val="Texto"/>
        <w:spacing w:after="360"/>
        <w:rPr>
          <w:rFonts w:ascii="Arial" w:hAnsi="Arial" w:cs="Arial"/>
        </w:rPr>
      </w:pPr>
      <w:r w:rsidRPr="005E7D9A">
        <w:rPr>
          <w:rFonts w:ascii="Arial" w:hAnsi="Arial" w:cs="Arial"/>
        </w:rPr>
        <w:t>Resumidament, el principi de transparència és substancial en contractació pública perquè proporciona igualtat de tracte als licitadors, millora les ofertes que rep l'Administració, i fomenta la competitivitat empresarial. L'autora proposa anar més enllà, no sols exercint publicitat activa de tots els procediments en totes les seues fases sinó facilitant la seua comprensió a la ciutadania perquè puga exercir la seua funció de control. L'Agència també ha constatat que el conflicte d'interés és precursor de corrupció i insisteix en la necessitat de les declaracions patrimonials dels càrrecs públics com a mesura preventiva. La transparència en els processos de presa de decisions s'aborda a través de la planificació estratègica i els plans d'actuació municipal, la publicitat de les agendes públiques, els registres de lobbies i la petjada normativa. Finalment, la necessària transparència de les despeses dels partits polítics passa per la publicitat detallada de les subvencions que reben: imports, objecte, control financer, i justificació de la despesa que cobreixen.</w:t>
      </w:r>
    </w:p>
    <w:p w14:paraId="55B10D4B" w14:textId="2A789AA5" w:rsidR="005E7D9A" w:rsidRDefault="005E7D9A" w:rsidP="009D649E">
      <w:pPr>
        <w:pStyle w:val="Texto"/>
        <w:spacing w:after="360"/>
        <w:rPr>
          <w:rFonts w:ascii="Arial" w:hAnsi="Arial" w:cs="Arial"/>
        </w:rPr>
      </w:pPr>
      <w:r w:rsidRPr="005E7D9A">
        <w:rPr>
          <w:rFonts w:ascii="Arial" w:hAnsi="Arial" w:cs="Arial"/>
        </w:rPr>
        <w:t>El capítol conclou fent un reconeixement a la iniciativa dels coordinadors del projecte d'avaluació de les webs i els portals de transparència de les administracions locals de la Comunitat Valenciana i de la metodologia InfoParticipa i el Segell InfoParticipa com a mecanisme per a impulsar i consolidar la transparència en les administracions públiques.</w:t>
      </w:r>
    </w:p>
    <w:p w14:paraId="6FD1881A" w14:textId="3FE1AEAA" w:rsidR="00B32F42" w:rsidRDefault="00B32F42" w:rsidP="00845AB6">
      <w:pPr>
        <w:pStyle w:val="Texto"/>
        <w:spacing w:after="240"/>
        <w:rPr>
          <w:rFonts w:ascii="Arial" w:hAnsi="Arial" w:cs="Arial"/>
        </w:rPr>
      </w:pPr>
    </w:p>
    <w:p w14:paraId="4FF67D4F" w14:textId="79B51255" w:rsidR="00B32F42" w:rsidRDefault="00B32F42" w:rsidP="00845AB6">
      <w:pPr>
        <w:pStyle w:val="Texto"/>
        <w:spacing w:after="240"/>
        <w:rPr>
          <w:rFonts w:ascii="Arial" w:hAnsi="Arial" w:cs="Arial"/>
        </w:rPr>
      </w:pPr>
    </w:p>
    <w:p w14:paraId="328D3B18" w14:textId="235B509C" w:rsidR="00B32F42" w:rsidRDefault="00B32F42" w:rsidP="00845AB6">
      <w:pPr>
        <w:pStyle w:val="Texto"/>
        <w:spacing w:after="240"/>
        <w:rPr>
          <w:rFonts w:ascii="Arial" w:hAnsi="Arial" w:cs="Arial"/>
        </w:rPr>
      </w:pPr>
    </w:p>
    <w:p w14:paraId="01303EC0" w14:textId="77777777" w:rsidR="00B32F42" w:rsidRPr="005E7D9A" w:rsidRDefault="00B32F42" w:rsidP="00845AB6">
      <w:pPr>
        <w:pStyle w:val="Texto"/>
        <w:spacing w:after="240"/>
        <w:rPr>
          <w:rFonts w:ascii="Arial" w:hAnsi="Arial" w:cs="Arial"/>
        </w:rPr>
      </w:pPr>
    </w:p>
    <w:p w14:paraId="46B60743" w14:textId="23F98590" w:rsidR="00845AB6" w:rsidRDefault="00845AB6" w:rsidP="00845AB6">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bookmarkStart w:id="453" w:name="_Toc93922359"/>
      <w:r w:rsidRPr="00845AB6">
        <w:rPr>
          <w:rFonts w:ascii="Arial" w:eastAsia="Times New Roman" w:hAnsi="Arial" w:cs="Arial"/>
          <w:b/>
          <w:color w:val="9D2235"/>
          <w:sz w:val="24"/>
          <w:szCs w:val="24"/>
        </w:rPr>
        <w:t>Joan A. Llinares. La experiencia valenciana respecto a los canales de denuncias y la protección de los denunciantes de corrupción. En: Juli Ponce Solé i Manuel Villoria Mendieta (Dirs.) Anuario del Buen Gobierno y de la Calidad de la Regulación 2020: La regulación de la protección de los alertadores y denunciantes (whistleblowers). Fundación Democracia y Gobierno Local, 2021</w:t>
      </w:r>
      <w:bookmarkEnd w:id="453"/>
    </w:p>
    <w:p w14:paraId="29C45973" w14:textId="77777777" w:rsidR="00845AB6" w:rsidRDefault="00845AB6" w:rsidP="00845AB6">
      <w:pPr>
        <w:pStyle w:val="Texto"/>
        <w:keepNext/>
        <w:spacing w:after="240"/>
        <w:jc w:val="center"/>
      </w:pPr>
      <w:r w:rsidRPr="00927EA9">
        <w:rPr>
          <w:rFonts w:ascii="Arial" w:eastAsia="Calibri" w:hAnsi="Arial" w:cs="Arial"/>
          <w:noProof/>
        </w:rPr>
        <w:drawing>
          <wp:inline distT="0" distB="0" distL="0" distR="0" wp14:anchorId="495A20F2" wp14:editId="21AEBA75">
            <wp:extent cx="2019600" cy="2880000"/>
            <wp:effectExtent l="19050" t="19050" r="19050" b="15875"/>
            <wp:docPr id="74" name="Imagen 7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Diagrama&#10;&#10;Descripción generada automáticamente"/>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2019600" cy="2880000"/>
                    </a:xfrm>
                    <a:prstGeom prst="rect">
                      <a:avLst/>
                    </a:prstGeom>
                    <a:ln>
                      <a:solidFill>
                        <a:srgbClr val="4472C4"/>
                      </a:solidFill>
                    </a:ln>
                    <a:effectLst>
                      <a:softEdge rad="12700"/>
                    </a:effectLst>
                  </pic:spPr>
                </pic:pic>
              </a:graphicData>
            </a:graphic>
          </wp:inline>
        </w:drawing>
      </w:r>
    </w:p>
    <w:p w14:paraId="79E2C2EA" w14:textId="544FC502" w:rsidR="00845AB6" w:rsidRPr="00845AB6" w:rsidRDefault="00845AB6" w:rsidP="00095559">
      <w:pPr>
        <w:pStyle w:val="Descripcin"/>
        <w:spacing w:after="240"/>
        <w:jc w:val="center"/>
        <w:rPr>
          <w:rFonts w:ascii="Arial" w:hAnsi="Arial" w:cs="Arial"/>
          <w:smallCaps w:val="0"/>
          <w:sz w:val="18"/>
          <w:szCs w:val="18"/>
        </w:rPr>
      </w:pPr>
      <w:bookmarkStart w:id="454" w:name="_Toc99110906"/>
      <w:r w:rsidRPr="00845AB6">
        <w:rPr>
          <w:rFonts w:ascii="Arial" w:hAnsi="Arial" w:cs="Arial"/>
          <w:smallCaps w:val="0"/>
          <w:color w:val="9D2235" w:themeColor="accent1"/>
          <w:sz w:val="18"/>
          <w:szCs w:val="18"/>
        </w:rPr>
        <w:t xml:space="preserve">Imatge </w:t>
      </w:r>
      <w:r w:rsidRPr="00845AB6">
        <w:rPr>
          <w:rFonts w:ascii="Arial" w:hAnsi="Arial" w:cs="Arial"/>
          <w:smallCaps w:val="0"/>
          <w:color w:val="9D2235" w:themeColor="accent1"/>
          <w:sz w:val="18"/>
          <w:szCs w:val="18"/>
        </w:rPr>
        <w:fldChar w:fldCharType="begin" w:fldLock="1"/>
      </w:r>
      <w:r w:rsidRPr="00845AB6">
        <w:rPr>
          <w:rFonts w:ascii="Arial" w:hAnsi="Arial" w:cs="Arial"/>
          <w:smallCaps w:val="0"/>
          <w:color w:val="9D2235" w:themeColor="accent1"/>
          <w:sz w:val="18"/>
          <w:szCs w:val="18"/>
        </w:rPr>
        <w:instrText xml:space="preserve"> SEQ Imatge \* ARABIC </w:instrText>
      </w:r>
      <w:r w:rsidRPr="00845AB6">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17</w:t>
      </w:r>
      <w:r w:rsidRPr="00845AB6">
        <w:rPr>
          <w:rFonts w:ascii="Arial" w:hAnsi="Arial" w:cs="Arial"/>
          <w:smallCaps w:val="0"/>
          <w:color w:val="9D2235" w:themeColor="accent1"/>
          <w:sz w:val="18"/>
          <w:szCs w:val="18"/>
        </w:rPr>
        <w:fldChar w:fldCharType="end"/>
      </w:r>
      <w:r w:rsidRPr="00845AB6">
        <w:rPr>
          <w:rFonts w:ascii="Arial" w:hAnsi="Arial" w:cs="Arial"/>
          <w:smallCaps w:val="0"/>
          <w:color w:val="9D2235" w:themeColor="accent1"/>
          <w:sz w:val="18"/>
          <w:szCs w:val="18"/>
        </w:rPr>
        <w:t xml:space="preserve">. </w:t>
      </w:r>
      <w:r w:rsidRPr="00845AB6">
        <w:rPr>
          <w:rFonts w:ascii="Arial" w:hAnsi="Arial" w:cs="Arial"/>
          <w:smallCaps w:val="0"/>
          <w:sz w:val="18"/>
          <w:szCs w:val="18"/>
        </w:rPr>
        <w:t>Coberta de l'Anuario del Buen Gobierno y de la Calidad de la Regulación 2020</w:t>
      </w:r>
      <w:bookmarkEnd w:id="454"/>
    </w:p>
    <w:p w14:paraId="67617E12" w14:textId="77777777" w:rsidR="00D054B2" w:rsidRPr="00D054B2" w:rsidRDefault="00D054B2" w:rsidP="00D054B2">
      <w:pPr>
        <w:pStyle w:val="Texto"/>
        <w:spacing w:after="240"/>
        <w:rPr>
          <w:rFonts w:ascii="Arial" w:hAnsi="Arial" w:cs="Arial"/>
        </w:rPr>
      </w:pPr>
      <w:r w:rsidRPr="00D054B2">
        <w:rPr>
          <w:rFonts w:ascii="Arial" w:hAnsi="Arial" w:cs="Arial"/>
        </w:rPr>
        <w:t>Al capítol en el qual contribueix l’AVAF a aquest volum es fa una introducció general sobre la denúncia sobre infraccions del dret en l'àmbit de les administracions públiques valencianes i els seus sectors públics, i els canals de denúncia i la confidencialitat i anonimat associats a aquests.</w:t>
      </w:r>
    </w:p>
    <w:p w14:paraId="222E627D" w14:textId="77777777" w:rsidR="00D054B2" w:rsidRPr="00D054B2" w:rsidRDefault="00D054B2" w:rsidP="00D054B2">
      <w:pPr>
        <w:pStyle w:val="Texto"/>
        <w:spacing w:after="240"/>
        <w:rPr>
          <w:rFonts w:ascii="Arial" w:hAnsi="Arial" w:cs="Arial"/>
        </w:rPr>
      </w:pPr>
      <w:r w:rsidRPr="00D054B2">
        <w:rPr>
          <w:rFonts w:ascii="Arial" w:hAnsi="Arial" w:cs="Arial"/>
        </w:rPr>
        <w:t>A continuació, es fa una exposició de les funcions de l’AVAF quant a la protecció de persones denunciants de delictes de corrupció. Es detalla primer el funcionament de la bústia de denúncies electrònica de l’AVAF. A continuació, s'introdueix la definició del concepte de persona denunciant, els seus drets, deures, i responsabilitats, i els mecanismes de protecció i la prohibició de represàlies contra aquestes, per a continuar amb la figura jurídica de l'estatut de persona denunciant i el seu procediment associat per a la concessió, denegació, i pèrdua. Mes avant el treball presenta la situació i seguiment de la protecció de les persones denunciants en la Comunitat Valenciana, il·lustrat amb casos actius. I, finalment es realitzen aportacions per a una adequada transposició de la Directiva (UE) 2019/1937.</w:t>
      </w:r>
    </w:p>
    <w:p w14:paraId="6885291A" w14:textId="77777777" w:rsidR="00D054B2" w:rsidRPr="00D054B2" w:rsidRDefault="00D054B2" w:rsidP="00D054B2">
      <w:pPr>
        <w:pStyle w:val="Texto"/>
        <w:spacing w:after="240"/>
        <w:rPr>
          <w:rFonts w:ascii="Arial" w:hAnsi="Arial" w:cs="Arial"/>
        </w:rPr>
      </w:pPr>
      <w:r w:rsidRPr="00D054B2">
        <w:rPr>
          <w:rFonts w:ascii="Arial" w:hAnsi="Arial" w:cs="Arial"/>
        </w:rPr>
        <w:t>Els continguts del treball es poden trobar àmpliament descrits en la llei de creació de l'Agència, el reglament i les diverses resolucions dictades que regulen, entre altres, el funcionament de la bústia de denúncies, i també en els informes i memòries d'activitat publicades des de 2017 per l'Agència. Considerem, per tant, que el més procedent és assenyalar en aquesta Memòria 2021 la importància de la participació de la pròpia Agència amb la seua experiència acumulada en un volum com aquest i el reconeixement que suposa per part dels coordinadors de l'Anuari.</w:t>
      </w:r>
    </w:p>
    <w:p w14:paraId="5786C687" w14:textId="77777777" w:rsidR="00D054B2" w:rsidRPr="00D054B2" w:rsidRDefault="00D054B2" w:rsidP="00D054B2">
      <w:pPr>
        <w:pStyle w:val="Texto"/>
        <w:spacing w:after="240"/>
        <w:rPr>
          <w:rFonts w:ascii="Arial" w:hAnsi="Arial" w:cs="Arial"/>
        </w:rPr>
      </w:pPr>
      <w:r w:rsidRPr="00D054B2">
        <w:rPr>
          <w:rFonts w:ascii="Arial" w:hAnsi="Arial" w:cs="Arial"/>
        </w:rPr>
        <w:t>L'”Anuario de buen gobierno y de la calidad de la regulación” elaborat per la Fundació Democràcia i Govern Local, s'emmarca en els estudis relatius sobre el bon govern i la millora de la qualitat reguladora, assumptes que estan estretament relacionats amb la transparència, tant pel que respecta a la publicitat activa com al dret d'accés a la informació pública. En la seua elaboració es compta amb la col·laboració de diferents institucions com la Fundació Bosch i Gimpera, la Comissió Nacional dels Mercats i de la Competència, i la Federació de Municipis de Catalunya. El seu objectiu fonamental és servir d'espai de difusió per a la reflexió tècnica, la clarificació conceptual i l'elaboració de directrius que tenen el potencial de repercutir positivament en la qualitat democràtica facilitant la participació ciutadana en l'activitat pública.</w:t>
      </w:r>
    </w:p>
    <w:p w14:paraId="687AFB16" w14:textId="77777777" w:rsidR="00D054B2" w:rsidRPr="00D054B2" w:rsidRDefault="00D054B2" w:rsidP="00D054B2">
      <w:pPr>
        <w:pStyle w:val="Texto"/>
        <w:spacing w:after="240"/>
        <w:rPr>
          <w:rFonts w:ascii="Arial" w:hAnsi="Arial" w:cs="Arial"/>
        </w:rPr>
      </w:pPr>
      <w:r w:rsidRPr="00D054B2">
        <w:rPr>
          <w:rFonts w:ascii="Arial" w:hAnsi="Arial" w:cs="Arial"/>
        </w:rPr>
        <w:t>L'anuari està dirigit per Juli Ponce Solé i Manuel Villoria Mendieta i inclou cinc estudis doctrinals de reconeguts especialistes com són Tomás-Ramón Fernández Rodríguez, José Luis Piñar Mañas, Andrea Garrido Juncal, Silvina Bacigalupo, i David Martínez García sobre la protecció dels alertadors i la transposició de la Directiva 2019/1937 en relació amb el dret a una bona administració, la denúncia, l'anonimat, seudonimat i confidencialitat.</w:t>
      </w:r>
    </w:p>
    <w:p w14:paraId="50FF7739" w14:textId="77777777" w:rsidR="00D054B2" w:rsidRPr="00D054B2" w:rsidRDefault="00D054B2" w:rsidP="00D054B2">
      <w:pPr>
        <w:pStyle w:val="Texto"/>
        <w:spacing w:after="240"/>
        <w:rPr>
          <w:rFonts w:ascii="Arial" w:hAnsi="Arial" w:cs="Arial"/>
        </w:rPr>
      </w:pPr>
      <w:r w:rsidRPr="00D054B2">
        <w:rPr>
          <w:rFonts w:ascii="Arial" w:hAnsi="Arial" w:cs="Arial"/>
        </w:rPr>
        <w:t>A més de la pròpia de l’AVAF es recullen altres experiències referides a la pràctica quant a protecció de denunciants i canals de denúncia amb les participacions de Jaume Far Jiménez de l'Oficina de Prevenció i Lluita contra la Corrupció a les Illes Balears; Lourdes Parramon i Bregolat de l'Oficina Antifrau de Catalunya; Juan José García Martínez del Consello de Contas de Galícia; María García Fonseca a Castella i Lleó i Rosa M.ª Sánchez Sánchez sobre la Bústia Ètica i de Bon Govern de l'Ajuntament de Barcelona.</w:t>
      </w:r>
    </w:p>
    <w:p w14:paraId="091925F5" w14:textId="738DA5B0" w:rsidR="00845AB6" w:rsidRPr="00D054B2" w:rsidRDefault="00D054B2" w:rsidP="00D054B2">
      <w:pPr>
        <w:pStyle w:val="Texto"/>
        <w:spacing w:after="240"/>
        <w:rPr>
          <w:rFonts w:ascii="Arial" w:hAnsi="Arial" w:cs="Arial"/>
        </w:rPr>
      </w:pPr>
      <w:r w:rsidRPr="00D054B2">
        <w:rPr>
          <w:rFonts w:ascii="Arial" w:hAnsi="Arial" w:cs="Arial"/>
        </w:rPr>
        <w:t>En el seu propi resum executiu el volum enumera les conclusions que s'obtenen de desgranar i solapar els capítols, propostes i recomanacions d'actuació futura “perquè el legislador estatal deixe de ser, finalment, autista” en referència a l'absència de transposició de la Directiva (UE) 2019/1937, de 23 d'octubre, relativa a la protecció de les persones que informen sobre infraccions del Dret de la Unió, hui dia d'aplicació directa per incompliment del termini de transposició estatal.</w:t>
      </w:r>
    </w:p>
    <w:p w14:paraId="21DAEF7D" w14:textId="2BAC6A6B" w:rsidR="00845AB6" w:rsidRDefault="00845AB6" w:rsidP="00AD4D3B">
      <w:pPr>
        <w:pStyle w:val="Texto"/>
        <w:spacing w:after="240"/>
        <w:rPr>
          <w:rFonts w:ascii="Arial" w:hAnsi="Arial" w:cs="Arial"/>
        </w:rPr>
      </w:pPr>
    </w:p>
    <w:p w14:paraId="107B5FFE" w14:textId="681E53EF" w:rsidR="00845AB6" w:rsidRDefault="00845AB6" w:rsidP="00AD4D3B">
      <w:pPr>
        <w:pStyle w:val="Texto"/>
        <w:spacing w:after="240"/>
        <w:rPr>
          <w:rFonts w:ascii="Arial" w:hAnsi="Arial" w:cs="Arial"/>
        </w:rPr>
      </w:pPr>
    </w:p>
    <w:p w14:paraId="6E86EEA8" w14:textId="497EA661" w:rsidR="00845AB6" w:rsidRDefault="00845AB6" w:rsidP="00AD4D3B">
      <w:pPr>
        <w:pStyle w:val="Texto"/>
        <w:spacing w:after="240"/>
        <w:rPr>
          <w:rFonts w:ascii="Arial" w:hAnsi="Arial" w:cs="Arial"/>
        </w:rPr>
      </w:pPr>
    </w:p>
    <w:p w14:paraId="1AC1C11D" w14:textId="161A4244" w:rsidR="00845AB6" w:rsidRDefault="00845AB6" w:rsidP="00AD4D3B">
      <w:pPr>
        <w:pStyle w:val="Texto"/>
        <w:spacing w:after="240"/>
        <w:rPr>
          <w:rFonts w:ascii="Arial" w:hAnsi="Arial" w:cs="Arial"/>
        </w:rPr>
      </w:pPr>
    </w:p>
    <w:p w14:paraId="086CDE2F" w14:textId="70E9C1D3" w:rsidR="00845AB6" w:rsidRDefault="00845AB6" w:rsidP="00AD4D3B">
      <w:pPr>
        <w:pStyle w:val="Texto"/>
        <w:spacing w:after="240"/>
        <w:rPr>
          <w:rFonts w:ascii="Arial" w:hAnsi="Arial" w:cs="Arial"/>
        </w:rPr>
      </w:pPr>
    </w:p>
    <w:p w14:paraId="52BDBCC1" w14:textId="77777777" w:rsidR="00104AEE" w:rsidRDefault="00104AEE" w:rsidP="00AD4D3B">
      <w:pPr>
        <w:pStyle w:val="Texto"/>
        <w:spacing w:after="240"/>
        <w:rPr>
          <w:rFonts w:ascii="Arial" w:hAnsi="Arial" w:cs="Arial"/>
        </w:rPr>
      </w:pPr>
    </w:p>
    <w:p w14:paraId="71DA062A" w14:textId="77777777" w:rsidR="00D054B2" w:rsidRPr="00D054B2" w:rsidRDefault="00D054B2" w:rsidP="00D054B2">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bookmarkStart w:id="455" w:name="_Toc93922360"/>
      <w:r w:rsidRPr="00D054B2">
        <w:rPr>
          <w:rFonts w:ascii="Arial" w:eastAsia="Times New Roman" w:hAnsi="Arial" w:cs="Arial"/>
          <w:b/>
          <w:color w:val="9D2235"/>
          <w:sz w:val="24"/>
          <w:szCs w:val="24"/>
        </w:rPr>
        <w:t>Rodrigo Terrasa. La ciudad de la euforia: una hipótesis de la mafia. Libros del K.O, 2021</w:t>
      </w:r>
      <w:bookmarkEnd w:id="455"/>
    </w:p>
    <w:p w14:paraId="246FC548" w14:textId="77777777" w:rsidR="00D054B2" w:rsidRDefault="00D054B2" w:rsidP="00D054B2">
      <w:pPr>
        <w:pStyle w:val="Texto"/>
        <w:keepNext/>
        <w:spacing w:after="240"/>
        <w:jc w:val="center"/>
      </w:pPr>
      <w:r w:rsidRPr="00927EA9">
        <w:rPr>
          <w:rFonts w:ascii="Arial" w:eastAsia="Calibri" w:hAnsi="Arial" w:cs="Arial"/>
          <w:noProof/>
        </w:rPr>
        <w:drawing>
          <wp:inline distT="0" distB="0" distL="0" distR="0" wp14:anchorId="20D7F435" wp14:editId="17C05BC4">
            <wp:extent cx="1875600" cy="2880000"/>
            <wp:effectExtent l="19050" t="19050" r="10795" b="15875"/>
            <wp:docPr id="75" name="Imagen 7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Diagrama&#10;&#10;Descripción generada automáticamente"/>
                    <pic:cNvPicPr/>
                  </pic:nvPicPr>
                  <pic:blipFill>
                    <a:blip r:embed="rId539" cstate="print">
                      <a:extLst>
                        <a:ext uri="{28A0092B-C50C-407E-A947-70E740481C1C}">
                          <a14:useLocalDpi xmlns:a14="http://schemas.microsoft.com/office/drawing/2010/main" val="0"/>
                        </a:ext>
                      </a:extLst>
                    </a:blip>
                    <a:stretch>
                      <a:fillRect/>
                    </a:stretch>
                  </pic:blipFill>
                  <pic:spPr>
                    <a:xfrm>
                      <a:off x="0" y="0"/>
                      <a:ext cx="1875600" cy="2880000"/>
                    </a:xfrm>
                    <a:prstGeom prst="rect">
                      <a:avLst/>
                    </a:prstGeom>
                    <a:ln>
                      <a:solidFill>
                        <a:srgbClr val="4472C4"/>
                      </a:solidFill>
                    </a:ln>
                    <a:effectLst>
                      <a:softEdge rad="12700"/>
                    </a:effectLst>
                  </pic:spPr>
                </pic:pic>
              </a:graphicData>
            </a:graphic>
          </wp:inline>
        </w:drawing>
      </w:r>
    </w:p>
    <w:p w14:paraId="02C1C472" w14:textId="7904039F" w:rsidR="00845AB6" w:rsidRPr="00D054B2" w:rsidRDefault="00D054B2" w:rsidP="00095559">
      <w:pPr>
        <w:pStyle w:val="Descripcin"/>
        <w:spacing w:after="240"/>
        <w:jc w:val="center"/>
        <w:rPr>
          <w:rFonts w:ascii="Arial" w:hAnsi="Arial" w:cs="Arial"/>
          <w:smallCaps w:val="0"/>
          <w:sz w:val="18"/>
          <w:szCs w:val="18"/>
        </w:rPr>
      </w:pPr>
      <w:bookmarkStart w:id="456" w:name="_Toc99110907"/>
      <w:r w:rsidRPr="00D054B2">
        <w:rPr>
          <w:rFonts w:ascii="Arial" w:hAnsi="Arial" w:cs="Arial"/>
          <w:smallCaps w:val="0"/>
          <w:color w:val="9D2235" w:themeColor="accent1"/>
          <w:sz w:val="18"/>
          <w:szCs w:val="18"/>
        </w:rPr>
        <w:t xml:space="preserve">Imatge </w:t>
      </w:r>
      <w:r w:rsidRPr="00D054B2">
        <w:rPr>
          <w:rFonts w:ascii="Arial" w:hAnsi="Arial" w:cs="Arial"/>
          <w:smallCaps w:val="0"/>
          <w:color w:val="9D2235" w:themeColor="accent1"/>
          <w:sz w:val="18"/>
          <w:szCs w:val="18"/>
        </w:rPr>
        <w:fldChar w:fldCharType="begin" w:fldLock="1"/>
      </w:r>
      <w:r w:rsidRPr="00D054B2">
        <w:rPr>
          <w:rFonts w:ascii="Arial" w:hAnsi="Arial" w:cs="Arial"/>
          <w:smallCaps w:val="0"/>
          <w:color w:val="9D2235" w:themeColor="accent1"/>
          <w:sz w:val="18"/>
          <w:szCs w:val="18"/>
        </w:rPr>
        <w:instrText xml:space="preserve"> SEQ Imatge \* ARABIC </w:instrText>
      </w:r>
      <w:r w:rsidRPr="00D054B2">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18</w:t>
      </w:r>
      <w:r w:rsidRPr="00D054B2">
        <w:rPr>
          <w:rFonts w:ascii="Arial" w:hAnsi="Arial" w:cs="Arial"/>
          <w:smallCaps w:val="0"/>
          <w:color w:val="9D2235" w:themeColor="accent1"/>
          <w:sz w:val="18"/>
          <w:szCs w:val="18"/>
        </w:rPr>
        <w:fldChar w:fldCharType="end"/>
      </w:r>
      <w:r w:rsidRPr="00D054B2">
        <w:rPr>
          <w:rFonts w:ascii="Arial" w:hAnsi="Arial" w:cs="Arial"/>
          <w:smallCaps w:val="0"/>
          <w:color w:val="9D2235" w:themeColor="accent1"/>
          <w:sz w:val="18"/>
          <w:szCs w:val="18"/>
        </w:rPr>
        <w:t xml:space="preserve">. </w:t>
      </w:r>
      <w:r w:rsidRPr="00D054B2">
        <w:rPr>
          <w:rFonts w:ascii="Arial" w:hAnsi="Arial" w:cs="Arial"/>
          <w:smallCaps w:val="0"/>
          <w:sz w:val="18"/>
          <w:szCs w:val="18"/>
        </w:rPr>
        <w:t>Coberta del llibre La ciudad de la euforia</w:t>
      </w:r>
      <w:bookmarkEnd w:id="456"/>
    </w:p>
    <w:p w14:paraId="4CE9BB94" w14:textId="77777777" w:rsidR="00DC5775" w:rsidRPr="00DC5775" w:rsidRDefault="00DC5775" w:rsidP="00DC5775">
      <w:pPr>
        <w:pStyle w:val="Texto"/>
        <w:spacing w:after="240"/>
        <w:rPr>
          <w:rFonts w:ascii="Arial" w:hAnsi="Arial" w:cs="Arial"/>
        </w:rPr>
      </w:pPr>
      <w:r w:rsidRPr="00DC5775">
        <w:rPr>
          <w:rFonts w:ascii="Arial" w:hAnsi="Arial" w:cs="Arial"/>
        </w:rPr>
        <w:t>El llibre de Rodrigo Terrasa</w:t>
      </w:r>
      <w:r w:rsidRPr="00DC5775">
        <w:rPr>
          <w:rFonts w:ascii="Arial" w:hAnsi="Arial" w:cs="Arial"/>
          <w:i/>
          <w:iCs/>
        </w:rPr>
        <w:t xml:space="preserve"> La ciudad de la euforia: Una hipótesis de la mafia</w:t>
      </w:r>
      <w:r w:rsidRPr="00DC5775">
        <w:rPr>
          <w:rFonts w:ascii="Arial" w:hAnsi="Arial" w:cs="Arial"/>
        </w:rPr>
        <w:t>. Libros del KO, 2021, s'ha convertit en un èxit de vendes, recomanat per llibreters i entre els més venuts en la 56a Fira del Llibre de València, una cosa extraordinària i admirable tractant-se d'un llibre de no ficció. Tal és el seu èxit comercial que s'està negociant ja per a convertir el llibre en una sèrie de televisió.</w:t>
      </w:r>
    </w:p>
    <w:p w14:paraId="3DCDF51B" w14:textId="77777777" w:rsidR="00DC5775" w:rsidRPr="00DC5775" w:rsidRDefault="00DC5775" w:rsidP="00DC5775">
      <w:pPr>
        <w:pStyle w:val="Texto"/>
        <w:spacing w:after="240"/>
        <w:rPr>
          <w:rFonts w:ascii="Arial" w:hAnsi="Arial" w:cs="Arial"/>
        </w:rPr>
      </w:pPr>
      <w:r w:rsidRPr="00DC5775">
        <w:rPr>
          <w:rFonts w:ascii="Arial" w:hAnsi="Arial" w:cs="Arial"/>
        </w:rPr>
        <w:t>Rodrigo Terrasa ha manifestat en diverses ocasions que va ser a partir d'una conversa amb Ferran Torrent que va sorgir la idea d'escriure el llibre. Segons aquest autor, que ha ficcionat en diverses obres la corrupció, si es volguera fer un relat novel·lat del que va passar a València quedaria exagerat i ningú el creuria. Per descomptat, era un gran repte.</w:t>
      </w:r>
    </w:p>
    <w:p w14:paraId="2140EC92" w14:textId="6A7FC73C" w:rsidR="00DC5775" w:rsidRPr="00DC5775" w:rsidRDefault="00DC5775" w:rsidP="00DC5775">
      <w:pPr>
        <w:pStyle w:val="Texto"/>
        <w:spacing w:after="240"/>
        <w:rPr>
          <w:rFonts w:ascii="Arial" w:hAnsi="Arial" w:cs="Arial"/>
        </w:rPr>
      </w:pPr>
      <w:r w:rsidRPr="00DC5775">
        <w:rPr>
          <w:rFonts w:ascii="Arial" w:hAnsi="Arial" w:cs="Arial"/>
        </w:rPr>
        <w:t xml:space="preserve">El llibre de Rodrigo Terrasa recorre la corrupció valenciana entre els anys 1995 i 2015, coincidint amb els 20 anys de govern del PP, escàndols d'un període que encara perdura en els tribunals. Les fonts d'informació emprades són els sumaris, les notícies de diversos mitjans de comunicació i les escoltes policials. I d'aquest treball d'anàlisi i síntesi ha emergit un llibre exhaustiu, fluid i que enganxa. “No són casos aïllats […], quan juntes totes les peces, la gent ho llig, ho entén i ho consumeix” va dir Rodrigo Terrasa en la celebració del </w:t>
      </w:r>
      <w:hyperlink w:anchor="OBJ_PREFIX_DWT50_com_zimbra_date" w:history="1">
        <w:r w:rsidRPr="00DC5775">
          <w:rPr>
            <w:rStyle w:val="Hipervnculo"/>
            <w:rFonts w:ascii="Arial" w:hAnsi="Arial" w:cs="Arial"/>
          </w:rPr>
          <w:t>Dia internacional contra la corrupció</w:t>
        </w:r>
      </w:hyperlink>
      <w:r w:rsidRPr="00DC5775">
        <w:rPr>
          <w:rFonts w:ascii="Arial" w:hAnsi="Arial" w:cs="Arial"/>
        </w:rPr>
        <w:t>, organitzat per l'Agència Valenciana Antifrau, 9 de desembre</w:t>
      </w:r>
      <w:r w:rsidR="00A972EF">
        <w:rPr>
          <w:rFonts w:ascii="Arial" w:hAnsi="Arial" w:cs="Arial"/>
        </w:rPr>
        <w:t>.</w:t>
      </w:r>
    </w:p>
    <w:p w14:paraId="52C055C2" w14:textId="67C12447" w:rsidR="00DC5775" w:rsidRPr="00DC5775" w:rsidRDefault="00DC5775" w:rsidP="00DC5775">
      <w:pPr>
        <w:pStyle w:val="Texto"/>
        <w:spacing w:after="240"/>
        <w:rPr>
          <w:rFonts w:ascii="Arial" w:hAnsi="Arial" w:cs="Arial"/>
        </w:rPr>
      </w:pPr>
      <w:r w:rsidRPr="00DC5775">
        <w:rPr>
          <w:rFonts w:ascii="Arial" w:hAnsi="Arial" w:cs="Arial"/>
        </w:rPr>
        <w:t>El llibre ha rebut en els mitjans merescuts afalacs. S'ha dit que és un llibre impactant, “que certifica coses que potser ja sabies, però no en tota la seua dimensió, […] a partir de les dades fefaents d'una realitat històrica o actual que sempre desborda la imaginació més desbocada. […] Fets confirmats, fefaents. I són prou eloqüents i deplorables com per a excitar la indignació, la vergonya i un malestar difús en el lector més impàvid”.</w:t>
      </w:r>
      <w:r w:rsidRPr="00DC5775">
        <w:rPr>
          <w:rFonts w:ascii="Arial" w:hAnsi="Arial" w:cs="Arial"/>
          <w:vertAlign w:val="superscript"/>
        </w:rPr>
        <w:footnoteReference w:id="1"/>
      </w:r>
      <w:r w:rsidRPr="00DC5775">
        <w:rPr>
          <w:rFonts w:ascii="Arial" w:hAnsi="Arial" w:cs="Arial"/>
        </w:rPr>
        <w:t xml:space="preserve"> Uns altres ho van resumir dient que “Quan deixes de riure’t, fa por”.</w:t>
      </w:r>
      <w:r w:rsidRPr="00DC5775">
        <w:rPr>
          <w:rFonts w:ascii="Arial" w:hAnsi="Arial" w:cs="Arial"/>
          <w:vertAlign w:val="superscript"/>
        </w:rPr>
        <w:footnoteReference w:id="2"/>
      </w:r>
    </w:p>
    <w:p w14:paraId="37A6E093" w14:textId="77777777" w:rsidR="00DC5775" w:rsidRPr="00DC5775" w:rsidRDefault="00DC5775" w:rsidP="00DC5775">
      <w:pPr>
        <w:pStyle w:val="Texto"/>
        <w:spacing w:after="240"/>
        <w:rPr>
          <w:rFonts w:ascii="Arial" w:hAnsi="Arial" w:cs="Arial"/>
        </w:rPr>
      </w:pPr>
      <w:r w:rsidRPr="00DC5775">
        <w:rPr>
          <w:rFonts w:ascii="Arial" w:hAnsi="Arial" w:cs="Arial"/>
        </w:rPr>
        <w:t>Es relaten capítol a capítol els casos Gürtel, Emarsa, Cooperació, Taula, Brugal, Erial, la visita del papa Benet XVI, la Fórmula 1, Fitur, Noos, Orange Market. També els descoratjadors abusos sexuals en Canal Nou i el tractament a les víctimes de l'accident del metre de València de 2006. La caracterització dels seus principals protagonistes és tan completa que costa recordar que no eren personatges sinó persones amb voluntat pròpia. En algun moment arriba a ser tan histriònic que val la pena assenyalar que el títol del llibre pren el seu nom d'un absurd projecte de l'època de Camps que, almenys sobre el paper, mai va arribar a executar-se.</w:t>
      </w:r>
    </w:p>
    <w:p w14:paraId="18022CDD" w14:textId="77777777" w:rsidR="00DC5775" w:rsidRPr="00DC5775" w:rsidRDefault="00DC5775" w:rsidP="00DC5775">
      <w:pPr>
        <w:pStyle w:val="Texto"/>
        <w:spacing w:after="240"/>
        <w:rPr>
          <w:rFonts w:ascii="Arial" w:hAnsi="Arial" w:cs="Arial"/>
        </w:rPr>
      </w:pPr>
      <w:r w:rsidRPr="00DC5775">
        <w:rPr>
          <w:rFonts w:ascii="Arial" w:hAnsi="Arial" w:cs="Arial"/>
        </w:rPr>
        <w:t>Tot va operar com en el codi d'honor de la màfia siciliana, la omertà o llei del silenci. En realitat, no tot, i és just ací on cobren protagonisme els denunciants de corrupció que l'Agència Valenciana Antifrau protegeix i que a petició de l'autor van relatar les seues experiències per al llibre en quatre capítols intercalats entre tota la resta de destarifo. Capítols assenyalats amb tipografia especial, d'informe d'atestat, sense edició formal ni de contingut, literals, amb el màxim respecte a persones que podrien semblar herois però que abans de res són víctimes. Aquestes són les persones que amb la seua valentia van clivellar aqueixa llei del silenci.</w:t>
      </w:r>
    </w:p>
    <w:p w14:paraId="267FDC60" w14:textId="77777777" w:rsidR="00DC5775" w:rsidRPr="00DC5775" w:rsidRDefault="00DC5775" w:rsidP="00DC5775">
      <w:pPr>
        <w:pStyle w:val="Texto"/>
        <w:spacing w:after="240"/>
        <w:rPr>
          <w:rFonts w:ascii="Arial" w:hAnsi="Arial" w:cs="Arial"/>
        </w:rPr>
      </w:pPr>
      <w:r w:rsidRPr="00DC5775">
        <w:rPr>
          <w:rFonts w:ascii="Arial" w:hAnsi="Arial" w:cs="Arial"/>
        </w:rPr>
        <w:t>Segons el mateix autor, aqueixos testimoniatges són la gran aportació d'aquest llibre. Són declaracions colpidores d'una secretària d'un ajuntament, un policia local, un funcionari i un regidor. Amb amenaces de mort, tractament psiquiàtric durant anys, avortaments, exilis autoimposats. El fet que aquests testimoniatges no estiguen vinculats als grans casos de corrupció subratlla una realitat inquietant i és que els casos mediàtics són la punta de l'iceberg, perquè aquests denunciants protegits conten el que passava en aqueixos llocs xicotets on ningú mirava.</w:t>
      </w:r>
    </w:p>
    <w:p w14:paraId="657E923B" w14:textId="576774EC" w:rsidR="00D054B2" w:rsidRDefault="00DC5775" w:rsidP="00DC5775">
      <w:pPr>
        <w:pStyle w:val="Texto"/>
        <w:spacing w:after="240"/>
        <w:rPr>
          <w:rFonts w:ascii="Arial" w:hAnsi="Arial" w:cs="Arial"/>
        </w:rPr>
      </w:pPr>
      <w:r w:rsidRPr="00DC5775">
        <w:rPr>
          <w:rFonts w:ascii="Arial" w:hAnsi="Arial" w:cs="Arial"/>
        </w:rPr>
        <w:t>I això ens porta a l'última reflexió: qui va ser responsable i com evitar que torne a succeir. Rodrigo Terrasa apunta com un dels motius a la sensació d'impunitat dels partits que governen durant molts anys. A la impressió que s'està per damunt de tot perquè la justícia va molt lenta i no es castiga electoralment. Convé elevar la mirada, l'autor i els tribunals estan demostrant que el cas valencià era només la versió més absurda d'un engranatge que es reproduïa en tot el país. El llibre és un llibre sobre la corrupció amb majúscules, sobre corrupció política per a acaparar o retindre poder i privilegis, i sobre corrupció administrativa, per a acaparar diners. I els implicats no fan escarafalls de res. L'autor entona un mea culpa en nom de la professió periodística que, en les seues paraules, va arribar tard, i acusa també l'oposició de no estar a l'altura. Tots vam ser responsables si es pren el resultat electoral com a aval per a menystindre els controls i equilibris de l'estat de dret i la separació de poders. Ací estan algunes claus per a evitar que torne a succeir.</w:t>
      </w:r>
    </w:p>
    <w:p w14:paraId="36FD646A" w14:textId="3E3323E5" w:rsidR="00F77217" w:rsidRPr="008303AF" w:rsidRDefault="00F77217" w:rsidP="00F77217">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8303AF">
        <w:rPr>
          <w:rFonts w:ascii="Arial" w:eastAsia="Times New Roman" w:hAnsi="Arial" w:cs="Arial"/>
          <w:b/>
          <w:color w:val="9D2235"/>
          <w:sz w:val="24"/>
          <w:szCs w:val="24"/>
        </w:rPr>
        <w:t xml:space="preserve">Altres publicacions </w:t>
      </w:r>
    </w:p>
    <w:p w14:paraId="76D24591" w14:textId="74A2C50C" w:rsidR="00F77217" w:rsidRDefault="00690F36" w:rsidP="00F77217">
      <w:pPr>
        <w:spacing w:after="240" w:line="276" w:lineRule="auto"/>
        <w:jc w:val="both"/>
        <w:rPr>
          <w:rFonts w:ascii="Arial" w:hAnsi="Arial"/>
          <w:sz w:val="21"/>
          <w:szCs w:val="21"/>
        </w:rPr>
      </w:pPr>
      <w:r w:rsidRPr="00690F36">
        <w:rPr>
          <w:rFonts w:ascii="Arial" w:hAnsi="Arial"/>
          <w:sz w:val="21"/>
          <w:szCs w:val="21"/>
        </w:rPr>
        <w:t>En dates immediatament anteriors a la redacció d'aquesta Memòria s'han publicat altres dues obres relacionades amb les funcions i fins de l'Agència en les quals han contribuït autors de l’AVAF</w:t>
      </w:r>
      <w:r w:rsidR="00F77217" w:rsidRPr="000122AC">
        <w:rPr>
          <w:rFonts w:ascii="Arial" w:hAnsi="Arial"/>
          <w:sz w:val="21"/>
          <w:szCs w:val="21"/>
        </w:rPr>
        <w:t>.</w:t>
      </w:r>
    </w:p>
    <w:p w14:paraId="236E522D" w14:textId="77777777" w:rsidR="0029228A" w:rsidRDefault="0029228A" w:rsidP="00F77217">
      <w:pPr>
        <w:spacing w:after="240" w:line="276" w:lineRule="auto"/>
        <w:jc w:val="both"/>
        <w:rPr>
          <w:rFonts w:ascii="Arial" w:hAnsi="Arial"/>
          <w:sz w:val="21"/>
          <w:szCs w:val="21"/>
        </w:rPr>
      </w:pPr>
    </w:p>
    <w:p w14:paraId="3377BD76" w14:textId="77777777" w:rsidR="00E52514" w:rsidRDefault="00CE1299" w:rsidP="00E52514">
      <w:pPr>
        <w:keepNext/>
        <w:spacing w:after="240" w:line="276" w:lineRule="auto"/>
        <w:jc w:val="center"/>
      </w:pPr>
      <w:r>
        <w:rPr>
          <w:rFonts w:ascii="Arial" w:hAnsi="Arial"/>
          <w:noProof/>
          <w:sz w:val="21"/>
          <w:szCs w:val="21"/>
        </w:rPr>
        <w:drawing>
          <wp:inline distT="0" distB="0" distL="0" distR="0" wp14:anchorId="26AFD02A" wp14:editId="3D93FB3A">
            <wp:extent cx="1954800" cy="2880000"/>
            <wp:effectExtent l="0" t="0" r="7620" b="0"/>
            <wp:docPr id="61" name="Imagen 6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Texto&#10;&#10;Descripción generada automáticamente"/>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1954800" cy="2880000"/>
                    </a:xfrm>
                    <a:prstGeom prst="rect">
                      <a:avLst/>
                    </a:prstGeom>
                    <a:noFill/>
                    <a:ln>
                      <a:noFill/>
                    </a:ln>
                  </pic:spPr>
                </pic:pic>
              </a:graphicData>
            </a:graphic>
          </wp:inline>
        </w:drawing>
      </w:r>
    </w:p>
    <w:p w14:paraId="570E2C08" w14:textId="76EDAC02" w:rsidR="00E52514" w:rsidRDefault="00E52514" w:rsidP="00E52514">
      <w:pPr>
        <w:pStyle w:val="Descripcin"/>
        <w:contextualSpacing/>
        <w:jc w:val="center"/>
        <w:rPr>
          <w:rFonts w:ascii="Arial" w:hAnsi="Arial" w:cs="Arial"/>
          <w:smallCaps w:val="0"/>
          <w:sz w:val="18"/>
          <w:szCs w:val="18"/>
        </w:rPr>
      </w:pPr>
      <w:bookmarkStart w:id="457" w:name="_Toc99110908"/>
      <w:r w:rsidRPr="00E52514">
        <w:rPr>
          <w:rFonts w:ascii="Arial" w:hAnsi="Arial" w:cs="Arial"/>
          <w:smallCaps w:val="0"/>
          <w:color w:val="9D2235" w:themeColor="accent1"/>
          <w:sz w:val="18"/>
          <w:szCs w:val="18"/>
        </w:rPr>
        <w:t xml:space="preserve">Imatge </w:t>
      </w:r>
      <w:r w:rsidRPr="00E52514">
        <w:rPr>
          <w:rFonts w:ascii="Arial" w:hAnsi="Arial" w:cs="Arial"/>
          <w:smallCaps w:val="0"/>
          <w:color w:val="9D2235" w:themeColor="accent1"/>
          <w:sz w:val="18"/>
          <w:szCs w:val="18"/>
        </w:rPr>
        <w:fldChar w:fldCharType="begin" w:fldLock="1"/>
      </w:r>
      <w:r w:rsidRPr="00E52514">
        <w:rPr>
          <w:rFonts w:ascii="Arial" w:hAnsi="Arial" w:cs="Arial"/>
          <w:smallCaps w:val="0"/>
          <w:color w:val="9D2235" w:themeColor="accent1"/>
          <w:sz w:val="18"/>
          <w:szCs w:val="18"/>
        </w:rPr>
        <w:instrText xml:space="preserve"> SEQ Imatge \* ARABIC </w:instrText>
      </w:r>
      <w:r w:rsidRPr="00E52514">
        <w:rPr>
          <w:rFonts w:ascii="Arial" w:hAnsi="Arial" w:cs="Arial"/>
          <w:smallCaps w:val="0"/>
          <w:color w:val="9D2235" w:themeColor="accent1"/>
          <w:sz w:val="18"/>
          <w:szCs w:val="18"/>
        </w:rPr>
        <w:fldChar w:fldCharType="separate"/>
      </w:r>
      <w:r w:rsidR="00095559">
        <w:rPr>
          <w:rFonts w:ascii="Arial" w:hAnsi="Arial" w:cs="Arial"/>
          <w:smallCaps w:val="0"/>
          <w:noProof/>
          <w:color w:val="9D2235" w:themeColor="accent1"/>
          <w:sz w:val="18"/>
          <w:szCs w:val="18"/>
        </w:rPr>
        <w:t>19</w:t>
      </w:r>
      <w:r w:rsidRPr="00E52514">
        <w:rPr>
          <w:rFonts w:ascii="Arial" w:hAnsi="Arial" w:cs="Arial"/>
          <w:smallCaps w:val="0"/>
          <w:color w:val="9D2235" w:themeColor="accent1"/>
          <w:sz w:val="18"/>
          <w:szCs w:val="18"/>
        </w:rPr>
        <w:fldChar w:fldCharType="end"/>
      </w:r>
      <w:r w:rsidRPr="00E52514">
        <w:rPr>
          <w:rFonts w:ascii="Arial" w:hAnsi="Arial" w:cs="Arial"/>
          <w:smallCaps w:val="0"/>
          <w:color w:val="9D2235" w:themeColor="accent1"/>
          <w:sz w:val="18"/>
          <w:szCs w:val="18"/>
        </w:rPr>
        <w:t xml:space="preserve">. </w:t>
      </w:r>
      <w:r w:rsidRPr="00E52514">
        <w:rPr>
          <w:rFonts w:ascii="Arial" w:hAnsi="Arial" w:cs="Arial"/>
          <w:smallCaps w:val="0"/>
          <w:sz w:val="18"/>
          <w:szCs w:val="18"/>
        </w:rPr>
        <w:t>Coberta del llibre Fundamentos de la transparencia, aspectos políticos</w:t>
      </w:r>
      <w:bookmarkEnd w:id="457"/>
    </w:p>
    <w:p w14:paraId="63CB9833" w14:textId="2489D71D" w:rsidR="00CE1299" w:rsidRPr="00E52514" w:rsidRDefault="00E52514" w:rsidP="00095559">
      <w:pPr>
        <w:pStyle w:val="Descripcin"/>
        <w:spacing w:after="240"/>
        <w:jc w:val="center"/>
        <w:rPr>
          <w:rFonts w:ascii="Arial" w:hAnsi="Arial" w:cs="Arial"/>
          <w:smallCaps w:val="0"/>
          <w:sz w:val="18"/>
          <w:szCs w:val="18"/>
        </w:rPr>
      </w:pPr>
      <w:r w:rsidRPr="00E52514">
        <w:rPr>
          <w:rFonts w:ascii="Arial" w:hAnsi="Arial" w:cs="Arial"/>
          <w:smallCaps w:val="0"/>
          <w:sz w:val="18"/>
          <w:szCs w:val="18"/>
        </w:rPr>
        <w:t xml:space="preserve"> y perspectiva internacional</w:t>
      </w:r>
    </w:p>
    <w:p w14:paraId="25D6EFAE" w14:textId="77777777" w:rsidR="00690F36" w:rsidRDefault="00690F36" w:rsidP="00F77217">
      <w:pPr>
        <w:spacing w:after="240" w:line="276" w:lineRule="auto"/>
        <w:jc w:val="both"/>
        <w:rPr>
          <w:rFonts w:ascii="Arial" w:eastAsia="Times New Roman" w:hAnsi="Arial" w:cs="Times New Roman"/>
          <w:sz w:val="21"/>
          <w:szCs w:val="21"/>
        </w:rPr>
      </w:pPr>
    </w:p>
    <w:p w14:paraId="21E16385" w14:textId="741A08F7" w:rsidR="00F77217" w:rsidRPr="000122AC" w:rsidRDefault="00690F36" w:rsidP="00F77217">
      <w:pPr>
        <w:spacing w:after="240" w:line="276" w:lineRule="auto"/>
        <w:jc w:val="both"/>
        <w:rPr>
          <w:rFonts w:ascii="Arial" w:hAnsi="Arial"/>
          <w:sz w:val="21"/>
          <w:szCs w:val="21"/>
        </w:rPr>
      </w:pPr>
      <w:r w:rsidRPr="00666EAD">
        <w:rPr>
          <w:rFonts w:ascii="Arial" w:eastAsia="Times New Roman" w:hAnsi="Arial" w:cs="Times New Roman"/>
          <w:sz w:val="21"/>
          <w:szCs w:val="21"/>
        </w:rPr>
        <w:t>La primera</w:t>
      </w:r>
      <w:r>
        <w:rPr>
          <w:rFonts w:ascii="Arial" w:eastAsia="Times New Roman" w:hAnsi="Arial" w:cs="Times New Roman"/>
          <w:sz w:val="21"/>
          <w:szCs w:val="21"/>
        </w:rPr>
        <w:t xml:space="preserve"> contribució</w:t>
      </w:r>
      <w:r w:rsidRPr="00666EAD">
        <w:rPr>
          <w:rFonts w:ascii="Arial" w:eastAsia="Times New Roman" w:hAnsi="Arial" w:cs="Times New Roman"/>
          <w:sz w:val="21"/>
          <w:szCs w:val="21"/>
        </w:rPr>
        <w:t xml:space="preserve">, </w:t>
      </w:r>
      <w:r w:rsidRPr="006B4513">
        <w:rPr>
          <w:rFonts w:ascii="Arial" w:eastAsia="Times New Roman" w:hAnsi="Arial" w:cs="Times New Roman"/>
          <w:sz w:val="21"/>
          <w:szCs w:val="21"/>
        </w:rPr>
        <w:t xml:space="preserve">Vega Felgueroso, Juan. El gir copernicà a la transparència i la lluita contra el frau: els grups parlamentaris. En: Sánchez de Diego Fernández de la Riva, Manuel; Salvador Martínez María (dirs.) </w:t>
      </w:r>
      <w:r w:rsidRPr="00E90D0C">
        <w:rPr>
          <w:rFonts w:ascii="Arial" w:eastAsia="Times New Roman" w:hAnsi="Arial" w:cs="Times New Roman"/>
          <w:i/>
          <w:iCs/>
          <w:sz w:val="21"/>
          <w:szCs w:val="21"/>
        </w:rPr>
        <w:t>Fonaments de la transparència: aspectes polítics i perspectiva internacional</w:t>
      </w:r>
      <w:r w:rsidRPr="006B4513">
        <w:rPr>
          <w:rFonts w:ascii="Arial" w:eastAsia="Times New Roman" w:hAnsi="Arial" w:cs="Times New Roman"/>
          <w:sz w:val="21"/>
          <w:szCs w:val="21"/>
        </w:rPr>
        <w:t>. Centre d'Estudis Polítics i Constitucionals, 2021</w:t>
      </w:r>
      <w:r>
        <w:rPr>
          <w:rFonts w:ascii="Arial" w:eastAsia="Times New Roman" w:hAnsi="Arial" w:cs="Times New Roman"/>
          <w:sz w:val="21"/>
          <w:szCs w:val="21"/>
        </w:rPr>
        <w:t xml:space="preserve">, ha consistit en el capítol de llibre referenciat, </w:t>
      </w:r>
      <w:r w:rsidRPr="00666EAD">
        <w:rPr>
          <w:rFonts w:ascii="Arial" w:eastAsia="Times New Roman" w:hAnsi="Arial" w:cs="Times New Roman"/>
          <w:sz w:val="21"/>
          <w:szCs w:val="21"/>
        </w:rPr>
        <w:t xml:space="preserve">dins de l'apartat “Transparència en l'estat democràtic”, </w:t>
      </w:r>
      <w:r>
        <w:rPr>
          <w:rFonts w:ascii="Arial" w:eastAsia="Times New Roman" w:hAnsi="Arial" w:cs="Times New Roman"/>
          <w:sz w:val="21"/>
          <w:szCs w:val="21"/>
        </w:rPr>
        <w:t xml:space="preserve">de l'obra </w:t>
      </w:r>
      <w:hyperlink r:id="rId541" w:history="1">
        <w:r w:rsidRPr="00666EAD">
          <w:rPr>
            <w:rFonts w:ascii="Arial" w:eastAsia="Times New Roman" w:hAnsi="Arial" w:cs="Times New Roman"/>
            <w:color w:val="000080"/>
            <w:sz w:val="21"/>
            <w:szCs w:val="21"/>
            <w:u w:val="single"/>
          </w:rPr>
          <w:t>“Fonaments de la transparència, aspectes polítics i perspectiva internacional”</w:t>
        </w:r>
      </w:hyperlink>
      <w:r w:rsidRPr="00666EAD">
        <w:rPr>
          <w:rFonts w:ascii="Arial" w:eastAsia="Times New Roman" w:hAnsi="Arial" w:cs="Times New Roman"/>
          <w:sz w:val="21"/>
          <w:szCs w:val="21"/>
        </w:rPr>
        <w:t>, dirigi</w:t>
      </w:r>
      <w:r>
        <w:rPr>
          <w:rFonts w:ascii="Arial" w:eastAsia="Times New Roman" w:hAnsi="Arial" w:cs="Times New Roman"/>
          <w:sz w:val="21"/>
          <w:szCs w:val="21"/>
        </w:rPr>
        <w:t>da per</w:t>
      </w:r>
      <w:r w:rsidRPr="00666EAD">
        <w:rPr>
          <w:rFonts w:ascii="Arial" w:eastAsia="Times New Roman" w:hAnsi="Arial" w:cs="Times New Roman"/>
          <w:sz w:val="21"/>
          <w:szCs w:val="21"/>
        </w:rPr>
        <w:t xml:space="preserve"> Manuel Sánchez de Diego Fernández de la Riva i María Salvador Martínez</w:t>
      </w:r>
      <w:r>
        <w:rPr>
          <w:rFonts w:ascii="Arial" w:eastAsia="Times New Roman" w:hAnsi="Arial" w:cs="Times New Roman"/>
          <w:sz w:val="21"/>
          <w:szCs w:val="21"/>
        </w:rPr>
        <w:t xml:space="preserve"> i editada pel </w:t>
      </w:r>
      <w:r w:rsidRPr="00646D3E">
        <w:rPr>
          <w:rFonts w:ascii="Arial" w:eastAsia="Times New Roman" w:hAnsi="Arial" w:cs="Times New Roman"/>
          <w:sz w:val="21"/>
          <w:szCs w:val="21"/>
        </w:rPr>
        <w:t>Centre d'Estudis Polítics i Constitucionals</w:t>
      </w:r>
      <w:r>
        <w:rPr>
          <w:rFonts w:ascii="Arial" w:eastAsia="Times New Roman" w:hAnsi="Arial" w:cs="Times New Roman"/>
          <w:sz w:val="21"/>
          <w:szCs w:val="21"/>
        </w:rPr>
        <w:t xml:space="preserve"> dins de la seua col·lecció </w:t>
      </w:r>
      <w:r w:rsidRPr="00646D3E">
        <w:rPr>
          <w:rFonts w:ascii="Arial" w:eastAsia="Times New Roman" w:hAnsi="Arial" w:cs="Times New Roman"/>
          <w:sz w:val="21"/>
          <w:szCs w:val="21"/>
        </w:rPr>
        <w:t>Fòrums i Debats</w:t>
      </w:r>
      <w:r w:rsidR="00F77217" w:rsidRPr="000122AC">
        <w:rPr>
          <w:rFonts w:ascii="Arial" w:hAnsi="Arial"/>
          <w:sz w:val="21"/>
          <w:szCs w:val="21"/>
        </w:rPr>
        <w:t>.</w:t>
      </w:r>
    </w:p>
    <w:p w14:paraId="49C23F1C" w14:textId="77777777" w:rsidR="00095559" w:rsidRDefault="00095559" w:rsidP="00F77217">
      <w:pPr>
        <w:pStyle w:val="Texto"/>
        <w:spacing w:after="240"/>
        <w:rPr>
          <w:rFonts w:ascii="Arial" w:hAnsi="Arial"/>
        </w:rPr>
      </w:pPr>
    </w:p>
    <w:p w14:paraId="4E2953F0" w14:textId="77777777" w:rsidR="00095559" w:rsidRDefault="00095559" w:rsidP="00F77217">
      <w:pPr>
        <w:pStyle w:val="Texto"/>
        <w:spacing w:after="240"/>
        <w:rPr>
          <w:rFonts w:ascii="Arial" w:hAnsi="Arial"/>
        </w:rPr>
      </w:pPr>
    </w:p>
    <w:p w14:paraId="09DF06D4" w14:textId="77777777" w:rsidR="00095559" w:rsidRDefault="00095559" w:rsidP="00F77217">
      <w:pPr>
        <w:pStyle w:val="Texto"/>
        <w:spacing w:after="240"/>
        <w:rPr>
          <w:rFonts w:ascii="Arial" w:hAnsi="Arial"/>
        </w:rPr>
      </w:pPr>
    </w:p>
    <w:p w14:paraId="76CED3DD" w14:textId="77777777" w:rsidR="00095559" w:rsidRDefault="00095559" w:rsidP="00F77217">
      <w:pPr>
        <w:pStyle w:val="Texto"/>
        <w:spacing w:after="240"/>
        <w:rPr>
          <w:rFonts w:ascii="Arial" w:hAnsi="Arial"/>
        </w:rPr>
      </w:pPr>
    </w:p>
    <w:p w14:paraId="069473AA" w14:textId="77777777" w:rsidR="00095559" w:rsidRDefault="00095559" w:rsidP="00095559">
      <w:pPr>
        <w:pStyle w:val="Texto"/>
        <w:keepNext/>
        <w:spacing w:after="240"/>
        <w:jc w:val="center"/>
      </w:pPr>
      <w:r>
        <w:rPr>
          <w:rFonts w:ascii="Arial" w:hAnsi="Arial"/>
          <w:noProof/>
        </w:rPr>
        <w:drawing>
          <wp:inline distT="0" distB="0" distL="0" distR="0" wp14:anchorId="4DDF1AE3" wp14:editId="0651941F">
            <wp:extent cx="2037600" cy="2880000"/>
            <wp:effectExtent l="0" t="0" r="1270" b="0"/>
            <wp:docPr id="87" name="Imagen 8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Texto&#10;&#10;Descripción generada automáticamente"/>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2037600" cy="2880000"/>
                    </a:xfrm>
                    <a:prstGeom prst="rect">
                      <a:avLst/>
                    </a:prstGeom>
                    <a:noFill/>
                    <a:ln>
                      <a:noFill/>
                    </a:ln>
                  </pic:spPr>
                </pic:pic>
              </a:graphicData>
            </a:graphic>
          </wp:inline>
        </w:drawing>
      </w:r>
    </w:p>
    <w:p w14:paraId="38D2D181" w14:textId="151678AD" w:rsidR="00095559" w:rsidRPr="00095559" w:rsidRDefault="00095559" w:rsidP="00095559">
      <w:pPr>
        <w:pStyle w:val="Descripcin"/>
        <w:spacing w:after="240"/>
        <w:jc w:val="center"/>
        <w:rPr>
          <w:rFonts w:ascii="Arial" w:hAnsi="Arial" w:cs="Arial"/>
          <w:smallCaps w:val="0"/>
          <w:sz w:val="18"/>
          <w:szCs w:val="18"/>
        </w:rPr>
      </w:pPr>
      <w:bookmarkStart w:id="458" w:name="_Toc99110909"/>
      <w:r w:rsidRPr="00095559">
        <w:rPr>
          <w:rFonts w:ascii="Arial" w:hAnsi="Arial" w:cs="Arial"/>
          <w:smallCaps w:val="0"/>
          <w:color w:val="9D2235" w:themeColor="accent1"/>
          <w:sz w:val="18"/>
          <w:szCs w:val="18"/>
        </w:rPr>
        <w:t xml:space="preserve">Imatge </w:t>
      </w:r>
      <w:r w:rsidRPr="00095559">
        <w:rPr>
          <w:rFonts w:ascii="Arial" w:hAnsi="Arial" w:cs="Arial"/>
          <w:smallCaps w:val="0"/>
          <w:color w:val="9D2235" w:themeColor="accent1"/>
          <w:sz w:val="18"/>
          <w:szCs w:val="18"/>
        </w:rPr>
        <w:fldChar w:fldCharType="begin" w:fldLock="1"/>
      </w:r>
      <w:r w:rsidRPr="00095559">
        <w:rPr>
          <w:rFonts w:ascii="Arial" w:hAnsi="Arial" w:cs="Arial"/>
          <w:smallCaps w:val="0"/>
          <w:color w:val="9D2235" w:themeColor="accent1"/>
          <w:sz w:val="18"/>
          <w:szCs w:val="18"/>
        </w:rPr>
        <w:instrText xml:space="preserve"> SEQ Imatge \* ARABIC </w:instrText>
      </w:r>
      <w:r w:rsidRPr="00095559">
        <w:rPr>
          <w:rFonts w:ascii="Arial" w:hAnsi="Arial" w:cs="Arial"/>
          <w:smallCaps w:val="0"/>
          <w:color w:val="9D2235" w:themeColor="accent1"/>
          <w:sz w:val="18"/>
          <w:szCs w:val="18"/>
        </w:rPr>
        <w:fldChar w:fldCharType="separate"/>
      </w:r>
      <w:r w:rsidRPr="00095559">
        <w:rPr>
          <w:rFonts w:ascii="Arial" w:hAnsi="Arial" w:cs="Arial"/>
          <w:smallCaps w:val="0"/>
          <w:noProof/>
          <w:color w:val="9D2235" w:themeColor="accent1"/>
          <w:sz w:val="18"/>
          <w:szCs w:val="18"/>
        </w:rPr>
        <w:t>20</w:t>
      </w:r>
      <w:r w:rsidRPr="00095559">
        <w:rPr>
          <w:rFonts w:ascii="Arial" w:hAnsi="Arial" w:cs="Arial"/>
          <w:smallCaps w:val="0"/>
          <w:color w:val="9D2235" w:themeColor="accent1"/>
          <w:sz w:val="18"/>
          <w:szCs w:val="18"/>
        </w:rPr>
        <w:fldChar w:fldCharType="end"/>
      </w:r>
      <w:r w:rsidRPr="00095559">
        <w:rPr>
          <w:rFonts w:ascii="Arial" w:hAnsi="Arial" w:cs="Arial"/>
          <w:smallCaps w:val="0"/>
          <w:color w:val="9D2235" w:themeColor="accent1"/>
          <w:sz w:val="18"/>
          <w:szCs w:val="18"/>
        </w:rPr>
        <w:t xml:space="preserve">. </w:t>
      </w:r>
      <w:r w:rsidRPr="00095559">
        <w:rPr>
          <w:rFonts w:ascii="Arial" w:hAnsi="Arial" w:cs="Arial"/>
          <w:smallCaps w:val="0"/>
          <w:sz w:val="18"/>
          <w:szCs w:val="18"/>
        </w:rPr>
        <w:t>Coberta del llibre La integridad en la Administración: Contratación Pública y Lucha contra la Corrupción</w:t>
      </w:r>
      <w:bookmarkEnd w:id="458"/>
    </w:p>
    <w:p w14:paraId="4733536D" w14:textId="77777777" w:rsidR="0029228A" w:rsidRDefault="0029228A" w:rsidP="00690F36">
      <w:pPr>
        <w:pStyle w:val="Texto"/>
        <w:rPr>
          <w:rFonts w:ascii="Arial" w:hAnsi="Arial"/>
        </w:rPr>
      </w:pPr>
    </w:p>
    <w:p w14:paraId="56D974C9" w14:textId="5A5342B7" w:rsidR="00690F36" w:rsidRPr="00690F36" w:rsidRDefault="00690F36" w:rsidP="00690F36">
      <w:pPr>
        <w:pStyle w:val="Texto"/>
        <w:rPr>
          <w:rFonts w:ascii="Arial" w:hAnsi="Arial"/>
        </w:rPr>
      </w:pPr>
      <w:r w:rsidRPr="00690F36">
        <w:rPr>
          <w:rFonts w:ascii="Arial" w:hAnsi="Arial"/>
        </w:rPr>
        <w:t xml:space="preserve">La segona, Clemente García, Teresa. Les agències de prevenció i lluita contra el frau i la corrupció en l'agenda 2030 de les Nacions Unides. Un possible model: l'Agència Valenciana Antifrau AVAF). En: Abad Alcalá, Leopoldo; Serrano Maíllo, Mª Isabel, (dirs.) </w:t>
      </w:r>
      <w:r w:rsidRPr="00690F36">
        <w:rPr>
          <w:rFonts w:ascii="Arial" w:hAnsi="Arial"/>
          <w:i/>
          <w:iCs/>
        </w:rPr>
        <w:t>La integritat en l'Administració: contractació pública i lluita contra la corrupció</w:t>
      </w:r>
      <w:r w:rsidRPr="00690F36">
        <w:rPr>
          <w:rFonts w:ascii="Arial" w:hAnsi="Arial"/>
        </w:rPr>
        <w:t>. Aranzadi, 2022, és també una participació en l'obra col·lectiva “La integritat en l'Administració: contractació pública i lluita contra la corrupció”, dins de l'apartat “Corrupció, integritat i contractació” dirigida per Javier Sierra, Leopoldo Abad Alcalá i Isabel Serrano Maíllo i coordinada per Alicia González Moro. Aquesta publicació, de l'editorial Aranzadi ha tingut com a data de llançament l'1 de febrer de 2022.</w:t>
      </w:r>
    </w:p>
    <w:p w14:paraId="57E7FBD3" w14:textId="6F62391B" w:rsidR="00F77217" w:rsidRPr="00DC5775" w:rsidRDefault="00690F36" w:rsidP="00690F36">
      <w:pPr>
        <w:pStyle w:val="Texto"/>
        <w:spacing w:after="240"/>
        <w:rPr>
          <w:rFonts w:ascii="Arial" w:hAnsi="Arial" w:cs="Arial"/>
        </w:rPr>
      </w:pPr>
      <w:r w:rsidRPr="00690F36">
        <w:rPr>
          <w:rFonts w:ascii="Arial" w:hAnsi="Arial"/>
        </w:rPr>
        <w:t>Sense perjudici d'aquestes anotacions per a recollir amb puntualitat les activitats que es duen a terme en compliment de les funcions i fins de l'Agència, es procedirà a elaborar i difondre les ressenyes corresponents a aquestes obres en la següent Memòria de l’AVAF</w:t>
      </w:r>
      <w:r w:rsidR="00F77217" w:rsidRPr="000122AC">
        <w:rPr>
          <w:rFonts w:ascii="Arial" w:hAnsi="Arial"/>
        </w:rPr>
        <w:t>.</w:t>
      </w:r>
    </w:p>
    <w:p w14:paraId="79D29944" w14:textId="77777777" w:rsidR="00DC5775" w:rsidRPr="00DC5775" w:rsidRDefault="00DC5775" w:rsidP="00DC5775">
      <w:pPr>
        <w:pStyle w:val="Prrafodelista"/>
        <w:keepNext/>
        <w:numPr>
          <w:ilvl w:val="2"/>
          <w:numId w:val="16"/>
        </w:numPr>
        <w:suppressAutoHyphens/>
        <w:spacing w:after="240" w:line="276" w:lineRule="auto"/>
        <w:ind w:left="1134" w:hanging="1134"/>
        <w:contextualSpacing w:val="0"/>
        <w:jc w:val="both"/>
        <w:outlineLvl w:val="2"/>
        <w:rPr>
          <w:rFonts w:ascii="Arial" w:hAnsi="Arial"/>
          <w:b/>
          <w:color w:val="9D2235"/>
          <w:sz w:val="28"/>
          <w:szCs w:val="28"/>
        </w:rPr>
      </w:pPr>
      <w:bookmarkStart w:id="459" w:name="_Toc96517853"/>
      <w:bookmarkStart w:id="460" w:name="_Toc99110829"/>
      <w:r w:rsidRPr="00DC5775">
        <w:rPr>
          <w:rFonts w:ascii="Arial" w:hAnsi="Arial"/>
          <w:b/>
          <w:color w:val="9D2235"/>
          <w:sz w:val="28"/>
          <w:szCs w:val="28"/>
        </w:rPr>
        <w:t>A manera de conclusió</w:t>
      </w:r>
      <w:bookmarkEnd w:id="459"/>
      <w:bookmarkEnd w:id="460"/>
    </w:p>
    <w:p w14:paraId="1F4EC84E" w14:textId="77777777" w:rsidR="00DC5775" w:rsidRPr="00DC5775" w:rsidRDefault="00DC5775" w:rsidP="00DC5775">
      <w:pPr>
        <w:pStyle w:val="Texto"/>
        <w:spacing w:after="240"/>
        <w:rPr>
          <w:rFonts w:ascii="Arial" w:hAnsi="Arial" w:cs="Arial"/>
        </w:rPr>
      </w:pPr>
      <w:r w:rsidRPr="00DC5775">
        <w:rPr>
          <w:rFonts w:ascii="Arial" w:hAnsi="Arial" w:cs="Arial"/>
        </w:rPr>
        <w:t>Les biblioteques i serveis d'informació en general existeixen per a impulsar societats alfabetitzades, informades i participatives. Les persones, les comunitats i les organitzacions necessiten un accés universal i equitatiu a la informació, a les idees i a les obres d'imaginació per al seu benestar social, educatiu, cultural, democràtic i econòmic. A les biblioteques resideix la convicció que la prestació de serveis d'informació ajuda a garantir aqueix accés, sense oblidar que la llibertat d'accés a la informació i la llibertat d'expressió són principis considerats fonamentals.</w:t>
      </w:r>
    </w:p>
    <w:p w14:paraId="2C6722E4" w14:textId="77777777" w:rsidR="00DC5775" w:rsidRPr="00DC5775" w:rsidRDefault="00DC5775" w:rsidP="00DC5775">
      <w:pPr>
        <w:pStyle w:val="Texto"/>
        <w:spacing w:after="240"/>
        <w:rPr>
          <w:rFonts w:ascii="Arial" w:hAnsi="Arial" w:cs="Arial"/>
        </w:rPr>
      </w:pPr>
      <w:r w:rsidRPr="00DC5775">
        <w:rPr>
          <w:rFonts w:ascii="Arial" w:hAnsi="Arial" w:cs="Arial"/>
        </w:rPr>
        <w:t>En particular, el Servei de Documentació de l'Agència, amb la necessària modèstia d'un Servei circumscrit a una àrea de coneixement restringida, i inserit en una organització que té unes funcions administratives definides per llei en un context regional, s'alinea amb els valors de la Federació Internacional d'Associacions de Bibliotecaris i Biblioteques (IFLA) enunciats entre altres en el seu Manifest de la IFLA sobre Transparència, Bon Govern i Erradicació de la Corrupció</w:t>
      </w:r>
      <w:r w:rsidRPr="00DC5775">
        <w:rPr>
          <w:rFonts w:ascii="Arial" w:hAnsi="Arial" w:cs="Arial"/>
          <w:vertAlign w:val="superscript"/>
        </w:rPr>
        <w:footnoteReference w:id="3"/>
      </w:r>
      <w:r w:rsidRPr="00DC5775">
        <w:rPr>
          <w:rFonts w:ascii="Arial" w:hAnsi="Arial" w:cs="Arial"/>
        </w:rPr>
        <w:t>.</w:t>
      </w:r>
    </w:p>
    <w:p w14:paraId="0BB25468" w14:textId="77777777" w:rsidR="00DC5775" w:rsidRPr="00DC5775" w:rsidRDefault="00DC5775" w:rsidP="00DC5775">
      <w:pPr>
        <w:pStyle w:val="Texto"/>
        <w:spacing w:after="240"/>
        <w:rPr>
          <w:rFonts w:ascii="Arial" w:hAnsi="Arial" w:cs="Arial"/>
        </w:rPr>
      </w:pPr>
      <w:r w:rsidRPr="00DC5775">
        <w:rPr>
          <w:rFonts w:ascii="Arial" w:hAnsi="Arial" w:cs="Arial"/>
        </w:rPr>
        <w:t>La corrupció propícia un ambient d'interessos on sol el corrupte té èxit i prospera, quasi sempre, quan existeixen condicions d'encobriment i ignorància general. Per contra, ciutadans ben informats tenen la capacitat d'exercir els seus drets democràtics i exercir un paper actiu en la societat ajudant a protegir els valors democràtics i els drets civils. El paper de les biblioteques és essencial per a una ciutadania ben informada i un govern transparent. Aquesta funció fonamental, que serveix de principi i fonament en el qual es recolza la resta, està directament relacionada amb el principi del Lliure Accés a la Informació i la Llibertat d'Expressió, establit en l'Article 19 de la Declaració Universal dels Drets Humans de l'ONU, 1948. Els serveis d'informació recullen el seu compromís per a enfortir aquesta funció de paper decisiu. Són institucions democràtiques en la seua base, dedicades a fer accessible la informació precisa i imparcial i socialment rellevant per a tots i cadascun. L'accés proporcionat per les biblioteques als serveis d'informació contribueix al bon govern, incrementant el coneixement dels ciutadans i millorant les seues discussions i debats. La visió de la Federació Internacional d'Associacions de Bibliotecaris i Biblioteques és que les biblioteques i els serveis d'informació han d'ampliar la seua missió per a arribar a convertir-se en components més actius d'un bon govern i de la lluita contra la corrupció. Particularment, poden exercir un important paper en informar els ciutadans sobre els seus drets. És funció de les biblioteques i centres de documentació desenvolupar col·leccions sòlides i facilitar l'accés a la informació sobretot tipus de temes, recopilant materials informatius publicats pels organismes oficials, facilitant l'accés a les bases de dades existents i, en general, erigint-se en llocs accessibles per a la promoció del dret a la informació.</w:t>
      </w:r>
    </w:p>
    <w:p w14:paraId="535CC982" w14:textId="77777777" w:rsidR="00DC5775" w:rsidRPr="00DC5775" w:rsidRDefault="00DC5775" w:rsidP="00DC5775">
      <w:pPr>
        <w:pStyle w:val="Texto"/>
        <w:spacing w:after="240"/>
        <w:rPr>
          <w:rFonts w:ascii="Arial" w:hAnsi="Arial" w:cs="Arial"/>
        </w:rPr>
      </w:pPr>
      <w:r w:rsidRPr="00DC5775">
        <w:rPr>
          <w:rFonts w:ascii="Arial" w:hAnsi="Arial" w:cs="Arial"/>
        </w:rPr>
        <w:t>En el nostre àmbit autonòmic, la Llei 4/2011, de 23 de març, de biblioteques de la Comunitat Valenciana regula el sistema bibliotecari valencià. Exposa en el seu preàmbul que és el seu objectiu garantir l'accés públic a la informació, posant els recursos bibliotecaris a l'abast de tots en condicions d'igualtat, amb el convenciment que les biblioteques garanteixen, en condicions d'igualtat d'oportunitats, l'accés de tots els ciutadans al pensament i a la cultura.</w:t>
      </w:r>
    </w:p>
    <w:p w14:paraId="29AB751E" w14:textId="77777777" w:rsidR="00DC5775" w:rsidRPr="00DC5775" w:rsidRDefault="00DC5775" w:rsidP="00DC5775">
      <w:pPr>
        <w:pStyle w:val="Texto"/>
        <w:spacing w:after="240"/>
        <w:rPr>
          <w:rFonts w:ascii="Arial" w:hAnsi="Arial" w:cs="Arial"/>
        </w:rPr>
      </w:pPr>
      <w:r w:rsidRPr="00DC5775">
        <w:rPr>
          <w:rFonts w:ascii="Arial" w:hAnsi="Arial" w:cs="Arial"/>
        </w:rPr>
        <w:t>La llei reconeix que l'hàbit de la lectura és un pilar bàsic de la formació, desenvolupament i educació de l'individu perquè, en situació d'igualtat d'oportunitats, els ciutadans des de la seua llibertat puguen cultivar-se, desenvolupar els seus interessos culturals, augmentar progressivament els seus coneixements i millorar les seues capacitats personals i socials.</w:t>
      </w:r>
    </w:p>
    <w:p w14:paraId="24545007" w14:textId="523D7C5A" w:rsidR="00F9435B" w:rsidRPr="002D3252" w:rsidRDefault="00DC5775" w:rsidP="00095559">
      <w:pPr>
        <w:pStyle w:val="Texto"/>
        <w:spacing w:after="240"/>
        <w:rPr>
          <w:rFonts w:ascii="Arial" w:hAnsi="Arial" w:cs="Arial"/>
        </w:rPr>
      </w:pPr>
      <w:r w:rsidRPr="00DC5775">
        <w:rPr>
          <w:rFonts w:ascii="Arial" w:hAnsi="Arial" w:cs="Arial"/>
        </w:rPr>
        <w:t>Des del Servei de Documentació de l’AVAF pensem que per a l'enfortiment de la democràcia es necessiten ciutadans lliures i iguals, però a més, davant les amenaces que existeixen contra els valors democràtics, algunes noves i altres renovades —en tot cas moltes—, es necessiten ciutadans ben informats i capaços de construir coneixement i judici a partir de dades i informació contrastada i de qualitat, que al seu torn els permeta fer una participació activa i valuosa en la societat exercint el necessari equilibri i control de poder.</w:t>
      </w:r>
      <w:r w:rsidR="00FD042E" w:rsidRPr="002D3252">
        <w:rPr>
          <w:rFonts w:ascii="Arial" w:hAnsi="Arial" w:cs="Arial"/>
        </w:rPr>
        <w:br w:type="page"/>
      </w:r>
    </w:p>
    <w:p w14:paraId="54FF3440" w14:textId="28E7161A" w:rsidR="006F224C" w:rsidRPr="002D3252" w:rsidRDefault="006F224C" w:rsidP="00422D40">
      <w:pPr>
        <w:spacing w:after="0"/>
        <w:rPr>
          <w:rFonts w:ascii="Arial" w:eastAsia="Times New Roman" w:hAnsi="Arial" w:cs="Arial"/>
          <w:sz w:val="20"/>
          <w:szCs w:val="20"/>
          <w:lang w:eastAsia="es-ES"/>
        </w:rPr>
      </w:pPr>
    </w:p>
    <w:p w14:paraId="4447B5CB" w14:textId="77777777" w:rsidR="00422D40" w:rsidRPr="002D3252" w:rsidRDefault="00422D40" w:rsidP="00422D40">
      <w:pPr>
        <w:spacing w:after="0"/>
        <w:rPr>
          <w:rFonts w:ascii="Arial" w:eastAsia="Times New Roman" w:hAnsi="Arial" w:cs="Arial"/>
          <w:sz w:val="20"/>
          <w:szCs w:val="20"/>
          <w:lang w:eastAsia="es-ES"/>
        </w:rPr>
      </w:pPr>
    </w:p>
    <w:p w14:paraId="3AF76B8D" w14:textId="77777777" w:rsidR="006F224C" w:rsidRPr="0085310B" w:rsidRDefault="006F224C" w:rsidP="00422D40">
      <w:pPr>
        <w:spacing w:after="0"/>
        <w:rPr>
          <w:rFonts w:ascii="Arial" w:hAnsi="Arial" w:cs="Arial"/>
          <w:b/>
          <w:bCs/>
          <w:sz w:val="20"/>
          <w:szCs w:val="20"/>
        </w:rPr>
      </w:pPr>
    </w:p>
    <w:p w14:paraId="3E674D95" w14:textId="16D869C5" w:rsidR="00F723EC" w:rsidRPr="004B6183" w:rsidRDefault="00831F73" w:rsidP="00EB4ECF">
      <w:pPr>
        <w:pStyle w:val="Ttulo1"/>
        <w:numPr>
          <w:ilvl w:val="0"/>
          <w:numId w:val="20"/>
        </w:numPr>
        <w:spacing w:before="360" w:after="240" w:line="276" w:lineRule="auto"/>
        <w:ind w:left="0" w:firstLine="0"/>
        <w:rPr>
          <w:rFonts w:ascii="Arial" w:hAnsi="Arial" w:cs="Arial"/>
          <w:b/>
          <w:bCs/>
          <w:color w:val="9D2235" w:themeColor="accent1"/>
          <w:sz w:val="80"/>
          <w:szCs w:val="80"/>
        </w:rPr>
      </w:pPr>
      <w:r w:rsidRPr="002D3252">
        <w:rPr>
          <w:rFonts w:ascii="Arial" w:eastAsia="Calibri" w:hAnsi="Arial" w:cs="Arial"/>
          <w:b/>
          <w:bCs/>
          <w:color w:val="9D2235"/>
          <w:sz w:val="80"/>
          <w:szCs w:val="80"/>
        </w:rPr>
        <w:br/>
      </w:r>
      <w:bookmarkStart w:id="461" w:name="_Toc66438642"/>
      <w:bookmarkStart w:id="462" w:name="_Toc66874353"/>
      <w:bookmarkStart w:id="463" w:name="_Toc99110830"/>
      <w:r w:rsidRPr="005804E5">
        <w:rPr>
          <w:rFonts w:ascii="Arial" w:eastAsia="Calibri" w:hAnsi="Arial" w:cs="Arial"/>
          <w:b/>
          <w:bCs/>
          <w:color w:val="9D2235"/>
          <w:sz w:val="80"/>
          <w:szCs w:val="80"/>
        </w:rPr>
        <w:t>Administració</w:t>
      </w:r>
      <w:r w:rsidRPr="002D3252">
        <w:rPr>
          <w:rFonts w:ascii="Arial" w:eastAsia="Calibri" w:hAnsi="Arial" w:cs="Arial"/>
          <w:b/>
          <w:bCs/>
          <w:color w:val="9D2235"/>
          <w:sz w:val="80"/>
          <w:szCs w:val="80"/>
        </w:rPr>
        <w:t>, organi</w:t>
      </w:r>
      <w:r w:rsidR="000C2A6D" w:rsidRPr="002D3252">
        <w:rPr>
          <w:rFonts w:ascii="Arial" w:eastAsia="Calibri" w:hAnsi="Arial" w:cs="Arial"/>
          <w:b/>
          <w:bCs/>
          <w:color w:val="9D2235"/>
          <w:sz w:val="80"/>
          <w:szCs w:val="80"/>
        </w:rPr>
        <w:t>t</w:t>
      </w:r>
      <w:r w:rsidRPr="002D3252">
        <w:rPr>
          <w:rFonts w:ascii="Arial" w:eastAsia="Calibri" w:hAnsi="Arial" w:cs="Arial"/>
          <w:b/>
          <w:bCs/>
          <w:color w:val="9D2235"/>
          <w:sz w:val="80"/>
          <w:szCs w:val="80"/>
        </w:rPr>
        <w:t xml:space="preserve">zació </w:t>
      </w:r>
      <w:r w:rsidR="000C2A6D" w:rsidRPr="002D3252">
        <w:rPr>
          <w:rFonts w:ascii="Arial" w:eastAsia="Calibri" w:hAnsi="Arial" w:cs="Arial"/>
          <w:b/>
          <w:bCs/>
          <w:color w:val="9D2235"/>
          <w:sz w:val="80"/>
          <w:szCs w:val="80"/>
        </w:rPr>
        <w:t>i</w:t>
      </w:r>
      <w:r w:rsidRPr="002D3252">
        <w:rPr>
          <w:rFonts w:ascii="Arial" w:eastAsia="Calibri" w:hAnsi="Arial" w:cs="Arial"/>
          <w:b/>
          <w:bCs/>
          <w:color w:val="9D2235"/>
          <w:sz w:val="80"/>
          <w:szCs w:val="80"/>
        </w:rPr>
        <w:t xml:space="preserve"> </w:t>
      </w:r>
      <w:r w:rsidRPr="002D3252">
        <w:rPr>
          <w:rFonts w:ascii="Arial" w:eastAsia="Calibri" w:hAnsi="Arial" w:cs="Arial"/>
          <w:b/>
          <w:bCs/>
          <w:color w:val="9D2235" w:themeColor="accent1"/>
          <w:sz w:val="80"/>
          <w:szCs w:val="80"/>
        </w:rPr>
        <w:t>recursos</w:t>
      </w:r>
      <w:bookmarkStart w:id="464" w:name="_Toc66438643"/>
      <w:bookmarkStart w:id="465" w:name="_Toc66438646"/>
      <w:bookmarkStart w:id="466" w:name="_Toc66438647"/>
      <w:bookmarkStart w:id="467" w:name="_Toc66438648"/>
      <w:bookmarkStart w:id="468" w:name="_Toc66874375"/>
      <w:bookmarkEnd w:id="461"/>
      <w:bookmarkEnd w:id="462"/>
      <w:bookmarkEnd w:id="464"/>
      <w:bookmarkEnd w:id="465"/>
      <w:bookmarkEnd w:id="466"/>
      <w:bookmarkEnd w:id="467"/>
      <w:bookmarkEnd w:id="463"/>
      <w:r w:rsidR="004B6183" w:rsidRPr="002D3252">
        <w:rPr>
          <w:rFonts w:ascii="Arial" w:eastAsia="Times New Roman" w:hAnsi="Arial" w:cs="Arial"/>
          <w:b/>
          <w:bCs/>
          <w:color w:val="9D2235"/>
          <w:spacing w:val="-24"/>
          <w:kern w:val="2"/>
          <w:sz w:val="80"/>
          <w:szCs w:val="80"/>
          <w:lang w:eastAsia="es-ES"/>
        </w:rPr>
        <w:br/>
      </w:r>
    </w:p>
    <w:p w14:paraId="638C8ED5" w14:textId="1D9E0430" w:rsidR="00831F73" w:rsidRPr="002D3252" w:rsidRDefault="00537E97" w:rsidP="00EB4ECF">
      <w:pPr>
        <w:pStyle w:val="Ttulo2"/>
        <w:numPr>
          <w:ilvl w:val="1"/>
          <w:numId w:val="20"/>
        </w:numPr>
        <w:spacing w:before="360" w:after="240" w:line="276" w:lineRule="auto"/>
        <w:ind w:left="851" w:hanging="851"/>
        <w:rPr>
          <w:rFonts w:ascii="Arial" w:hAnsi="Arial" w:cs="Arial"/>
          <w:b/>
          <w:bCs/>
          <w:color w:val="9D2235" w:themeColor="accent1"/>
        </w:rPr>
      </w:pPr>
      <w:bookmarkStart w:id="469" w:name="_Toc99110831"/>
      <w:bookmarkEnd w:id="468"/>
      <w:r>
        <w:rPr>
          <w:rFonts w:ascii="Arial" w:hAnsi="Arial" w:cs="Arial"/>
          <w:b/>
          <w:bCs/>
          <w:color w:val="9D2235" w:themeColor="accent1"/>
        </w:rPr>
        <w:t>Introducció</w:t>
      </w:r>
      <w:bookmarkEnd w:id="469"/>
    </w:p>
    <w:p w14:paraId="761C618E" w14:textId="77777777" w:rsidR="00537E97" w:rsidRPr="00C05CAB" w:rsidRDefault="00537E97" w:rsidP="00537E97">
      <w:pPr>
        <w:pStyle w:val="Prrafodelista"/>
        <w:spacing w:after="240" w:line="276" w:lineRule="auto"/>
        <w:ind w:left="0"/>
        <w:contextualSpacing w:val="0"/>
        <w:jc w:val="both"/>
        <w:rPr>
          <w:rFonts w:ascii="Arial" w:hAnsi="Arial" w:cs="Arial"/>
          <w:sz w:val="21"/>
          <w:szCs w:val="21"/>
        </w:rPr>
      </w:pPr>
      <w:bookmarkStart w:id="470" w:name="_Toc65746438"/>
      <w:bookmarkStart w:id="471" w:name="_Toc65746560"/>
      <w:bookmarkStart w:id="472" w:name="_Toc65746723"/>
      <w:bookmarkStart w:id="473" w:name="_Toc65749207"/>
      <w:bookmarkStart w:id="474" w:name="_Toc65750449"/>
      <w:bookmarkStart w:id="475" w:name="_Toc65750450"/>
      <w:bookmarkStart w:id="476" w:name="_Toc65750451"/>
      <w:bookmarkStart w:id="477" w:name="_Toc65750452"/>
      <w:bookmarkStart w:id="478" w:name="_Toc65750453"/>
      <w:bookmarkStart w:id="479" w:name="_Hlk96339784"/>
      <w:bookmarkEnd w:id="470"/>
      <w:bookmarkEnd w:id="471"/>
      <w:bookmarkEnd w:id="472"/>
      <w:bookmarkEnd w:id="473"/>
      <w:bookmarkEnd w:id="474"/>
      <w:bookmarkEnd w:id="475"/>
      <w:bookmarkEnd w:id="476"/>
      <w:bookmarkEnd w:id="477"/>
      <w:bookmarkEnd w:id="478"/>
      <w:r w:rsidRPr="00C05CAB">
        <w:rPr>
          <w:rFonts w:ascii="Arial" w:hAnsi="Arial" w:cs="Arial"/>
          <w:sz w:val="21"/>
          <w:szCs w:val="21"/>
          <w:lang w:val="ca"/>
        </w:rPr>
        <w:t>La Llei 11/2016, de 28 de novembre, de la Generalitat, de l'Agència de Prevenció i Lluita contra el Frau i la Corrupció de la Comunitat Valenciana dedica les Seccions 2 i 3 del Capítol V a la determinació del règim jurídic aplicable al personal al servei de l'Agència. Aquestes previsions han sigut objecte de desenvolupament a través del Reglament de funcionament i règim interior de l'Agència, en els seus  Títols IX i X (DOGV núm. 8582 de 02.07.2019).</w:t>
      </w:r>
    </w:p>
    <w:p w14:paraId="192B4C72" w14:textId="77777777" w:rsidR="00537E97" w:rsidRPr="00C05CAB" w:rsidRDefault="00537E97" w:rsidP="00537E97">
      <w:pPr>
        <w:pStyle w:val="Prrafodelista"/>
        <w:spacing w:after="240" w:line="276" w:lineRule="auto"/>
        <w:ind w:left="0"/>
        <w:contextualSpacing w:val="0"/>
        <w:jc w:val="both"/>
        <w:rPr>
          <w:rFonts w:ascii="Arial" w:hAnsi="Arial" w:cs="Arial"/>
          <w:sz w:val="21"/>
          <w:szCs w:val="21"/>
        </w:rPr>
      </w:pPr>
      <w:r w:rsidRPr="00C05CAB">
        <w:rPr>
          <w:rFonts w:ascii="Arial" w:hAnsi="Arial" w:cs="Arial"/>
          <w:sz w:val="21"/>
          <w:szCs w:val="21"/>
          <w:lang w:val="ca"/>
        </w:rPr>
        <w:t>Des de la se</w:t>
      </w:r>
      <w:r>
        <w:rPr>
          <w:rFonts w:ascii="Arial" w:hAnsi="Arial" w:cs="Arial"/>
          <w:sz w:val="21"/>
          <w:szCs w:val="21"/>
          <w:lang w:val="ca"/>
        </w:rPr>
        <w:t>u</w:t>
      </w:r>
      <w:r w:rsidRPr="00C05CAB">
        <w:rPr>
          <w:rFonts w:ascii="Arial" w:hAnsi="Arial" w:cs="Arial"/>
          <w:sz w:val="21"/>
          <w:szCs w:val="21"/>
          <w:lang w:val="ca"/>
        </w:rPr>
        <w:t>a creació, l'Agència ha desenvolupat la se</w:t>
      </w:r>
      <w:r>
        <w:rPr>
          <w:rFonts w:ascii="Arial" w:hAnsi="Arial" w:cs="Arial"/>
          <w:sz w:val="21"/>
          <w:szCs w:val="21"/>
          <w:lang w:val="ca"/>
        </w:rPr>
        <w:t>u</w:t>
      </w:r>
      <w:r w:rsidRPr="00C05CAB">
        <w:rPr>
          <w:rFonts w:ascii="Arial" w:hAnsi="Arial" w:cs="Arial"/>
          <w:sz w:val="21"/>
          <w:szCs w:val="21"/>
          <w:lang w:val="ca"/>
        </w:rPr>
        <w:t>a estructura organitzativa i econòmica en aplicació del marc normatiu assenyalat, adaptant els seus recursos humans i econòmics, per tal de possibilitar el compliment dels seus fins i l'activitat per les se</w:t>
      </w:r>
      <w:r>
        <w:rPr>
          <w:rFonts w:ascii="Arial" w:hAnsi="Arial" w:cs="Arial"/>
          <w:sz w:val="21"/>
          <w:szCs w:val="21"/>
          <w:lang w:val="ca"/>
        </w:rPr>
        <w:t>u</w:t>
      </w:r>
      <w:r w:rsidRPr="00C05CAB">
        <w:rPr>
          <w:rFonts w:ascii="Arial" w:hAnsi="Arial" w:cs="Arial"/>
          <w:sz w:val="21"/>
          <w:szCs w:val="21"/>
          <w:lang w:val="ca"/>
        </w:rPr>
        <w:t>es unitats administratives.</w:t>
      </w:r>
    </w:p>
    <w:p w14:paraId="4E8EF337" w14:textId="28183F5D" w:rsidR="00537E97" w:rsidRPr="00C05CAB" w:rsidRDefault="00537E97" w:rsidP="004B6183">
      <w:pPr>
        <w:pStyle w:val="Prrafodelista"/>
        <w:spacing w:after="240" w:line="276" w:lineRule="auto"/>
        <w:ind w:left="0"/>
        <w:contextualSpacing w:val="0"/>
        <w:jc w:val="both"/>
        <w:rPr>
          <w:rFonts w:ascii="Arial" w:hAnsi="Arial" w:cs="Arial"/>
          <w:sz w:val="21"/>
          <w:szCs w:val="21"/>
        </w:rPr>
      </w:pPr>
      <w:r w:rsidRPr="00C05CAB">
        <w:rPr>
          <w:rFonts w:ascii="Arial" w:hAnsi="Arial" w:cs="Arial"/>
          <w:sz w:val="21"/>
          <w:szCs w:val="21"/>
          <w:lang w:val="ca"/>
        </w:rPr>
        <w:t>L'article 23 de l'esmentada Llei 11/2016 recull les funcions de l'</w:t>
      </w:r>
      <w:r w:rsidR="00836090">
        <w:rPr>
          <w:rFonts w:ascii="Arial" w:hAnsi="Arial" w:cs="Arial"/>
          <w:sz w:val="21"/>
          <w:szCs w:val="21"/>
          <w:lang w:val="ca"/>
        </w:rPr>
        <w:t>À</w:t>
      </w:r>
      <w:r w:rsidRPr="00C05CAB">
        <w:rPr>
          <w:rFonts w:ascii="Arial" w:hAnsi="Arial" w:cs="Arial"/>
          <w:sz w:val="21"/>
          <w:szCs w:val="21"/>
          <w:lang w:val="ca"/>
        </w:rPr>
        <w:t>rea d'Administració, Recursos Humans i Gestió Econòmica. Són les següents:</w:t>
      </w:r>
    </w:p>
    <w:p w14:paraId="194ABFCC" w14:textId="6439BA2B" w:rsidR="00537E97" w:rsidRPr="00537E97" w:rsidRDefault="00537E97" w:rsidP="004B6183">
      <w:pPr>
        <w:pStyle w:val="Prrafodelista"/>
        <w:numPr>
          <w:ilvl w:val="1"/>
          <w:numId w:val="185"/>
        </w:numPr>
        <w:spacing w:after="120" w:line="276" w:lineRule="auto"/>
        <w:ind w:left="851" w:hanging="357"/>
        <w:contextualSpacing w:val="0"/>
        <w:jc w:val="both"/>
        <w:rPr>
          <w:rFonts w:ascii="Arial" w:hAnsi="Arial" w:cs="Arial"/>
          <w:sz w:val="21"/>
          <w:szCs w:val="21"/>
        </w:rPr>
      </w:pPr>
      <w:r w:rsidRPr="00C05CAB">
        <w:rPr>
          <w:rFonts w:ascii="Arial" w:hAnsi="Arial" w:cs="Arial"/>
          <w:sz w:val="21"/>
          <w:szCs w:val="21"/>
          <w:lang w:val="ca"/>
        </w:rPr>
        <w:t>Dirigir, coordinar i supervisar el funcionament i l'organització de les unitats dependents.</w:t>
      </w:r>
    </w:p>
    <w:p w14:paraId="63ACBE16" w14:textId="3C0444BC"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 xml:space="preserve">Executar les tasques d'administració i gestió dels recursos humans i materials, dels serveis generals, dels béns i de la contractació administrativa de l'Agència </w:t>
      </w:r>
    </w:p>
    <w:p w14:paraId="75054F0B" w14:textId="20AD559C"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Preparar, tramitar i fer seguiment dels processos de provisió de llocs de treball.</w:t>
      </w:r>
    </w:p>
    <w:p w14:paraId="67B65F44" w14:textId="334B2E52"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Elaborar, preparar i gestionar la nòmina del personal de l'Agència.</w:t>
      </w:r>
    </w:p>
    <w:p w14:paraId="5A71A0B9" w14:textId="5CC6D301"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Elaborar la proposta d'avantprojecte de pressupost de l'Agència, i, si s'escau, les seues modificacions.</w:t>
      </w:r>
    </w:p>
    <w:p w14:paraId="542FBE0F" w14:textId="7F6B6642"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Dirigir la gestió econòmica i comptable de l'Agència, tramitant els corresponents documents administratius.</w:t>
      </w:r>
    </w:p>
    <w:p w14:paraId="469B3205" w14:textId="236AF282"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Preparar la liquidació pressupostària i formular els comptes anuals.</w:t>
      </w:r>
    </w:p>
    <w:p w14:paraId="4ADACB39" w14:textId="597C172A"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Gestionar la tresoreria i administrar els pagaments i ingressos.</w:t>
      </w:r>
    </w:p>
    <w:p w14:paraId="46B328A4" w14:textId="28840CB0"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Realitzar la programació, la tramitació, el seguiment i el control de les diferents fases d'execució de la contractació de l'Agència.</w:t>
      </w:r>
    </w:p>
    <w:p w14:paraId="622AFABC" w14:textId="049F4BEA"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Dirigir i coordinar els serveis, instal·lacions i ús de locals de l'Agència, portant i inventari de béns i drets patrimonials de l'Agència.</w:t>
      </w:r>
    </w:p>
    <w:p w14:paraId="25E1F25D" w14:textId="31E9AF51"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Informar sobre els assumptes relatius a l'àrea i elaborar propostes en relació amb els assumptes que ho requereixen.</w:t>
      </w:r>
    </w:p>
    <w:p w14:paraId="681B9B1F" w14:textId="3D34AD15" w:rsidR="00537E97" w:rsidRPr="00537E97" w:rsidRDefault="00537E97" w:rsidP="004B6183">
      <w:pPr>
        <w:pStyle w:val="Prrafodelista"/>
        <w:numPr>
          <w:ilvl w:val="1"/>
          <w:numId w:val="185"/>
        </w:numPr>
        <w:spacing w:after="240" w:line="276" w:lineRule="auto"/>
        <w:ind w:left="708" w:hanging="357"/>
        <w:contextualSpacing w:val="0"/>
        <w:jc w:val="both"/>
        <w:rPr>
          <w:rFonts w:ascii="Arial" w:hAnsi="Arial" w:cs="Arial"/>
          <w:sz w:val="21"/>
          <w:szCs w:val="21"/>
        </w:rPr>
      </w:pPr>
      <w:r w:rsidRPr="00537E97">
        <w:rPr>
          <w:rFonts w:ascii="Arial" w:hAnsi="Arial" w:cs="Arial"/>
          <w:sz w:val="21"/>
          <w:szCs w:val="21"/>
          <w:lang w:val="ca"/>
        </w:rPr>
        <w:t>Tramitar les publicacions als diaris oficials corresponents</w:t>
      </w:r>
    </w:p>
    <w:p w14:paraId="339837A2" w14:textId="1E66AB17" w:rsidR="00DD3DF0" w:rsidRPr="008350F3" w:rsidRDefault="00537E97" w:rsidP="004B6183">
      <w:pPr>
        <w:pStyle w:val="Prrafodelista"/>
        <w:numPr>
          <w:ilvl w:val="1"/>
          <w:numId w:val="185"/>
        </w:numPr>
        <w:spacing w:after="240" w:line="276" w:lineRule="auto"/>
        <w:ind w:left="709"/>
        <w:contextualSpacing w:val="0"/>
        <w:jc w:val="both"/>
        <w:rPr>
          <w:rFonts w:ascii="Arial" w:hAnsi="Arial"/>
          <w:sz w:val="21"/>
        </w:rPr>
      </w:pPr>
      <w:r w:rsidRPr="00537E97">
        <w:rPr>
          <w:rFonts w:ascii="Arial" w:hAnsi="Arial" w:cs="Arial"/>
          <w:sz w:val="21"/>
          <w:szCs w:val="21"/>
          <w:lang w:val="ca"/>
        </w:rPr>
        <w:t>Aquelles altres que se li assignen pel director o directora de l'Agència.</w:t>
      </w:r>
    </w:p>
    <w:p w14:paraId="58B436AD" w14:textId="594FF38A" w:rsidR="008350F3" w:rsidRDefault="008350F3" w:rsidP="008350F3">
      <w:pPr>
        <w:spacing w:after="240" w:line="276" w:lineRule="auto"/>
        <w:jc w:val="both"/>
        <w:rPr>
          <w:rFonts w:ascii="Arial" w:hAnsi="Arial"/>
          <w:sz w:val="21"/>
        </w:rPr>
      </w:pPr>
    </w:p>
    <w:p w14:paraId="6B3EE440" w14:textId="6C0387CA" w:rsidR="008350F3" w:rsidRDefault="008350F3" w:rsidP="008350F3">
      <w:pPr>
        <w:spacing w:after="240" w:line="276" w:lineRule="auto"/>
        <w:jc w:val="both"/>
        <w:rPr>
          <w:rFonts w:ascii="Arial" w:hAnsi="Arial"/>
          <w:sz w:val="21"/>
        </w:rPr>
      </w:pPr>
    </w:p>
    <w:p w14:paraId="5E7D378F" w14:textId="29ECC4B3" w:rsidR="008350F3" w:rsidRDefault="008350F3" w:rsidP="008350F3">
      <w:pPr>
        <w:spacing w:after="240" w:line="276" w:lineRule="auto"/>
        <w:jc w:val="both"/>
        <w:rPr>
          <w:rFonts w:ascii="Arial" w:hAnsi="Arial"/>
          <w:sz w:val="21"/>
        </w:rPr>
      </w:pPr>
    </w:p>
    <w:p w14:paraId="7B42C61D" w14:textId="23BA176C" w:rsidR="008350F3" w:rsidRDefault="008350F3" w:rsidP="008350F3">
      <w:pPr>
        <w:spacing w:after="240" w:line="276" w:lineRule="auto"/>
        <w:jc w:val="both"/>
        <w:rPr>
          <w:rFonts w:ascii="Arial" w:hAnsi="Arial"/>
          <w:sz w:val="21"/>
        </w:rPr>
      </w:pPr>
    </w:p>
    <w:p w14:paraId="3521491A" w14:textId="100D9A88" w:rsidR="008350F3" w:rsidRDefault="008350F3" w:rsidP="008350F3">
      <w:pPr>
        <w:spacing w:after="240" w:line="276" w:lineRule="auto"/>
        <w:jc w:val="both"/>
        <w:rPr>
          <w:rFonts w:ascii="Arial" w:hAnsi="Arial"/>
          <w:sz w:val="21"/>
        </w:rPr>
      </w:pPr>
    </w:p>
    <w:p w14:paraId="74EE1604" w14:textId="77777777" w:rsidR="008350F3" w:rsidRDefault="008350F3" w:rsidP="008350F3">
      <w:pPr>
        <w:spacing w:after="240" w:line="276" w:lineRule="auto"/>
        <w:jc w:val="both"/>
        <w:rPr>
          <w:rFonts w:ascii="Arial" w:hAnsi="Arial"/>
          <w:sz w:val="21"/>
        </w:rPr>
      </w:pPr>
    </w:p>
    <w:p w14:paraId="718BCA5E" w14:textId="0A09D364" w:rsidR="008350F3" w:rsidRDefault="008350F3" w:rsidP="008350F3">
      <w:pPr>
        <w:spacing w:after="240" w:line="276" w:lineRule="auto"/>
        <w:jc w:val="both"/>
        <w:rPr>
          <w:rFonts w:ascii="Arial" w:hAnsi="Arial"/>
          <w:sz w:val="21"/>
        </w:rPr>
      </w:pPr>
    </w:p>
    <w:p w14:paraId="35FF68F0" w14:textId="77777777" w:rsidR="008350F3" w:rsidRPr="008350F3" w:rsidRDefault="008350F3" w:rsidP="008350F3">
      <w:pPr>
        <w:spacing w:after="240" w:line="276" w:lineRule="auto"/>
        <w:jc w:val="both"/>
        <w:rPr>
          <w:rFonts w:ascii="Arial" w:hAnsi="Arial"/>
          <w:sz w:val="21"/>
        </w:rPr>
      </w:pPr>
    </w:p>
    <w:p w14:paraId="710B390B" w14:textId="231C5F93" w:rsidR="004B6183" w:rsidRPr="004B6183" w:rsidRDefault="004B6183" w:rsidP="004B6183">
      <w:pPr>
        <w:pStyle w:val="Ttulo2"/>
        <w:numPr>
          <w:ilvl w:val="1"/>
          <w:numId w:val="20"/>
        </w:numPr>
        <w:spacing w:before="360" w:after="240" w:line="276" w:lineRule="auto"/>
        <w:ind w:left="851" w:hanging="851"/>
        <w:contextualSpacing/>
        <w:rPr>
          <w:rFonts w:ascii="Arial" w:hAnsi="Arial" w:cs="Arial"/>
          <w:b/>
          <w:bCs/>
          <w:color w:val="9D2235" w:themeColor="accent1"/>
        </w:rPr>
      </w:pPr>
      <w:bookmarkStart w:id="480" w:name="_Toc99110832"/>
      <w:bookmarkStart w:id="481" w:name="_Toc66438650"/>
      <w:bookmarkStart w:id="482" w:name="_Toc66874376"/>
      <w:bookmarkEnd w:id="479"/>
      <w:r w:rsidRPr="004B6183">
        <w:rPr>
          <w:rFonts w:ascii="Arial" w:hAnsi="Arial" w:cs="Arial"/>
          <w:b/>
          <w:bCs/>
          <w:color w:val="9D2235" w:themeColor="accent1"/>
        </w:rPr>
        <w:t>Estructura organitzativa de l'AVAF</w:t>
      </w:r>
      <w:bookmarkEnd w:id="480"/>
    </w:p>
    <w:p w14:paraId="697BBC11" w14:textId="59BCC7F0" w:rsidR="00831F73" w:rsidRPr="004B6183" w:rsidRDefault="004B6183" w:rsidP="00EB4ECF">
      <w:pPr>
        <w:pStyle w:val="Ttulo3"/>
        <w:numPr>
          <w:ilvl w:val="2"/>
          <w:numId w:val="20"/>
        </w:numPr>
        <w:spacing w:before="360" w:after="240" w:line="276" w:lineRule="auto"/>
        <w:ind w:left="1134" w:hanging="1134"/>
        <w:rPr>
          <w:rFonts w:ascii="Arial" w:hAnsi="Arial" w:cs="Arial"/>
          <w:b/>
          <w:bCs/>
          <w:color w:val="9D2235" w:themeColor="accent1"/>
        </w:rPr>
      </w:pPr>
      <w:bookmarkStart w:id="483" w:name="_Toc99110833"/>
      <w:bookmarkEnd w:id="481"/>
      <w:bookmarkEnd w:id="482"/>
      <w:r w:rsidRPr="004B6183">
        <w:rPr>
          <w:rFonts w:ascii="Arial" w:hAnsi="Arial" w:cs="Arial"/>
          <w:b/>
          <w:bCs/>
          <w:color w:val="9D2235" w:themeColor="accent1"/>
        </w:rPr>
        <w:t>Organigrama de l’AVAF</w:t>
      </w:r>
      <w:bookmarkEnd w:id="483"/>
    </w:p>
    <w:p w14:paraId="1399ABB1" w14:textId="77777777" w:rsidR="008350F3" w:rsidRDefault="008350F3" w:rsidP="008350F3">
      <w:pPr>
        <w:keepNext/>
        <w:spacing w:after="240" w:line="276" w:lineRule="auto"/>
        <w:jc w:val="center"/>
      </w:pPr>
      <w:r w:rsidRPr="008350F3">
        <w:rPr>
          <w:rFonts w:ascii="Arial" w:eastAsia="Times New Roman" w:hAnsi="Arial" w:cs="Arial"/>
          <w:noProof/>
          <w:sz w:val="21"/>
          <w:szCs w:val="21"/>
          <w:lang w:val="es-ES"/>
        </w:rPr>
        <w:drawing>
          <wp:inline distT="0" distB="0" distL="0" distR="0" wp14:anchorId="53551F2C" wp14:editId="42B40AC2">
            <wp:extent cx="5400040" cy="3724223"/>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400040" cy="3724223"/>
                    </a:xfrm>
                    <a:prstGeom prst="rect">
                      <a:avLst/>
                    </a:prstGeom>
                    <a:noFill/>
                    <a:ln>
                      <a:noFill/>
                    </a:ln>
                  </pic:spPr>
                </pic:pic>
              </a:graphicData>
            </a:graphic>
          </wp:inline>
        </w:drawing>
      </w:r>
    </w:p>
    <w:p w14:paraId="01B09855" w14:textId="77777777" w:rsidR="008350F3" w:rsidRPr="008350F3" w:rsidRDefault="008350F3" w:rsidP="008350F3">
      <w:pPr>
        <w:spacing w:after="0" w:line="360" w:lineRule="auto"/>
        <w:jc w:val="center"/>
        <w:rPr>
          <w:rFonts w:ascii="Arial" w:eastAsia="Times New Roman" w:hAnsi="Arial" w:cs="Arial"/>
          <w:b/>
          <w:bCs/>
          <w:sz w:val="18"/>
          <w:szCs w:val="18"/>
        </w:rPr>
      </w:pPr>
      <w:bookmarkStart w:id="484" w:name="_Toc99110957"/>
      <w:r w:rsidRPr="008350F3">
        <w:rPr>
          <w:rFonts w:ascii="Arial" w:hAnsi="Arial" w:cs="Arial"/>
          <w:b/>
          <w:bCs/>
          <w:color w:val="9D2235" w:themeColor="accent1"/>
          <w:sz w:val="18"/>
          <w:szCs w:val="18"/>
        </w:rPr>
        <w:t xml:space="preserve">Il·lustració </w:t>
      </w:r>
      <w:r w:rsidRPr="008350F3">
        <w:rPr>
          <w:rFonts w:ascii="Arial" w:hAnsi="Arial" w:cs="Arial"/>
          <w:b/>
          <w:bCs/>
          <w:color w:val="9D2235" w:themeColor="accent1"/>
          <w:sz w:val="18"/>
          <w:szCs w:val="18"/>
        </w:rPr>
        <w:fldChar w:fldCharType="begin" w:fldLock="1"/>
      </w:r>
      <w:r w:rsidRPr="008350F3">
        <w:rPr>
          <w:rFonts w:ascii="Arial" w:hAnsi="Arial" w:cs="Arial"/>
          <w:b/>
          <w:bCs/>
          <w:color w:val="9D2235" w:themeColor="accent1"/>
          <w:sz w:val="18"/>
          <w:szCs w:val="18"/>
        </w:rPr>
        <w:instrText xml:space="preserve"> SEQ Il·lustració \* ARABIC </w:instrText>
      </w:r>
      <w:r w:rsidRPr="008350F3">
        <w:rPr>
          <w:rFonts w:ascii="Arial" w:hAnsi="Arial" w:cs="Arial"/>
          <w:b/>
          <w:bCs/>
          <w:color w:val="9D2235" w:themeColor="accent1"/>
          <w:sz w:val="18"/>
          <w:szCs w:val="18"/>
        </w:rPr>
        <w:fldChar w:fldCharType="separate"/>
      </w:r>
      <w:r w:rsidRPr="008350F3">
        <w:rPr>
          <w:rFonts w:ascii="Arial" w:hAnsi="Arial" w:cs="Arial"/>
          <w:b/>
          <w:bCs/>
          <w:noProof/>
          <w:color w:val="9D2235" w:themeColor="accent1"/>
          <w:sz w:val="18"/>
          <w:szCs w:val="18"/>
        </w:rPr>
        <w:t>11</w:t>
      </w:r>
      <w:r w:rsidRPr="008350F3">
        <w:rPr>
          <w:rFonts w:ascii="Arial" w:hAnsi="Arial" w:cs="Arial"/>
          <w:b/>
          <w:bCs/>
          <w:color w:val="9D2235" w:themeColor="accent1"/>
          <w:sz w:val="18"/>
          <w:szCs w:val="18"/>
        </w:rPr>
        <w:fldChar w:fldCharType="end"/>
      </w:r>
      <w:r w:rsidRPr="008350F3">
        <w:rPr>
          <w:rFonts w:ascii="Arial" w:hAnsi="Arial" w:cs="Arial"/>
          <w:b/>
          <w:bCs/>
          <w:color w:val="9D2235" w:themeColor="accent1"/>
          <w:sz w:val="18"/>
          <w:szCs w:val="18"/>
        </w:rPr>
        <w:t xml:space="preserve">. </w:t>
      </w:r>
      <w:r w:rsidRPr="008350F3">
        <w:rPr>
          <w:rFonts w:ascii="Arial" w:hAnsi="Arial" w:cs="Arial"/>
          <w:b/>
          <w:bCs/>
          <w:sz w:val="18"/>
          <w:szCs w:val="18"/>
        </w:rPr>
        <w:t xml:space="preserve">Organigrama de l'AVAF </w:t>
      </w:r>
      <w:hyperlink r:id="rId544" w:history="1">
        <w:r w:rsidRPr="00C00D1C">
          <w:rPr>
            <w:rStyle w:val="Hipervnculo"/>
            <w:rFonts w:ascii="Arial" w:hAnsi="Arial" w:cs="Arial"/>
            <w:sz w:val="18"/>
            <w:szCs w:val="18"/>
            <w:lang w:val="ca"/>
          </w:rPr>
          <w:t xml:space="preserve"> https://www.antifraucv.es/es/la-agencia/organigrama</w:t>
        </w:r>
        <w:bookmarkEnd w:id="484"/>
      </w:hyperlink>
    </w:p>
    <w:p w14:paraId="4682A62D" w14:textId="5405D1AF" w:rsidR="008350F3" w:rsidRPr="008350F3" w:rsidRDefault="008350F3" w:rsidP="008350F3">
      <w:pPr>
        <w:pStyle w:val="Descripcin"/>
        <w:spacing w:after="240" w:line="276" w:lineRule="auto"/>
        <w:jc w:val="both"/>
        <w:rPr>
          <w:rFonts w:ascii="Arial" w:eastAsia="Droid Sans Fallback" w:hAnsi="Arial" w:cs="Arial"/>
          <w:kern w:val="3"/>
          <w:sz w:val="21"/>
          <w:szCs w:val="21"/>
          <w:lang w:eastAsia="zh-CN" w:bidi="hi-IN"/>
        </w:rPr>
      </w:pPr>
    </w:p>
    <w:p w14:paraId="7CDCCC9A" w14:textId="192E7E14" w:rsidR="002B77D9" w:rsidRPr="002B77D9" w:rsidRDefault="002B77D9" w:rsidP="002B77D9">
      <w:pPr>
        <w:pStyle w:val="Ttulo3"/>
        <w:numPr>
          <w:ilvl w:val="2"/>
          <w:numId w:val="20"/>
        </w:numPr>
        <w:spacing w:before="360" w:after="240" w:line="276" w:lineRule="auto"/>
        <w:ind w:left="1134" w:hanging="1134"/>
        <w:rPr>
          <w:rFonts w:ascii="Arial" w:hAnsi="Arial" w:cs="Arial"/>
          <w:b/>
          <w:bCs/>
          <w:color w:val="9D2235" w:themeColor="accent1"/>
        </w:rPr>
      </w:pPr>
      <w:bookmarkStart w:id="485" w:name="_Toc99110834"/>
      <w:r w:rsidRPr="002B77D9">
        <w:rPr>
          <w:rFonts w:ascii="Arial" w:hAnsi="Arial" w:cs="Arial"/>
          <w:b/>
          <w:bCs/>
          <w:color w:val="9D2235" w:themeColor="accent1"/>
        </w:rPr>
        <w:t>Relació de Llocs de Treball de l'A</w:t>
      </w:r>
      <w:r w:rsidR="00B3461E">
        <w:rPr>
          <w:rFonts w:ascii="Arial" w:hAnsi="Arial" w:cs="Arial"/>
          <w:b/>
          <w:bCs/>
          <w:color w:val="9D2235" w:themeColor="accent1"/>
        </w:rPr>
        <w:t>VAF</w:t>
      </w:r>
      <w:bookmarkEnd w:id="485"/>
    </w:p>
    <w:p w14:paraId="101E4A93" w14:textId="77777777" w:rsidR="002B77D9" w:rsidRPr="002B77D9" w:rsidRDefault="002B77D9" w:rsidP="002B77D9">
      <w:pPr>
        <w:spacing w:after="240" w:line="276" w:lineRule="auto"/>
        <w:jc w:val="both"/>
        <w:rPr>
          <w:rFonts w:ascii="Arial" w:eastAsia="Droid Sans Fallback" w:hAnsi="Arial" w:cs="Arial"/>
          <w:kern w:val="3"/>
          <w:sz w:val="21"/>
          <w:szCs w:val="21"/>
          <w:lang w:val="es-ES" w:eastAsia="zh-CN" w:bidi="hi-IN"/>
        </w:rPr>
      </w:pPr>
      <w:r w:rsidRPr="002B77D9">
        <w:rPr>
          <w:rFonts w:ascii="Arial" w:eastAsia="Droid Sans Fallback" w:hAnsi="Arial" w:cs="Arial"/>
          <w:kern w:val="3"/>
          <w:sz w:val="21"/>
          <w:szCs w:val="21"/>
          <w:lang w:val="ca" w:eastAsia="zh-CN" w:bidi="hi-IN"/>
        </w:rPr>
        <w:t xml:space="preserve">La Relació de Llocs de Treball (en endavant RLT), aprovada per Resolució de 19 d'agost de 2019, del director de l'Agència (DOGV núm. 8624 de 30.8.2019), que va ser modificada per les Resolucions núm. 93/2020, de 8 d'abril (DOGV núm. 8789 de 15.4.2020), núm. 610/2020, d'11 de desembre i núm. 630/2020,  de 16 de desembre (DOGV núm. 8985 de 29.12.2020);  així com el pressupost de l'Agència aprovat mitjançant la Llei 4/2020, de 30 de desembre, de pressupostos de la Generalitat per a l'exercici 2021, constitueixen l'eina i suport econòmic que permeten el funcionament, l'organització, racionalització i ordenació del seu personal funcionari, per mitjà dels quals l'Agència retorna la seua acció en ordre al compliment dels seus fins. </w:t>
      </w:r>
    </w:p>
    <w:p w14:paraId="5A7E8224" w14:textId="77777777" w:rsidR="002B77D9" w:rsidRPr="002B77D9" w:rsidRDefault="002B77D9" w:rsidP="002B77D9">
      <w:pPr>
        <w:spacing w:after="120" w:line="276" w:lineRule="auto"/>
        <w:jc w:val="both"/>
        <w:rPr>
          <w:rFonts w:ascii="Arial" w:eastAsia="Droid Sans Fallback" w:hAnsi="Arial" w:cs="Arial"/>
          <w:kern w:val="3"/>
          <w:sz w:val="21"/>
          <w:szCs w:val="21"/>
          <w:lang w:val="es-ES" w:eastAsia="zh-CN" w:bidi="hi-IN"/>
        </w:rPr>
      </w:pPr>
      <w:r w:rsidRPr="002B77D9">
        <w:rPr>
          <w:rFonts w:ascii="Arial" w:eastAsia="Droid Sans Fallback" w:hAnsi="Arial" w:cs="Arial"/>
          <w:kern w:val="3"/>
          <w:sz w:val="21"/>
          <w:szCs w:val="21"/>
          <w:lang w:val="ca" w:eastAsia="zh-CN" w:bidi="hi-IN"/>
        </w:rPr>
        <w:t>L’esmentada RLT de l'Agència es pot consultar en:</w:t>
      </w:r>
    </w:p>
    <w:p w14:paraId="42537851" w14:textId="77777777" w:rsidR="002B77D9" w:rsidRPr="002B77D9" w:rsidRDefault="00254AEC" w:rsidP="002B77D9">
      <w:pPr>
        <w:spacing w:after="240" w:line="276" w:lineRule="auto"/>
        <w:contextualSpacing/>
        <w:jc w:val="both"/>
        <w:rPr>
          <w:rFonts w:ascii="Arial" w:eastAsia="Droid Sans Fallback" w:hAnsi="Arial" w:cs="Arial"/>
          <w:kern w:val="3"/>
          <w:sz w:val="21"/>
          <w:szCs w:val="21"/>
          <w:lang w:val="es-ES" w:eastAsia="zh-CN" w:bidi="hi-IN"/>
        </w:rPr>
      </w:pPr>
      <w:hyperlink r:id="rId545">
        <w:r w:rsidR="002B77D9" w:rsidRPr="002B77D9">
          <w:rPr>
            <w:rStyle w:val="Hipervnculo"/>
            <w:rFonts w:ascii="Arial" w:eastAsia="Droid Sans Fallback" w:hAnsi="Arial" w:cs="Arial"/>
            <w:kern w:val="3"/>
            <w:sz w:val="21"/>
            <w:szCs w:val="21"/>
            <w:lang w:val="ca" w:eastAsia="zh-CN" w:bidi="hi-IN"/>
          </w:rPr>
          <w:t>https://www.antifraucv.es/wp-content/uploads/2020/12/2020_12_29_-DOGV8985.pdf</w:t>
        </w:r>
      </w:hyperlink>
    </w:p>
    <w:p w14:paraId="7C4D670D" w14:textId="173BA215" w:rsidR="008350F3" w:rsidRDefault="00254AEC" w:rsidP="002B77D9">
      <w:pPr>
        <w:spacing w:after="240" w:line="276" w:lineRule="auto"/>
        <w:jc w:val="both"/>
        <w:rPr>
          <w:rFonts w:ascii="Arial" w:eastAsia="Droid Sans Fallback" w:hAnsi="Arial" w:cs="Arial"/>
          <w:kern w:val="3"/>
          <w:sz w:val="21"/>
          <w:szCs w:val="21"/>
          <w:lang w:eastAsia="zh-CN" w:bidi="hi-IN"/>
        </w:rPr>
      </w:pPr>
      <w:hyperlink r:id="rId546">
        <w:r w:rsidR="002B77D9" w:rsidRPr="002B77D9">
          <w:rPr>
            <w:rStyle w:val="Hipervnculo"/>
            <w:rFonts w:ascii="Arial" w:eastAsia="Droid Sans Fallback" w:hAnsi="Arial" w:cs="Arial"/>
            <w:kern w:val="3"/>
            <w:sz w:val="21"/>
            <w:szCs w:val="21"/>
            <w:lang w:val="ca" w:eastAsia="zh-CN" w:bidi="hi-IN"/>
          </w:rPr>
          <w:t>https://www.antifraucv.es/wp-content/uploads/2021/01/20_12_30_BOCV.pdf</w:t>
        </w:r>
      </w:hyperlink>
    </w:p>
    <w:p w14:paraId="40100B30" w14:textId="428A0435" w:rsidR="008350F3" w:rsidRDefault="008350F3" w:rsidP="00343C17">
      <w:pPr>
        <w:spacing w:after="240" w:line="276" w:lineRule="auto"/>
        <w:jc w:val="both"/>
        <w:rPr>
          <w:rFonts w:ascii="Arial" w:eastAsia="Droid Sans Fallback" w:hAnsi="Arial" w:cs="Arial"/>
          <w:kern w:val="3"/>
          <w:sz w:val="21"/>
          <w:szCs w:val="21"/>
          <w:lang w:eastAsia="zh-CN" w:bidi="hi-IN"/>
        </w:rPr>
      </w:pPr>
    </w:p>
    <w:p w14:paraId="78A31499" w14:textId="77777777" w:rsidR="00D21B97" w:rsidRDefault="00D21B97" w:rsidP="00D21B97">
      <w:pPr>
        <w:keepNext/>
        <w:spacing w:after="240" w:line="276" w:lineRule="auto"/>
      </w:pPr>
      <w:r>
        <w:rPr>
          <w:noProof/>
        </w:rPr>
        <w:drawing>
          <wp:inline distT="0" distB="0" distL="0" distR="0" wp14:anchorId="3CE4FF50" wp14:editId="1025D91E">
            <wp:extent cx="5400040" cy="2891155"/>
            <wp:effectExtent l="0" t="0" r="0" b="4445"/>
            <wp:docPr id="100" name="Gráfico 100">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7"/>
              </a:graphicData>
            </a:graphic>
          </wp:inline>
        </w:drawing>
      </w:r>
    </w:p>
    <w:p w14:paraId="43D041F1" w14:textId="24F10945" w:rsidR="008350F3" w:rsidRPr="00D21B97" w:rsidRDefault="00D21B97" w:rsidP="00D21B97">
      <w:pPr>
        <w:pStyle w:val="Descripcin"/>
        <w:jc w:val="center"/>
        <w:rPr>
          <w:rFonts w:ascii="Arial" w:eastAsia="Droid Sans Fallback" w:hAnsi="Arial" w:cs="Arial"/>
          <w:smallCaps w:val="0"/>
          <w:kern w:val="3"/>
          <w:sz w:val="18"/>
          <w:szCs w:val="18"/>
          <w:lang w:eastAsia="zh-CN" w:bidi="hi-IN"/>
        </w:rPr>
      </w:pPr>
      <w:bookmarkStart w:id="486" w:name="_Toc99110994"/>
      <w:r w:rsidRPr="00D21B97">
        <w:rPr>
          <w:rFonts w:ascii="Arial" w:hAnsi="Arial" w:cs="Arial"/>
          <w:smallCaps w:val="0"/>
          <w:color w:val="9D2235" w:themeColor="accent1"/>
          <w:sz w:val="18"/>
          <w:szCs w:val="18"/>
        </w:rPr>
        <w:t xml:space="preserve">Gràfic </w:t>
      </w:r>
      <w:r w:rsidRPr="00D21B97">
        <w:rPr>
          <w:rFonts w:ascii="Arial" w:hAnsi="Arial" w:cs="Arial"/>
          <w:smallCaps w:val="0"/>
          <w:color w:val="9D2235" w:themeColor="accent1"/>
          <w:sz w:val="18"/>
          <w:szCs w:val="18"/>
        </w:rPr>
        <w:fldChar w:fldCharType="begin" w:fldLock="1"/>
      </w:r>
      <w:r w:rsidRPr="00D21B97">
        <w:rPr>
          <w:rFonts w:ascii="Arial" w:hAnsi="Arial" w:cs="Arial"/>
          <w:smallCaps w:val="0"/>
          <w:color w:val="9D2235" w:themeColor="accent1"/>
          <w:sz w:val="18"/>
          <w:szCs w:val="18"/>
        </w:rPr>
        <w:instrText xml:space="preserve"> SEQ Gràfic \* ARABIC </w:instrText>
      </w:r>
      <w:r w:rsidRPr="00D21B97">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35</w:t>
      </w:r>
      <w:r w:rsidRPr="00D21B97">
        <w:rPr>
          <w:rFonts w:ascii="Arial" w:hAnsi="Arial" w:cs="Arial"/>
          <w:smallCaps w:val="0"/>
          <w:color w:val="9D2235" w:themeColor="accent1"/>
          <w:sz w:val="18"/>
          <w:szCs w:val="18"/>
        </w:rPr>
        <w:fldChar w:fldCharType="end"/>
      </w:r>
      <w:r w:rsidRPr="00D21B97">
        <w:rPr>
          <w:rFonts w:ascii="Arial" w:hAnsi="Arial" w:cs="Arial"/>
          <w:smallCaps w:val="0"/>
          <w:color w:val="9D2235" w:themeColor="accent1"/>
          <w:sz w:val="18"/>
          <w:szCs w:val="18"/>
        </w:rPr>
        <w:t xml:space="preserve">. </w:t>
      </w:r>
      <w:r w:rsidRPr="00D21B97">
        <w:rPr>
          <w:rFonts w:ascii="Arial" w:hAnsi="Arial" w:cs="Arial"/>
          <w:smallCaps w:val="0"/>
          <w:sz w:val="18"/>
          <w:szCs w:val="18"/>
        </w:rPr>
        <w:t>Evolució del nombre de llocs de treball per unitat administrativa segons la RPT</w:t>
      </w:r>
      <w:bookmarkEnd w:id="486"/>
    </w:p>
    <w:p w14:paraId="3C468690" w14:textId="4AB605C2" w:rsidR="008350F3" w:rsidRDefault="008350F3" w:rsidP="00343C17">
      <w:pPr>
        <w:spacing w:after="240" w:line="276" w:lineRule="auto"/>
        <w:jc w:val="both"/>
        <w:rPr>
          <w:rFonts w:ascii="Arial" w:eastAsia="Droid Sans Fallback" w:hAnsi="Arial" w:cs="Arial"/>
          <w:kern w:val="3"/>
          <w:sz w:val="21"/>
          <w:szCs w:val="21"/>
          <w:lang w:eastAsia="zh-CN" w:bidi="hi-IN"/>
        </w:rPr>
      </w:pPr>
    </w:p>
    <w:p w14:paraId="4407C7BC" w14:textId="77777777" w:rsidR="004A02FD" w:rsidRDefault="004A02FD" w:rsidP="00343C17">
      <w:pPr>
        <w:spacing w:after="240" w:line="276" w:lineRule="auto"/>
        <w:jc w:val="both"/>
        <w:rPr>
          <w:rFonts w:ascii="Arial" w:eastAsia="Droid Sans Fallback" w:hAnsi="Arial" w:cs="Arial"/>
          <w:kern w:val="3"/>
          <w:sz w:val="21"/>
          <w:szCs w:val="21"/>
          <w:lang w:eastAsia="zh-CN" w:bidi="hi-IN"/>
        </w:rPr>
      </w:pPr>
    </w:p>
    <w:p w14:paraId="26507911" w14:textId="77777777" w:rsidR="00D21B97" w:rsidRDefault="00D21B97" w:rsidP="00D21B97">
      <w:pPr>
        <w:keepNext/>
        <w:spacing w:after="240" w:line="276" w:lineRule="auto"/>
        <w:jc w:val="center"/>
      </w:pPr>
      <w:r>
        <w:rPr>
          <w:noProof/>
        </w:rPr>
        <w:drawing>
          <wp:inline distT="0" distB="0" distL="0" distR="0" wp14:anchorId="7157DABE" wp14:editId="7AA8A83D">
            <wp:extent cx="5400040" cy="2891155"/>
            <wp:effectExtent l="0" t="0" r="0" b="4445"/>
            <wp:docPr id="101" name="Gráfico 101">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8"/>
              </a:graphicData>
            </a:graphic>
          </wp:inline>
        </w:drawing>
      </w:r>
    </w:p>
    <w:p w14:paraId="719A7150" w14:textId="3F08F67A" w:rsidR="008350F3" w:rsidRPr="00D21B97" w:rsidRDefault="00D21B97" w:rsidP="00D21B97">
      <w:pPr>
        <w:pStyle w:val="Descripcin"/>
        <w:jc w:val="center"/>
        <w:rPr>
          <w:rFonts w:ascii="Arial" w:eastAsia="Droid Sans Fallback" w:hAnsi="Arial" w:cs="Arial"/>
          <w:smallCaps w:val="0"/>
          <w:kern w:val="3"/>
          <w:sz w:val="18"/>
          <w:szCs w:val="18"/>
          <w:lang w:eastAsia="zh-CN" w:bidi="hi-IN"/>
        </w:rPr>
      </w:pPr>
      <w:bookmarkStart w:id="487" w:name="_Toc99110995"/>
      <w:r w:rsidRPr="00D21B97">
        <w:rPr>
          <w:rFonts w:ascii="Arial" w:hAnsi="Arial" w:cs="Arial"/>
          <w:smallCaps w:val="0"/>
          <w:color w:val="9D2235" w:themeColor="accent1"/>
          <w:sz w:val="18"/>
          <w:szCs w:val="18"/>
        </w:rPr>
        <w:t xml:space="preserve">Gràfic </w:t>
      </w:r>
      <w:r w:rsidRPr="00D21B97">
        <w:rPr>
          <w:rFonts w:ascii="Arial" w:hAnsi="Arial" w:cs="Arial"/>
          <w:smallCaps w:val="0"/>
          <w:color w:val="9D2235" w:themeColor="accent1"/>
          <w:sz w:val="18"/>
          <w:szCs w:val="18"/>
        </w:rPr>
        <w:fldChar w:fldCharType="begin" w:fldLock="1"/>
      </w:r>
      <w:r w:rsidRPr="00D21B97">
        <w:rPr>
          <w:rFonts w:ascii="Arial" w:hAnsi="Arial" w:cs="Arial"/>
          <w:smallCaps w:val="0"/>
          <w:color w:val="9D2235" w:themeColor="accent1"/>
          <w:sz w:val="18"/>
          <w:szCs w:val="18"/>
        </w:rPr>
        <w:instrText xml:space="preserve"> SEQ Gràfic \* ARABIC </w:instrText>
      </w:r>
      <w:r w:rsidRPr="00D21B97">
        <w:rPr>
          <w:rFonts w:ascii="Arial" w:hAnsi="Arial" w:cs="Arial"/>
          <w:smallCaps w:val="0"/>
          <w:color w:val="9D2235" w:themeColor="accent1"/>
          <w:sz w:val="18"/>
          <w:szCs w:val="18"/>
        </w:rPr>
        <w:fldChar w:fldCharType="separate"/>
      </w:r>
      <w:r w:rsidR="00651990">
        <w:rPr>
          <w:rFonts w:ascii="Arial" w:hAnsi="Arial" w:cs="Arial"/>
          <w:smallCaps w:val="0"/>
          <w:noProof/>
          <w:color w:val="9D2235" w:themeColor="accent1"/>
          <w:sz w:val="18"/>
          <w:szCs w:val="18"/>
        </w:rPr>
        <w:t>36</w:t>
      </w:r>
      <w:r w:rsidRPr="00D21B97">
        <w:rPr>
          <w:rFonts w:ascii="Arial" w:hAnsi="Arial" w:cs="Arial"/>
          <w:smallCaps w:val="0"/>
          <w:color w:val="9D2235" w:themeColor="accent1"/>
          <w:sz w:val="18"/>
          <w:szCs w:val="18"/>
        </w:rPr>
        <w:fldChar w:fldCharType="end"/>
      </w:r>
      <w:r w:rsidRPr="00D21B97">
        <w:rPr>
          <w:rFonts w:ascii="Arial" w:hAnsi="Arial" w:cs="Arial"/>
          <w:smallCaps w:val="0"/>
          <w:color w:val="9D2235" w:themeColor="accent1"/>
          <w:sz w:val="18"/>
          <w:szCs w:val="18"/>
        </w:rPr>
        <w:t xml:space="preserve">. </w:t>
      </w:r>
      <w:r w:rsidRPr="00D21B97">
        <w:rPr>
          <w:rFonts w:ascii="Arial" w:hAnsi="Arial" w:cs="Arial"/>
          <w:smallCaps w:val="0"/>
          <w:sz w:val="18"/>
          <w:szCs w:val="18"/>
        </w:rPr>
        <w:t>Evolució del nombre de llocs de treball per unitat administrativa ocupats a 31 de desembre</w:t>
      </w:r>
      <w:bookmarkEnd w:id="487"/>
    </w:p>
    <w:p w14:paraId="2AFC1768" w14:textId="241AB737" w:rsidR="008350F3" w:rsidRDefault="008350F3" w:rsidP="00343C17">
      <w:pPr>
        <w:spacing w:after="240" w:line="276" w:lineRule="auto"/>
        <w:jc w:val="both"/>
        <w:rPr>
          <w:rFonts w:ascii="Arial" w:eastAsia="Droid Sans Fallback" w:hAnsi="Arial" w:cs="Arial"/>
          <w:kern w:val="3"/>
          <w:sz w:val="21"/>
          <w:szCs w:val="21"/>
          <w:lang w:eastAsia="zh-CN" w:bidi="hi-IN"/>
        </w:rPr>
      </w:pPr>
    </w:p>
    <w:p w14:paraId="43C787B0" w14:textId="6AFB66FA" w:rsidR="00AE0F6B" w:rsidRPr="00AE0F6B" w:rsidRDefault="00AE0F6B" w:rsidP="00AE0F6B">
      <w:pPr>
        <w:pStyle w:val="Ttulo2"/>
        <w:numPr>
          <w:ilvl w:val="1"/>
          <w:numId w:val="20"/>
        </w:numPr>
        <w:spacing w:before="360" w:after="240" w:line="276" w:lineRule="auto"/>
        <w:ind w:left="851" w:hanging="851"/>
        <w:contextualSpacing/>
        <w:rPr>
          <w:rFonts w:ascii="Arial" w:hAnsi="Arial" w:cs="Arial"/>
          <w:b/>
          <w:bCs/>
          <w:color w:val="9D2235" w:themeColor="accent1"/>
        </w:rPr>
      </w:pPr>
      <w:bookmarkStart w:id="488" w:name="_Toc99110835"/>
      <w:r w:rsidRPr="00AE0F6B">
        <w:rPr>
          <w:rFonts w:ascii="Arial" w:hAnsi="Arial" w:cs="Arial"/>
          <w:b/>
          <w:bCs/>
          <w:color w:val="9D2235" w:themeColor="accent1"/>
        </w:rPr>
        <w:t xml:space="preserve">Gestió de </w:t>
      </w:r>
      <w:r w:rsidR="00B3461E">
        <w:rPr>
          <w:rFonts w:ascii="Arial" w:hAnsi="Arial" w:cs="Arial"/>
          <w:b/>
          <w:bCs/>
          <w:color w:val="9D2235" w:themeColor="accent1"/>
        </w:rPr>
        <w:t>r</w:t>
      </w:r>
      <w:r w:rsidRPr="00AE0F6B">
        <w:rPr>
          <w:rFonts w:ascii="Arial" w:hAnsi="Arial" w:cs="Arial"/>
          <w:b/>
          <w:bCs/>
          <w:color w:val="9D2235" w:themeColor="accent1"/>
        </w:rPr>
        <w:t xml:space="preserve">ecursos </w:t>
      </w:r>
      <w:r w:rsidR="00B3461E">
        <w:rPr>
          <w:rFonts w:ascii="Arial" w:hAnsi="Arial" w:cs="Arial"/>
          <w:b/>
          <w:bCs/>
          <w:color w:val="9D2235" w:themeColor="accent1"/>
        </w:rPr>
        <w:t>h</w:t>
      </w:r>
      <w:r w:rsidRPr="00AE0F6B">
        <w:rPr>
          <w:rFonts w:ascii="Arial" w:hAnsi="Arial" w:cs="Arial"/>
          <w:b/>
          <w:bCs/>
          <w:color w:val="9D2235" w:themeColor="accent1"/>
        </w:rPr>
        <w:t>umans</w:t>
      </w:r>
      <w:bookmarkEnd w:id="488"/>
    </w:p>
    <w:p w14:paraId="0AC41181" w14:textId="77777777" w:rsidR="00AE0F6B" w:rsidRPr="00AE0F6B" w:rsidRDefault="00AE0F6B" w:rsidP="00AE0F6B">
      <w:pPr>
        <w:spacing w:after="240" w:line="276" w:lineRule="auto"/>
        <w:jc w:val="both"/>
        <w:rPr>
          <w:rFonts w:ascii="Arial" w:eastAsia="Droid Sans Fallback" w:hAnsi="Arial" w:cs="Arial"/>
          <w:kern w:val="3"/>
          <w:sz w:val="21"/>
          <w:szCs w:val="21"/>
          <w:lang w:val="es-ES" w:eastAsia="zh-CN" w:bidi="hi-IN"/>
        </w:rPr>
      </w:pPr>
      <w:r w:rsidRPr="00AE0F6B">
        <w:rPr>
          <w:rFonts w:ascii="Arial" w:eastAsia="Droid Sans Fallback" w:hAnsi="Arial" w:cs="Arial"/>
          <w:kern w:val="3"/>
          <w:sz w:val="21"/>
          <w:szCs w:val="21"/>
          <w:lang w:val="ca" w:eastAsia="zh-CN" w:bidi="hi-IN"/>
        </w:rPr>
        <w:t>La Llei 11/2016 estableix que els llocs de treball de l'Agència es proveïsquen d'acord amb les normes de la Llei de funció pública valenciana.</w:t>
      </w:r>
    </w:p>
    <w:p w14:paraId="1837B5A1" w14:textId="77777777" w:rsidR="00AE0F6B" w:rsidRPr="00AE0F6B" w:rsidRDefault="00AE0F6B" w:rsidP="00AE0F6B">
      <w:pPr>
        <w:spacing w:after="240" w:line="276" w:lineRule="auto"/>
        <w:jc w:val="both"/>
        <w:rPr>
          <w:rFonts w:ascii="Arial" w:eastAsia="Droid Sans Fallback" w:hAnsi="Arial" w:cs="Arial"/>
          <w:kern w:val="3"/>
          <w:sz w:val="21"/>
          <w:szCs w:val="21"/>
          <w:lang w:val="es-ES" w:eastAsia="zh-CN" w:bidi="hi-IN"/>
        </w:rPr>
      </w:pPr>
      <w:r w:rsidRPr="00AE0F6B">
        <w:rPr>
          <w:rFonts w:ascii="Arial" w:eastAsia="Droid Sans Fallback" w:hAnsi="Arial" w:cs="Arial"/>
          <w:kern w:val="3"/>
          <w:sz w:val="21"/>
          <w:szCs w:val="21"/>
          <w:lang w:val="ca" w:eastAsia="zh-CN" w:bidi="hi-IN"/>
        </w:rPr>
        <w:t>Durant l'exercici 2021, s'han iniciat procediments per a la provisió d'un total de 17 llocs de treball, 11 amb caràcter provisional, a través del sistema de comissió de serveis, i 6 amb caràcter definitiu, a través del sistema de lliure designació.</w:t>
      </w:r>
    </w:p>
    <w:p w14:paraId="1E81D68F" w14:textId="77777777" w:rsidR="00AE0F6B" w:rsidRPr="00AE0F6B" w:rsidRDefault="00AE0F6B" w:rsidP="00AE0F6B">
      <w:pPr>
        <w:spacing w:after="240" w:line="276" w:lineRule="auto"/>
        <w:jc w:val="both"/>
        <w:rPr>
          <w:rFonts w:ascii="Arial" w:eastAsia="Droid Sans Fallback" w:hAnsi="Arial" w:cs="Arial"/>
          <w:kern w:val="3"/>
          <w:sz w:val="21"/>
          <w:szCs w:val="21"/>
          <w:lang w:val="es-ES" w:eastAsia="zh-CN" w:bidi="hi-IN"/>
        </w:rPr>
      </w:pPr>
      <w:r w:rsidRPr="00AE0F6B">
        <w:rPr>
          <w:rFonts w:ascii="Arial" w:eastAsia="Droid Sans Fallback" w:hAnsi="Arial" w:cs="Arial"/>
          <w:kern w:val="3"/>
          <w:sz w:val="21"/>
          <w:szCs w:val="21"/>
          <w:lang w:val="ca" w:eastAsia="zh-CN" w:bidi="hi-IN"/>
        </w:rPr>
        <w:t xml:space="preserve"> Cal ressaltar que durant el 2021 s'ha posat en marxa la provisió dels llocs de treball mitjançant concurs específic, la qual cosa ha requerit l'aprovació d'unes bases generals de les convocatòries, que han sigut objecte de prèvia negociació sindical.</w:t>
      </w:r>
    </w:p>
    <w:p w14:paraId="03F000E4" w14:textId="77777777" w:rsidR="00AE0F6B" w:rsidRPr="00AE0F6B" w:rsidRDefault="00AE0F6B" w:rsidP="00AE0F6B">
      <w:pPr>
        <w:spacing w:after="240" w:line="276" w:lineRule="auto"/>
        <w:jc w:val="both"/>
        <w:rPr>
          <w:rFonts w:ascii="Arial" w:eastAsia="Droid Sans Fallback" w:hAnsi="Arial" w:cs="Arial"/>
          <w:kern w:val="3"/>
          <w:sz w:val="21"/>
          <w:szCs w:val="21"/>
          <w:u w:val="single"/>
          <w:lang w:val="es-ES" w:eastAsia="zh-CN" w:bidi="hi-IN"/>
        </w:rPr>
      </w:pPr>
      <w:r w:rsidRPr="00AE0F6B">
        <w:rPr>
          <w:rFonts w:ascii="Arial" w:eastAsia="Droid Sans Fallback" w:hAnsi="Arial" w:cs="Arial"/>
          <w:kern w:val="3"/>
          <w:sz w:val="21"/>
          <w:szCs w:val="21"/>
          <w:lang w:val="ca" w:eastAsia="zh-CN" w:bidi="hi-IN"/>
        </w:rPr>
        <w:t xml:space="preserve">El desenvolupament dels procediments de provisió pot ser objecte de consulta en </w:t>
      </w:r>
      <w:hyperlink r:id="rId549" w:anchor="pll_switcher" w:history="1">
        <w:r w:rsidRPr="00AE0F6B">
          <w:rPr>
            <w:rStyle w:val="Hipervnculo"/>
            <w:rFonts w:ascii="Arial" w:eastAsia="Droid Sans Fallback" w:hAnsi="Arial" w:cs="Arial"/>
            <w:kern w:val="3"/>
            <w:sz w:val="21"/>
            <w:szCs w:val="21"/>
            <w:lang w:val="es-ES" w:eastAsia="zh-CN" w:bidi="hi-IN"/>
          </w:rPr>
          <w:t>https://www.antifraucv.es/va/informacio-institucional-i-dorganitzacio/#pll_switcher</w:t>
        </w:r>
      </w:hyperlink>
      <w:r w:rsidRPr="00AE0F6B">
        <w:rPr>
          <w:rFonts w:ascii="Arial" w:eastAsia="Droid Sans Fallback" w:hAnsi="Arial" w:cs="Arial"/>
          <w:kern w:val="3"/>
          <w:sz w:val="21"/>
          <w:szCs w:val="21"/>
          <w:lang w:val="es-ES" w:eastAsia="zh-CN" w:bidi="hi-IN"/>
        </w:rPr>
        <w:t xml:space="preserve">. </w:t>
      </w:r>
    </w:p>
    <w:p w14:paraId="2FF388EE" w14:textId="354FC15B" w:rsidR="008350F3" w:rsidRDefault="00AE0F6B" w:rsidP="00AE0F6B">
      <w:pPr>
        <w:spacing w:after="240" w:line="276" w:lineRule="auto"/>
        <w:jc w:val="both"/>
        <w:rPr>
          <w:rFonts w:ascii="Arial" w:eastAsia="Droid Sans Fallback" w:hAnsi="Arial" w:cs="Arial"/>
          <w:kern w:val="3"/>
          <w:sz w:val="21"/>
          <w:szCs w:val="21"/>
          <w:lang w:eastAsia="zh-CN" w:bidi="hi-IN"/>
        </w:rPr>
      </w:pPr>
      <w:r w:rsidRPr="00AE0F6B">
        <w:rPr>
          <w:rFonts w:ascii="Arial" w:eastAsia="Droid Sans Fallback" w:hAnsi="Arial" w:cs="Arial"/>
          <w:kern w:val="3"/>
          <w:sz w:val="21"/>
          <w:szCs w:val="21"/>
          <w:lang w:val="ca" w:eastAsia="zh-CN" w:bidi="hi-IN"/>
        </w:rPr>
        <w:t>A continuació, es mostra, gràficament i en termes percentuals, l'ocupació dels llocs de treball de l'AVAF per gènere a finals d'aquest any 2021.</w:t>
      </w:r>
    </w:p>
    <w:p w14:paraId="32DC2E16" w14:textId="77777777" w:rsidR="00651990" w:rsidRDefault="00651990" w:rsidP="00651990">
      <w:pPr>
        <w:keepNext/>
        <w:spacing w:after="240" w:line="276" w:lineRule="auto"/>
        <w:jc w:val="center"/>
      </w:pPr>
      <w:r>
        <w:rPr>
          <w:noProof/>
        </w:rPr>
        <w:drawing>
          <wp:inline distT="0" distB="0" distL="0" distR="0" wp14:anchorId="19A534C3" wp14:editId="71E5DB07">
            <wp:extent cx="5067300" cy="2933700"/>
            <wp:effectExtent l="0" t="0" r="0" b="0"/>
            <wp:docPr id="102" name="Gráfico 102">
              <a:extLst xmlns:a="http://schemas.openxmlformats.org/drawingml/2006/main">
                <a:ext uri="{FF2B5EF4-FFF2-40B4-BE49-F238E27FC236}">
                  <a16:creationId xmlns:a16="http://schemas.microsoft.com/office/drawing/2014/main" id="{F0525490-11CE-41BD-9028-4E197B780D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0"/>
              </a:graphicData>
            </a:graphic>
          </wp:inline>
        </w:drawing>
      </w:r>
    </w:p>
    <w:p w14:paraId="4E929D6F" w14:textId="0460AEE7" w:rsidR="008350F3" w:rsidRPr="00651990" w:rsidRDefault="00651990" w:rsidP="00651990">
      <w:pPr>
        <w:pStyle w:val="Descripcin"/>
        <w:jc w:val="center"/>
        <w:rPr>
          <w:rFonts w:ascii="Arial" w:eastAsia="Droid Sans Fallback" w:hAnsi="Arial" w:cs="Arial"/>
          <w:smallCaps w:val="0"/>
          <w:kern w:val="3"/>
          <w:sz w:val="18"/>
          <w:szCs w:val="18"/>
          <w:lang w:eastAsia="zh-CN" w:bidi="hi-IN"/>
        </w:rPr>
      </w:pPr>
      <w:bookmarkStart w:id="489" w:name="_Toc99110996"/>
      <w:r w:rsidRPr="00651990">
        <w:rPr>
          <w:rFonts w:ascii="Arial" w:hAnsi="Arial" w:cs="Arial"/>
          <w:smallCaps w:val="0"/>
          <w:color w:val="9D2235" w:themeColor="accent1"/>
          <w:sz w:val="18"/>
          <w:szCs w:val="18"/>
        </w:rPr>
        <w:t xml:space="preserve">Gràfic </w:t>
      </w:r>
      <w:r w:rsidRPr="00651990">
        <w:rPr>
          <w:rFonts w:ascii="Arial" w:hAnsi="Arial" w:cs="Arial"/>
          <w:smallCaps w:val="0"/>
          <w:color w:val="9D2235" w:themeColor="accent1"/>
          <w:sz w:val="18"/>
          <w:szCs w:val="18"/>
        </w:rPr>
        <w:fldChar w:fldCharType="begin" w:fldLock="1"/>
      </w:r>
      <w:r w:rsidRPr="00651990">
        <w:rPr>
          <w:rFonts w:ascii="Arial" w:hAnsi="Arial" w:cs="Arial"/>
          <w:smallCaps w:val="0"/>
          <w:color w:val="9D2235" w:themeColor="accent1"/>
          <w:sz w:val="18"/>
          <w:szCs w:val="18"/>
        </w:rPr>
        <w:instrText xml:space="preserve"> SEQ Gràfic \* ARABIC </w:instrText>
      </w:r>
      <w:r w:rsidRPr="00651990">
        <w:rPr>
          <w:rFonts w:ascii="Arial" w:hAnsi="Arial" w:cs="Arial"/>
          <w:smallCaps w:val="0"/>
          <w:color w:val="9D2235" w:themeColor="accent1"/>
          <w:sz w:val="18"/>
          <w:szCs w:val="18"/>
        </w:rPr>
        <w:fldChar w:fldCharType="separate"/>
      </w:r>
      <w:r w:rsidRPr="00651990">
        <w:rPr>
          <w:rFonts w:ascii="Arial" w:hAnsi="Arial" w:cs="Arial"/>
          <w:smallCaps w:val="0"/>
          <w:noProof/>
          <w:color w:val="9D2235" w:themeColor="accent1"/>
          <w:sz w:val="18"/>
          <w:szCs w:val="18"/>
        </w:rPr>
        <w:t>37</w:t>
      </w:r>
      <w:r w:rsidRPr="00651990">
        <w:rPr>
          <w:rFonts w:ascii="Arial" w:hAnsi="Arial" w:cs="Arial"/>
          <w:smallCaps w:val="0"/>
          <w:color w:val="9D2235" w:themeColor="accent1"/>
          <w:sz w:val="18"/>
          <w:szCs w:val="18"/>
        </w:rPr>
        <w:fldChar w:fldCharType="end"/>
      </w:r>
      <w:r w:rsidRPr="00651990">
        <w:rPr>
          <w:rFonts w:ascii="Arial" w:hAnsi="Arial" w:cs="Arial"/>
          <w:smallCaps w:val="0"/>
          <w:color w:val="9D2235" w:themeColor="accent1"/>
          <w:sz w:val="18"/>
          <w:szCs w:val="18"/>
        </w:rPr>
        <w:t xml:space="preserve">. </w:t>
      </w:r>
      <w:r w:rsidRPr="00651990">
        <w:rPr>
          <w:rFonts w:ascii="Arial" w:hAnsi="Arial" w:cs="Arial"/>
          <w:smallCaps w:val="0"/>
          <w:sz w:val="18"/>
          <w:szCs w:val="18"/>
        </w:rPr>
        <w:t>Ocupació de l</w:t>
      </w:r>
      <w:r>
        <w:rPr>
          <w:rFonts w:ascii="Arial" w:hAnsi="Arial" w:cs="Arial"/>
          <w:smallCaps w:val="0"/>
          <w:sz w:val="18"/>
          <w:szCs w:val="18"/>
        </w:rPr>
        <w:t>l</w:t>
      </w:r>
      <w:r w:rsidRPr="00651990">
        <w:rPr>
          <w:rFonts w:ascii="Arial" w:hAnsi="Arial" w:cs="Arial"/>
          <w:smallCaps w:val="0"/>
          <w:sz w:val="18"/>
          <w:szCs w:val="18"/>
        </w:rPr>
        <w:t>ocs de treball per gènere a 31 de desembre de 2021</w:t>
      </w:r>
      <w:bookmarkEnd w:id="489"/>
    </w:p>
    <w:p w14:paraId="5EEB3494" w14:textId="63703214" w:rsidR="00651990" w:rsidRPr="00651990" w:rsidRDefault="00651990" w:rsidP="00651990">
      <w:pPr>
        <w:pStyle w:val="Ttulo2"/>
        <w:numPr>
          <w:ilvl w:val="1"/>
          <w:numId w:val="20"/>
        </w:numPr>
        <w:spacing w:before="360" w:after="240" w:line="276" w:lineRule="auto"/>
        <w:ind w:left="851" w:hanging="851"/>
        <w:contextualSpacing/>
        <w:rPr>
          <w:rFonts w:ascii="Arial" w:hAnsi="Arial" w:cs="Arial"/>
          <w:b/>
          <w:bCs/>
          <w:color w:val="9D2235" w:themeColor="accent1"/>
        </w:rPr>
      </w:pPr>
      <w:bookmarkStart w:id="490" w:name="_Toc99110836"/>
      <w:r w:rsidRPr="00651990">
        <w:rPr>
          <w:rFonts w:ascii="Arial" w:hAnsi="Arial" w:cs="Arial"/>
          <w:b/>
          <w:bCs/>
          <w:color w:val="9D2235" w:themeColor="accent1"/>
        </w:rPr>
        <w:t>Gestió econòmica i contractació</w:t>
      </w:r>
      <w:bookmarkEnd w:id="490"/>
    </w:p>
    <w:p w14:paraId="25CB9EE2" w14:textId="77777777" w:rsidR="00651990" w:rsidRPr="00651990" w:rsidRDefault="00651990" w:rsidP="00651990">
      <w:pPr>
        <w:spacing w:after="240" w:line="276" w:lineRule="auto"/>
        <w:jc w:val="both"/>
        <w:rPr>
          <w:rFonts w:ascii="Arial" w:eastAsia="Droid Sans Fallback" w:hAnsi="Arial" w:cs="Arial"/>
          <w:kern w:val="3"/>
          <w:sz w:val="21"/>
          <w:szCs w:val="21"/>
          <w:lang w:val="es-ES" w:eastAsia="zh-CN" w:bidi="hi-IN"/>
        </w:rPr>
      </w:pPr>
      <w:r w:rsidRPr="00651990">
        <w:rPr>
          <w:rFonts w:ascii="Arial" w:eastAsia="Droid Sans Fallback" w:hAnsi="Arial" w:cs="Arial"/>
          <w:kern w:val="3"/>
          <w:sz w:val="21"/>
          <w:szCs w:val="21"/>
          <w:lang w:val="ca" w:eastAsia="zh-CN" w:bidi="hi-IN"/>
        </w:rPr>
        <w:t>Estableix l'article 30.7 de l'esmentada Llei 11/2016 que la Memòria Anual de l’Agència contindrà la Liquidació del pressupost.</w:t>
      </w:r>
    </w:p>
    <w:p w14:paraId="4926D128" w14:textId="77777777" w:rsidR="00651990" w:rsidRPr="00651990" w:rsidRDefault="00651990" w:rsidP="00651990">
      <w:pPr>
        <w:spacing w:after="240" w:line="276" w:lineRule="auto"/>
        <w:jc w:val="both"/>
        <w:rPr>
          <w:rFonts w:ascii="Arial" w:eastAsia="Droid Sans Fallback" w:hAnsi="Arial" w:cs="Arial"/>
          <w:kern w:val="3"/>
          <w:sz w:val="21"/>
          <w:szCs w:val="21"/>
          <w:lang w:val="es-ES" w:eastAsia="zh-CN" w:bidi="hi-IN"/>
        </w:rPr>
      </w:pPr>
      <w:r w:rsidRPr="00651990">
        <w:rPr>
          <w:rFonts w:ascii="Arial" w:eastAsia="Droid Sans Fallback" w:hAnsi="Arial" w:cs="Arial"/>
          <w:kern w:val="3"/>
          <w:sz w:val="21"/>
          <w:szCs w:val="21"/>
          <w:lang w:val="ca" w:eastAsia="zh-CN" w:bidi="hi-IN"/>
        </w:rPr>
        <w:t>La Liquidació del Pressupost de l'exercici 2021 va ser aprovada per Resolució del director de l'Agència número 171, de 8 de març de 2022, i això sense perjudici de qualsevol modificació que puga operar sobre la mateixa com a conseqüència de l'elaboració dels Comptes Anuals o auditories posteriors segons la normativa vigent.</w:t>
      </w:r>
    </w:p>
    <w:p w14:paraId="44F8719B" w14:textId="77777777" w:rsidR="00651990" w:rsidRPr="00651990" w:rsidRDefault="00651990" w:rsidP="00651990">
      <w:pPr>
        <w:spacing w:after="240" w:line="276" w:lineRule="auto"/>
        <w:jc w:val="both"/>
        <w:rPr>
          <w:rFonts w:ascii="Arial" w:eastAsia="Droid Sans Fallback" w:hAnsi="Arial" w:cs="Arial"/>
          <w:kern w:val="3"/>
          <w:sz w:val="21"/>
          <w:szCs w:val="21"/>
          <w:lang w:val="es-ES" w:eastAsia="zh-CN" w:bidi="hi-IN"/>
        </w:rPr>
      </w:pPr>
      <w:r w:rsidRPr="00651990">
        <w:rPr>
          <w:rFonts w:ascii="Arial" w:eastAsia="Droid Sans Fallback" w:hAnsi="Arial" w:cs="Arial"/>
          <w:kern w:val="3"/>
          <w:sz w:val="21"/>
          <w:szCs w:val="21"/>
          <w:lang w:val="ca" w:eastAsia="zh-CN" w:bidi="hi-IN"/>
        </w:rPr>
        <w:t>El Pressupost de l'Agència per a l'exercici 2021 va ser aprovat mitjançant la Llei 4/2020, de 30 de desembre, de pressupostos de la Generalitat per a l'exercici 2021, com a partida independent en els pressupostos de les Corts Valencianes, d'acord amb el que estableix l'article 30, apartats 1 i 2, de la Llei 11/2016.</w:t>
      </w:r>
    </w:p>
    <w:p w14:paraId="48566A7C" w14:textId="42A698A6" w:rsidR="00651990" w:rsidRPr="00651990" w:rsidRDefault="00651990" w:rsidP="00651990">
      <w:pPr>
        <w:pStyle w:val="Ttulo3"/>
        <w:numPr>
          <w:ilvl w:val="2"/>
          <w:numId w:val="20"/>
        </w:numPr>
        <w:spacing w:before="360" w:after="240" w:line="276" w:lineRule="auto"/>
        <w:ind w:left="1134" w:hanging="1134"/>
        <w:rPr>
          <w:rFonts w:ascii="Arial" w:hAnsi="Arial" w:cs="Arial"/>
          <w:b/>
          <w:bCs/>
          <w:color w:val="9D2235" w:themeColor="accent1"/>
        </w:rPr>
      </w:pPr>
      <w:bookmarkStart w:id="491" w:name="Marcador_47"/>
      <w:bookmarkStart w:id="492" w:name="_Toc99110837"/>
      <w:r w:rsidRPr="00651990">
        <w:rPr>
          <w:rFonts w:ascii="Arial" w:hAnsi="Arial" w:cs="Arial"/>
          <w:b/>
          <w:bCs/>
          <w:color w:val="9D2235" w:themeColor="accent1"/>
        </w:rPr>
        <w:t>Execució pressupostària 2021</w:t>
      </w:r>
      <w:bookmarkEnd w:id="491"/>
      <w:bookmarkEnd w:id="492"/>
    </w:p>
    <w:p w14:paraId="4F287934" w14:textId="77777777" w:rsidR="00651990" w:rsidRPr="00651990" w:rsidRDefault="00651990" w:rsidP="00651990">
      <w:pPr>
        <w:spacing w:after="240" w:line="276" w:lineRule="auto"/>
        <w:jc w:val="both"/>
        <w:rPr>
          <w:rFonts w:ascii="Arial" w:eastAsia="Droid Sans Fallback" w:hAnsi="Arial" w:cs="Arial"/>
          <w:kern w:val="3"/>
          <w:sz w:val="21"/>
          <w:szCs w:val="21"/>
          <w:lang w:val="es-ES" w:eastAsia="zh-CN" w:bidi="hi-IN"/>
        </w:rPr>
      </w:pPr>
      <w:r w:rsidRPr="00651990">
        <w:rPr>
          <w:rFonts w:ascii="Arial" w:eastAsia="Droid Sans Fallback" w:hAnsi="Arial" w:cs="Arial"/>
          <w:kern w:val="3"/>
          <w:sz w:val="21"/>
          <w:szCs w:val="21"/>
          <w:lang w:val="ca" w:eastAsia="zh-CN" w:bidi="hi-IN"/>
        </w:rPr>
        <w:t>El pressupost de l'Agència per a l'exercici 2021 va ascendir a 4.424.329,88 euros, d'acord amb el detall per capítol de despeses que a continuació s'ofereix.</w:t>
      </w:r>
    </w:p>
    <w:p w14:paraId="2BD1F7D8" w14:textId="1AF74755" w:rsidR="00651990" w:rsidRPr="00651990" w:rsidRDefault="00651990" w:rsidP="00651990">
      <w:pPr>
        <w:pStyle w:val="Descripcin"/>
        <w:keepNext/>
        <w:jc w:val="center"/>
        <w:rPr>
          <w:rFonts w:ascii="Arial" w:hAnsi="Arial" w:cs="Arial"/>
          <w:smallCaps w:val="0"/>
          <w:sz w:val="18"/>
          <w:szCs w:val="18"/>
        </w:rPr>
      </w:pPr>
      <w:bookmarkStart w:id="493" w:name="_Toc99110875"/>
      <w:r w:rsidRPr="00651990">
        <w:rPr>
          <w:rFonts w:ascii="Arial" w:hAnsi="Arial" w:cs="Arial"/>
          <w:smallCaps w:val="0"/>
          <w:color w:val="9D2235" w:themeColor="accent1"/>
          <w:sz w:val="18"/>
          <w:szCs w:val="18"/>
        </w:rPr>
        <w:t xml:space="preserve">Taula </w:t>
      </w:r>
      <w:r w:rsidRPr="00651990">
        <w:rPr>
          <w:rFonts w:ascii="Arial" w:hAnsi="Arial" w:cs="Arial"/>
          <w:smallCaps w:val="0"/>
          <w:color w:val="9D2235" w:themeColor="accent1"/>
          <w:sz w:val="18"/>
          <w:szCs w:val="18"/>
        </w:rPr>
        <w:fldChar w:fldCharType="begin" w:fldLock="1"/>
      </w:r>
      <w:r w:rsidRPr="00651990">
        <w:rPr>
          <w:rFonts w:ascii="Arial" w:hAnsi="Arial" w:cs="Arial"/>
          <w:smallCaps w:val="0"/>
          <w:color w:val="9D2235" w:themeColor="accent1"/>
          <w:sz w:val="18"/>
          <w:szCs w:val="18"/>
        </w:rPr>
        <w:instrText xml:space="preserve"> SEQ Taula \* ARABIC </w:instrText>
      </w:r>
      <w:r w:rsidRPr="00651990">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30</w:t>
      </w:r>
      <w:r w:rsidRPr="00651990">
        <w:rPr>
          <w:rFonts w:ascii="Arial" w:hAnsi="Arial" w:cs="Arial"/>
          <w:smallCaps w:val="0"/>
          <w:color w:val="9D2235" w:themeColor="accent1"/>
          <w:sz w:val="18"/>
          <w:szCs w:val="18"/>
        </w:rPr>
        <w:fldChar w:fldCharType="end"/>
      </w:r>
      <w:r w:rsidRPr="00651990">
        <w:rPr>
          <w:rFonts w:ascii="Arial" w:hAnsi="Arial" w:cs="Arial"/>
          <w:smallCaps w:val="0"/>
          <w:color w:val="9D2235" w:themeColor="accent1"/>
          <w:sz w:val="18"/>
          <w:szCs w:val="18"/>
        </w:rPr>
        <w:t xml:space="preserve">. </w:t>
      </w:r>
      <w:r w:rsidRPr="00651990">
        <w:rPr>
          <w:rFonts w:ascii="Arial" w:hAnsi="Arial" w:cs="Arial"/>
          <w:smallCaps w:val="0"/>
          <w:sz w:val="18"/>
          <w:szCs w:val="18"/>
        </w:rPr>
        <w:t>Pressupost de despeses exercici 2021</w:t>
      </w:r>
      <w:bookmarkEnd w:id="493"/>
    </w:p>
    <w:tbl>
      <w:tblPr>
        <w:tblW w:w="5889" w:type="dxa"/>
        <w:jc w:val="center"/>
        <w:tblCellMar>
          <w:left w:w="43" w:type="dxa"/>
        </w:tblCellMar>
        <w:tblLook w:val="0000" w:firstRow="0" w:lastRow="0" w:firstColumn="0" w:lastColumn="0" w:noHBand="0" w:noVBand="0"/>
      </w:tblPr>
      <w:tblGrid>
        <w:gridCol w:w="3063"/>
        <w:gridCol w:w="2826"/>
      </w:tblGrid>
      <w:tr w:rsidR="00651990" w:rsidRPr="00283296" w14:paraId="1B5C226D" w14:textId="77777777" w:rsidTr="00651990">
        <w:trPr>
          <w:trHeight w:val="686"/>
          <w:jc w:val="center"/>
        </w:trPr>
        <w:tc>
          <w:tcPr>
            <w:tcW w:w="5889" w:type="dxa"/>
            <w:gridSpan w:val="2"/>
            <w:tcBorders>
              <w:top w:val="single" w:sz="18" w:space="0" w:color="FFFFFF"/>
              <w:left w:val="single" w:sz="18" w:space="0" w:color="FFFFFF"/>
              <w:right w:val="single" w:sz="18" w:space="0" w:color="FFFFFF"/>
            </w:tcBorders>
            <w:shd w:val="clear" w:color="auto" w:fill="9D2235"/>
            <w:vAlign w:val="center"/>
          </w:tcPr>
          <w:p w14:paraId="3DE87EFA" w14:textId="77777777" w:rsidR="00651990" w:rsidRPr="00283296" w:rsidRDefault="00651990" w:rsidP="00651990">
            <w:pPr>
              <w:widowControl w:val="0"/>
              <w:suppressAutoHyphens/>
              <w:spacing w:after="0" w:line="276" w:lineRule="auto"/>
              <w:jc w:val="both"/>
              <w:textAlignment w:val="baseline"/>
              <w:rPr>
                <w:rFonts w:ascii="Arial" w:eastAsia="NSimSun" w:hAnsi="Arial" w:cs="Arial"/>
                <w:b/>
                <w:bCs/>
                <w:color w:val="FFFFFF"/>
                <w:kern w:val="2"/>
                <w:sz w:val="19"/>
                <w:szCs w:val="19"/>
                <w:highlight w:val="yellow"/>
                <w:lang w:val="es-ES" w:eastAsia="es-ES" w:bidi="hi-IN"/>
              </w:rPr>
            </w:pPr>
            <w:r w:rsidRPr="00283296">
              <w:rPr>
                <w:rFonts w:ascii="Arial" w:eastAsia="NSimSun" w:hAnsi="Arial" w:cs="Arial"/>
                <w:b/>
                <w:bCs/>
                <w:color w:val="FFFFFF"/>
                <w:kern w:val="2"/>
                <w:sz w:val="19"/>
                <w:szCs w:val="19"/>
                <w:lang w:val="es-ES" w:eastAsia="es-ES" w:bidi="hi-IN"/>
              </w:rPr>
              <w:t>PRESSUPOST DESPESES 2021</w:t>
            </w:r>
          </w:p>
        </w:tc>
      </w:tr>
      <w:tr w:rsidR="00651990" w:rsidRPr="00283296" w14:paraId="24954FBF" w14:textId="77777777" w:rsidTr="00651990">
        <w:trPr>
          <w:jc w:val="center"/>
        </w:trPr>
        <w:tc>
          <w:tcPr>
            <w:tcW w:w="3063" w:type="dxa"/>
            <w:tcBorders>
              <w:bottom w:val="single" w:sz="4" w:space="0" w:color="993333"/>
            </w:tcBorders>
            <w:shd w:val="clear" w:color="auto" w:fill="FFFFFF"/>
          </w:tcPr>
          <w:p w14:paraId="38A17D26" w14:textId="77777777" w:rsidR="00651990" w:rsidRPr="00283296" w:rsidRDefault="00651990" w:rsidP="00651990">
            <w:pPr>
              <w:widowControl w:val="0"/>
              <w:suppressAutoHyphens/>
              <w:spacing w:after="0" w:line="276" w:lineRule="auto"/>
              <w:jc w:val="both"/>
              <w:textAlignment w:val="baseline"/>
              <w:rPr>
                <w:rFonts w:ascii="Arial" w:eastAsia="NSimSun" w:hAnsi="Arial" w:cs="Arial"/>
                <w:kern w:val="2"/>
                <w:sz w:val="19"/>
                <w:szCs w:val="19"/>
                <w:lang w:val="es-ES" w:eastAsia="es-ES" w:bidi="hi-IN"/>
              </w:rPr>
            </w:pPr>
            <w:r w:rsidRPr="00283296">
              <w:rPr>
                <w:rFonts w:ascii="Arial" w:eastAsia="NSimSun" w:hAnsi="Arial" w:cs="Arial"/>
                <w:kern w:val="2"/>
                <w:sz w:val="19"/>
                <w:szCs w:val="19"/>
                <w:lang w:val="es-ES" w:eastAsia="es-ES" w:bidi="hi-IN"/>
              </w:rPr>
              <w:t xml:space="preserve">     CAP. I</w:t>
            </w:r>
          </w:p>
        </w:tc>
        <w:tc>
          <w:tcPr>
            <w:tcW w:w="2826" w:type="dxa"/>
            <w:tcBorders>
              <w:bottom w:val="single" w:sz="4" w:space="0" w:color="993333"/>
            </w:tcBorders>
            <w:shd w:val="clear" w:color="auto" w:fill="FFFFFF"/>
          </w:tcPr>
          <w:p w14:paraId="264AF492" w14:textId="77777777" w:rsidR="00651990" w:rsidRPr="00283296" w:rsidRDefault="00651990" w:rsidP="00651990">
            <w:pPr>
              <w:widowControl w:val="0"/>
              <w:suppressAutoHyphens/>
              <w:spacing w:after="0" w:line="276" w:lineRule="auto"/>
              <w:jc w:val="right"/>
              <w:textAlignment w:val="baseline"/>
              <w:rPr>
                <w:rFonts w:ascii="Arial" w:eastAsia="Times New Roman" w:hAnsi="Arial" w:cs="Arial"/>
                <w:color w:val="000000"/>
                <w:kern w:val="2"/>
                <w:sz w:val="19"/>
                <w:szCs w:val="19"/>
                <w:lang w:val="es-ES" w:eastAsia="es-ES" w:bidi="hi-IN"/>
              </w:rPr>
            </w:pPr>
            <w:r w:rsidRPr="00283296">
              <w:rPr>
                <w:rFonts w:ascii="Arial" w:eastAsia="Times New Roman" w:hAnsi="Arial" w:cs="Arial"/>
                <w:color w:val="000000"/>
                <w:kern w:val="2"/>
                <w:sz w:val="19"/>
                <w:szCs w:val="19"/>
                <w:lang w:val="es-ES" w:eastAsia="es-ES" w:bidi="hi-IN"/>
              </w:rPr>
              <w:t>3.505.466,12</w:t>
            </w:r>
          </w:p>
        </w:tc>
      </w:tr>
      <w:tr w:rsidR="00651990" w:rsidRPr="00283296" w14:paraId="64739509" w14:textId="77777777" w:rsidTr="00651990">
        <w:trPr>
          <w:jc w:val="center"/>
        </w:trPr>
        <w:tc>
          <w:tcPr>
            <w:tcW w:w="3063" w:type="dxa"/>
            <w:tcBorders>
              <w:top w:val="single" w:sz="4" w:space="0" w:color="993333"/>
              <w:bottom w:val="single" w:sz="4" w:space="0" w:color="993333"/>
            </w:tcBorders>
            <w:shd w:val="clear" w:color="auto" w:fill="FFFFFF"/>
          </w:tcPr>
          <w:p w14:paraId="0F21098A" w14:textId="77777777" w:rsidR="00651990" w:rsidRPr="00283296" w:rsidRDefault="00651990" w:rsidP="00651990">
            <w:pPr>
              <w:widowControl w:val="0"/>
              <w:suppressAutoHyphens/>
              <w:spacing w:after="0" w:line="276" w:lineRule="auto"/>
              <w:jc w:val="both"/>
              <w:textAlignment w:val="baseline"/>
              <w:rPr>
                <w:rFonts w:ascii="Arial" w:eastAsia="NSimSun" w:hAnsi="Arial" w:cs="Arial"/>
                <w:kern w:val="2"/>
                <w:sz w:val="19"/>
                <w:szCs w:val="19"/>
                <w:lang w:val="es-ES" w:eastAsia="es-ES" w:bidi="hi-IN"/>
              </w:rPr>
            </w:pPr>
            <w:r w:rsidRPr="00283296">
              <w:rPr>
                <w:rFonts w:ascii="Arial" w:eastAsia="NSimSun" w:hAnsi="Arial" w:cs="Arial"/>
                <w:kern w:val="2"/>
                <w:sz w:val="19"/>
                <w:szCs w:val="19"/>
                <w:lang w:val="es-ES" w:eastAsia="es-ES" w:bidi="hi-IN"/>
              </w:rPr>
              <w:t xml:space="preserve">     CAP. II</w:t>
            </w:r>
          </w:p>
        </w:tc>
        <w:tc>
          <w:tcPr>
            <w:tcW w:w="2826" w:type="dxa"/>
            <w:tcBorders>
              <w:top w:val="single" w:sz="4" w:space="0" w:color="993333"/>
              <w:bottom w:val="single" w:sz="4" w:space="0" w:color="993333"/>
            </w:tcBorders>
            <w:shd w:val="clear" w:color="auto" w:fill="FFFFFF"/>
          </w:tcPr>
          <w:p w14:paraId="01779AA0" w14:textId="77777777" w:rsidR="00651990" w:rsidRPr="00283296" w:rsidRDefault="00651990" w:rsidP="00651990">
            <w:pPr>
              <w:widowControl w:val="0"/>
              <w:suppressAutoHyphens/>
              <w:spacing w:after="0" w:line="276" w:lineRule="auto"/>
              <w:jc w:val="right"/>
              <w:textAlignment w:val="baseline"/>
              <w:rPr>
                <w:rFonts w:ascii="Arial" w:eastAsia="Times New Roman" w:hAnsi="Arial" w:cs="Arial"/>
                <w:color w:val="000000"/>
                <w:kern w:val="2"/>
                <w:sz w:val="19"/>
                <w:szCs w:val="19"/>
                <w:lang w:val="es-ES" w:eastAsia="es-ES" w:bidi="hi-IN"/>
              </w:rPr>
            </w:pPr>
            <w:r w:rsidRPr="00283296">
              <w:rPr>
                <w:rFonts w:ascii="Arial" w:eastAsia="Times New Roman" w:hAnsi="Arial" w:cs="Arial"/>
                <w:color w:val="000000"/>
                <w:kern w:val="2"/>
                <w:sz w:val="19"/>
                <w:szCs w:val="19"/>
                <w:lang w:val="es-ES" w:eastAsia="es-ES" w:bidi="hi-IN"/>
              </w:rPr>
              <w:t>704.973,19</w:t>
            </w:r>
          </w:p>
        </w:tc>
      </w:tr>
      <w:tr w:rsidR="00651990" w:rsidRPr="00283296" w14:paraId="15BD493C" w14:textId="77777777" w:rsidTr="00651990">
        <w:trPr>
          <w:jc w:val="center"/>
        </w:trPr>
        <w:tc>
          <w:tcPr>
            <w:tcW w:w="3063" w:type="dxa"/>
            <w:tcBorders>
              <w:top w:val="single" w:sz="4" w:space="0" w:color="993333"/>
              <w:bottom w:val="single" w:sz="4" w:space="0" w:color="993333"/>
            </w:tcBorders>
            <w:shd w:val="clear" w:color="auto" w:fill="FFFFFF"/>
          </w:tcPr>
          <w:p w14:paraId="41295ADB" w14:textId="77777777" w:rsidR="00651990" w:rsidRPr="00283296" w:rsidRDefault="00651990" w:rsidP="00651990">
            <w:pPr>
              <w:widowControl w:val="0"/>
              <w:suppressAutoHyphens/>
              <w:spacing w:after="0" w:line="276" w:lineRule="auto"/>
              <w:jc w:val="both"/>
              <w:textAlignment w:val="baseline"/>
              <w:rPr>
                <w:rFonts w:ascii="Arial" w:eastAsia="NSimSun" w:hAnsi="Arial" w:cs="Arial"/>
                <w:kern w:val="2"/>
                <w:sz w:val="19"/>
                <w:szCs w:val="19"/>
                <w:lang w:val="es-ES" w:eastAsia="es-ES" w:bidi="hi-IN"/>
              </w:rPr>
            </w:pPr>
            <w:r w:rsidRPr="00283296">
              <w:rPr>
                <w:rFonts w:ascii="Arial" w:eastAsia="NSimSun" w:hAnsi="Arial" w:cs="Arial"/>
                <w:kern w:val="2"/>
                <w:sz w:val="19"/>
                <w:szCs w:val="19"/>
                <w:lang w:val="es-ES" w:eastAsia="es-ES" w:bidi="hi-IN"/>
              </w:rPr>
              <w:t xml:space="preserve">     CAP. IV</w:t>
            </w:r>
          </w:p>
        </w:tc>
        <w:tc>
          <w:tcPr>
            <w:tcW w:w="2826" w:type="dxa"/>
            <w:tcBorders>
              <w:top w:val="single" w:sz="4" w:space="0" w:color="993333"/>
              <w:bottom w:val="single" w:sz="4" w:space="0" w:color="993333"/>
            </w:tcBorders>
            <w:shd w:val="clear" w:color="auto" w:fill="FFFFFF"/>
          </w:tcPr>
          <w:p w14:paraId="6A8F47AB" w14:textId="77777777" w:rsidR="00651990" w:rsidRPr="00283296" w:rsidRDefault="00651990" w:rsidP="00651990">
            <w:pPr>
              <w:widowControl w:val="0"/>
              <w:suppressAutoHyphens/>
              <w:spacing w:after="0" w:line="276" w:lineRule="auto"/>
              <w:jc w:val="right"/>
              <w:textAlignment w:val="baseline"/>
              <w:rPr>
                <w:rFonts w:ascii="Arial" w:eastAsia="Times New Roman" w:hAnsi="Arial" w:cs="Arial"/>
                <w:color w:val="000000"/>
                <w:kern w:val="2"/>
                <w:sz w:val="19"/>
                <w:szCs w:val="19"/>
                <w:lang w:val="es-ES" w:eastAsia="es-ES" w:bidi="hi-IN"/>
              </w:rPr>
            </w:pPr>
            <w:r w:rsidRPr="00283296">
              <w:rPr>
                <w:rFonts w:ascii="Arial" w:eastAsia="Times New Roman" w:hAnsi="Arial" w:cs="Arial"/>
                <w:color w:val="000000"/>
                <w:kern w:val="2"/>
                <w:sz w:val="19"/>
                <w:szCs w:val="19"/>
                <w:lang w:val="es-ES" w:eastAsia="es-ES" w:bidi="hi-IN"/>
              </w:rPr>
              <w:t>14.000,00</w:t>
            </w:r>
          </w:p>
        </w:tc>
      </w:tr>
      <w:tr w:rsidR="00651990" w:rsidRPr="00283296" w14:paraId="3B7F9FF7" w14:textId="77777777" w:rsidTr="00651990">
        <w:trPr>
          <w:jc w:val="center"/>
        </w:trPr>
        <w:tc>
          <w:tcPr>
            <w:tcW w:w="3063" w:type="dxa"/>
            <w:tcBorders>
              <w:top w:val="single" w:sz="4" w:space="0" w:color="993333"/>
              <w:bottom w:val="single" w:sz="4" w:space="0" w:color="993333"/>
            </w:tcBorders>
            <w:shd w:val="clear" w:color="auto" w:fill="FFFFFF"/>
          </w:tcPr>
          <w:p w14:paraId="19AF3BAC" w14:textId="77777777" w:rsidR="00651990" w:rsidRPr="00283296" w:rsidRDefault="00651990" w:rsidP="00651990">
            <w:pPr>
              <w:widowControl w:val="0"/>
              <w:suppressAutoHyphens/>
              <w:spacing w:after="0" w:line="276" w:lineRule="auto"/>
              <w:jc w:val="both"/>
              <w:textAlignment w:val="baseline"/>
              <w:rPr>
                <w:rFonts w:ascii="Arial" w:eastAsia="NSimSun" w:hAnsi="Arial" w:cs="Arial"/>
                <w:kern w:val="2"/>
                <w:sz w:val="19"/>
                <w:szCs w:val="19"/>
                <w:lang w:val="es-ES" w:eastAsia="es-ES" w:bidi="hi-IN"/>
              </w:rPr>
            </w:pPr>
            <w:r w:rsidRPr="00283296">
              <w:rPr>
                <w:rFonts w:ascii="Arial" w:eastAsia="NSimSun" w:hAnsi="Arial" w:cs="Arial"/>
                <w:kern w:val="2"/>
                <w:sz w:val="19"/>
                <w:szCs w:val="19"/>
                <w:lang w:val="es-ES" w:eastAsia="es-ES" w:bidi="hi-IN"/>
              </w:rPr>
              <w:t xml:space="preserve">     CAP. VI</w:t>
            </w:r>
          </w:p>
        </w:tc>
        <w:tc>
          <w:tcPr>
            <w:tcW w:w="2826" w:type="dxa"/>
            <w:tcBorders>
              <w:top w:val="single" w:sz="4" w:space="0" w:color="993333"/>
              <w:bottom w:val="single" w:sz="4" w:space="0" w:color="993333"/>
            </w:tcBorders>
            <w:shd w:val="clear" w:color="auto" w:fill="FFFFFF"/>
          </w:tcPr>
          <w:p w14:paraId="7290E3CA" w14:textId="77777777" w:rsidR="00651990" w:rsidRPr="00283296" w:rsidRDefault="00651990" w:rsidP="00651990">
            <w:pPr>
              <w:widowControl w:val="0"/>
              <w:suppressAutoHyphens/>
              <w:spacing w:after="0" w:line="276" w:lineRule="auto"/>
              <w:jc w:val="right"/>
              <w:textAlignment w:val="baseline"/>
              <w:rPr>
                <w:rFonts w:ascii="Liberation Serif" w:eastAsia="NSimSun" w:hAnsi="Liberation Serif" w:cs="Arial"/>
                <w:kern w:val="2"/>
                <w:sz w:val="19"/>
                <w:szCs w:val="19"/>
                <w:lang w:val="es-ES" w:eastAsia="zh-CN" w:bidi="hi-IN"/>
              </w:rPr>
            </w:pPr>
            <w:r w:rsidRPr="00283296">
              <w:rPr>
                <w:rFonts w:ascii="Arial" w:eastAsia="Times New Roman" w:hAnsi="Arial" w:cs="Arial"/>
                <w:color w:val="000000"/>
                <w:kern w:val="2"/>
                <w:sz w:val="19"/>
                <w:szCs w:val="19"/>
                <w:lang w:val="es-ES" w:eastAsia="es-ES" w:bidi="hi-IN"/>
              </w:rPr>
              <w:t>199.890,57</w:t>
            </w:r>
          </w:p>
        </w:tc>
      </w:tr>
      <w:tr w:rsidR="00651990" w:rsidRPr="00283296" w14:paraId="4509D6F7" w14:textId="77777777" w:rsidTr="00651990">
        <w:trPr>
          <w:jc w:val="center"/>
        </w:trPr>
        <w:tc>
          <w:tcPr>
            <w:tcW w:w="3063" w:type="dxa"/>
            <w:tcBorders>
              <w:top w:val="single" w:sz="4" w:space="0" w:color="993333"/>
              <w:bottom w:val="single" w:sz="4" w:space="0" w:color="993333"/>
            </w:tcBorders>
            <w:shd w:val="clear" w:color="auto" w:fill="EEEEEE"/>
          </w:tcPr>
          <w:p w14:paraId="2A2889A5" w14:textId="77777777" w:rsidR="00651990" w:rsidRPr="00283296" w:rsidRDefault="00651990" w:rsidP="00651990">
            <w:pPr>
              <w:widowControl w:val="0"/>
              <w:suppressAutoHyphens/>
              <w:spacing w:after="0" w:line="276" w:lineRule="auto"/>
              <w:jc w:val="both"/>
              <w:textAlignment w:val="baseline"/>
              <w:rPr>
                <w:rFonts w:ascii="Arial" w:eastAsia="NSimSun" w:hAnsi="Arial" w:cs="Arial"/>
                <w:b/>
                <w:bCs/>
                <w:kern w:val="2"/>
                <w:sz w:val="19"/>
                <w:szCs w:val="19"/>
                <w:lang w:val="es-ES" w:eastAsia="es-ES" w:bidi="hi-IN"/>
              </w:rPr>
            </w:pPr>
            <w:r w:rsidRPr="00283296">
              <w:rPr>
                <w:rFonts w:ascii="Arial" w:eastAsia="NSimSun" w:hAnsi="Arial" w:cs="Arial"/>
                <w:b/>
                <w:bCs/>
                <w:kern w:val="2"/>
                <w:sz w:val="19"/>
                <w:szCs w:val="19"/>
                <w:lang w:val="es-ES" w:eastAsia="es-ES" w:bidi="hi-IN"/>
              </w:rPr>
              <w:t xml:space="preserve">    TOTAL</w:t>
            </w:r>
            <w:r w:rsidRPr="00283296">
              <w:rPr>
                <w:rFonts w:ascii="Calibri" w:eastAsia="Calibri" w:hAnsi="Calibri" w:cs="Times New Roman"/>
                <w:sz w:val="19"/>
                <w:szCs w:val="19"/>
                <w:lang w:val="es-ES"/>
              </w:rPr>
              <w:t xml:space="preserve"> </w:t>
            </w:r>
            <w:r w:rsidRPr="00283296">
              <w:rPr>
                <w:rFonts w:ascii="Arial" w:eastAsia="NSimSun" w:hAnsi="Arial" w:cs="Arial"/>
                <w:b/>
                <w:bCs/>
                <w:kern w:val="2"/>
                <w:sz w:val="19"/>
                <w:szCs w:val="19"/>
                <w:lang w:val="es-ES" w:eastAsia="es-ES" w:bidi="hi-IN"/>
              </w:rPr>
              <w:t>PRESSUPOST</w:t>
            </w:r>
          </w:p>
        </w:tc>
        <w:tc>
          <w:tcPr>
            <w:tcW w:w="2826" w:type="dxa"/>
            <w:tcBorders>
              <w:top w:val="single" w:sz="4" w:space="0" w:color="993333"/>
              <w:bottom w:val="single" w:sz="4" w:space="0" w:color="993333"/>
            </w:tcBorders>
            <w:shd w:val="clear" w:color="auto" w:fill="EEEEEE"/>
          </w:tcPr>
          <w:p w14:paraId="70353A48" w14:textId="77777777" w:rsidR="00651990" w:rsidRPr="00283296" w:rsidRDefault="00651990" w:rsidP="00651990">
            <w:pPr>
              <w:widowControl w:val="0"/>
              <w:suppressAutoHyphens/>
              <w:spacing w:after="0" w:line="276" w:lineRule="auto"/>
              <w:jc w:val="right"/>
              <w:textAlignment w:val="baseline"/>
              <w:rPr>
                <w:rFonts w:ascii="Arial" w:eastAsia="Times New Roman" w:hAnsi="Arial" w:cs="Arial"/>
                <w:b/>
                <w:bCs/>
                <w:color w:val="000000"/>
                <w:kern w:val="2"/>
                <w:sz w:val="19"/>
                <w:szCs w:val="19"/>
                <w:lang w:val="es-ES" w:eastAsia="es-ES" w:bidi="hi-IN"/>
              </w:rPr>
            </w:pPr>
            <w:r w:rsidRPr="00283296">
              <w:rPr>
                <w:rFonts w:ascii="Arial" w:eastAsia="Times New Roman" w:hAnsi="Arial" w:cs="Arial"/>
                <w:b/>
                <w:bCs/>
                <w:color w:val="000000"/>
                <w:kern w:val="2"/>
                <w:sz w:val="19"/>
                <w:szCs w:val="19"/>
                <w:lang w:val="es-ES" w:eastAsia="es-ES" w:bidi="hi-IN"/>
              </w:rPr>
              <w:t>4.424.329,88</w:t>
            </w:r>
          </w:p>
        </w:tc>
      </w:tr>
    </w:tbl>
    <w:p w14:paraId="399F0845" w14:textId="250D2366" w:rsidR="00651990" w:rsidRDefault="00651990" w:rsidP="00651990">
      <w:pPr>
        <w:spacing w:after="240" w:line="276" w:lineRule="auto"/>
        <w:jc w:val="both"/>
        <w:rPr>
          <w:rFonts w:ascii="Arial" w:eastAsia="Droid Sans Fallback" w:hAnsi="Arial" w:cs="Arial"/>
          <w:kern w:val="3"/>
          <w:sz w:val="21"/>
          <w:szCs w:val="21"/>
          <w:lang w:eastAsia="zh-CN" w:bidi="hi-IN"/>
        </w:rPr>
      </w:pPr>
    </w:p>
    <w:p w14:paraId="0413BBDA" w14:textId="49356DC5" w:rsidR="00651990" w:rsidRDefault="000E5DDE" w:rsidP="00343C17">
      <w:pPr>
        <w:spacing w:after="240" w:line="276" w:lineRule="auto"/>
        <w:jc w:val="both"/>
        <w:rPr>
          <w:rFonts w:ascii="Arial" w:eastAsia="Droid Sans Fallback" w:hAnsi="Arial" w:cs="Arial"/>
          <w:kern w:val="3"/>
          <w:sz w:val="21"/>
          <w:szCs w:val="21"/>
          <w:lang w:eastAsia="zh-CN" w:bidi="hi-IN"/>
        </w:rPr>
      </w:pPr>
      <w:r w:rsidRPr="000E5DDE">
        <w:rPr>
          <w:rFonts w:ascii="Arial" w:eastAsia="Droid Sans Fallback" w:hAnsi="Arial" w:cs="Arial"/>
          <w:kern w:val="3"/>
          <w:sz w:val="21"/>
          <w:szCs w:val="21"/>
          <w:lang w:val="ca" w:eastAsia="zh-CN" w:bidi="hi-IN"/>
        </w:rPr>
        <w:t>El finançament previst dels crèdits contemplats en el pressupost de despeses de l'Agència per a 2021 procedeix íntegrament de transferències de la Generalitat Valenciana, segons la següent distribució</w:t>
      </w:r>
    </w:p>
    <w:p w14:paraId="354F8ACA" w14:textId="1044B531" w:rsidR="000E5DDE" w:rsidRPr="000E5DDE" w:rsidRDefault="000E5DDE" w:rsidP="000E5DDE">
      <w:pPr>
        <w:pStyle w:val="Descripcin"/>
        <w:keepNext/>
        <w:jc w:val="center"/>
        <w:rPr>
          <w:rFonts w:ascii="Arial" w:hAnsi="Arial" w:cs="Arial"/>
          <w:smallCaps w:val="0"/>
          <w:sz w:val="18"/>
          <w:szCs w:val="18"/>
        </w:rPr>
      </w:pPr>
      <w:bookmarkStart w:id="494" w:name="_Toc99110876"/>
      <w:r w:rsidRPr="000E5DDE">
        <w:rPr>
          <w:rFonts w:ascii="Arial" w:hAnsi="Arial" w:cs="Arial"/>
          <w:smallCaps w:val="0"/>
          <w:color w:val="9D2235" w:themeColor="accent1"/>
          <w:sz w:val="18"/>
          <w:szCs w:val="18"/>
        </w:rPr>
        <w:t xml:space="preserve">Taula </w:t>
      </w:r>
      <w:r w:rsidRPr="000E5DDE">
        <w:rPr>
          <w:rFonts w:ascii="Arial" w:hAnsi="Arial" w:cs="Arial"/>
          <w:smallCaps w:val="0"/>
          <w:color w:val="9D2235" w:themeColor="accent1"/>
          <w:sz w:val="18"/>
          <w:szCs w:val="18"/>
        </w:rPr>
        <w:fldChar w:fldCharType="begin" w:fldLock="1"/>
      </w:r>
      <w:r w:rsidRPr="000E5DDE">
        <w:rPr>
          <w:rFonts w:ascii="Arial" w:hAnsi="Arial" w:cs="Arial"/>
          <w:smallCaps w:val="0"/>
          <w:color w:val="9D2235" w:themeColor="accent1"/>
          <w:sz w:val="18"/>
          <w:szCs w:val="18"/>
        </w:rPr>
        <w:instrText xml:space="preserve"> SEQ Taula \* ARABIC </w:instrText>
      </w:r>
      <w:r w:rsidRPr="000E5DDE">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31</w:t>
      </w:r>
      <w:r w:rsidRPr="000E5DDE">
        <w:rPr>
          <w:rFonts w:ascii="Arial" w:hAnsi="Arial" w:cs="Arial"/>
          <w:smallCaps w:val="0"/>
          <w:color w:val="9D2235" w:themeColor="accent1"/>
          <w:sz w:val="18"/>
          <w:szCs w:val="18"/>
        </w:rPr>
        <w:fldChar w:fldCharType="end"/>
      </w:r>
      <w:r w:rsidRPr="000E5DDE">
        <w:rPr>
          <w:rFonts w:ascii="Arial" w:hAnsi="Arial" w:cs="Arial"/>
          <w:smallCaps w:val="0"/>
          <w:color w:val="9D2235" w:themeColor="accent1"/>
          <w:sz w:val="18"/>
          <w:szCs w:val="18"/>
        </w:rPr>
        <w:t xml:space="preserve">. </w:t>
      </w:r>
      <w:r w:rsidRPr="000E5DDE">
        <w:rPr>
          <w:rFonts w:ascii="Arial" w:hAnsi="Arial" w:cs="Arial"/>
          <w:smallCaps w:val="0"/>
          <w:sz w:val="18"/>
          <w:szCs w:val="18"/>
        </w:rPr>
        <w:t>Pressupost d'ingressos exercici 2021</w:t>
      </w:r>
      <w:bookmarkEnd w:id="494"/>
    </w:p>
    <w:tbl>
      <w:tblPr>
        <w:tblW w:w="5842" w:type="dxa"/>
        <w:jc w:val="center"/>
        <w:tblCellMar>
          <w:left w:w="43" w:type="dxa"/>
        </w:tblCellMar>
        <w:tblLook w:val="0000" w:firstRow="0" w:lastRow="0" w:firstColumn="0" w:lastColumn="0" w:noHBand="0" w:noVBand="0"/>
      </w:tblPr>
      <w:tblGrid>
        <w:gridCol w:w="3063"/>
        <w:gridCol w:w="2779"/>
      </w:tblGrid>
      <w:tr w:rsidR="000E5DDE" w:rsidRPr="00283296" w14:paraId="241AB639" w14:textId="77777777" w:rsidTr="00283296">
        <w:trPr>
          <w:trHeight w:val="686"/>
          <w:jc w:val="center"/>
        </w:trPr>
        <w:tc>
          <w:tcPr>
            <w:tcW w:w="5842" w:type="dxa"/>
            <w:gridSpan w:val="2"/>
            <w:tcBorders>
              <w:top w:val="single" w:sz="18" w:space="0" w:color="FFFFFF"/>
              <w:left w:val="single" w:sz="18" w:space="0" w:color="FFFFFF"/>
              <w:right w:val="single" w:sz="18" w:space="0" w:color="FFFFFF"/>
            </w:tcBorders>
            <w:shd w:val="clear" w:color="auto" w:fill="9D2235"/>
            <w:vAlign w:val="center"/>
          </w:tcPr>
          <w:p w14:paraId="54DC57A2" w14:textId="77777777" w:rsidR="000E5DDE" w:rsidRPr="00283296" w:rsidRDefault="000E5DDE" w:rsidP="000E5DDE">
            <w:pPr>
              <w:widowControl w:val="0"/>
              <w:suppressAutoHyphens/>
              <w:spacing w:after="0" w:line="276" w:lineRule="auto"/>
              <w:jc w:val="both"/>
              <w:textAlignment w:val="baseline"/>
              <w:rPr>
                <w:rFonts w:ascii="Arial" w:eastAsia="NSimSun" w:hAnsi="Arial" w:cs="Arial"/>
                <w:b/>
                <w:bCs/>
                <w:color w:val="FFFFFF"/>
                <w:kern w:val="2"/>
                <w:sz w:val="19"/>
                <w:szCs w:val="19"/>
                <w:lang w:val="es-ES" w:eastAsia="es-ES"/>
              </w:rPr>
            </w:pPr>
            <w:r w:rsidRPr="00283296">
              <w:rPr>
                <w:rFonts w:ascii="Arial" w:eastAsia="NSimSun" w:hAnsi="Arial" w:cs="Arial"/>
                <w:b/>
                <w:bCs/>
                <w:color w:val="FFFFFF"/>
                <w:kern w:val="2"/>
                <w:sz w:val="19"/>
                <w:szCs w:val="19"/>
                <w:lang w:val="ca" w:eastAsia="es-ES"/>
              </w:rPr>
              <w:t>PRESSUPOST INGRESSOS 2021</w:t>
            </w:r>
          </w:p>
        </w:tc>
      </w:tr>
      <w:tr w:rsidR="000E5DDE" w:rsidRPr="00283296" w14:paraId="7B754F40" w14:textId="77777777" w:rsidTr="00271465">
        <w:trPr>
          <w:jc w:val="center"/>
        </w:trPr>
        <w:tc>
          <w:tcPr>
            <w:tcW w:w="3063" w:type="dxa"/>
            <w:tcBorders>
              <w:bottom w:val="single" w:sz="4" w:space="0" w:color="993333"/>
            </w:tcBorders>
            <w:shd w:val="clear" w:color="auto" w:fill="FFFFFF"/>
          </w:tcPr>
          <w:p w14:paraId="2FCD706A" w14:textId="77777777" w:rsidR="000E5DDE" w:rsidRPr="00283296" w:rsidRDefault="000E5DDE" w:rsidP="000E5DDE">
            <w:pPr>
              <w:widowControl w:val="0"/>
              <w:suppressAutoHyphens/>
              <w:spacing w:after="0" w:line="276" w:lineRule="auto"/>
              <w:jc w:val="both"/>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 xml:space="preserve">     CAP. IV</w:t>
            </w:r>
          </w:p>
        </w:tc>
        <w:tc>
          <w:tcPr>
            <w:tcW w:w="2779" w:type="dxa"/>
            <w:tcBorders>
              <w:bottom w:val="single" w:sz="4" w:space="0" w:color="993333"/>
            </w:tcBorders>
            <w:shd w:val="clear" w:color="auto" w:fill="FFFFFF"/>
          </w:tcPr>
          <w:p w14:paraId="775E65D3" w14:textId="77777777" w:rsidR="000E5DDE" w:rsidRPr="00283296" w:rsidRDefault="000E5DDE" w:rsidP="000E5DDE">
            <w:pPr>
              <w:widowControl w:val="0"/>
              <w:suppressAutoHyphens/>
              <w:spacing w:after="0" w:line="276" w:lineRule="auto"/>
              <w:jc w:val="right"/>
              <w:textAlignment w:val="baseline"/>
              <w:rPr>
                <w:rFonts w:ascii="Arial" w:eastAsia="Times New Roman" w:hAnsi="Arial" w:cs="Arial"/>
                <w:kern w:val="2"/>
                <w:sz w:val="19"/>
                <w:szCs w:val="19"/>
                <w:lang w:val="es-ES" w:eastAsia="es-ES"/>
              </w:rPr>
            </w:pPr>
            <w:r w:rsidRPr="00283296">
              <w:rPr>
                <w:rFonts w:ascii="Arial" w:eastAsia="NSimSun" w:hAnsi="Arial" w:cs="Arial"/>
                <w:kern w:val="2"/>
                <w:sz w:val="19"/>
                <w:szCs w:val="19"/>
                <w:lang w:val="ca" w:eastAsia="es-ES"/>
              </w:rPr>
              <w:t>4.224.439,31</w:t>
            </w:r>
          </w:p>
        </w:tc>
      </w:tr>
      <w:tr w:rsidR="000E5DDE" w:rsidRPr="00283296" w14:paraId="4F42AB04" w14:textId="77777777" w:rsidTr="00271465">
        <w:trPr>
          <w:jc w:val="center"/>
        </w:trPr>
        <w:tc>
          <w:tcPr>
            <w:tcW w:w="3063" w:type="dxa"/>
            <w:tcBorders>
              <w:top w:val="single" w:sz="4" w:space="0" w:color="993333"/>
              <w:bottom w:val="single" w:sz="4" w:space="0" w:color="993333"/>
            </w:tcBorders>
            <w:shd w:val="clear" w:color="auto" w:fill="FFFFFF"/>
          </w:tcPr>
          <w:p w14:paraId="5E6E5757" w14:textId="77777777" w:rsidR="000E5DDE" w:rsidRPr="00283296" w:rsidRDefault="000E5DDE" w:rsidP="000E5DDE">
            <w:pPr>
              <w:widowControl w:val="0"/>
              <w:suppressAutoHyphens/>
              <w:spacing w:after="0" w:line="276" w:lineRule="auto"/>
              <w:jc w:val="both"/>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 xml:space="preserve">     CAP. VII</w:t>
            </w:r>
          </w:p>
        </w:tc>
        <w:tc>
          <w:tcPr>
            <w:tcW w:w="2779" w:type="dxa"/>
            <w:tcBorders>
              <w:top w:val="single" w:sz="4" w:space="0" w:color="993333"/>
              <w:bottom w:val="single" w:sz="4" w:space="0" w:color="993333"/>
            </w:tcBorders>
            <w:shd w:val="clear" w:color="auto" w:fill="FFFFFF"/>
          </w:tcPr>
          <w:p w14:paraId="4A197FA5" w14:textId="77777777" w:rsidR="000E5DDE" w:rsidRPr="00283296" w:rsidRDefault="000E5DDE" w:rsidP="000E5DDE">
            <w:pPr>
              <w:widowControl w:val="0"/>
              <w:suppressAutoHyphens/>
              <w:spacing w:after="0" w:line="276" w:lineRule="auto"/>
              <w:jc w:val="right"/>
              <w:textAlignment w:val="baseline"/>
              <w:rPr>
                <w:rFonts w:ascii="Arial" w:eastAsia="Times New Roman" w:hAnsi="Arial" w:cs="Arial"/>
                <w:kern w:val="2"/>
                <w:sz w:val="19"/>
                <w:szCs w:val="19"/>
                <w:lang w:val="es-ES" w:eastAsia="es-ES"/>
              </w:rPr>
            </w:pPr>
            <w:r w:rsidRPr="00283296">
              <w:rPr>
                <w:rFonts w:ascii="Arial" w:eastAsia="NSimSun" w:hAnsi="Arial" w:cs="Arial"/>
                <w:kern w:val="2"/>
                <w:sz w:val="19"/>
                <w:szCs w:val="19"/>
                <w:lang w:val="ca" w:eastAsia="es-ES"/>
              </w:rPr>
              <w:t>199.890,57</w:t>
            </w:r>
          </w:p>
        </w:tc>
      </w:tr>
      <w:tr w:rsidR="000E5DDE" w:rsidRPr="00283296" w14:paraId="0251DDAD" w14:textId="77777777" w:rsidTr="00271465">
        <w:trPr>
          <w:jc w:val="center"/>
        </w:trPr>
        <w:tc>
          <w:tcPr>
            <w:tcW w:w="3063" w:type="dxa"/>
            <w:tcBorders>
              <w:top w:val="single" w:sz="4" w:space="0" w:color="993333"/>
              <w:bottom w:val="single" w:sz="4" w:space="0" w:color="993333"/>
            </w:tcBorders>
            <w:shd w:val="clear" w:color="auto" w:fill="EEEEEE"/>
          </w:tcPr>
          <w:p w14:paraId="4BA79CA2" w14:textId="77777777" w:rsidR="000E5DDE" w:rsidRPr="00283296" w:rsidRDefault="000E5DDE" w:rsidP="000E5DDE">
            <w:pPr>
              <w:widowControl w:val="0"/>
              <w:suppressAutoHyphens/>
              <w:spacing w:after="0" w:line="276" w:lineRule="auto"/>
              <w:jc w:val="both"/>
              <w:textAlignment w:val="baseline"/>
              <w:rPr>
                <w:rFonts w:ascii="Arial" w:eastAsia="NSimSun" w:hAnsi="Arial" w:cs="Arial"/>
                <w:b/>
                <w:bCs/>
                <w:kern w:val="2"/>
                <w:sz w:val="19"/>
                <w:szCs w:val="19"/>
                <w:lang w:val="es-ES" w:eastAsia="es-ES"/>
              </w:rPr>
            </w:pPr>
            <w:r w:rsidRPr="00283296">
              <w:rPr>
                <w:rFonts w:ascii="Arial" w:eastAsia="NSimSun" w:hAnsi="Arial" w:cs="Arial"/>
                <w:b/>
                <w:bCs/>
                <w:kern w:val="2"/>
                <w:sz w:val="19"/>
                <w:szCs w:val="19"/>
                <w:lang w:val="ca" w:eastAsia="es-ES"/>
              </w:rPr>
              <w:t xml:space="preserve">    TOTAL PRESSUPOST</w:t>
            </w:r>
          </w:p>
        </w:tc>
        <w:tc>
          <w:tcPr>
            <w:tcW w:w="2779" w:type="dxa"/>
            <w:tcBorders>
              <w:top w:val="single" w:sz="4" w:space="0" w:color="993333"/>
              <w:bottom w:val="single" w:sz="4" w:space="0" w:color="993333"/>
            </w:tcBorders>
            <w:shd w:val="clear" w:color="auto" w:fill="EEEEEE"/>
          </w:tcPr>
          <w:p w14:paraId="7830C711" w14:textId="77777777" w:rsidR="000E5DDE" w:rsidRPr="00283296" w:rsidRDefault="000E5DDE" w:rsidP="000E5DDE">
            <w:pPr>
              <w:widowControl w:val="0"/>
              <w:suppressAutoHyphens/>
              <w:spacing w:after="0" w:line="276" w:lineRule="auto"/>
              <w:jc w:val="right"/>
              <w:textAlignment w:val="baseline"/>
              <w:rPr>
                <w:rFonts w:ascii="Arial" w:eastAsia="Times New Roman" w:hAnsi="Arial" w:cs="Arial"/>
                <w:b/>
                <w:bCs/>
                <w:kern w:val="2"/>
                <w:sz w:val="19"/>
                <w:szCs w:val="19"/>
                <w:lang w:val="es-ES" w:eastAsia="es-ES"/>
              </w:rPr>
            </w:pPr>
            <w:r w:rsidRPr="00283296">
              <w:rPr>
                <w:rFonts w:ascii="Arial" w:eastAsia="NSimSun" w:hAnsi="Arial" w:cs="Arial"/>
                <w:b/>
                <w:bCs/>
                <w:kern w:val="2"/>
                <w:sz w:val="19"/>
                <w:szCs w:val="19"/>
                <w:lang w:val="ca" w:eastAsia="es-ES"/>
              </w:rPr>
              <w:t>4.424.329,88</w:t>
            </w:r>
          </w:p>
        </w:tc>
      </w:tr>
    </w:tbl>
    <w:p w14:paraId="7FD7D484" w14:textId="1600C3C4" w:rsidR="00651990" w:rsidRDefault="00651990" w:rsidP="00343C17">
      <w:pPr>
        <w:spacing w:after="240" w:line="276" w:lineRule="auto"/>
        <w:jc w:val="both"/>
        <w:rPr>
          <w:rFonts w:ascii="Arial" w:eastAsia="Droid Sans Fallback" w:hAnsi="Arial" w:cs="Arial"/>
          <w:kern w:val="3"/>
          <w:sz w:val="21"/>
          <w:szCs w:val="21"/>
          <w:lang w:eastAsia="zh-CN" w:bidi="hi-IN"/>
        </w:rPr>
      </w:pPr>
    </w:p>
    <w:p w14:paraId="62026A23" w14:textId="77777777" w:rsidR="000E5DDE" w:rsidRPr="000E5DDE" w:rsidRDefault="000E5DDE" w:rsidP="000E5DDE">
      <w:pPr>
        <w:spacing w:after="240" w:line="276" w:lineRule="auto"/>
        <w:jc w:val="both"/>
        <w:rPr>
          <w:rFonts w:ascii="Arial" w:eastAsia="Droid Sans Fallback" w:hAnsi="Arial" w:cs="Arial"/>
          <w:kern w:val="3"/>
          <w:sz w:val="21"/>
          <w:szCs w:val="21"/>
          <w:lang w:eastAsia="zh-CN" w:bidi="hi-IN"/>
        </w:rPr>
      </w:pPr>
      <w:r w:rsidRPr="000E5DDE">
        <w:rPr>
          <w:rFonts w:ascii="Arial" w:eastAsia="Droid Sans Fallback" w:hAnsi="Arial" w:cs="Arial"/>
          <w:kern w:val="3"/>
          <w:sz w:val="21"/>
          <w:szCs w:val="21"/>
          <w:lang w:eastAsia="zh-CN" w:bidi="hi-IN"/>
        </w:rPr>
        <w:t xml:space="preserve">Cal tindre en compte que la </w:t>
      </w:r>
      <w:bookmarkStart w:id="495" w:name="_Hlk96079235"/>
      <w:r w:rsidRPr="000E5DDE">
        <w:rPr>
          <w:rFonts w:ascii="Arial" w:eastAsia="Droid Sans Fallback" w:hAnsi="Arial" w:cs="Arial"/>
          <w:kern w:val="3"/>
          <w:sz w:val="21"/>
          <w:szCs w:val="21"/>
          <w:lang w:eastAsia="zh-CN" w:bidi="hi-IN"/>
        </w:rPr>
        <w:t>Llei 4/2020, de 30 de desembre, de Pressupostos de la Generalitat per a l'exercici 2021</w:t>
      </w:r>
      <w:bookmarkEnd w:id="495"/>
      <w:r w:rsidRPr="000E5DDE">
        <w:rPr>
          <w:rFonts w:ascii="Arial" w:eastAsia="Droid Sans Fallback" w:hAnsi="Arial" w:cs="Arial"/>
          <w:kern w:val="3"/>
          <w:sz w:val="21"/>
          <w:szCs w:val="21"/>
          <w:lang w:eastAsia="zh-CN" w:bidi="hi-IN"/>
        </w:rPr>
        <w:t>, arredoneix a l'alça els imports assenyalats en els següents termes.</w:t>
      </w:r>
    </w:p>
    <w:p w14:paraId="56C1479D" w14:textId="15D331D9" w:rsidR="000E5DDE" w:rsidRPr="000E5DDE" w:rsidRDefault="000E5DDE" w:rsidP="00986810">
      <w:pPr>
        <w:pStyle w:val="Descripcin"/>
        <w:keepNext/>
        <w:ind w:left="1" w:firstLine="1"/>
        <w:jc w:val="center"/>
        <w:rPr>
          <w:rFonts w:ascii="Arial" w:hAnsi="Arial" w:cs="Arial"/>
          <w:smallCaps w:val="0"/>
          <w:sz w:val="18"/>
          <w:szCs w:val="18"/>
        </w:rPr>
      </w:pPr>
      <w:bookmarkStart w:id="496" w:name="_Toc99110877"/>
      <w:r w:rsidRPr="000E5DDE">
        <w:rPr>
          <w:rFonts w:ascii="Arial" w:hAnsi="Arial" w:cs="Arial"/>
          <w:smallCaps w:val="0"/>
          <w:color w:val="9D2235" w:themeColor="accent1"/>
          <w:sz w:val="18"/>
          <w:szCs w:val="18"/>
        </w:rPr>
        <w:t xml:space="preserve">Taula </w:t>
      </w:r>
      <w:r w:rsidRPr="000E5DDE">
        <w:rPr>
          <w:rFonts w:ascii="Arial" w:hAnsi="Arial" w:cs="Arial"/>
          <w:smallCaps w:val="0"/>
          <w:color w:val="9D2235" w:themeColor="accent1"/>
          <w:sz w:val="18"/>
          <w:szCs w:val="18"/>
        </w:rPr>
        <w:fldChar w:fldCharType="begin" w:fldLock="1"/>
      </w:r>
      <w:r w:rsidRPr="000E5DDE">
        <w:rPr>
          <w:rFonts w:ascii="Arial" w:hAnsi="Arial" w:cs="Arial"/>
          <w:smallCaps w:val="0"/>
          <w:color w:val="9D2235" w:themeColor="accent1"/>
          <w:sz w:val="18"/>
          <w:szCs w:val="18"/>
        </w:rPr>
        <w:instrText xml:space="preserve"> SEQ Taula \* ARABIC </w:instrText>
      </w:r>
      <w:r w:rsidRPr="000E5DDE">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32</w:t>
      </w:r>
      <w:r w:rsidRPr="000E5DDE">
        <w:rPr>
          <w:rFonts w:ascii="Arial" w:hAnsi="Arial" w:cs="Arial"/>
          <w:smallCaps w:val="0"/>
          <w:color w:val="9D2235" w:themeColor="accent1"/>
          <w:sz w:val="18"/>
          <w:szCs w:val="18"/>
        </w:rPr>
        <w:fldChar w:fldCharType="end"/>
      </w:r>
      <w:r w:rsidRPr="000E5DDE">
        <w:rPr>
          <w:rFonts w:ascii="Arial" w:hAnsi="Arial" w:cs="Arial"/>
          <w:smallCaps w:val="0"/>
          <w:color w:val="9D2235" w:themeColor="accent1"/>
          <w:sz w:val="18"/>
          <w:szCs w:val="18"/>
        </w:rPr>
        <w:t xml:space="preserve">. </w:t>
      </w:r>
      <w:r w:rsidRPr="000E5DDE">
        <w:rPr>
          <w:rFonts w:ascii="Arial" w:hAnsi="Arial" w:cs="Arial"/>
          <w:smallCaps w:val="0"/>
          <w:sz w:val="18"/>
          <w:szCs w:val="18"/>
        </w:rPr>
        <w:t>Transferències a l'A</w:t>
      </w:r>
      <w:r w:rsidR="000B76FC">
        <w:rPr>
          <w:rFonts w:ascii="Arial" w:hAnsi="Arial" w:cs="Arial"/>
          <w:smallCaps w:val="0"/>
          <w:sz w:val="18"/>
          <w:szCs w:val="18"/>
        </w:rPr>
        <w:t>VAF</w:t>
      </w:r>
      <w:r w:rsidRPr="000E5DDE">
        <w:rPr>
          <w:rFonts w:ascii="Arial" w:hAnsi="Arial" w:cs="Arial"/>
          <w:smallCaps w:val="0"/>
          <w:sz w:val="18"/>
          <w:szCs w:val="18"/>
        </w:rPr>
        <w:t xml:space="preserve"> previstes en la llei 4/2020, de 30 de desembre, de Pressupostos de la Generalitat per a l'exercici 2021</w:t>
      </w:r>
      <w:bookmarkEnd w:id="496"/>
    </w:p>
    <w:tbl>
      <w:tblPr>
        <w:tblW w:w="5842" w:type="dxa"/>
        <w:jc w:val="center"/>
        <w:tblCellMar>
          <w:left w:w="43" w:type="dxa"/>
        </w:tblCellMar>
        <w:tblLook w:val="0000" w:firstRow="0" w:lastRow="0" w:firstColumn="0" w:lastColumn="0" w:noHBand="0" w:noVBand="0"/>
      </w:tblPr>
      <w:tblGrid>
        <w:gridCol w:w="3063"/>
        <w:gridCol w:w="2779"/>
      </w:tblGrid>
      <w:tr w:rsidR="000E5DDE" w:rsidRPr="00283296" w14:paraId="0FF81BE1" w14:textId="77777777" w:rsidTr="00283296">
        <w:trPr>
          <w:trHeight w:val="686"/>
          <w:jc w:val="center"/>
        </w:trPr>
        <w:tc>
          <w:tcPr>
            <w:tcW w:w="5842" w:type="dxa"/>
            <w:gridSpan w:val="2"/>
            <w:tcBorders>
              <w:top w:val="single" w:sz="18" w:space="0" w:color="FFFFFF"/>
              <w:left w:val="single" w:sz="18" w:space="0" w:color="FFFFFF"/>
              <w:right w:val="single" w:sz="18" w:space="0" w:color="FFFFFF"/>
            </w:tcBorders>
            <w:shd w:val="clear" w:color="auto" w:fill="9D2235"/>
            <w:vAlign w:val="center"/>
          </w:tcPr>
          <w:p w14:paraId="2C05728A" w14:textId="77777777" w:rsidR="000E5DDE" w:rsidRPr="00283296" w:rsidRDefault="000E5DDE" w:rsidP="000E5DDE">
            <w:pPr>
              <w:widowControl w:val="0"/>
              <w:suppressAutoHyphens/>
              <w:spacing w:after="0" w:line="276" w:lineRule="auto"/>
              <w:jc w:val="both"/>
              <w:textAlignment w:val="baseline"/>
              <w:rPr>
                <w:rFonts w:ascii="Arial" w:eastAsia="NSimSun" w:hAnsi="Arial" w:cs="Arial"/>
                <w:b/>
                <w:bCs/>
                <w:color w:val="FFFFFF"/>
                <w:kern w:val="2"/>
                <w:sz w:val="19"/>
                <w:szCs w:val="19"/>
                <w:lang w:val="es-ES" w:eastAsia="es-ES"/>
              </w:rPr>
            </w:pPr>
            <w:r w:rsidRPr="00283296">
              <w:rPr>
                <w:rFonts w:ascii="Arial" w:eastAsia="NSimSun" w:hAnsi="Arial" w:cs="Arial"/>
                <w:b/>
                <w:bCs/>
                <w:color w:val="FFFFFF"/>
                <w:kern w:val="2"/>
                <w:sz w:val="19"/>
                <w:szCs w:val="19"/>
                <w:lang w:val="ca" w:eastAsia="es-ES"/>
              </w:rPr>
              <w:t>Transferències a l' Agència Antifrau de la Generalitat</w:t>
            </w:r>
          </w:p>
          <w:p w14:paraId="6807D80B" w14:textId="77777777" w:rsidR="000E5DDE" w:rsidRPr="00283296" w:rsidRDefault="000E5DDE" w:rsidP="000E5DDE">
            <w:pPr>
              <w:widowControl w:val="0"/>
              <w:suppressAutoHyphens/>
              <w:spacing w:after="0" w:line="276" w:lineRule="auto"/>
              <w:jc w:val="both"/>
              <w:textAlignment w:val="baseline"/>
              <w:rPr>
                <w:rFonts w:ascii="Arial" w:eastAsia="NSimSun" w:hAnsi="Arial" w:cs="Arial"/>
                <w:b/>
                <w:bCs/>
                <w:color w:val="FFFFFF"/>
                <w:kern w:val="2"/>
                <w:sz w:val="19"/>
                <w:szCs w:val="19"/>
                <w:lang w:val="es-ES" w:eastAsia="es-ES"/>
              </w:rPr>
            </w:pPr>
            <w:r w:rsidRPr="00283296">
              <w:rPr>
                <w:rFonts w:ascii="Arial" w:eastAsia="NSimSun" w:hAnsi="Arial" w:cs="Arial"/>
                <w:b/>
                <w:bCs/>
                <w:color w:val="FFFFFF"/>
                <w:kern w:val="2"/>
                <w:sz w:val="19"/>
                <w:szCs w:val="19"/>
                <w:lang w:val="ca" w:eastAsia="es-ES"/>
              </w:rPr>
              <w:t>(En milers d'euros)</w:t>
            </w:r>
          </w:p>
        </w:tc>
      </w:tr>
      <w:tr w:rsidR="000E5DDE" w:rsidRPr="00283296" w14:paraId="5F68F44F" w14:textId="77777777" w:rsidTr="00271465">
        <w:trPr>
          <w:jc w:val="center"/>
        </w:trPr>
        <w:tc>
          <w:tcPr>
            <w:tcW w:w="3063" w:type="dxa"/>
            <w:tcBorders>
              <w:bottom w:val="single" w:sz="4" w:space="0" w:color="993333"/>
            </w:tcBorders>
            <w:shd w:val="clear" w:color="auto" w:fill="FFFFFF"/>
          </w:tcPr>
          <w:p w14:paraId="3C524035" w14:textId="77777777" w:rsidR="000E5DDE" w:rsidRPr="00283296" w:rsidRDefault="000E5DDE" w:rsidP="000E5DDE">
            <w:pPr>
              <w:widowControl w:val="0"/>
              <w:suppressAutoHyphens/>
              <w:spacing w:after="0" w:line="276" w:lineRule="auto"/>
              <w:jc w:val="both"/>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 xml:space="preserve">     CAP. IV</w:t>
            </w:r>
          </w:p>
        </w:tc>
        <w:tc>
          <w:tcPr>
            <w:tcW w:w="2779" w:type="dxa"/>
            <w:tcBorders>
              <w:bottom w:val="single" w:sz="4" w:space="0" w:color="993333"/>
            </w:tcBorders>
            <w:shd w:val="clear" w:color="auto" w:fill="FFFFFF"/>
          </w:tcPr>
          <w:p w14:paraId="3A76174F" w14:textId="77777777" w:rsidR="000E5DDE" w:rsidRPr="00283296" w:rsidRDefault="000E5DDE" w:rsidP="000E5DDE">
            <w:pPr>
              <w:widowControl w:val="0"/>
              <w:suppressAutoHyphens/>
              <w:spacing w:after="0" w:line="276" w:lineRule="auto"/>
              <w:jc w:val="right"/>
              <w:textAlignment w:val="baseline"/>
              <w:rPr>
                <w:rFonts w:ascii="Arial" w:eastAsia="Times New Roman" w:hAnsi="Arial" w:cs="Arial"/>
                <w:kern w:val="2"/>
                <w:sz w:val="19"/>
                <w:szCs w:val="19"/>
                <w:lang w:val="es-ES" w:eastAsia="es-ES"/>
              </w:rPr>
            </w:pPr>
            <w:r w:rsidRPr="00283296">
              <w:rPr>
                <w:rFonts w:ascii="Arial" w:eastAsia="NSimSun" w:hAnsi="Arial" w:cs="Arial"/>
                <w:kern w:val="2"/>
                <w:sz w:val="19"/>
                <w:szCs w:val="19"/>
                <w:lang w:val="ca" w:eastAsia="es-ES"/>
              </w:rPr>
              <w:t>4.224,45</w:t>
            </w:r>
          </w:p>
        </w:tc>
      </w:tr>
      <w:tr w:rsidR="000E5DDE" w:rsidRPr="00283296" w14:paraId="40932670" w14:textId="77777777" w:rsidTr="00271465">
        <w:trPr>
          <w:jc w:val="center"/>
        </w:trPr>
        <w:tc>
          <w:tcPr>
            <w:tcW w:w="3063" w:type="dxa"/>
            <w:tcBorders>
              <w:top w:val="single" w:sz="4" w:space="0" w:color="993333"/>
              <w:bottom w:val="single" w:sz="4" w:space="0" w:color="993333"/>
            </w:tcBorders>
            <w:shd w:val="clear" w:color="auto" w:fill="FFFFFF"/>
          </w:tcPr>
          <w:p w14:paraId="587166E5" w14:textId="77777777" w:rsidR="000E5DDE" w:rsidRPr="00283296" w:rsidRDefault="000E5DDE" w:rsidP="000E5DDE">
            <w:pPr>
              <w:widowControl w:val="0"/>
              <w:suppressAutoHyphens/>
              <w:spacing w:after="0" w:line="276" w:lineRule="auto"/>
              <w:jc w:val="both"/>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 xml:space="preserve">     CAP. VII</w:t>
            </w:r>
          </w:p>
        </w:tc>
        <w:tc>
          <w:tcPr>
            <w:tcW w:w="2779" w:type="dxa"/>
            <w:tcBorders>
              <w:top w:val="single" w:sz="4" w:space="0" w:color="993333"/>
              <w:bottom w:val="single" w:sz="4" w:space="0" w:color="993333"/>
            </w:tcBorders>
            <w:shd w:val="clear" w:color="auto" w:fill="FFFFFF"/>
          </w:tcPr>
          <w:p w14:paraId="1185441F" w14:textId="77777777" w:rsidR="000E5DDE" w:rsidRPr="00283296" w:rsidRDefault="000E5DDE" w:rsidP="000E5DDE">
            <w:pPr>
              <w:widowControl w:val="0"/>
              <w:suppressAutoHyphens/>
              <w:spacing w:after="0" w:line="276" w:lineRule="auto"/>
              <w:jc w:val="right"/>
              <w:textAlignment w:val="baseline"/>
              <w:rPr>
                <w:rFonts w:ascii="Arial" w:eastAsia="Times New Roman" w:hAnsi="Arial" w:cs="Arial"/>
                <w:kern w:val="2"/>
                <w:sz w:val="19"/>
                <w:szCs w:val="19"/>
                <w:lang w:val="es-ES" w:eastAsia="es-ES"/>
              </w:rPr>
            </w:pPr>
            <w:r w:rsidRPr="00283296">
              <w:rPr>
                <w:rFonts w:ascii="Arial" w:eastAsia="NSimSun" w:hAnsi="Arial" w:cs="Arial"/>
                <w:kern w:val="2"/>
                <w:sz w:val="19"/>
                <w:szCs w:val="19"/>
                <w:lang w:val="ca" w:eastAsia="es-ES"/>
              </w:rPr>
              <w:t>199,89</w:t>
            </w:r>
          </w:p>
        </w:tc>
      </w:tr>
      <w:tr w:rsidR="000E5DDE" w:rsidRPr="00283296" w14:paraId="420698D7" w14:textId="77777777" w:rsidTr="00271465">
        <w:trPr>
          <w:jc w:val="center"/>
        </w:trPr>
        <w:tc>
          <w:tcPr>
            <w:tcW w:w="3063" w:type="dxa"/>
            <w:tcBorders>
              <w:top w:val="single" w:sz="4" w:space="0" w:color="993333"/>
              <w:bottom w:val="single" w:sz="4" w:space="0" w:color="993333"/>
            </w:tcBorders>
            <w:shd w:val="clear" w:color="auto" w:fill="EEEEEE"/>
          </w:tcPr>
          <w:p w14:paraId="683673F9" w14:textId="77777777" w:rsidR="000E5DDE" w:rsidRPr="00283296" w:rsidRDefault="000E5DDE" w:rsidP="000E5DDE">
            <w:pPr>
              <w:widowControl w:val="0"/>
              <w:suppressAutoHyphens/>
              <w:spacing w:after="0" w:line="276" w:lineRule="auto"/>
              <w:jc w:val="both"/>
              <w:textAlignment w:val="baseline"/>
              <w:rPr>
                <w:rFonts w:ascii="Arial" w:eastAsia="NSimSun" w:hAnsi="Arial" w:cs="Arial"/>
                <w:b/>
                <w:bCs/>
                <w:kern w:val="2"/>
                <w:sz w:val="19"/>
                <w:szCs w:val="19"/>
                <w:lang w:val="es-ES" w:eastAsia="es-ES"/>
              </w:rPr>
            </w:pPr>
            <w:r w:rsidRPr="00283296">
              <w:rPr>
                <w:rFonts w:ascii="Arial" w:eastAsia="NSimSun" w:hAnsi="Arial" w:cs="Arial"/>
                <w:b/>
                <w:bCs/>
                <w:kern w:val="2"/>
                <w:sz w:val="19"/>
                <w:szCs w:val="19"/>
                <w:lang w:val="ca" w:eastAsia="es-ES"/>
              </w:rPr>
              <w:t xml:space="preserve">    TOTAL PRESSUPOST</w:t>
            </w:r>
          </w:p>
        </w:tc>
        <w:tc>
          <w:tcPr>
            <w:tcW w:w="2779" w:type="dxa"/>
            <w:tcBorders>
              <w:top w:val="single" w:sz="4" w:space="0" w:color="993333"/>
              <w:bottom w:val="single" w:sz="4" w:space="0" w:color="993333"/>
            </w:tcBorders>
            <w:shd w:val="clear" w:color="auto" w:fill="EEEEEE"/>
          </w:tcPr>
          <w:p w14:paraId="0C0BF6C5" w14:textId="77777777" w:rsidR="000E5DDE" w:rsidRPr="00283296" w:rsidRDefault="000E5DDE" w:rsidP="000E5DDE">
            <w:pPr>
              <w:widowControl w:val="0"/>
              <w:suppressAutoHyphens/>
              <w:spacing w:after="0" w:line="276" w:lineRule="auto"/>
              <w:jc w:val="right"/>
              <w:textAlignment w:val="baseline"/>
              <w:rPr>
                <w:rFonts w:ascii="Arial" w:eastAsia="Times New Roman" w:hAnsi="Arial" w:cs="Arial"/>
                <w:b/>
                <w:bCs/>
                <w:kern w:val="2"/>
                <w:sz w:val="19"/>
                <w:szCs w:val="19"/>
                <w:lang w:val="es-ES" w:eastAsia="es-ES"/>
              </w:rPr>
            </w:pPr>
            <w:r w:rsidRPr="00283296">
              <w:rPr>
                <w:rFonts w:ascii="Arial" w:eastAsia="Times New Roman" w:hAnsi="Arial" w:cs="Arial"/>
                <w:b/>
                <w:bCs/>
                <w:kern w:val="2"/>
                <w:sz w:val="19"/>
                <w:szCs w:val="19"/>
                <w:lang w:val="es-ES" w:eastAsia="es-ES"/>
              </w:rPr>
              <w:t>4.424,34</w:t>
            </w:r>
          </w:p>
        </w:tc>
      </w:tr>
    </w:tbl>
    <w:p w14:paraId="058BCB91" w14:textId="5F0D2A3A" w:rsidR="00651990" w:rsidRDefault="00651990" w:rsidP="00343C17">
      <w:pPr>
        <w:spacing w:after="240" w:line="276" w:lineRule="auto"/>
        <w:jc w:val="both"/>
        <w:rPr>
          <w:rFonts w:ascii="Arial" w:eastAsia="Droid Sans Fallback" w:hAnsi="Arial" w:cs="Arial"/>
          <w:kern w:val="3"/>
          <w:sz w:val="21"/>
          <w:szCs w:val="21"/>
          <w:lang w:eastAsia="zh-CN" w:bidi="hi-IN"/>
        </w:rPr>
      </w:pPr>
    </w:p>
    <w:p w14:paraId="2D28FD12" w14:textId="77777777" w:rsidR="00986810" w:rsidRPr="00986810" w:rsidRDefault="00986810" w:rsidP="00986810">
      <w:pPr>
        <w:spacing w:after="240" w:line="276" w:lineRule="auto"/>
        <w:jc w:val="both"/>
        <w:rPr>
          <w:rFonts w:ascii="Arial" w:eastAsia="Droid Sans Fallback" w:hAnsi="Arial" w:cs="Arial"/>
          <w:kern w:val="3"/>
          <w:sz w:val="21"/>
          <w:szCs w:val="21"/>
          <w:lang w:eastAsia="zh-CN" w:bidi="hi-IN"/>
        </w:rPr>
      </w:pPr>
      <w:r w:rsidRPr="00986810">
        <w:rPr>
          <w:rFonts w:ascii="Arial" w:eastAsia="Droid Sans Fallback" w:hAnsi="Arial" w:cs="Arial"/>
          <w:kern w:val="3"/>
          <w:sz w:val="21"/>
          <w:szCs w:val="21"/>
          <w:lang w:eastAsia="zh-CN" w:bidi="hi-IN"/>
        </w:rPr>
        <w:t>Durant l'exercici 2021, s'ha pogut procedir, definitivament, després de la petició reiterada d'aquesta Agència, al reintegrament a la Generalitat de les transferències rebudes corresponents als exercicis 2018, 2019 i 2020 i no aplicades.</w:t>
      </w:r>
    </w:p>
    <w:p w14:paraId="37FFAD3E" w14:textId="77777777" w:rsidR="00986810" w:rsidRPr="00986810" w:rsidRDefault="00986810" w:rsidP="00986810">
      <w:pPr>
        <w:spacing w:after="240" w:line="276" w:lineRule="auto"/>
        <w:jc w:val="both"/>
        <w:rPr>
          <w:rFonts w:ascii="Arial" w:eastAsia="Droid Sans Fallback" w:hAnsi="Arial" w:cs="Arial"/>
          <w:kern w:val="3"/>
          <w:sz w:val="21"/>
          <w:szCs w:val="21"/>
          <w:lang w:eastAsia="zh-CN" w:bidi="hi-IN"/>
        </w:rPr>
      </w:pPr>
      <w:r w:rsidRPr="00986810">
        <w:rPr>
          <w:rFonts w:ascii="Arial" w:eastAsia="Droid Sans Fallback" w:hAnsi="Arial" w:cs="Arial"/>
          <w:kern w:val="3"/>
          <w:sz w:val="21"/>
          <w:szCs w:val="21"/>
          <w:lang w:eastAsia="zh-CN" w:bidi="hi-IN"/>
        </w:rPr>
        <w:t>Davant la inexistència de procediment legalment habilitat per a això fins al moment, s'indica que els romanents acumulats per  l'Agència pendents de devolució a la Conselleria d'Hisenda han sigut els següents.</w:t>
      </w:r>
    </w:p>
    <w:p w14:paraId="69C46700" w14:textId="41C79F02" w:rsidR="00986810" w:rsidRPr="00986810" w:rsidRDefault="00986810" w:rsidP="00986810">
      <w:pPr>
        <w:pStyle w:val="Descripcin"/>
        <w:keepNext/>
        <w:jc w:val="center"/>
        <w:rPr>
          <w:rFonts w:ascii="Arial" w:hAnsi="Arial" w:cs="Arial"/>
          <w:smallCaps w:val="0"/>
          <w:sz w:val="18"/>
          <w:szCs w:val="18"/>
        </w:rPr>
      </w:pPr>
      <w:bookmarkStart w:id="497" w:name="_Toc99110878"/>
      <w:r w:rsidRPr="00986810">
        <w:rPr>
          <w:rFonts w:ascii="Arial" w:hAnsi="Arial" w:cs="Arial"/>
          <w:smallCaps w:val="0"/>
          <w:color w:val="9D2235" w:themeColor="accent1"/>
          <w:sz w:val="18"/>
          <w:szCs w:val="18"/>
        </w:rPr>
        <w:t xml:space="preserve">Taula </w:t>
      </w:r>
      <w:r w:rsidRPr="00986810">
        <w:rPr>
          <w:rFonts w:ascii="Arial" w:hAnsi="Arial" w:cs="Arial"/>
          <w:smallCaps w:val="0"/>
          <w:color w:val="9D2235" w:themeColor="accent1"/>
          <w:sz w:val="18"/>
          <w:szCs w:val="18"/>
        </w:rPr>
        <w:fldChar w:fldCharType="begin" w:fldLock="1"/>
      </w:r>
      <w:r w:rsidRPr="00986810">
        <w:rPr>
          <w:rFonts w:ascii="Arial" w:hAnsi="Arial" w:cs="Arial"/>
          <w:smallCaps w:val="0"/>
          <w:color w:val="9D2235" w:themeColor="accent1"/>
          <w:sz w:val="18"/>
          <w:szCs w:val="18"/>
        </w:rPr>
        <w:instrText xml:space="preserve"> SEQ Taula \* ARABIC </w:instrText>
      </w:r>
      <w:r w:rsidRPr="00986810">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33</w:t>
      </w:r>
      <w:r w:rsidRPr="00986810">
        <w:rPr>
          <w:rFonts w:ascii="Arial" w:hAnsi="Arial" w:cs="Arial"/>
          <w:smallCaps w:val="0"/>
          <w:color w:val="9D2235" w:themeColor="accent1"/>
          <w:sz w:val="18"/>
          <w:szCs w:val="18"/>
        </w:rPr>
        <w:fldChar w:fldCharType="end"/>
      </w:r>
      <w:r w:rsidRPr="00986810">
        <w:rPr>
          <w:rFonts w:ascii="Arial" w:hAnsi="Arial" w:cs="Arial"/>
          <w:smallCaps w:val="0"/>
          <w:color w:val="9D2235" w:themeColor="accent1"/>
          <w:sz w:val="18"/>
          <w:szCs w:val="18"/>
        </w:rPr>
        <w:t xml:space="preserve">. </w:t>
      </w:r>
      <w:r w:rsidRPr="00986810">
        <w:rPr>
          <w:rFonts w:ascii="Arial" w:hAnsi="Arial" w:cs="Arial"/>
          <w:smallCaps w:val="0"/>
          <w:sz w:val="18"/>
          <w:szCs w:val="18"/>
        </w:rPr>
        <w:t>Romanents acumulats a 31 de desembre de 2021</w:t>
      </w:r>
      <w:bookmarkEnd w:id="497"/>
    </w:p>
    <w:tbl>
      <w:tblPr>
        <w:tblW w:w="5889" w:type="dxa"/>
        <w:jc w:val="center"/>
        <w:tblCellMar>
          <w:left w:w="43" w:type="dxa"/>
        </w:tblCellMar>
        <w:tblLook w:val="0000" w:firstRow="0" w:lastRow="0" w:firstColumn="0" w:lastColumn="0" w:noHBand="0" w:noVBand="0"/>
      </w:tblPr>
      <w:tblGrid>
        <w:gridCol w:w="3063"/>
        <w:gridCol w:w="2826"/>
      </w:tblGrid>
      <w:tr w:rsidR="00986810" w:rsidRPr="00283296" w14:paraId="7B40315B" w14:textId="77777777" w:rsidTr="00283296">
        <w:trPr>
          <w:trHeight w:val="686"/>
          <w:jc w:val="center"/>
        </w:trPr>
        <w:tc>
          <w:tcPr>
            <w:tcW w:w="5889" w:type="dxa"/>
            <w:gridSpan w:val="2"/>
            <w:tcBorders>
              <w:top w:val="single" w:sz="18" w:space="0" w:color="FFFFFF"/>
              <w:left w:val="single" w:sz="18" w:space="0" w:color="FFFFFF"/>
              <w:right w:val="single" w:sz="18" w:space="0" w:color="FFFFFF"/>
            </w:tcBorders>
            <w:shd w:val="clear" w:color="auto" w:fill="9D2235"/>
            <w:vAlign w:val="center"/>
          </w:tcPr>
          <w:p w14:paraId="2B2666BD" w14:textId="77777777" w:rsidR="00986810" w:rsidRPr="00283296" w:rsidRDefault="00986810" w:rsidP="00986810">
            <w:pPr>
              <w:widowControl w:val="0"/>
              <w:suppressAutoHyphens/>
              <w:spacing w:after="0" w:line="276" w:lineRule="auto"/>
              <w:jc w:val="center"/>
              <w:textAlignment w:val="baseline"/>
              <w:rPr>
                <w:rFonts w:ascii="Arial" w:eastAsia="NSimSun" w:hAnsi="Arial" w:cs="Arial"/>
                <w:b/>
                <w:bCs/>
                <w:color w:val="FFFFFF"/>
                <w:kern w:val="2"/>
                <w:sz w:val="19"/>
                <w:szCs w:val="19"/>
                <w:highlight w:val="yellow"/>
                <w:lang w:val="es-ES" w:eastAsia="es-ES"/>
              </w:rPr>
            </w:pPr>
            <w:r w:rsidRPr="00283296">
              <w:rPr>
                <w:rFonts w:ascii="Arial" w:eastAsia="NSimSun" w:hAnsi="Arial" w:cs="Arial"/>
                <w:b/>
                <w:bCs/>
                <w:color w:val="FFFFFF"/>
                <w:kern w:val="2"/>
                <w:sz w:val="19"/>
                <w:szCs w:val="19"/>
                <w:lang w:val="ca" w:eastAsia="es-ES"/>
              </w:rPr>
              <w:t>REMANENTS ACUMULATS A 31/12/2020</w:t>
            </w:r>
          </w:p>
        </w:tc>
      </w:tr>
      <w:tr w:rsidR="00986810" w:rsidRPr="00283296" w14:paraId="1144275E" w14:textId="77777777" w:rsidTr="00271465">
        <w:trPr>
          <w:jc w:val="center"/>
        </w:trPr>
        <w:tc>
          <w:tcPr>
            <w:tcW w:w="3063" w:type="dxa"/>
            <w:tcBorders>
              <w:bottom w:val="single" w:sz="4" w:space="0" w:color="993333"/>
            </w:tcBorders>
            <w:shd w:val="clear" w:color="auto" w:fill="FFFFFF"/>
          </w:tcPr>
          <w:p w14:paraId="68B261F3" w14:textId="77777777" w:rsidR="00986810" w:rsidRPr="00283296" w:rsidRDefault="00986810" w:rsidP="00986810">
            <w:pPr>
              <w:widowControl w:val="0"/>
              <w:suppressAutoHyphens/>
              <w:spacing w:after="0" w:line="276" w:lineRule="auto"/>
              <w:jc w:val="center"/>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2018</w:t>
            </w:r>
          </w:p>
        </w:tc>
        <w:tc>
          <w:tcPr>
            <w:tcW w:w="2826" w:type="dxa"/>
            <w:tcBorders>
              <w:bottom w:val="single" w:sz="4" w:space="0" w:color="993333"/>
            </w:tcBorders>
            <w:shd w:val="clear" w:color="auto" w:fill="FFFFFF"/>
          </w:tcPr>
          <w:p w14:paraId="1E6484B7" w14:textId="77777777" w:rsidR="00986810" w:rsidRPr="00283296" w:rsidRDefault="00986810" w:rsidP="00986810">
            <w:pPr>
              <w:widowControl w:val="0"/>
              <w:suppressAutoHyphens/>
              <w:spacing w:after="0" w:line="276" w:lineRule="auto"/>
              <w:jc w:val="right"/>
              <w:textAlignment w:val="baseline"/>
              <w:rPr>
                <w:rFonts w:ascii="Arial" w:eastAsia="Times New Roman" w:hAnsi="Arial" w:cs="Arial"/>
                <w:color w:val="000000"/>
                <w:kern w:val="2"/>
                <w:sz w:val="19"/>
                <w:szCs w:val="19"/>
                <w:lang w:val="es-ES" w:eastAsia="es-ES"/>
              </w:rPr>
            </w:pPr>
            <w:r w:rsidRPr="00283296">
              <w:rPr>
                <w:rFonts w:ascii="Arial" w:eastAsia="NSimSun" w:hAnsi="Arial" w:cs="Arial"/>
                <w:color w:val="000000"/>
                <w:kern w:val="2"/>
                <w:sz w:val="19"/>
                <w:szCs w:val="19"/>
                <w:lang w:val="ca" w:eastAsia="es-ES"/>
              </w:rPr>
              <w:t>1.220.387,10</w:t>
            </w:r>
          </w:p>
        </w:tc>
      </w:tr>
      <w:tr w:rsidR="00986810" w:rsidRPr="00283296" w14:paraId="213D2BE7" w14:textId="77777777" w:rsidTr="00271465">
        <w:trPr>
          <w:jc w:val="center"/>
        </w:trPr>
        <w:tc>
          <w:tcPr>
            <w:tcW w:w="3063" w:type="dxa"/>
            <w:tcBorders>
              <w:top w:val="single" w:sz="4" w:space="0" w:color="993333"/>
              <w:bottom w:val="single" w:sz="4" w:space="0" w:color="993333"/>
            </w:tcBorders>
            <w:shd w:val="clear" w:color="auto" w:fill="FFFFFF"/>
          </w:tcPr>
          <w:p w14:paraId="7EA6EE2D" w14:textId="77777777" w:rsidR="00986810" w:rsidRPr="00283296" w:rsidRDefault="00986810" w:rsidP="00986810">
            <w:pPr>
              <w:widowControl w:val="0"/>
              <w:suppressAutoHyphens/>
              <w:spacing w:after="0" w:line="276" w:lineRule="auto"/>
              <w:jc w:val="center"/>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2019</w:t>
            </w:r>
          </w:p>
        </w:tc>
        <w:tc>
          <w:tcPr>
            <w:tcW w:w="2826" w:type="dxa"/>
            <w:tcBorders>
              <w:top w:val="single" w:sz="4" w:space="0" w:color="993333"/>
              <w:bottom w:val="single" w:sz="4" w:space="0" w:color="993333"/>
            </w:tcBorders>
            <w:shd w:val="clear" w:color="auto" w:fill="FFFFFF"/>
          </w:tcPr>
          <w:p w14:paraId="650C3AEB" w14:textId="77777777" w:rsidR="00986810" w:rsidRPr="00283296" w:rsidRDefault="00986810" w:rsidP="00986810">
            <w:pPr>
              <w:widowControl w:val="0"/>
              <w:suppressAutoHyphens/>
              <w:spacing w:after="0" w:line="276" w:lineRule="auto"/>
              <w:jc w:val="right"/>
              <w:textAlignment w:val="baseline"/>
              <w:rPr>
                <w:rFonts w:ascii="Arial" w:eastAsia="Times New Roman" w:hAnsi="Arial" w:cs="Arial"/>
                <w:color w:val="000000"/>
                <w:kern w:val="2"/>
                <w:sz w:val="19"/>
                <w:szCs w:val="19"/>
                <w:lang w:val="es-ES" w:eastAsia="es-ES"/>
              </w:rPr>
            </w:pPr>
            <w:r w:rsidRPr="00283296">
              <w:rPr>
                <w:rFonts w:ascii="Arial" w:eastAsia="NSimSun" w:hAnsi="Arial" w:cs="Arial"/>
                <w:color w:val="000000"/>
                <w:kern w:val="2"/>
                <w:sz w:val="19"/>
                <w:szCs w:val="19"/>
                <w:lang w:val="ca" w:eastAsia="es-ES"/>
              </w:rPr>
              <w:t>833.548,00</w:t>
            </w:r>
          </w:p>
        </w:tc>
      </w:tr>
      <w:tr w:rsidR="00986810" w:rsidRPr="00283296" w14:paraId="4BF7732D" w14:textId="77777777" w:rsidTr="00271465">
        <w:trPr>
          <w:jc w:val="center"/>
        </w:trPr>
        <w:tc>
          <w:tcPr>
            <w:tcW w:w="3063" w:type="dxa"/>
            <w:tcBorders>
              <w:top w:val="single" w:sz="4" w:space="0" w:color="993333"/>
              <w:bottom w:val="single" w:sz="4" w:space="0" w:color="993333"/>
            </w:tcBorders>
            <w:shd w:val="clear" w:color="auto" w:fill="FFFFFF"/>
          </w:tcPr>
          <w:p w14:paraId="42CA114A" w14:textId="77777777" w:rsidR="00986810" w:rsidRPr="00283296" w:rsidRDefault="00986810" w:rsidP="00986810">
            <w:pPr>
              <w:widowControl w:val="0"/>
              <w:suppressAutoHyphens/>
              <w:spacing w:after="0" w:line="276" w:lineRule="auto"/>
              <w:jc w:val="center"/>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2020</w:t>
            </w:r>
          </w:p>
        </w:tc>
        <w:tc>
          <w:tcPr>
            <w:tcW w:w="2826" w:type="dxa"/>
            <w:tcBorders>
              <w:top w:val="single" w:sz="4" w:space="0" w:color="993333"/>
              <w:bottom w:val="single" w:sz="4" w:space="0" w:color="993333"/>
            </w:tcBorders>
            <w:shd w:val="clear" w:color="auto" w:fill="FFFFFF"/>
          </w:tcPr>
          <w:p w14:paraId="5D060B96" w14:textId="77777777" w:rsidR="00986810" w:rsidRPr="00283296" w:rsidRDefault="00986810" w:rsidP="00986810">
            <w:pPr>
              <w:widowControl w:val="0"/>
              <w:suppressAutoHyphens/>
              <w:spacing w:after="0" w:line="276" w:lineRule="auto"/>
              <w:jc w:val="right"/>
              <w:textAlignment w:val="baseline"/>
              <w:rPr>
                <w:rFonts w:ascii="Arial" w:eastAsia="Times New Roman" w:hAnsi="Arial" w:cs="Arial"/>
                <w:color w:val="000000"/>
                <w:kern w:val="2"/>
                <w:sz w:val="19"/>
                <w:szCs w:val="19"/>
                <w:lang w:val="es-ES" w:eastAsia="es-ES"/>
              </w:rPr>
            </w:pPr>
            <w:r w:rsidRPr="00283296">
              <w:rPr>
                <w:rFonts w:ascii="Arial" w:eastAsia="NSimSun" w:hAnsi="Arial" w:cs="Arial"/>
                <w:color w:val="000000"/>
                <w:kern w:val="2"/>
                <w:sz w:val="19"/>
                <w:szCs w:val="19"/>
                <w:lang w:val="ca" w:eastAsia="es-ES"/>
              </w:rPr>
              <w:t>1.733.858,05</w:t>
            </w:r>
          </w:p>
        </w:tc>
      </w:tr>
      <w:tr w:rsidR="00986810" w:rsidRPr="00283296" w14:paraId="2FDC6A96" w14:textId="77777777" w:rsidTr="00271465">
        <w:trPr>
          <w:jc w:val="center"/>
        </w:trPr>
        <w:tc>
          <w:tcPr>
            <w:tcW w:w="3063" w:type="dxa"/>
            <w:tcBorders>
              <w:top w:val="single" w:sz="4" w:space="0" w:color="993333"/>
              <w:bottom w:val="single" w:sz="4" w:space="0" w:color="993333"/>
            </w:tcBorders>
            <w:shd w:val="clear" w:color="auto" w:fill="EEEEEE"/>
          </w:tcPr>
          <w:p w14:paraId="6F0A5E96" w14:textId="77777777" w:rsidR="00986810" w:rsidRPr="00283296" w:rsidRDefault="00986810" w:rsidP="00986810">
            <w:pPr>
              <w:widowControl w:val="0"/>
              <w:suppressAutoHyphens/>
              <w:spacing w:after="0" w:line="276" w:lineRule="auto"/>
              <w:jc w:val="center"/>
              <w:textAlignment w:val="baseline"/>
              <w:rPr>
                <w:rFonts w:ascii="Arial" w:eastAsia="NSimSun" w:hAnsi="Arial" w:cs="Arial"/>
                <w:b/>
                <w:bCs/>
                <w:kern w:val="2"/>
                <w:sz w:val="19"/>
                <w:szCs w:val="19"/>
                <w:lang w:val="es-ES" w:eastAsia="es-ES"/>
              </w:rPr>
            </w:pPr>
            <w:r w:rsidRPr="00283296">
              <w:rPr>
                <w:rFonts w:ascii="Arial" w:eastAsia="NSimSun" w:hAnsi="Arial" w:cs="Arial"/>
                <w:b/>
                <w:bCs/>
                <w:kern w:val="2"/>
                <w:sz w:val="19"/>
                <w:szCs w:val="19"/>
                <w:lang w:val="ca" w:eastAsia="es-ES"/>
              </w:rPr>
              <w:t>TOTAL</w:t>
            </w:r>
          </w:p>
        </w:tc>
        <w:tc>
          <w:tcPr>
            <w:tcW w:w="2826" w:type="dxa"/>
            <w:tcBorders>
              <w:top w:val="single" w:sz="4" w:space="0" w:color="993333"/>
              <w:bottom w:val="single" w:sz="4" w:space="0" w:color="993333"/>
            </w:tcBorders>
            <w:shd w:val="clear" w:color="auto" w:fill="EEEEEE"/>
          </w:tcPr>
          <w:p w14:paraId="7BDB8724" w14:textId="77777777" w:rsidR="00986810" w:rsidRPr="00283296" w:rsidRDefault="00986810" w:rsidP="00986810">
            <w:pPr>
              <w:widowControl w:val="0"/>
              <w:suppressAutoHyphens/>
              <w:spacing w:after="0" w:line="276" w:lineRule="auto"/>
              <w:jc w:val="right"/>
              <w:textAlignment w:val="baseline"/>
              <w:rPr>
                <w:rFonts w:ascii="Arial" w:eastAsia="Times New Roman" w:hAnsi="Arial" w:cs="Arial"/>
                <w:b/>
                <w:bCs/>
                <w:color w:val="000000"/>
                <w:kern w:val="2"/>
                <w:sz w:val="19"/>
                <w:szCs w:val="19"/>
                <w:lang w:val="es-ES" w:eastAsia="es-ES"/>
              </w:rPr>
            </w:pPr>
            <w:r w:rsidRPr="00283296">
              <w:rPr>
                <w:rFonts w:ascii="Arial" w:eastAsia="NSimSun" w:hAnsi="Arial" w:cs="Arial"/>
                <w:b/>
                <w:bCs/>
                <w:color w:val="000000"/>
                <w:kern w:val="2"/>
                <w:sz w:val="19"/>
                <w:szCs w:val="19"/>
                <w:lang w:val="ca" w:eastAsia="es-ES"/>
              </w:rPr>
              <w:t>3.787.793,15</w:t>
            </w:r>
          </w:p>
        </w:tc>
      </w:tr>
    </w:tbl>
    <w:p w14:paraId="1719E7E3" w14:textId="57E1A9C2" w:rsidR="00651990" w:rsidRPr="00986810" w:rsidRDefault="00651990" w:rsidP="00343C17">
      <w:pPr>
        <w:spacing w:after="240" w:line="276" w:lineRule="auto"/>
        <w:jc w:val="both"/>
        <w:rPr>
          <w:rFonts w:ascii="Arial" w:eastAsia="Droid Sans Fallback" w:hAnsi="Arial" w:cs="Arial"/>
          <w:kern w:val="3"/>
          <w:sz w:val="21"/>
          <w:szCs w:val="21"/>
          <w:lang w:val="es-ES" w:eastAsia="zh-CN" w:bidi="hi-IN"/>
        </w:rPr>
      </w:pPr>
    </w:p>
    <w:p w14:paraId="286F1619" w14:textId="77777777" w:rsidR="00986810" w:rsidRPr="00986810" w:rsidRDefault="00986810" w:rsidP="00986810">
      <w:pPr>
        <w:spacing w:after="240" w:line="276" w:lineRule="auto"/>
        <w:jc w:val="both"/>
        <w:rPr>
          <w:rFonts w:ascii="Arial" w:eastAsia="Droid Sans Fallback" w:hAnsi="Arial" w:cs="Arial"/>
          <w:kern w:val="3"/>
          <w:sz w:val="21"/>
          <w:szCs w:val="21"/>
          <w:lang w:val="es-ES" w:eastAsia="zh-CN" w:bidi="hi-IN"/>
        </w:rPr>
      </w:pPr>
      <w:r w:rsidRPr="00986810">
        <w:rPr>
          <w:rFonts w:ascii="Arial" w:eastAsia="Droid Sans Fallback" w:hAnsi="Arial" w:cs="Arial"/>
          <w:kern w:val="3"/>
          <w:sz w:val="21"/>
          <w:szCs w:val="21"/>
          <w:lang w:val="ca" w:eastAsia="zh-CN" w:bidi="hi-IN"/>
        </w:rPr>
        <w:t>Por Resolució del Conseller d'Hisenda i Model Econòmic de data 14 de desembre de 2021, s'accepta el reintegrament dels romanents de tresoreria acumulats durant els exercicis 2018, 2019 i 2020, per import de 3.787.793,15 €.</w:t>
      </w:r>
    </w:p>
    <w:p w14:paraId="12EA5129" w14:textId="77777777" w:rsidR="00986810" w:rsidRPr="00986810" w:rsidRDefault="00986810" w:rsidP="00986810">
      <w:pPr>
        <w:spacing w:after="240" w:line="276" w:lineRule="auto"/>
        <w:jc w:val="both"/>
        <w:rPr>
          <w:rFonts w:ascii="Arial" w:eastAsia="Droid Sans Fallback" w:hAnsi="Arial" w:cs="Arial"/>
          <w:kern w:val="3"/>
          <w:sz w:val="21"/>
          <w:szCs w:val="21"/>
          <w:lang w:val="es-ES" w:eastAsia="zh-CN" w:bidi="hi-IN"/>
        </w:rPr>
      </w:pPr>
      <w:r w:rsidRPr="00986810">
        <w:rPr>
          <w:rFonts w:ascii="Arial" w:eastAsia="Droid Sans Fallback" w:hAnsi="Arial" w:cs="Arial"/>
          <w:kern w:val="3"/>
          <w:sz w:val="21"/>
          <w:szCs w:val="21"/>
          <w:lang w:val="ca" w:eastAsia="zh-CN" w:bidi="hi-IN"/>
        </w:rPr>
        <w:t>A aquests efectes, seguint els tràmits indicats per la Intervenció de les Corts, s'ha procedit a aprovar la corresponent modificació pressupostària, mitjançant Resolució núm. 936/2021, de 23 de desembre. A data de redacció d'aquesta Memòria s'ha donat trasllat a les Corts per a la seua publicació al BOCV, d'acord amb el qual disposa l'article 77.4 del Reglament de funcionament i règim interior de l’Agència.</w:t>
      </w:r>
    </w:p>
    <w:p w14:paraId="65598526" w14:textId="3E5FFD8D" w:rsidR="00986810" w:rsidRPr="00986810" w:rsidRDefault="00986810" w:rsidP="00986810">
      <w:pPr>
        <w:pStyle w:val="Descripcin"/>
        <w:keepNext/>
        <w:jc w:val="center"/>
        <w:rPr>
          <w:rFonts w:ascii="Arial" w:hAnsi="Arial" w:cs="Arial"/>
          <w:smallCaps w:val="0"/>
          <w:sz w:val="18"/>
          <w:szCs w:val="18"/>
        </w:rPr>
      </w:pPr>
      <w:bookmarkStart w:id="498" w:name="_Toc99110879"/>
      <w:r w:rsidRPr="00986810">
        <w:rPr>
          <w:rFonts w:ascii="Arial" w:hAnsi="Arial" w:cs="Arial"/>
          <w:smallCaps w:val="0"/>
          <w:color w:val="9D2235" w:themeColor="accent1"/>
          <w:sz w:val="18"/>
          <w:szCs w:val="18"/>
        </w:rPr>
        <w:t xml:space="preserve">Taula </w:t>
      </w:r>
      <w:r w:rsidRPr="00986810">
        <w:rPr>
          <w:rFonts w:ascii="Arial" w:hAnsi="Arial" w:cs="Arial"/>
          <w:smallCaps w:val="0"/>
          <w:color w:val="9D2235" w:themeColor="accent1"/>
          <w:sz w:val="18"/>
          <w:szCs w:val="18"/>
        </w:rPr>
        <w:fldChar w:fldCharType="begin" w:fldLock="1"/>
      </w:r>
      <w:r w:rsidRPr="00986810">
        <w:rPr>
          <w:rFonts w:ascii="Arial" w:hAnsi="Arial" w:cs="Arial"/>
          <w:smallCaps w:val="0"/>
          <w:color w:val="9D2235" w:themeColor="accent1"/>
          <w:sz w:val="18"/>
          <w:szCs w:val="18"/>
        </w:rPr>
        <w:instrText xml:space="preserve"> SEQ Taula \* ARABIC </w:instrText>
      </w:r>
      <w:r w:rsidRPr="00986810">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34</w:t>
      </w:r>
      <w:r w:rsidRPr="00986810">
        <w:rPr>
          <w:rFonts w:ascii="Arial" w:hAnsi="Arial" w:cs="Arial"/>
          <w:smallCaps w:val="0"/>
          <w:color w:val="9D2235" w:themeColor="accent1"/>
          <w:sz w:val="18"/>
          <w:szCs w:val="18"/>
        </w:rPr>
        <w:fldChar w:fldCharType="end"/>
      </w:r>
      <w:r w:rsidRPr="00986810">
        <w:rPr>
          <w:rFonts w:ascii="Arial" w:hAnsi="Arial" w:cs="Arial"/>
          <w:smallCaps w:val="0"/>
          <w:color w:val="9D2235" w:themeColor="accent1"/>
          <w:sz w:val="18"/>
          <w:szCs w:val="18"/>
        </w:rPr>
        <w:t xml:space="preserve">. </w:t>
      </w:r>
      <w:r w:rsidRPr="00986810">
        <w:rPr>
          <w:rFonts w:ascii="Arial" w:hAnsi="Arial" w:cs="Arial"/>
          <w:smallCaps w:val="0"/>
          <w:sz w:val="18"/>
          <w:szCs w:val="18"/>
        </w:rPr>
        <w:t>Modificació pressupostària aprovada el 2021 per a devolució a la Conselleria d'Hisenda dels romanents acumulats</w:t>
      </w:r>
      <w:bookmarkEnd w:id="498"/>
    </w:p>
    <w:tbl>
      <w:tblPr>
        <w:tblW w:w="7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tblCellMar>
        <w:tblLook w:val="0000" w:firstRow="0" w:lastRow="0" w:firstColumn="0" w:lastColumn="0" w:noHBand="0" w:noVBand="0"/>
      </w:tblPr>
      <w:tblGrid>
        <w:gridCol w:w="5240"/>
        <w:gridCol w:w="2308"/>
      </w:tblGrid>
      <w:tr w:rsidR="00986810" w:rsidRPr="00283296" w14:paraId="26648BF1" w14:textId="77777777" w:rsidTr="00283296">
        <w:trPr>
          <w:trHeight w:val="686"/>
          <w:jc w:val="center"/>
        </w:trPr>
        <w:tc>
          <w:tcPr>
            <w:tcW w:w="7548" w:type="dxa"/>
            <w:gridSpan w:val="2"/>
            <w:shd w:val="clear" w:color="auto" w:fill="9D2235"/>
            <w:vAlign w:val="center"/>
          </w:tcPr>
          <w:p w14:paraId="60EE05E2" w14:textId="77777777" w:rsidR="00986810" w:rsidRPr="00283296" w:rsidRDefault="00986810" w:rsidP="00986810">
            <w:pPr>
              <w:widowControl w:val="0"/>
              <w:suppressAutoHyphens/>
              <w:spacing w:after="0" w:line="276" w:lineRule="auto"/>
              <w:jc w:val="both"/>
              <w:textAlignment w:val="baseline"/>
              <w:rPr>
                <w:rFonts w:ascii="Arial" w:eastAsia="NSimSun" w:hAnsi="Arial" w:cs="Arial"/>
                <w:b/>
                <w:bCs/>
                <w:color w:val="FFFFFF"/>
                <w:kern w:val="2"/>
                <w:sz w:val="19"/>
                <w:szCs w:val="19"/>
                <w:lang w:val="es-ES" w:eastAsia="es-ES"/>
              </w:rPr>
            </w:pPr>
            <w:r w:rsidRPr="00283296">
              <w:rPr>
                <w:rFonts w:ascii="Arial" w:eastAsia="NSimSun" w:hAnsi="Arial" w:cs="Arial"/>
                <w:b/>
                <w:bCs/>
                <w:color w:val="FFFFFF"/>
                <w:kern w:val="2"/>
                <w:sz w:val="19"/>
                <w:szCs w:val="19"/>
                <w:lang w:val="ca" w:eastAsia="es-ES"/>
              </w:rPr>
              <w:t>Modificació pressupostària aprovada el 2021</w:t>
            </w:r>
          </w:p>
        </w:tc>
      </w:tr>
      <w:tr w:rsidR="00986810" w:rsidRPr="00283296" w14:paraId="37C501D7" w14:textId="77777777" w:rsidTr="00271465">
        <w:trPr>
          <w:jc w:val="center"/>
        </w:trPr>
        <w:tc>
          <w:tcPr>
            <w:tcW w:w="5240" w:type="dxa"/>
            <w:shd w:val="clear" w:color="auto" w:fill="FFFFFF"/>
          </w:tcPr>
          <w:p w14:paraId="7A595D83" w14:textId="77777777" w:rsidR="00986810" w:rsidRPr="00283296" w:rsidRDefault="00986810" w:rsidP="00986810">
            <w:pPr>
              <w:widowControl w:val="0"/>
              <w:suppressAutoHyphens/>
              <w:spacing w:after="0" w:line="276" w:lineRule="auto"/>
              <w:jc w:val="both"/>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Alta en Capítol IV de Despeses (43001)</w:t>
            </w:r>
          </w:p>
        </w:tc>
        <w:tc>
          <w:tcPr>
            <w:tcW w:w="2308" w:type="dxa"/>
            <w:shd w:val="clear" w:color="auto" w:fill="FFFFFF"/>
          </w:tcPr>
          <w:p w14:paraId="516556EF" w14:textId="77777777" w:rsidR="00986810" w:rsidRPr="00283296" w:rsidRDefault="00986810" w:rsidP="00986810">
            <w:pPr>
              <w:widowControl w:val="0"/>
              <w:suppressAutoHyphens/>
              <w:spacing w:after="0" w:line="276" w:lineRule="auto"/>
              <w:jc w:val="right"/>
              <w:textAlignment w:val="baseline"/>
              <w:rPr>
                <w:rFonts w:ascii="Arial" w:eastAsia="Times New Roman" w:hAnsi="Arial" w:cs="Arial"/>
                <w:kern w:val="2"/>
                <w:sz w:val="19"/>
                <w:szCs w:val="19"/>
                <w:lang w:val="es-ES" w:eastAsia="es-ES"/>
              </w:rPr>
            </w:pPr>
            <w:r w:rsidRPr="00283296">
              <w:rPr>
                <w:rFonts w:ascii="Arial" w:eastAsia="NSimSun" w:hAnsi="Arial" w:cs="Arial"/>
                <w:kern w:val="2"/>
                <w:sz w:val="19"/>
                <w:szCs w:val="19"/>
                <w:lang w:val="ca" w:eastAsia="es-ES"/>
              </w:rPr>
              <w:t>3.787.793,15</w:t>
            </w:r>
          </w:p>
        </w:tc>
      </w:tr>
      <w:tr w:rsidR="00986810" w:rsidRPr="00283296" w14:paraId="5311DB0D" w14:textId="77777777" w:rsidTr="00271465">
        <w:trPr>
          <w:jc w:val="center"/>
        </w:trPr>
        <w:tc>
          <w:tcPr>
            <w:tcW w:w="5240" w:type="dxa"/>
            <w:shd w:val="clear" w:color="auto" w:fill="FFFFFF"/>
          </w:tcPr>
          <w:p w14:paraId="1BE467FB" w14:textId="77777777" w:rsidR="00986810" w:rsidRPr="00283296" w:rsidRDefault="00986810" w:rsidP="00986810">
            <w:pPr>
              <w:widowControl w:val="0"/>
              <w:suppressAutoHyphens/>
              <w:spacing w:after="0" w:line="276" w:lineRule="auto"/>
              <w:jc w:val="both"/>
              <w:textAlignment w:val="baseline"/>
              <w:rPr>
                <w:rFonts w:ascii="Arial" w:eastAsia="NSimSun" w:hAnsi="Arial" w:cs="Arial"/>
                <w:kern w:val="2"/>
                <w:sz w:val="19"/>
                <w:szCs w:val="19"/>
                <w:lang w:val="es-ES" w:eastAsia="es-ES"/>
              </w:rPr>
            </w:pPr>
            <w:r w:rsidRPr="00283296">
              <w:rPr>
                <w:rFonts w:ascii="Arial" w:eastAsia="NSimSun" w:hAnsi="Arial" w:cs="Arial"/>
                <w:kern w:val="2"/>
                <w:sz w:val="19"/>
                <w:szCs w:val="19"/>
                <w:lang w:val="ca" w:eastAsia="es-ES"/>
              </w:rPr>
              <w:t>Alta en Capítol VIII d'Ingressos (87001)</w:t>
            </w:r>
          </w:p>
        </w:tc>
        <w:tc>
          <w:tcPr>
            <w:tcW w:w="2308" w:type="dxa"/>
            <w:shd w:val="clear" w:color="auto" w:fill="FFFFFF"/>
          </w:tcPr>
          <w:p w14:paraId="2475B79D" w14:textId="77777777" w:rsidR="00986810" w:rsidRPr="00283296" w:rsidRDefault="00986810" w:rsidP="00986810">
            <w:pPr>
              <w:widowControl w:val="0"/>
              <w:suppressAutoHyphens/>
              <w:spacing w:after="0" w:line="276" w:lineRule="auto"/>
              <w:jc w:val="right"/>
              <w:textAlignment w:val="baseline"/>
              <w:rPr>
                <w:rFonts w:ascii="Arial" w:eastAsia="Times New Roman" w:hAnsi="Arial" w:cs="Arial"/>
                <w:kern w:val="2"/>
                <w:sz w:val="19"/>
                <w:szCs w:val="19"/>
                <w:lang w:val="es-ES" w:eastAsia="es-ES"/>
              </w:rPr>
            </w:pPr>
            <w:r w:rsidRPr="00283296">
              <w:rPr>
                <w:rFonts w:ascii="Arial" w:eastAsia="NSimSun" w:hAnsi="Arial" w:cs="Arial"/>
                <w:kern w:val="2"/>
                <w:sz w:val="19"/>
                <w:szCs w:val="19"/>
                <w:lang w:val="ca" w:eastAsia="es-ES"/>
              </w:rPr>
              <w:t>3.787.793,15</w:t>
            </w:r>
          </w:p>
        </w:tc>
      </w:tr>
      <w:tr w:rsidR="00986810" w:rsidRPr="00283296" w14:paraId="7EA614E4" w14:textId="77777777" w:rsidTr="00271465">
        <w:trPr>
          <w:jc w:val="center"/>
        </w:trPr>
        <w:tc>
          <w:tcPr>
            <w:tcW w:w="5240" w:type="dxa"/>
            <w:shd w:val="clear" w:color="auto" w:fill="EEEEEE"/>
          </w:tcPr>
          <w:p w14:paraId="6F0D5378" w14:textId="77777777" w:rsidR="00986810" w:rsidRPr="00283296" w:rsidRDefault="00986810" w:rsidP="00986810">
            <w:pPr>
              <w:widowControl w:val="0"/>
              <w:suppressAutoHyphens/>
              <w:spacing w:after="0" w:line="276" w:lineRule="auto"/>
              <w:jc w:val="both"/>
              <w:textAlignment w:val="baseline"/>
              <w:rPr>
                <w:rFonts w:ascii="Arial" w:eastAsia="NSimSun" w:hAnsi="Arial" w:cs="Arial"/>
                <w:b/>
                <w:bCs/>
                <w:kern w:val="2"/>
                <w:sz w:val="19"/>
                <w:szCs w:val="19"/>
                <w:lang w:val="es-ES" w:eastAsia="es-ES"/>
              </w:rPr>
            </w:pPr>
            <w:r w:rsidRPr="00283296">
              <w:rPr>
                <w:rFonts w:ascii="Arial" w:eastAsia="NSimSun" w:hAnsi="Arial" w:cs="Arial"/>
                <w:b/>
                <w:bCs/>
                <w:kern w:val="2"/>
                <w:sz w:val="19"/>
                <w:szCs w:val="19"/>
                <w:lang w:val="ca" w:eastAsia="es-ES"/>
              </w:rPr>
              <w:t>TOTAL PRESSUPOST DESPRÉS DE MODIFICACIÓ</w:t>
            </w:r>
          </w:p>
        </w:tc>
        <w:tc>
          <w:tcPr>
            <w:tcW w:w="2308" w:type="dxa"/>
            <w:shd w:val="clear" w:color="auto" w:fill="EEEEEE"/>
          </w:tcPr>
          <w:p w14:paraId="6D4802F3" w14:textId="77777777" w:rsidR="00986810" w:rsidRPr="00283296" w:rsidRDefault="00986810" w:rsidP="00986810">
            <w:pPr>
              <w:widowControl w:val="0"/>
              <w:suppressAutoHyphens/>
              <w:spacing w:after="0" w:line="276" w:lineRule="auto"/>
              <w:jc w:val="right"/>
              <w:textAlignment w:val="baseline"/>
              <w:rPr>
                <w:rFonts w:ascii="Arial" w:eastAsia="Times New Roman" w:hAnsi="Arial" w:cs="Arial"/>
                <w:b/>
                <w:bCs/>
                <w:kern w:val="2"/>
                <w:sz w:val="19"/>
                <w:szCs w:val="19"/>
                <w:lang w:val="es-ES" w:eastAsia="es-ES"/>
              </w:rPr>
            </w:pPr>
            <w:r w:rsidRPr="00283296">
              <w:rPr>
                <w:rFonts w:ascii="Arial" w:eastAsia="NSimSun" w:hAnsi="Arial" w:cs="Arial"/>
                <w:b/>
                <w:bCs/>
                <w:kern w:val="2"/>
                <w:sz w:val="19"/>
                <w:szCs w:val="19"/>
                <w:lang w:val="ca" w:eastAsia="es-ES"/>
              </w:rPr>
              <w:t>8.212.133,15</w:t>
            </w:r>
          </w:p>
        </w:tc>
      </w:tr>
    </w:tbl>
    <w:p w14:paraId="279B3229" w14:textId="07E01D59" w:rsidR="00986810" w:rsidRDefault="00986810" w:rsidP="00343C17">
      <w:pPr>
        <w:spacing w:after="240" w:line="276" w:lineRule="auto"/>
        <w:jc w:val="both"/>
        <w:rPr>
          <w:rFonts w:ascii="Arial" w:eastAsia="Droid Sans Fallback" w:hAnsi="Arial" w:cs="Arial"/>
          <w:kern w:val="3"/>
          <w:sz w:val="21"/>
          <w:szCs w:val="21"/>
          <w:lang w:eastAsia="zh-CN" w:bidi="hi-IN"/>
        </w:rPr>
      </w:pPr>
    </w:p>
    <w:p w14:paraId="67885F13" w14:textId="77777777" w:rsidR="00411A2E" w:rsidRPr="00411A2E" w:rsidRDefault="00411A2E" w:rsidP="00411A2E">
      <w:pPr>
        <w:spacing w:after="240" w:line="276" w:lineRule="auto"/>
        <w:jc w:val="both"/>
        <w:rPr>
          <w:rFonts w:ascii="Arial" w:eastAsia="Droid Sans Fallback" w:hAnsi="Arial" w:cs="Arial"/>
          <w:kern w:val="3"/>
          <w:sz w:val="21"/>
          <w:szCs w:val="21"/>
          <w:lang w:val="es-ES" w:eastAsia="zh-CN" w:bidi="hi-IN"/>
        </w:rPr>
      </w:pPr>
      <w:r w:rsidRPr="00411A2E">
        <w:rPr>
          <w:rFonts w:ascii="Arial" w:eastAsia="Droid Sans Fallback" w:hAnsi="Arial" w:cs="Arial"/>
          <w:kern w:val="3"/>
          <w:sz w:val="21"/>
          <w:szCs w:val="21"/>
          <w:lang w:eastAsia="zh-CN" w:bidi="hi-IN"/>
        </w:rPr>
        <w:t>En aquest sentit, cal destacar que finalment s’ha habilitat, responent a les demandes que cada any formulava aquesta Agència, el procediment corresponent per a devolució de romanents en la Llei de  Pressupostos anual de la Generalitat, d'igual forma a les Corts i a la resta d'institucions dependents d’aquesta, a través de la inclusió de l'Agència en la seua disposició addicional primera. Així, es recull en la Llei 8/2021, de 30 de desembre, de Pressupostos de la Generalitat per a l'exercici 2022</w:t>
      </w:r>
      <w:r w:rsidRPr="00411A2E">
        <w:rPr>
          <w:rFonts w:ascii="Arial" w:eastAsia="Droid Sans Fallback" w:hAnsi="Arial" w:cs="Arial"/>
          <w:kern w:val="3"/>
          <w:sz w:val="21"/>
          <w:szCs w:val="21"/>
          <w:lang w:val="ca" w:eastAsia="zh-CN" w:bidi="hi-IN"/>
        </w:rPr>
        <w:t>.</w:t>
      </w:r>
    </w:p>
    <w:p w14:paraId="30C60630" w14:textId="77777777" w:rsidR="00411A2E" w:rsidRDefault="00411A2E" w:rsidP="00343C17">
      <w:pPr>
        <w:spacing w:after="240" w:line="276" w:lineRule="auto"/>
        <w:jc w:val="both"/>
        <w:rPr>
          <w:rFonts w:ascii="Arial" w:eastAsia="Droid Sans Fallback" w:hAnsi="Arial" w:cs="Arial"/>
          <w:kern w:val="3"/>
          <w:sz w:val="21"/>
          <w:szCs w:val="21"/>
          <w:lang w:val="es-ES" w:eastAsia="zh-CN" w:bidi="hi-IN"/>
        </w:rPr>
        <w:sectPr w:rsidR="00411A2E" w:rsidSect="00CD1E24">
          <w:pgSz w:w="11906" w:h="16838"/>
          <w:pgMar w:top="1134" w:right="1701" w:bottom="1985" w:left="1701" w:header="567" w:footer="567" w:gutter="0"/>
          <w:cols w:space="708"/>
          <w:titlePg/>
          <w:docGrid w:linePitch="360"/>
        </w:sectPr>
      </w:pPr>
    </w:p>
    <w:p w14:paraId="44656F1D" w14:textId="77777777" w:rsidR="00411A2E" w:rsidRPr="00411A2E" w:rsidRDefault="00411A2E" w:rsidP="00411A2E">
      <w:pPr>
        <w:spacing w:after="240" w:line="276" w:lineRule="auto"/>
        <w:jc w:val="both"/>
        <w:rPr>
          <w:rFonts w:ascii="Arial" w:eastAsia="Droid Sans Fallback" w:hAnsi="Arial" w:cs="Arial"/>
          <w:b/>
          <w:bCs/>
          <w:kern w:val="3"/>
          <w:sz w:val="21"/>
          <w:szCs w:val="21"/>
          <w:lang w:val="es-ES" w:eastAsia="zh-CN" w:bidi="hi-IN"/>
        </w:rPr>
      </w:pPr>
      <w:r w:rsidRPr="00411A2E">
        <w:rPr>
          <w:rFonts w:ascii="Arial" w:eastAsia="Droid Sans Fallback" w:hAnsi="Arial" w:cs="Arial"/>
          <w:b/>
          <w:bCs/>
          <w:kern w:val="3"/>
          <w:sz w:val="21"/>
          <w:szCs w:val="21"/>
          <w:lang w:val="ca" w:eastAsia="zh-CN" w:bidi="hi-IN"/>
        </w:rPr>
        <w:t>Pressupost d'ingressos:</w:t>
      </w:r>
    </w:p>
    <w:p w14:paraId="3BD299A0" w14:textId="536375CE" w:rsidR="00986810" w:rsidRPr="00411A2E" w:rsidRDefault="00411A2E" w:rsidP="00411A2E">
      <w:pPr>
        <w:spacing w:after="240" w:line="276" w:lineRule="auto"/>
        <w:jc w:val="both"/>
        <w:rPr>
          <w:rFonts w:ascii="Arial" w:eastAsia="Droid Sans Fallback" w:hAnsi="Arial" w:cs="Arial"/>
          <w:kern w:val="3"/>
          <w:sz w:val="21"/>
          <w:szCs w:val="21"/>
          <w:lang w:val="es-ES" w:eastAsia="zh-CN" w:bidi="hi-IN"/>
        </w:rPr>
      </w:pPr>
      <w:r w:rsidRPr="00411A2E">
        <w:rPr>
          <w:rFonts w:ascii="Arial" w:eastAsia="Droid Sans Fallback" w:hAnsi="Arial" w:cs="Arial"/>
          <w:kern w:val="3"/>
          <w:sz w:val="21"/>
          <w:szCs w:val="21"/>
          <w:lang w:val="ca" w:eastAsia="zh-CN" w:bidi="hi-IN"/>
        </w:rPr>
        <w:t>En les següents taules es mostra l'execució del Pressupost d'ingressos durant l'exercici 2021, així com la comparativa del grau d'execució respecte de l'exercici 2020</w:t>
      </w:r>
      <w:r>
        <w:rPr>
          <w:rFonts w:ascii="Arial" w:eastAsia="Droid Sans Fallback" w:hAnsi="Arial" w:cs="Arial"/>
          <w:kern w:val="3"/>
          <w:sz w:val="21"/>
          <w:szCs w:val="21"/>
          <w:lang w:val="ca" w:eastAsia="zh-CN" w:bidi="hi-IN"/>
        </w:rPr>
        <w:t>:</w:t>
      </w:r>
    </w:p>
    <w:p w14:paraId="0489611D" w14:textId="35577E88" w:rsidR="00411A2E" w:rsidRPr="00411A2E" w:rsidRDefault="00411A2E" w:rsidP="00411A2E">
      <w:pPr>
        <w:pStyle w:val="Descripcin"/>
        <w:keepNext/>
        <w:jc w:val="center"/>
        <w:rPr>
          <w:rFonts w:ascii="Arial" w:hAnsi="Arial" w:cs="Arial"/>
          <w:smallCaps w:val="0"/>
          <w:sz w:val="18"/>
          <w:szCs w:val="18"/>
        </w:rPr>
      </w:pPr>
      <w:bookmarkStart w:id="499" w:name="_Toc99110880"/>
      <w:r w:rsidRPr="00411A2E">
        <w:rPr>
          <w:rFonts w:ascii="Arial" w:hAnsi="Arial" w:cs="Arial"/>
          <w:smallCaps w:val="0"/>
          <w:color w:val="9D2235" w:themeColor="accent1"/>
          <w:sz w:val="18"/>
          <w:szCs w:val="18"/>
        </w:rPr>
        <w:t xml:space="preserve">Taula </w:t>
      </w:r>
      <w:r w:rsidRPr="00411A2E">
        <w:rPr>
          <w:rFonts w:ascii="Arial" w:hAnsi="Arial" w:cs="Arial"/>
          <w:smallCaps w:val="0"/>
          <w:color w:val="9D2235" w:themeColor="accent1"/>
          <w:sz w:val="18"/>
          <w:szCs w:val="18"/>
        </w:rPr>
        <w:fldChar w:fldCharType="begin" w:fldLock="1"/>
      </w:r>
      <w:r w:rsidRPr="00411A2E">
        <w:rPr>
          <w:rFonts w:ascii="Arial" w:hAnsi="Arial" w:cs="Arial"/>
          <w:smallCaps w:val="0"/>
          <w:color w:val="9D2235" w:themeColor="accent1"/>
          <w:sz w:val="18"/>
          <w:szCs w:val="18"/>
        </w:rPr>
        <w:instrText xml:space="preserve"> SEQ Taula \* ARABIC </w:instrText>
      </w:r>
      <w:r w:rsidRPr="00411A2E">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35</w:t>
      </w:r>
      <w:r w:rsidRPr="00411A2E">
        <w:rPr>
          <w:rFonts w:ascii="Arial" w:hAnsi="Arial" w:cs="Arial"/>
          <w:smallCaps w:val="0"/>
          <w:color w:val="9D2235" w:themeColor="accent1"/>
          <w:sz w:val="18"/>
          <w:szCs w:val="18"/>
        </w:rPr>
        <w:fldChar w:fldCharType="end"/>
      </w:r>
      <w:r w:rsidRPr="00411A2E">
        <w:rPr>
          <w:rFonts w:ascii="Arial" w:hAnsi="Arial" w:cs="Arial"/>
          <w:smallCaps w:val="0"/>
          <w:color w:val="9D2235" w:themeColor="accent1"/>
          <w:sz w:val="18"/>
          <w:szCs w:val="18"/>
        </w:rPr>
        <w:t xml:space="preserve">. </w:t>
      </w:r>
      <w:r w:rsidRPr="00411A2E">
        <w:rPr>
          <w:rFonts w:ascii="Arial" w:hAnsi="Arial" w:cs="Arial"/>
          <w:smallCaps w:val="0"/>
          <w:sz w:val="18"/>
          <w:szCs w:val="18"/>
        </w:rPr>
        <w:t>Execució del pressupost d'ingressos de l'exercici 2021</w:t>
      </w:r>
      <w:bookmarkEnd w:id="499"/>
    </w:p>
    <w:tbl>
      <w:tblPr>
        <w:tblW w:w="11918" w:type="dxa"/>
        <w:jc w:val="center"/>
        <w:tblCellMar>
          <w:top w:w="55" w:type="dxa"/>
          <w:left w:w="55" w:type="dxa"/>
          <w:bottom w:w="55" w:type="dxa"/>
          <w:right w:w="55" w:type="dxa"/>
        </w:tblCellMar>
        <w:tblLook w:val="0000" w:firstRow="0" w:lastRow="0" w:firstColumn="0" w:lastColumn="0" w:noHBand="0" w:noVBand="0"/>
      </w:tblPr>
      <w:tblGrid>
        <w:gridCol w:w="1143"/>
        <w:gridCol w:w="1161"/>
        <w:gridCol w:w="1383"/>
        <w:gridCol w:w="1232"/>
        <w:gridCol w:w="1369"/>
        <w:gridCol w:w="1161"/>
        <w:gridCol w:w="1253"/>
        <w:gridCol w:w="1211"/>
        <w:gridCol w:w="1031"/>
        <w:gridCol w:w="974"/>
      </w:tblGrid>
      <w:tr w:rsidR="00411A2E" w:rsidRPr="00411A2E" w14:paraId="32EAB061" w14:textId="77777777" w:rsidTr="00411A2E">
        <w:trPr>
          <w:jc w:val="center"/>
        </w:trPr>
        <w:tc>
          <w:tcPr>
            <w:tcW w:w="1143" w:type="dxa"/>
            <w:shd w:val="clear" w:color="auto" w:fill="9D2235"/>
          </w:tcPr>
          <w:p w14:paraId="7C355A43" w14:textId="77777777" w:rsidR="00411A2E" w:rsidRPr="00411A2E" w:rsidRDefault="00411A2E" w:rsidP="00411A2E">
            <w:pPr>
              <w:widowControl w:val="0"/>
              <w:suppressAutoHyphens/>
              <w:spacing w:after="0" w:line="276" w:lineRule="auto"/>
              <w:ind w:left="-50"/>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Capítols</w:t>
            </w:r>
          </w:p>
        </w:tc>
        <w:tc>
          <w:tcPr>
            <w:tcW w:w="1161" w:type="dxa"/>
            <w:shd w:val="clear" w:color="auto" w:fill="9D2235"/>
          </w:tcPr>
          <w:p w14:paraId="25D4C995"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Previsions inicials</w:t>
            </w:r>
          </w:p>
        </w:tc>
        <w:tc>
          <w:tcPr>
            <w:tcW w:w="1383" w:type="dxa"/>
            <w:shd w:val="clear" w:color="auto" w:fill="9D2235"/>
          </w:tcPr>
          <w:p w14:paraId="6F461BBD"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Modificacions de crèdit</w:t>
            </w:r>
          </w:p>
        </w:tc>
        <w:tc>
          <w:tcPr>
            <w:tcW w:w="1232" w:type="dxa"/>
            <w:shd w:val="clear" w:color="auto" w:fill="9D2235"/>
          </w:tcPr>
          <w:p w14:paraId="6FA30DDB"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Previsions totals</w:t>
            </w:r>
          </w:p>
        </w:tc>
        <w:tc>
          <w:tcPr>
            <w:tcW w:w="1369" w:type="dxa"/>
            <w:shd w:val="clear" w:color="auto" w:fill="9D2235"/>
          </w:tcPr>
          <w:p w14:paraId="5D576F7C"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Drets reconeguts nets</w:t>
            </w:r>
          </w:p>
        </w:tc>
        <w:tc>
          <w:tcPr>
            <w:tcW w:w="1161" w:type="dxa"/>
            <w:shd w:val="clear" w:color="auto" w:fill="9D2235"/>
          </w:tcPr>
          <w:p w14:paraId="7E5CDBA8"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Ingressos realitzats</w:t>
            </w:r>
          </w:p>
        </w:tc>
        <w:tc>
          <w:tcPr>
            <w:tcW w:w="1253" w:type="dxa"/>
            <w:shd w:val="clear" w:color="auto" w:fill="9D2235"/>
          </w:tcPr>
          <w:p w14:paraId="4B63C6A6"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Devolucions d' ingressos</w:t>
            </w:r>
          </w:p>
        </w:tc>
        <w:tc>
          <w:tcPr>
            <w:tcW w:w="1211" w:type="dxa"/>
            <w:shd w:val="clear" w:color="auto" w:fill="9D2235"/>
          </w:tcPr>
          <w:p w14:paraId="4DC8A9A4"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Recaptació líquida</w:t>
            </w:r>
          </w:p>
        </w:tc>
        <w:tc>
          <w:tcPr>
            <w:tcW w:w="1031" w:type="dxa"/>
            <w:shd w:val="clear" w:color="auto" w:fill="9D2235"/>
          </w:tcPr>
          <w:p w14:paraId="2620E287"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Pendent de cobrament</w:t>
            </w:r>
          </w:p>
        </w:tc>
        <w:tc>
          <w:tcPr>
            <w:tcW w:w="974" w:type="dxa"/>
            <w:shd w:val="clear" w:color="auto" w:fill="9D2235"/>
          </w:tcPr>
          <w:p w14:paraId="569F28BD"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411A2E">
              <w:rPr>
                <w:rFonts w:ascii="Arial" w:eastAsia="NSimSun" w:hAnsi="Arial" w:cs="Arial"/>
                <w:b/>
                <w:bCs/>
                <w:color w:val="FFFFFF"/>
                <w:kern w:val="2"/>
                <w:sz w:val="18"/>
                <w:szCs w:val="18"/>
                <w:lang w:val="ca" w:eastAsia="zh-CN"/>
              </w:rPr>
              <w:t>Estat d' execució</w:t>
            </w:r>
          </w:p>
        </w:tc>
      </w:tr>
      <w:tr w:rsidR="00411A2E" w:rsidRPr="00411A2E" w14:paraId="59A3FCFF" w14:textId="77777777" w:rsidTr="00411A2E">
        <w:trPr>
          <w:jc w:val="center"/>
        </w:trPr>
        <w:tc>
          <w:tcPr>
            <w:tcW w:w="1143" w:type="dxa"/>
            <w:tcBorders>
              <w:bottom w:val="single" w:sz="4" w:space="0" w:color="993333"/>
            </w:tcBorders>
            <w:shd w:val="clear" w:color="auto" w:fill="FFFFFF"/>
            <w:vAlign w:val="center"/>
          </w:tcPr>
          <w:p w14:paraId="707D4B48"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000000"/>
                <w:kern w:val="2"/>
                <w:sz w:val="18"/>
                <w:szCs w:val="18"/>
                <w:lang w:val="es-ES" w:eastAsia="zh-CN"/>
              </w:rPr>
            </w:pPr>
            <w:r w:rsidRPr="00411A2E">
              <w:rPr>
                <w:rFonts w:ascii="Arial" w:eastAsia="NSimSun" w:hAnsi="Arial" w:cs="Arial"/>
                <w:b/>
                <w:bCs/>
                <w:color w:val="000000"/>
                <w:kern w:val="2"/>
                <w:sz w:val="18"/>
                <w:szCs w:val="18"/>
                <w:lang w:val="ca" w:eastAsia="zh-CN"/>
              </w:rPr>
              <w:t>III</w:t>
            </w:r>
          </w:p>
        </w:tc>
        <w:tc>
          <w:tcPr>
            <w:tcW w:w="1161" w:type="dxa"/>
            <w:tcBorders>
              <w:bottom w:val="single" w:sz="4" w:space="0" w:color="993333"/>
            </w:tcBorders>
            <w:shd w:val="clear" w:color="auto" w:fill="FFFFFF"/>
          </w:tcPr>
          <w:p w14:paraId="11BE0564"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0,00</w:t>
            </w:r>
          </w:p>
        </w:tc>
        <w:tc>
          <w:tcPr>
            <w:tcW w:w="1383" w:type="dxa"/>
            <w:tcBorders>
              <w:bottom w:val="single" w:sz="4" w:space="0" w:color="993333"/>
            </w:tcBorders>
            <w:shd w:val="clear" w:color="auto" w:fill="FFFFFF"/>
          </w:tcPr>
          <w:p w14:paraId="41E18719" w14:textId="77777777" w:rsidR="00411A2E" w:rsidRPr="00411A2E" w:rsidRDefault="00411A2E" w:rsidP="00411A2E">
            <w:pPr>
              <w:widowControl w:val="0"/>
              <w:suppressAutoHyphens/>
              <w:spacing w:after="0" w:line="276" w:lineRule="auto"/>
              <w:ind w:right="140"/>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0,00</w:t>
            </w:r>
          </w:p>
        </w:tc>
        <w:tc>
          <w:tcPr>
            <w:tcW w:w="1232" w:type="dxa"/>
            <w:tcBorders>
              <w:bottom w:val="single" w:sz="4" w:space="0" w:color="993333"/>
            </w:tcBorders>
            <w:shd w:val="clear" w:color="auto" w:fill="FFFFFF"/>
            <w:vAlign w:val="center"/>
          </w:tcPr>
          <w:p w14:paraId="0408A5A6"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0,00</w:t>
            </w:r>
          </w:p>
        </w:tc>
        <w:tc>
          <w:tcPr>
            <w:tcW w:w="1369" w:type="dxa"/>
            <w:tcBorders>
              <w:bottom w:val="single" w:sz="4" w:space="0" w:color="993333"/>
            </w:tcBorders>
            <w:shd w:val="clear" w:color="auto" w:fill="FFFFFF"/>
            <w:vAlign w:val="center"/>
          </w:tcPr>
          <w:p w14:paraId="5AC7836E"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167,77</w:t>
            </w:r>
          </w:p>
        </w:tc>
        <w:tc>
          <w:tcPr>
            <w:tcW w:w="1161" w:type="dxa"/>
            <w:tcBorders>
              <w:bottom w:val="single" w:sz="4" w:space="0" w:color="993333"/>
            </w:tcBorders>
            <w:shd w:val="clear" w:color="auto" w:fill="FFFFFF"/>
            <w:vAlign w:val="center"/>
          </w:tcPr>
          <w:p w14:paraId="330A00A8"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167,77</w:t>
            </w:r>
          </w:p>
        </w:tc>
        <w:tc>
          <w:tcPr>
            <w:tcW w:w="1253" w:type="dxa"/>
            <w:tcBorders>
              <w:bottom w:val="single" w:sz="4" w:space="0" w:color="993333"/>
            </w:tcBorders>
            <w:shd w:val="clear" w:color="auto" w:fill="FFFFFF"/>
            <w:vAlign w:val="center"/>
          </w:tcPr>
          <w:p w14:paraId="21C803E0"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0,00</w:t>
            </w:r>
          </w:p>
        </w:tc>
        <w:tc>
          <w:tcPr>
            <w:tcW w:w="1211" w:type="dxa"/>
            <w:tcBorders>
              <w:bottom w:val="single" w:sz="4" w:space="0" w:color="993333"/>
            </w:tcBorders>
            <w:shd w:val="clear" w:color="auto" w:fill="FFFFFF"/>
            <w:vAlign w:val="center"/>
          </w:tcPr>
          <w:p w14:paraId="11496FDC"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167,77</w:t>
            </w:r>
          </w:p>
        </w:tc>
        <w:tc>
          <w:tcPr>
            <w:tcW w:w="1031" w:type="dxa"/>
            <w:tcBorders>
              <w:bottom w:val="single" w:sz="4" w:space="0" w:color="993333"/>
            </w:tcBorders>
            <w:shd w:val="clear" w:color="auto" w:fill="FFFFFF"/>
            <w:vAlign w:val="center"/>
          </w:tcPr>
          <w:p w14:paraId="49550956"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0,00</w:t>
            </w:r>
          </w:p>
        </w:tc>
        <w:tc>
          <w:tcPr>
            <w:tcW w:w="974" w:type="dxa"/>
            <w:tcBorders>
              <w:bottom w:val="single" w:sz="4" w:space="0" w:color="993333"/>
            </w:tcBorders>
            <w:shd w:val="clear" w:color="auto" w:fill="FFFFFF"/>
            <w:vAlign w:val="center"/>
          </w:tcPr>
          <w:p w14:paraId="5E540DD8"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p>
        </w:tc>
      </w:tr>
      <w:tr w:rsidR="00411A2E" w:rsidRPr="00411A2E" w14:paraId="5635CFFB" w14:textId="77777777" w:rsidTr="00411A2E">
        <w:trPr>
          <w:jc w:val="center"/>
        </w:trPr>
        <w:tc>
          <w:tcPr>
            <w:tcW w:w="1143" w:type="dxa"/>
            <w:tcBorders>
              <w:bottom w:val="single" w:sz="4" w:space="0" w:color="993333"/>
            </w:tcBorders>
            <w:shd w:val="clear" w:color="auto" w:fill="FFFFFF"/>
            <w:vAlign w:val="center"/>
          </w:tcPr>
          <w:p w14:paraId="032DA133"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color w:val="000000"/>
                <w:kern w:val="2"/>
                <w:sz w:val="18"/>
                <w:szCs w:val="18"/>
                <w:lang w:val="es-ES" w:eastAsia="zh-CN"/>
              </w:rPr>
            </w:pPr>
            <w:r w:rsidRPr="00411A2E">
              <w:rPr>
                <w:rFonts w:ascii="Arial" w:eastAsia="NSimSun" w:hAnsi="Arial" w:cs="Arial"/>
                <w:b/>
                <w:bCs/>
                <w:color w:val="000000"/>
                <w:kern w:val="2"/>
                <w:sz w:val="18"/>
                <w:szCs w:val="18"/>
                <w:lang w:val="ca" w:eastAsia="zh-CN"/>
              </w:rPr>
              <w:t>IV</w:t>
            </w:r>
          </w:p>
        </w:tc>
        <w:tc>
          <w:tcPr>
            <w:tcW w:w="1161" w:type="dxa"/>
            <w:tcBorders>
              <w:bottom w:val="single" w:sz="4" w:space="0" w:color="993333"/>
            </w:tcBorders>
            <w:shd w:val="clear" w:color="auto" w:fill="FFFFFF"/>
          </w:tcPr>
          <w:p w14:paraId="088DDDD9"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4.224.450,00</w:t>
            </w:r>
          </w:p>
        </w:tc>
        <w:tc>
          <w:tcPr>
            <w:tcW w:w="1383" w:type="dxa"/>
            <w:tcBorders>
              <w:bottom w:val="single" w:sz="4" w:space="0" w:color="993333"/>
            </w:tcBorders>
            <w:shd w:val="clear" w:color="auto" w:fill="FFFFFF"/>
          </w:tcPr>
          <w:p w14:paraId="458489C7" w14:textId="77777777" w:rsidR="00411A2E" w:rsidRPr="00411A2E" w:rsidRDefault="00411A2E" w:rsidP="00411A2E">
            <w:pPr>
              <w:widowControl w:val="0"/>
              <w:suppressAutoHyphens/>
              <w:spacing w:after="0" w:line="276" w:lineRule="auto"/>
              <w:ind w:right="140"/>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0,00</w:t>
            </w:r>
          </w:p>
        </w:tc>
        <w:tc>
          <w:tcPr>
            <w:tcW w:w="1232" w:type="dxa"/>
            <w:tcBorders>
              <w:bottom w:val="single" w:sz="4" w:space="0" w:color="993333"/>
            </w:tcBorders>
            <w:shd w:val="clear" w:color="auto" w:fill="FFFFFF"/>
            <w:vAlign w:val="center"/>
          </w:tcPr>
          <w:p w14:paraId="08A66DC1"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highlight w:val="yellow"/>
                <w:lang w:val="es-ES" w:eastAsia="zh-CN"/>
              </w:rPr>
            </w:pPr>
            <w:r w:rsidRPr="00411A2E">
              <w:rPr>
                <w:rFonts w:ascii="Arial" w:eastAsia="NSimSun" w:hAnsi="Arial" w:cs="Arial"/>
                <w:color w:val="000000"/>
                <w:kern w:val="2"/>
                <w:sz w:val="18"/>
                <w:szCs w:val="18"/>
                <w:lang w:val="ca" w:eastAsia="zh-CN"/>
              </w:rPr>
              <w:t>4.224.450,00</w:t>
            </w:r>
          </w:p>
        </w:tc>
        <w:tc>
          <w:tcPr>
            <w:tcW w:w="1369" w:type="dxa"/>
            <w:tcBorders>
              <w:bottom w:val="single" w:sz="4" w:space="0" w:color="993333"/>
            </w:tcBorders>
            <w:shd w:val="clear" w:color="auto" w:fill="FFFFFF"/>
            <w:vAlign w:val="center"/>
          </w:tcPr>
          <w:p w14:paraId="73CD40D4"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color w:val="000000"/>
                <w:kern w:val="2"/>
                <w:sz w:val="18"/>
                <w:szCs w:val="18"/>
                <w:highlight w:val="yellow"/>
                <w:lang w:val="es-ES" w:eastAsia="zh-CN"/>
              </w:rPr>
            </w:pPr>
            <w:r w:rsidRPr="00411A2E">
              <w:rPr>
                <w:rFonts w:ascii="Arial" w:eastAsia="NSimSun" w:hAnsi="Arial" w:cs="Arial"/>
                <w:color w:val="000000"/>
                <w:kern w:val="2"/>
                <w:sz w:val="18"/>
                <w:szCs w:val="18"/>
                <w:lang w:val="ca" w:eastAsia="zh-CN"/>
              </w:rPr>
              <w:t>4.224.450,00</w:t>
            </w:r>
          </w:p>
        </w:tc>
        <w:tc>
          <w:tcPr>
            <w:tcW w:w="1161" w:type="dxa"/>
            <w:tcBorders>
              <w:bottom w:val="single" w:sz="4" w:space="0" w:color="993333"/>
            </w:tcBorders>
            <w:shd w:val="clear" w:color="auto" w:fill="FFFFFF"/>
            <w:vAlign w:val="center"/>
          </w:tcPr>
          <w:p w14:paraId="243CFC4E"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highlight w:val="yellow"/>
                <w:lang w:val="es-ES" w:eastAsia="zh-CN"/>
              </w:rPr>
            </w:pPr>
            <w:r w:rsidRPr="00411A2E">
              <w:rPr>
                <w:rFonts w:ascii="Arial" w:eastAsia="NSimSun" w:hAnsi="Arial" w:cs="Arial"/>
                <w:color w:val="000000"/>
                <w:kern w:val="2"/>
                <w:sz w:val="18"/>
                <w:szCs w:val="18"/>
                <w:lang w:val="ca" w:eastAsia="zh-CN"/>
              </w:rPr>
              <w:t>4.224.450,00</w:t>
            </w:r>
          </w:p>
        </w:tc>
        <w:tc>
          <w:tcPr>
            <w:tcW w:w="1253" w:type="dxa"/>
            <w:tcBorders>
              <w:bottom w:val="single" w:sz="4" w:space="0" w:color="993333"/>
            </w:tcBorders>
            <w:shd w:val="clear" w:color="auto" w:fill="FFFFFF"/>
            <w:vAlign w:val="center"/>
          </w:tcPr>
          <w:p w14:paraId="52A7F668"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color w:val="000000"/>
                <w:kern w:val="2"/>
                <w:sz w:val="18"/>
                <w:szCs w:val="18"/>
                <w:lang w:val="ca" w:eastAsia="zh-CN"/>
              </w:rPr>
              <w:t>0,00</w:t>
            </w:r>
          </w:p>
        </w:tc>
        <w:tc>
          <w:tcPr>
            <w:tcW w:w="1211" w:type="dxa"/>
            <w:tcBorders>
              <w:bottom w:val="single" w:sz="4" w:space="0" w:color="993333"/>
            </w:tcBorders>
            <w:shd w:val="clear" w:color="auto" w:fill="FFFFFF"/>
            <w:vAlign w:val="center"/>
          </w:tcPr>
          <w:p w14:paraId="10A4C4DB"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highlight w:val="yellow"/>
                <w:lang w:val="es-ES" w:eastAsia="zh-CN"/>
              </w:rPr>
            </w:pPr>
            <w:r w:rsidRPr="00411A2E">
              <w:rPr>
                <w:rFonts w:ascii="Arial" w:eastAsia="NSimSun" w:hAnsi="Arial" w:cs="Arial"/>
                <w:color w:val="000000"/>
                <w:kern w:val="2"/>
                <w:sz w:val="18"/>
                <w:szCs w:val="18"/>
                <w:lang w:val="ca" w:eastAsia="zh-CN"/>
              </w:rPr>
              <w:t>4.224.450,00</w:t>
            </w:r>
          </w:p>
        </w:tc>
        <w:tc>
          <w:tcPr>
            <w:tcW w:w="1031" w:type="dxa"/>
            <w:tcBorders>
              <w:bottom w:val="single" w:sz="4" w:space="0" w:color="993333"/>
            </w:tcBorders>
            <w:shd w:val="clear" w:color="auto" w:fill="FFFFFF"/>
            <w:vAlign w:val="center"/>
          </w:tcPr>
          <w:p w14:paraId="1C20CD91"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highlight w:val="yellow"/>
                <w:lang w:val="es-ES" w:eastAsia="zh-CN"/>
              </w:rPr>
            </w:pPr>
            <w:r w:rsidRPr="00411A2E">
              <w:rPr>
                <w:rFonts w:ascii="Arial" w:eastAsia="NSimSun" w:hAnsi="Arial" w:cs="Arial"/>
                <w:color w:val="000000"/>
                <w:kern w:val="2"/>
                <w:sz w:val="18"/>
                <w:szCs w:val="18"/>
                <w:lang w:val="ca" w:eastAsia="zh-CN"/>
              </w:rPr>
              <w:t>0,00</w:t>
            </w:r>
          </w:p>
        </w:tc>
        <w:tc>
          <w:tcPr>
            <w:tcW w:w="974" w:type="dxa"/>
            <w:tcBorders>
              <w:bottom w:val="single" w:sz="4" w:space="0" w:color="993333"/>
            </w:tcBorders>
            <w:shd w:val="clear" w:color="auto" w:fill="FFFFFF"/>
            <w:vAlign w:val="center"/>
          </w:tcPr>
          <w:p w14:paraId="317AFC82"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highlight w:val="yellow"/>
                <w:lang w:val="es-ES" w:eastAsia="zh-CN"/>
              </w:rPr>
            </w:pPr>
          </w:p>
        </w:tc>
      </w:tr>
      <w:tr w:rsidR="00411A2E" w:rsidRPr="00411A2E" w14:paraId="5DB91043" w14:textId="77777777" w:rsidTr="00411A2E">
        <w:trPr>
          <w:trHeight w:val="395"/>
          <w:jc w:val="center"/>
        </w:trPr>
        <w:tc>
          <w:tcPr>
            <w:tcW w:w="1143" w:type="dxa"/>
            <w:tcBorders>
              <w:bottom w:val="single" w:sz="4" w:space="0" w:color="993333"/>
            </w:tcBorders>
            <w:shd w:val="clear" w:color="auto" w:fill="EEEEEE"/>
            <w:vAlign w:val="center"/>
          </w:tcPr>
          <w:p w14:paraId="6978B855"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411A2E">
              <w:rPr>
                <w:rFonts w:ascii="Arial" w:eastAsia="NSimSun" w:hAnsi="Arial" w:cs="Arial"/>
                <w:b/>
                <w:bCs/>
                <w:color w:val="000000"/>
                <w:kern w:val="2"/>
                <w:sz w:val="18"/>
                <w:szCs w:val="18"/>
                <w:lang w:val="ca" w:eastAsia="zh-CN"/>
              </w:rPr>
              <w:t>TOTAL operacions corrents</w:t>
            </w:r>
          </w:p>
        </w:tc>
        <w:tc>
          <w:tcPr>
            <w:tcW w:w="1161" w:type="dxa"/>
            <w:tcBorders>
              <w:bottom w:val="single" w:sz="4" w:space="0" w:color="993333"/>
            </w:tcBorders>
            <w:shd w:val="clear" w:color="auto" w:fill="EEEEEE"/>
          </w:tcPr>
          <w:p w14:paraId="57448126"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p>
          <w:p w14:paraId="7A1B7AB3"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color w:val="000000"/>
                <w:kern w:val="2"/>
                <w:sz w:val="18"/>
                <w:szCs w:val="18"/>
                <w:lang w:val="ca" w:eastAsia="zh-CN"/>
              </w:rPr>
              <w:t>4.224.450,00</w:t>
            </w:r>
          </w:p>
        </w:tc>
        <w:tc>
          <w:tcPr>
            <w:tcW w:w="1383" w:type="dxa"/>
            <w:tcBorders>
              <w:bottom w:val="single" w:sz="4" w:space="0" w:color="993333"/>
            </w:tcBorders>
            <w:shd w:val="clear" w:color="auto" w:fill="EEEEEE"/>
          </w:tcPr>
          <w:p w14:paraId="0B3F1473" w14:textId="77777777" w:rsidR="00411A2E" w:rsidRPr="00411A2E" w:rsidRDefault="00411A2E" w:rsidP="00411A2E">
            <w:pPr>
              <w:widowControl w:val="0"/>
              <w:suppressAutoHyphens/>
              <w:spacing w:after="0" w:line="276" w:lineRule="auto"/>
              <w:ind w:right="140"/>
              <w:jc w:val="right"/>
              <w:textAlignment w:val="baseline"/>
              <w:rPr>
                <w:rFonts w:ascii="Arial" w:eastAsia="NSimSun" w:hAnsi="Arial" w:cs="Arial"/>
                <w:color w:val="000000"/>
                <w:kern w:val="2"/>
                <w:sz w:val="18"/>
                <w:szCs w:val="18"/>
                <w:lang w:val="es-ES" w:eastAsia="zh-CN"/>
              </w:rPr>
            </w:pPr>
          </w:p>
          <w:p w14:paraId="0E003727" w14:textId="77777777" w:rsidR="00411A2E" w:rsidRPr="00411A2E" w:rsidRDefault="00411A2E" w:rsidP="00411A2E">
            <w:pPr>
              <w:widowControl w:val="0"/>
              <w:suppressAutoHyphens/>
              <w:spacing w:after="0" w:line="276" w:lineRule="auto"/>
              <w:ind w:right="140"/>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color w:val="000000"/>
                <w:kern w:val="2"/>
                <w:sz w:val="18"/>
                <w:szCs w:val="18"/>
                <w:lang w:val="ca" w:eastAsia="zh-CN"/>
              </w:rPr>
              <w:t>0,00</w:t>
            </w:r>
          </w:p>
        </w:tc>
        <w:tc>
          <w:tcPr>
            <w:tcW w:w="1232" w:type="dxa"/>
            <w:tcBorders>
              <w:bottom w:val="single" w:sz="4" w:space="0" w:color="993333"/>
            </w:tcBorders>
            <w:shd w:val="clear" w:color="auto" w:fill="EEEEEE"/>
          </w:tcPr>
          <w:p w14:paraId="39508F90"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62A04A39"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4.224.450,00</w:t>
            </w:r>
          </w:p>
        </w:tc>
        <w:tc>
          <w:tcPr>
            <w:tcW w:w="1369" w:type="dxa"/>
            <w:tcBorders>
              <w:bottom w:val="single" w:sz="4" w:space="0" w:color="993333"/>
            </w:tcBorders>
            <w:shd w:val="clear" w:color="auto" w:fill="EEEEEE"/>
          </w:tcPr>
          <w:p w14:paraId="3A4C4E6A"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kern w:val="2"/>
                <w:sz w:val="18"/>
                <w:szCs w:val="18"/>
                <w:highlight w:val="yellow"/>
                <w:lang w:val="es-ES" w:eastAsia="zh-CN"/>
              </w:rPr>
            </w:pPr>
          </w:p>
          <w:p w14:paraId="1C690CF4"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4.224.617,77</w:t>
            </w:r>
          </w:p>
        </w:tc>
        <w:tc>
          <w:tcPr>
            <w:tcW w:w="1161" w:type="dxa"/>
            <w:tcBorders>
              <w:bottom w:val="single" w:sz="4" w:space="0" w:color="993333"/>
            </w:tcBorders>
            <w:shd w:val="clear" w:color="auto" w:fill="EEEEEE"/>
          </w:tcPr>
          <w:p w14:paraId="0522BB52"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2078E1A1"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4.224.617,77</w:t>
            </w:r>
          </w:p>
        </w:tc>
        <w:tc>
          <w:tcPr>
            <w:tcW w:w="1253" w:type="dxa"/>
            <w:tcBorders>
              <w:bottom w:val="single" w:sz="4" w:space="0" w:color="993333"/>
            </w:tcBorders>
            <w:shd w:val="clear" w:color="auto" w:fill="EEEEEE"/>
          </w:tcPr>
          <w:p w14:paraId="587490BD"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0AE185CB"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0,00</w:t>
            </w:r>
          </w:p>
        </w:tc>
        <w:tc>
          <w:tcPr>
            <w:tcW w:w="1211" w:type="dxa"/>
            <w:tcBorders>
              <w:bottom w:val="single" w:sz="4" w:space="0" w:color="993333"/>
            </w:tcBorders>
            <w:shd w:val="clear" w:color="auto" w:fill="EEEEEE"/>
          </w:tcPr>
          <w:p w14:paraId="08D67C24"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276517D1"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4.224.617,77</w:t>
            </w:r>
          </w:p>
        </w:tc>
        <w:tc>
          <w:tcPr>
            <w:tcW w:w="1031" w:type="dxa"/>
            <w:tcBorders>
              <w:bottom w:val="single" w:sz="4" w:space="0" w:color="993333"/>
            </w:tcBorders>
            <w:shd w:val="clear" w:color="auto" w:fill="EEEEEE"/>
          </w:tcPr>
          <w:p w14:paraId="6C4F833E"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416AC4F4"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color w:val="000000"/>
                <w:kern w:val="2"/>
                <w:sz w:val="18"/>
                <w:szCs w:val="18"/>
                <w:lang w:val="ca" w:eastAsia="zh-CN"/>
              </w:rPr>
              <w:t>0,00</w:t>
            </w:r>
          </w:p>
        </w:tc>
        <w:tc>
          <w:tcPr>
            <w:tcW w:w="974" w:type="dxa"/>
            <w:tcBorders>
              <w:bottom w:val="single" w:sz="4" w:space="0" w:color="993333"/>
            </w:tcBorders>
            <w:shd w:val="clear" w:color="auto" w:fill="EEEEEE"/>
          </w:tcPr>
          <w:p w14:paraId="38129FFB"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3D9023C5"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167,77</w:t>
            </w:r>
          </w:p>
        </w:tc>
      </w:tr>
      <w:tr w:rsidR="00411A2E" w:rsidRPr="00411A2E" w14:paraId="7977A708" w14:textId="77777777" w:rsidTr="00411A2E">
        <w:trPr>
          <w:jc w:val="center"/>
        </w:trPr>
        <w:tc>
          <w:tcPr>
            <w:tcW w:w="1143" w:type="dxa"/>
            <w:tcBorders>
              <w:bottom w:val="single" w:sz="4" w:space="0" w:color="993333"/>
            </w:tcBorders>
            <w:shd w:val="clear" w:color="auto" w:fill="FFFFFF"/>
            <w:vAlign w:val="center"/>
          </w:tcPr>
          <w:p w14:paraId="1FB1B00F"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411A2E">
              <w:rPr>
                <w:rFonts w:ascii="Arial" w:eastAsia="NSimSun" w:hAnsi="Arial" w:cs="Arial"/>
                <w:b/>
                <w:bCs/>
                <w:kern w:val="2"/>
                <w:sz w:val="18"/>
                <w:szCs w:val="18"/>
                <w:lang w:val="ca" w:eastAsia="zh-CN"/>
              </w:rPr>
              <w:t>VII</w:t>
            </w:r>
          </w:p>
        </w:tc>
        <w:tc>
          <w:tcPr>
            <w:tcW w:w="1161" w:type="dxa"/>
            <w:tcBorders>
              <w:bottom w:val="single" w:sz="4" w:space="0" w:color="993333"/>
            </w:tcBorders>
            <w:shd w:val="clear" w:color="auto" w:fill="FFFFFF"/>
          </w:tcPr>
          <w:p w14:paraId="7EBC017E"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199.890,00</w:t>
            </w:r>
          </w:p>
        </w:tc>
        <w:tc>
          <w:tcPr>
            <w:tcW w:w="1383" w:type="dxa"/>
            <w:tcBorders>
              <w:bottom w:val="single" w:sz="4" w:space="0" w:color="993333"/>
            </w:tcBorders>
            <w:shd w:val="clear" w:color="auto" w:fill="FFFFFF"/>
          </w:tcPr>
          <w:p w14:paraId="0D923B02" w14:textId="77777777" w:rsidR="00411A2E" w:rsidRPr="00411A2E" w:rsidRDefault="00411A2E" w:rsidP="00411A2E">
            <w:pPr>
              <w:widowControl w:val="0"/>
              <w:suppressAutoHyphens/>
              <w:spacing w:after="0" w:line="276" w:lineRule="auto"/>
              <w:ind w:right="140"/>
              <w:jc w:val="right"/>
              <w:textAlignment w:val="baseline"/>
              <w:rPr>
                <w:rFonts w:ascii="Arial" w:eastAsia="NSimSun" w:hAnsi="Arial" w:cs="Arial"/>
                <w:kern w:val="2"/>
                <w:sz w:val="18"/>
                <w:szCs w:val="18"/>
                <w:lang w:val="es-ES" w:eastAsia="zh-CN"/>
              </w:rPr>
            </w:pPr>
            <w:r w:rsidRPr="00411A2E">
              <w:rPr>
                <w:rFonts w:ascii="Arial" w:eastAsia="NSimSun" w:hAnsi="Arial" w:cs="Arial"/>
                <w:color w:val="000000"/>
                <w:kern w:val="2"/>
                <w:sz w:val="18"/>
                <w:szCs w:val="18"/>
                <w:lang w:val="ca" w:eastAsia="zh-CN"/>
              </w:rPr>
              <w:t>0,00</w:t>
            </w:r>
          </w:p>
        </w:tc>
        <w:tc>
          <w:tcPr>
            <w:tcW w:w="1232" w:type="dxa"/>
            <w:tcBorders>
              <w:bottom w:val="single" w:sz="4" w:space="0" w:color="993333"/>
            </w:tcBorders>
            <w:shd w:val="clear" w:color="auto" w:fill="FFFFFF"/>
            <w:vAlign w:val="center"/>
          </w:tcPr>
          <w:p w14:paraId="3DEE757F"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199.890,00</w:t>
            </w:r>
          </w:p>
        </w:tc>
        <w:tc>
          <w:tcPr>
            <w:tcW w:w="1369" w:type="dxa"/>
            <w:tcBorders>
              <w:bottom w:val="single" w:sz="4" w:space="0" w:color="993333"/>
            </w:tcBorders>
            <w:shd w:val="clear" w:color="auto" w:fill="FFFFFF"/>
          </w:tcPr>
          <w:p w14:paraId="001E64B4"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199.890,00</w:t>
            </w:r>
          </w:p>
        </w:tc>
        <w:tc>
          <w:tcPr>
            <w:tcW w:w="1161" w:type="dxa"/>
            <w:tcBorders>
              <w:bottom w:val="single" w:sz="4" w:space="0" w:color="993333"/>
            </w:tcBorders>
            <w:shd w:val="clear" w:color="auto" w:fill="FFFFFF"/>
          </w:tcPr>
          <w:p w14:paraId="2909FF85"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199.890,00</w:t>
            </w:r>
          </w:p>
        </w:tc>
        <w:tc>
          <w:tcPr>
            <w:tcW w:w="1253" w:type="dxa"/>
            <w:tcBorders>
              <w:bottom w:val="single" w:sz="4" w:space="0" w:color="993333"/>
            </w:tcBorders>
            <w:shd w:val="clear" w:color="auto" w:fill="FFFFFF"/>
            <w:vAlign w:val="center"/>
          </w:tcPr>
          <w:p w14:paraId="7F9C58A5"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0,00</w:t>
            </w:r>
          </w:p>
        </w:tc>
        <w:tc>
          <w:tcPr>
            <w:tcW w:w="1211" w:type="dxa"/>
            <w:tcBorders>
              <w:bottom w:val="single" w:sz="4" w:space="0" w:color="993333"/>
            </w:tcBorders>
            <w:shd w:val="clear" w:color="auto" w:fill="FFFFFF"/>
          </w:tcPr>
          <w:p w14:paraId="2C01BD89"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199.890,00</w:t>
            </w:r>
          </w:p>
        </w:tc>
        <w:tc>
          <w:tcPr>
            <w:tcW w:w="1031" w:type="dxa"/>
            <w:tcBorders>
              <w:bottom w:val="single" w:sz="4" w:space="0" w:color="993333"/>
            </w:tcBorders>
            <w:shd w:val="clear" w:color="auto" w:fill="FFFFFF"/>
          </w:tcPr>
          <w:p w14:paraId="59D0F388"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color w:val="000000"/>
                <w:kern w:val="2"/>
                <w:sz w:val="18"/>
                <w:szCs w:val="18"/>
                <w:lang w:val="ca" w:eastAsia="zh-CN"/>
              </w:rPr>
              <w:t>0,00</w:t>
            </w:r>
          </w:p>
        </w:tc>
        <w:tc>
          <w:tcPr>
            <w:tcW w:w="974" w:type="dxa"/>
            <w:tcBorders>
              <w:bottom w:val="single" w:sz="4" w:space="0" w:color="993333"/>
            </w:tcBorders>
            <w:shd w:val="clear" w:color="auto" w:fill="FFFFFF"/>
            <w:vAlign w:val="center"/>
          </w:tcPr>
          <w:p w14:paraId="401B7C2D"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tc>
      </w:tr>
      <w:tr w:rsidR="00411A2E" w:rsidRPr="00411A2E" w14:paraId="1F529625" w14:textId="77777777" w:rsidTr="00411A2E">
        <w:trPr>
          <w:jc w:val="center"/>
        </w:trPr>
        <w:tc>
          <w:tcPr>
            <w:tcW w:w="1143" w:type="dxa"/>
            <w:tcBorders>
              <w:bottom w:val="single" w:sz="4" w:space="0" w:color="993333"/>
            </w:tcBorders>
            <w:shd w:val="clear" w:color="auto" w:fill="FFFFFF"/>
            <w:vAlign w:val="center"/>
          </w:tcPr>
          <w:p w14:paraId="7E4FD231"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411A2E">
              <w:rPr>
                <w:rFonts w:ascii="Arial" w:eastAsia="NSimSun" w:hAnsi="Arial" w:cs="Arial"/>
                <w:b/>
                <w:bCs/>
                <w:kern w:val="2"/>
                <w:sz w:val="18"/>
                <w:szCs w:val="18"/>
                <w:lang w:val="ca" w:eastAsia="zh-CN"/>
              </w:rPr>
              <w:t>VIII</w:t>
            </w:r>
          </w:p>
        </w:tc>
        <w:tc>
          <w:tcPr>
            <w:tcW w:w="1161" w:type="dxa"/>
            <w:tcBorders>
              <w:bottom w:val="single" w:sz="4" w:space="0" w:color="993333"/>
            </w:tcBorders>
            <w:shd w:val="clear" w:color="auto" w:fill="FFFFFF"/>
          </w:tcPr>
          <w:p w14:paraId="573F9E68"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0,00</w:t>
            </w:r>
          </w:p>
        </w:tc>
        <w:tc>
          <w:tcPr>
            <w:tcW w:w="1383" w:type="dxa"/>
            <w:tcBorders>
              <w:bottom w:val="single" w:sz="4" w:space="0" w:color="993333"/>
            </w:tcBorders>
            <w:shd w:val="clear" w:color="auto" w:fill="FFFFFF"/>
            <w:vAlign w:val="center"/>
          </w:tcPr>
          <w:p w14:paraId="3EACD851" w14:textId="77777777" w:rsidR="00411A2E" w:rsidRPr="00411A2E" w:rsidRDefault="00411A2E" w:rsidP="00411A2E">
            <w:pPr>
              <w:widowControl w:val="0"/>
              <w:suppressAutoHyphens/>
              <w:spacing w:after="0" w:line="276" w:lineRule="auto"/>
              <w:ind w:right="140"/>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3.787.793,15</w:t>
            </w:r>
          </w:p>
        </w:tc>
        <w:tc>
          <w:tcPr>
            <w:tcW w:w="1232" w:type="dxa"/>
            <w:tcBorders>
              <w:bottom w:val="single" w:sz="4" w:space="0" w:color="993333"/>
            </w:tcBorders>
            <w:shd w:val="clear" w:color="auto" w:fill="FFFFFF"/>
            <w:vAlign w:val="center"/>
          </w:tcPr>
          <w:p w14:paraId="07F381C8"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3.787.793,15</w:t>
            </w:r>
          </w:p>
        </w:tc>
        <w:tc>
          <w:tcPr>
            <w:tcW w:w="1369" w:type="dxa"/>
            <w:tcBorders>
              <w:bottom w:val="single" w:sz="4" w:space="0" w:color="993333"/>
            </w:tcBorders>
            <w:shd w:val="clear" w:color="auto" w:fill="FFFFFF"/>
          </w:tcPr>
          <w:p w14:paraId="23C68DC8"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0,00</w:t>
            </w:r>
          </w:p>
        </w:tc>
        <w:tc>
          <w:tcPr>
            <w:tcW w:w="1161" w:type="dxa"/>
            <w:tcBorders>
              <w:bottom w:val="single" w:sz="4" w:space="0" w:color="993333"/>
            </w:tcBorders>
            <w:shd w:val="clear" w:color="auto" w:fill="FFFFFF"/>
          </w:tcPr>
          <w:p w14:paraId="1339E702"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0,00</w:t>
            </w:r>
          </w:p>
        </w:tc>
        <w:tc>
          <w:tcPr>
            <w:tcW w:w="1253" w:type="dxa"/>
            <w:tcBorders>
              <w:bottom w:val="single" w:sz="4" w:space="0" w:color="993333"/>
            </w:tcBorders>
            <w:shd w:val="clear" w:color="auto" w:fill="FFFFFF"/>
          </w:tcPr>
          <w:p w14:paraId="2F5FF7CB"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0,00</w:t>
            </w:r>
          </w:p>
        </w:tc>
        <w:tc>
          <w:tcPr>
            <w:tcW w:w="1211" w:type="dxa"/>
            <w:tcBorders>
              <w:bottom w:val="single" w:sz="4" w:space="0" w:color="993333"/>
            </w:tcBorders>
            <w:shd w:val="clear" w:color="auto" w:fill="FFFFFF"/>
          </w:tcPr>
          <w:p w14:paraId="0FB1E5D7"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0,00</w:t>
            </w:r>
          </w:p>
        </w:tc>
        <w:tc>
          <w:tcPr>
            <w:tcW w:w="1031" w:type="dxa"/>
            <w:tcBorders>
              <w:bottom w:val="single" w:sz="4" w:space="0" w:color="993333"/>
            </w:tcBorders>
            <w:shd w:val="clear" w:color="auto" w:fill="FFFFFF"/>
          </w:tcPr>
          <w:p w14:paraId="36CB1A56"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411A2E">
              <w:rPr>
                <w:rFonts w:ascii="Arial" w:eastAsia="NSimSun" w:hAnsi="Arial" w:cs="Arial"/>
                <w:kern w:val="2"/>
                <w:sz w:val="18"/>
                <w:szCs w:val="18"/>
                <w:lang w:val="ca" w:eastAsia="zh-CN"/>
              </w:rPr>
              <w:t>0,00</w:t>
            </w:r>
          </w:p>
        </w:tc>
        <w:tc>
          <w:tcPr>
            <w:tcW w:w="974" w:type="dxa"/>
            <w:tcBorders>
              <w:bottom w:val="single" w:sz="4" w:space="0" w:color="993333"/>
            </w:tcBorders>
            <w:shd w:val="clear" w:color="auto" w:fill="FFFFFF"/>
            <w:vAlign w:val="center"/>
          </w:tcPr>
          <w:p w14:paraId="28BE15AF"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tc>
      </w:tr>
      <w:tr w:rsidR="00411A2E" w:rsidRPr="00411A2E" w14:paraId="1C3FBAF5" w14:textId="77777777" w:rsidTr="00411A2E">
        <w:trPr>
          <w:jc w:val="center"/>
        </w:trPr>
        <w:tc>
          <w:tcPr>
            <w:tcW w:w="1143" w:type="dxa"/>
            <w:tcBorders>
              <w:bottom w:val="single" w:sz="4" w:space="0" w:color="993333"/>
            </w:tcBorders>
            <w:shd w:val="clear" w:color="auto" w:fill="EEEEEE"/>
            <w:vAlign w:val="center"/>
          </w:tcPr>
          <w:p w14:paraId="3E56CC6D"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411A2E">
              <w:rPr>
                <w:rFonts w:ascii="Arial" w:eastAsia="NSimSun" w:hAnsi="Arial" w:cs="Arial"/>
                <w:b/>
                <w:bCs/>
                <w:kern w:val="2"/>
                <w:sz w:val="18"/>
                <w:szCs w:val="18"/>
                <w:lang w:val="ca" w:eastAsia="zh-CN"/>
              </w:rPr>
              <w:t>TOTAL operacions capital</w:t>
            </w:r>
          </w:p>
        </w:tc>
        <w:tc>
          <w:tcPr>
            <w:tcW w:w="1161" w:type="dxa"/>
            <w:tcBorders>
              <w:bottom w:val="single" w:sz="4" w:space="0" w:color="993333"/>
            </w:tcBorders>
            <w:shd w:val="clear" w:color="auto" w:fill="EEEEEE"/>
          </w:tcPr>
          <w:p w14:paraId="22ED5A46"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06ACFFC2"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0,00</w:t>
            </w:r>
          </w:p>
        </w:tc>
        <w:tc>
          <w:tcPr>
            <w:tcW w:w="1383" w:type="dxa"/>
            <w:tcBorders>
              <w:bottom w:val="single" w:sz="4" w:space="0" w:color="993333"/>
            </w:tcBorders>
            <w:shd w:val="clear" w:color="auto" w:fill="EEEEEE"/>
          </w:tcPr>
          <w:p w14:paraId="35DC5E2A" w14:textId="77777777" w:rsidR="00411A2E" w:rsidRPr="00411A2E" w:rsidRDefault="00411A2E" w:rsidP="00411A2E">
            <w:pPr>
              <w:widowControl w:val="0"/>
              <w:suppressAutoHyphens/>
              <w:spacing w:after="0" w:line="276" w:lineRule="auto"/>
              <w:ind w:right="140"/>
              <w:jc w:val="right"/>
              <w:textAlignment w:val="baseline"/>
              <w:rPr>
                <w:rFonts w:ascii="Arial" w:eastAsia="NSimSun" w:hAnsi="Arial" w:cs="Arial"/>
                <w:kern w:val="2"/>
                <w:sz w:val="18"/>
                <w:szCs w:val="18"/>
                <w:lang w:val="es-ES" w:eastAsia="zh-CN"/>
              </w:rPr>
            </w:pPr>
          </w:p>
          <w:p w14:paraId="62153CEF" w14:textId="77777777" w:rsidR="00411A2E" w:rsidRPr="00411A2E" w:rsidRDefault="00411A2E" w:rsidP="00411A2E">
            <w:pPr>
              <w:widowControl w:val="0"/>
              <w:suppressAutoHyphens/>
              <w:spacing w:after="0" w:line="276" w:lineRule="auto"/>
              <w:ind w:right="140"/>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3.787.793,15</w:t>
            </w:r>
          </w:p>
        </w:tc>
        <w:tc>
          <w:tcPr>
            <w:tcW w:w="1232" w:type="dxa"/>
            <w:tcBorders>
              <w:bottom w:val="single" w:sz="4" w:space="0" w:color="993333"/>
            </w:tcBorders>
            <w:shd w:val="clear" w:color="auto" w:fill="EEEEEE"/>
          </w:tcPr>
          <w:p w14:paraId="63CF8832"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2BA8CB2B"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199.890,00</w:t>
            </w:r>
          </w:p>
        </w:tc>
        <w:tc>
          <w:tcPr>
            <w:tcW w:w="1369" w:type="dxa"/>
            <w:tcBorders>
              <w:bottom w:val="single" w:sz="4" w:space="0" w:color="993333"/>
            </w:tcBorders>
            <w:shd w:val="clear" w:color="auto" w:fill="EEEEEE"/>
          </w:tcPr>
          <w:p w14:paraId="058704C5"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kern w:val="2"/>
                <w:sz w:val="18"/>
                <w:szCs w:val="18"/>
                <w:highlight w:val="yellow"/>
                <w:lang w:val="es-ES" w:eastAsia="zh-CN"/>
              </w:rPr>
            </w:pPr>
          </w:p>
          <w:p w14:paraId="27CEAC5F"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199.890,00</w:t>
            </w:r>
          </w:p>
        </w:tc>
        <w:tc>
          <w:tcPr>
            <w:tcW w:w="1161" w:type="dxa"/>
            <w:tcBorders>
              <w:bottom w:val="single" w:sz="4" w:space="0" w:color="993333"/>
            </w:tcBorders>
            <w:shd w:val="clear" w:color="auto" w:fill="EEEEEE"/>
          </w:tcPr>
          <w:p w14:paraId="3EB771D5"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1E96D07F"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199.890,00</w:t>
            </w:r>
          </w:p>
        </w:tc>
        <w:tc>
          <w:tcPr>
            <w:tcW w:w="1253" w:type="dxa"/>
            <w:tcBorders>
              <w:bottom w:val="single" w:sz="4" w:space="0" w:color="993333"/>
            </w:tcBorders>
            <w:shd w:val="clear" w:color="auto" w:fill="EEEEEE"/>
          </w:tcPr>
          <w:p w14:paraId="1AC962FE"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3AE76F5C"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411A2E">
              <w:rPr>
                <w:rFonts w:ascii="Arial" w:eastAsia="NSimSun" w:hAnsi="Arial" w:cs="Arial"/>
                <w:kern w:val="2"/>
                <w:sz w:val="18"/>
                <w:szCs w:val="18"/>
                <w:lang w:val="ca" w:eastAsia="zh-CN"/>
              </w:rPr>
              <w:t>0,00</w:t>
            </w:r>
          </w:p>
        </w:tc>
        <w:tc>
          <w:tcPr>
            <w:tcW w:w="1211" w:type="dxa"/>
            <w:tcBorders>
              <w:bottom w:val="single" w:sz="4" w:space="0" w:color="993333"/>
            </w:tcBorders>
            <w:shd w:val="clear" w:color="auto" w:fill="EEEEEE"/>
          </w:tcPr>
          <w:p w14:paraId="5BA7E207"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52971CEE"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199.890,00</w:t>
            </w:r>
          </w:p>
        </w:tc>
        <w:tc>
          <w:tcPr>
            <w:tcW w:w="1031" w:type="dxa"/>
            <w:tcBorders>
              <w:bottom w:val="single" w:sz="4" w:space="0" w:color="993333"/>
            </w:tcBorders>
            <w:shd w:val="clear" w:color="auto" w:fill="EEEEEE"/>
          </w:tcPr>
          <w:p w14:paraId="0A3DB001"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7B95CC29"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0,00</w:t>
            </w:r>
          </w:p>
        </w:tc>
        <w:tc>
          <w:tcPr>
            <w:tcW w:w="974" w:type="dxa"/>
            <w:tcBorders>
              <w:bottom w:val="single" w:sz="4" w:space="0" w:color="993333"/>
            </w:tcBorders>
            <w:shd w:val="clear" w:color="auto" w:fill="EEEEEE"/>
          </w:tcPr>
          <w:p w14:paraId="3CC62AC5"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p>
          <w:p w14:paraId="1963945F"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kern w:val="2"/>
                <w:sz w:val="18"/>
                <w:szCs w:val="18"/>
                <w:highlight w:val="yellow"/>
                <w:lang w:val="es-ES" w:eastAsia="zh-CN"/>
              </w:rPr>
            </w:pPr>
            <w:r w:rsidRPr="00411A2E">
              <w:rPr>
                <w:rFonts w:ascii="Arial" w:eastAsia="NSimSun" w:hAnsi="Arial" w:cs="Arial"/>
                <w:kern w:val="2"/>
                <w:sz w:val="18"/>
                <w:szCs w:val="18"/>
                <w:lang w:val="ca" w:eastAsia="zh-CN"/>
              </w:rPr>
              <w:t>100,00</w:t>
            </w:r>
          </w:p>
        </w:tc>
      </w:tr>
      <w:tr w:rsidR="00411A2E" w:rsidRPr="00411A2E" w14:paraId="4C99DB54" w14:textId="77777777" w:rsidTr="00411A2E">
        <w:trPr>
          <w:jc w:val="center"/>
        </w:trPr>
        <w:tc>
          <w:tcPr>
            <w:tcW w:w="1143" w:type="dxa"/>
            <w:tcBorders>
              <w:bottom w:val="single" w:sz="4" w:space="0" w:color="993333"/>
            </w:tcBorders>
            <w:shd w:val="clear" w:color="auto" w:fill="FFFFFF"/>
            <w:vAlign w:val="center"/>
          </w:tcPr>
          <w:p w14:paraId="53F4168E" w14:textId="77777777" w:rsidR="00411A2E" w:rsidRPr="00411A2E" w:rsidRDefault="00411A2E" w:rsidP="00411A2E">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411A2E">
              <w:rPr>
                <w:rFonts w:ascii="Arial" w:eastAsia="NSimSun" w:hAnsi="Arial" w:cs="Arial"/>
                <w:b/>
                <w:bCs/>
                <w:kern w:val="2"/>
                <w:sz w:val="18"/>
                <w:szCs w:val="18"/>
                <w:lang w:val="ca" w:eastAsia="zh-CN"/>
              </w:rPr>
              <w:t>TOTAL</w:t>
            </w:r>
          </w:p>
        </w:tc>
        <w:tc>
          <w:tcPr>
            <w:tcW w:w="1161" w:type="dxa"/>
            <w:tcBorders>
              <w:bottom w:val="single" w:sz="4" w:space="0" w:color="993333"/>
            </w:tcBorders>
            <w:shd w:val="clear" w:color="auto" w:fill="FFFFFF"/>
          </w:tcPr>
          <w:p w14:paraId="56121F59"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b/>
                <w:bCs/>
                <w:kern w:val="2"/>
                <w:sz w:val="18"/>
                <w:szCs w:val="18"/>
                <w:lang w:val="es-ES" w:eastAsia="zh-CN"/>
              </w:rPr>
            </w:pPr>
            <w:r w:rsidRPr="00411A2E">
              <w:rPr>
                <w:rFonts w:ascii="Arial" w:eastAsia="NSimSun" w:hAnsi="Arial" w:cs="Arial"/>
                <w:b/>
                <w:bCs/>
                <w:kern w:val="2"/>
                <w:sz w:val="18"/>
                <w:szCs w:val="18"/>
                <w:lang w:val="ca" w:eastAsia="zh-CN"/>
              </w:rPr>
              <w:t>4.424.340,00</w:t>
            </w:r>
          </w:p>
        </w:tc>
        <w:tc>
          <w:tcPr>
            <w:tcW w:w="1383" w:type="dxa"/>
            <w:tcBorders>
              <w:bottom w:val="single" w:sz="4" w:space="0" w:color="993333"/>
            </w:tcBorders>
            <w:shd w:val="clear" w:color="auto" w:fill="FFFFFF"/>
          </w:tcPr>
          <w:p w14:paraId="10498A67" w14:textId="3EBA023E" w:rsidR="00411A2E" w:rsidRPr="00411A2E" w:rsidRDefault="003C429B" w:rsidP="00411A2E">
            <w:pPr>
              <w:widowControl w:val="0"/>
              <w:suppressAutoHyphens/>
              <w:spacing w:after="0" w:line="276" w:lineRule="auto"/>
              <w:ind w:right="140"/>
              <w:jc w:val="right"/>
              <w:textAlignment w:val="baseline"/>
              <w:rPr>
                <w:rFonts w:ascii="Arial" w:eastAsia="NSimSun" w:hAnsi="Arial" w:cs="Arial"/>
                <w:b/>
                <w:bCs/>
                <w:kern w:val="2"/>
                <w:sz w:val="18"/>
                <w:szCs w:val="18"/>
                <w:lang w:val="es-ES" w:eastAsia="zh-CN"/>
              </w:rPr>
            </w:pPr>
            <w:r w:rsidRPr="003C429B">
              <w:rPr>
                <w:rFonts w:ascii="Arial" w:eastAsia="NSimSun" w:hAnsi="Arial" w:cs="Arial"/>
                <w:b/>
                <w:bCs/>
                <w:kern w:val="2"/>
                <w:sz w:val="18"/>
                <w:szCs w:val="18"/>
                <w:lang w:val="es-ES" w:eastAsia="zh-CN" w:bidi="hi-IN"/>
              </w:rPr>
              <w:t>3.787.793,15</w:t>
            </w:r>
            <w:r w:rsidRPr="003C429B">
              <w:rPr>
                <w:rFonts w:ascii="Arial" w:eastAsia="Droid Sans Fallback" w:hAnsi="Arial" w:cs="Arial"/>
                <w:b/>
                <w:bCs/>
                <w:kern w:val="3"/>
                <w:sz w:val="21"/>
                <w:szCs w:val="21"/>
                <w:vertAlign w:val="superscript"/>
                <w:lang w:val="es-ES" w:eastAsia="zh-CN" w:bidi="hi-IN"/>
              </w:rPr>
              <w:footnoteReference w:customMarkFollows="1" w:id="4"/>
              <w:sym w:font="Symbol" w:char="F02A"/>
            </w:r>
          </w:p>
        </w:tc>
        <w:tc>
          <w:tcPr>
            <w:tcW w:w="1232" w:type="dxa"/>
            <w:tcBorders>
              <w:bottom w:val="single" w:sz="4" w:space="0" w:color="993333"/>
            </w:tcBorders>
            <w:shd w:val="clear" w:color="auto" w:fill="FFFFFF"/>
            <w:vAlign w:val="center"/>
          </w:tcPr>
          <w:p w14:paraId="704F4890" w14:textId="53D1F947" w:rsidR="00411A2E" w:rsidRPr="00411A2E" w:rsidRDefault="00411A2E" w:rsidP="00411A2E">
            <w:pPr>
              <w:widowControl w:val="0"/>
              <w:suppressAutoHyphens/>
              <w:spacing w:after="0" w:line="276" w:lineRule="auto"/>
              <w:jc w:val="right"/>
              <w:textAlignment w:val="baseline"/>
              <w:rPr>
                <w:rFonts w:ascii="Arial" w:eastAsia="NSimSun" w:hAnsi="Arial" w:cs="Arial"/>
                <w:b/>
                <w:bCs/>
                <w:kern w:val="2"/>
                <w:sz w:val="18"/>
                <w:szCs w:val="18"/>
                <w:highlight w:val="yellow"/>
                <w:lang w:val="es-ES" w:eastAsia="zh-CN"/>
              </w:rPr>
            </w:pPr>
            <w:r w:rsidRPr="00411A2E">
              <w:rPr>
                <w:rFonts w:ascii="Arial" w:eastAsia="NSimSun" w:hAnsi="Arial" w:cs="Arial"/>
                <w:b/>
                <w:bCs/>
                <w:kern w:val="2"/>
                <w:sz w:val="18"/>
                <w:szCs w:val="18"/>
                <w:lang w:val="ca" w:eastAsia="zh-CN"/>
              </w:rPr>
              <w:t>8.212.133,15</w:t>
            </w:r>
            <w:r w:rsidR="003C429B" w:rsidRPr="003C429B">
              <w:rPr>
                <w:rFonts w:ascii="Arial" w:eastAsia="Droid Sans Fallback" w:hAnsi="Arial" w:cs="Arial"/>
                <w:b/>
                <w:bCs/>
                <w:kern w:val="3"/>
                <w:sz w:val="21"/>
                <w:szCs w:val="21"/>
                <w:vertAlign w:val="superscript"/>
                <w:lang w:val="es-ES" w:eastAsia="zh-CN" w:bidi="hi-IN"/>
              </w:rPr>
              <w:footnoteReference w:customMarkFollows="1" w:id="5"/>
              <w:sym w:font="Symbol" w:char="F02A"/>
            </w:r>
          </w:p>
        </w:tc>
        <w:tc>
          <w:tcPr>
            <w:tcW w:w="1369" w:type="dxa"/>
            <w:tcBorders>
              <w:bottom w:val="single" w:sz="4" w:space="0" w:color="993333"/>
            </w:tcBorders>
            <w:shd w:val="clear" w:color="auto" w:fill="FFFFFF"/>
            <w:vAlign w:val="center"/>
          </w:tcPr>
          <w:p w14:paraId="2C9FB087" w14:textId="77777777" w:rsidR="00411A2E" w:rsidRPr="00411A2E" w:rsidRDefault="00411A2E" w:rsidP="00411A2E">
            <w:pPr>
              <w:widowControl w:val="0"/>
              <w:suppressAutoHyphens/>
              <w:spacing w:after="0" w:line="276" w:lineRule="auto"/>
              <w:ind w:right="208"/>
              <w:jc w:val="right"/>
              <w:textAlignment w:val="baseline"/>
              <w:rPr>
                <w:rFonts w:ascii="Arial" w:eastAsia="NSimSun" w:hAnsi="Arial" w:cs="Arial"/>
                <w:b/>
                <w:bCs/>
                <w:kern w:val="2"/>
                <w:sz w:val="18"/>
                <w:szCs w:val="18"/>
                <w:highlight w:val="yellow"/>
                <w:lang w:val="es-ES" w:eastAsia="zh-CN"/>
              </w:rPr>
            </w:pPr>
            <w:r w:rsidRPr="00411A2E">
              <w:rPr>
                <w:rFonts w:ascii="Arial" w:eastAsia="NSimSun" w:hAnsi="Arial" w:cs="Arial"/>
                <w:b/>
                <w:bCs/>
                <w:kern w:val="2"/>
                <w:sz w:val="18"/>
                <w:szCs w:val="18"/>
                <w:lang w:val="ca" w:eastAsia="zh-CN"/>
              </w:rPr>
              <w:t>4.424.507,77</w:t>
            </w:r>
          </w:p>
        </w:tc>
        <w:tc>
          <w:tcPr>
            <w:tcW w:w="1161" w:type="dxa"/>
            <w:tcBorders>
              <w:bottom w:val="single" w:sz="4" w:space="0" w:color="993333"/>
            </w:tcBorders>
            <w:shd w:val="clear" w:color="auto" w:fill="FFFFFF"/>
            <w:vAlign w:val="center"/>
          </w:tcPr>
          <w:p w14:paraId="0543FA65"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b/>
                <w:bCs/>
                <w:kern w:val="2"/>
                <w:sz w:val="18"/>
                <w:szCs w:val="18"/>
                <w:highlight w:val="yellow"/>
                <w:lang w:val="es-ES" w:eastAsia="zh-CN"/>
              </w:rPr>
            </w:pPr>
            <w:r w:rsidRPr="00411A2E">
              <w:rPr>
                <w:rFonts w:ascii="Arial" w:eastAsia="NSimSun" w:hAnsi="Arial" w:cs="Arial"/>
                <w:b/>
                <w:bCs/>
                <w:kern w:val="2"/>
                <w:sz w:val="18"/>
                <w:szCs w:val="18"/>
                <w:lang w:val="ca" w:eastAsia="zh-CN"/>
              </w:rPr>
              <w:t>4.424.507,77</w:t>
            </w:r>
          </w:p>
        </w:tc>
        <w:tc>
          <w:tcPr>
            <w:tcW w:w="1253" w:type="dxa"/>
            <w:tcBorders>
              <w:bottom w:val="single" w:sz="4" w:space="0" w:color="993333"/>
            </w:tcBorders>
            <w:shd w:val="clear" w:color="auto" w:fill="FFFFFF"/>
            <w:vAlign w:val="center"/>
          </w:tcPr>
          <w:p w14:paraId="1BE9B5E2"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b/>
                <w:bCs/>
                <w:kern w:val="2"/>
                <w:sz w:val="18"/>
                <w:szCs w:val="18"/>
                <w:lang w:val="es-ES" w:eastAsia="zh-CN"/>
              </w:rPr>
            </w:pPr>
            <w:r w:rsidRPr="00411A2E">
              <w:rPr>
                <w:rFonts w:ascii="Arial" w:eastAsia="NSimSun" w:hAnsi="Arial" w:cs="Arial"/>
                <w:b/>
                <w:bCs/>
                <w:kern w:val="2"/>
                <w:sz w:val="18"/>
                <w:szCs w:val="18"/>
                <w:lang w:val="ca" w:eastAsia="zh-CN"/>
              </w:rPr>
              <w:t>0,00</w:t>
            </w:r>
          </w:p>
        </w:tc>
        <w:tc>
          <w:tcPr>
            <w:tcW w:w="1211" w:type="dxa"/>
            <w:tcBorders>
              <w:bottom w:val="single" w:sz="4" w:space="0" w:color="993333"/>
            </w:tcBorders>
            <w:shd w:val="clear" w:color="auto" w:fill="FFFFFF"/>
            <w:vAlign w:val="center"/>
          </w:tcPr>
          <w:p w14:paraId="6FF353A0"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b/>
                <w:bCs/>
                <w:kern w:val="2"/>
                <w:sz w:val="18"/>
                <w:szCs w:val="18"/>
                <w:highlight w:val="yellow"/>
                <w:lang w:val="es-ES" w:eastAsia="zh-CN"/>
              </w:rPr>
            </w:pPr>
            <w:r w:rsidRPr="00411A2E">
              <w:rPr>
                <w:rFonts w:ascii="Arial" w:eastAsia="NSimSun" w:hAnsi="Arial" w:cs="Arial"/>
                <w:b/>
                <w:bCs/>
                <w:kern w:val="2"/>
                <w:sz w:val="18"/>
                <w:szCs w:val="18"/>
                <w:lang w:val="ca" w:eastAsia="zh-CN"/>
              </w:rPr>
              <w:t>4.424.507,77</w:t>
            </w:r>
          </w:p>
        </w:tc>
        <w:tc>
          <w:tcPr>
            <w:tcW w:w="1031" w:type="dxa"/>
            <w:tcBorders>
              <w:bottom w:val="single" w:sz="4" w:space="0" w:color="993333"/>
            </w:tcBorders>
            <w:shd w:val="clear" w:color="auto" w:fill="FFFFFF"/>
            <w:vAlign w:val="center"/>
          </w:tcPr>
          <w:p w14:paraId="64DC07A0"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b/>
                <w:bCs/>
                <w:kern w:val="2"/>
                <w:sz w:val="18"/>
                <w:szCs w:val="18"/>
                <w:highlight w:val="yellow"/>
                <w:lang w:val="es-ES" w:eastAsia="zh-CN"/>
              </w:rPr>
            </w:pPr>
            <w:r w:rsidRPr="00411A2E">
              <w:rPr>
                <w:rFonts w:ascii="Arial" w:eastAsia="NSimSun" w:hAnsi="Arial" w:cs="Arial"/>
                <w:b/>
                <w:bCs/>
                <w:color w:val="000000"/>
                <w:kern w:val="2"/>
                <w:sz w:val="18"/>
                <w:szCs w:val="18"/>
                <w:lang w:val="ca" w:eastAsia="zh-CN"/>
              </w:rPr>
              <w:t>0,00</w:t>
            </w:r>
          </w:p>
        </w:tc>
        <w:tc>
          <w:tcPr>
            <w:tcW w:w="974" w:type="dxa"/>
            <w:tcBorders>
              <w:bottom w:val="single" w:sz="4" w:space="0" w:color="993333"/>
            </w:tcBorders>
            <w:shd w:val="clear" w:color="auto" w:fill="FFFFFF"/>
            <w:vAlign w:val="center"/>
          </w:tcPr>
          <w:p w14:paraId="681D718B" w14:textId="77777777" w:rsidR="00411A2E" w:rsidRPr="00411A2E" w:rsidRDefault="00411A2E" w:rsidP="00411A2E">
            <w:pPr>
              <w:widowControl w:val="0"/>
              <w:suppressAutoHyphens/>
              <w:spacing w:after="0" w:line="276" w:lineRule="auto"/>
              <w:jc w:val="right"/>
              <w:textAlignment w:val="baseline"/>
              <w:rPr>
                <w:rFonts w:ascii="Arial" w:eastAsia="NSimSun" w:hAnsi="Arial" w:cs="Arial"/>
                <w:b/>
                <w:bCs/>
                <w:color w:val="000000"/>
                <w:kern w:val="2"/>
                <w:sz w:val="18"/>
                <w:szCs w:val="18"/>
                <w:highlight w:val="yellow"/>
                <w:lang w:val="es-ES" w:eastAsia="zh-CN"/>
              </w:rPr>
            </w:pPr>
          </w:p>
        </w:tc>
      </w:tr>
    </w:tbl>
    <w:p w14:paraId="34DC0146" w14:textId="7729AB20" w:rsidR="00986810" w:rsidRDefault="00986810" w:rsidP="00343C17">
      <w:pPr>
        <w:spacing w:after="240" w:line="276" w:lineRule="auto"/>
        <w:jc w:val="both"/>
        <w:rPr>
          <w:rFonts w:ascii="Arial" w:eastAsia="Droid Sans Fallback" w:hAnsi="Arial" w:cs="Arial"/>
          <w:kern w:val="3"/>
          <w:sz w:val="21"/>
          <w:szCs w:val="21"/>
          <w:lang w:eastAsia="zh-CN" w:bidi="hi-IN"/>
        </w:rPr>
      </w:pPr>
    </w:p>
    <w:p w14:paraId="1496DC85" w14:textId="7A969163" w:rsidR="00986810" w:rsidRDefault="00986810" w:rsidP="00343C17">
      <w:pPr>
        <w:spacing w:after="240" w:line="276" w:lineRule="auto"/>
        <w:jc w:val="both"/>
        <w:rPr>
          <w:rFonts w:ascii="Arial" w:eastAsia="Droid Sans Fallback" w:hAnsi="Arial" w:cs="Arial"/>
          <w:kern w:val="3"/>
          <w:sz w:val="21"/>
          <w:szCs w:val="21"/>
          <w:lang w:eastAsia="zh-CN" w:bidi="hi-IN"/>
        </w:rPr>
      </w:pPr>
    </w:p>
    <w:p w14:paraId="7D547035" w14:textId="2191FAAD" w:rsidR="00986810" w:rsidRDefault="00986810" w:rsidP="00343C17">
      <w:pPr>
        <w:spacing w:after="240" w:line="276" w:lineRule="auto"/>
        <w:jc w:val="both"/>
        <w:rPr>
          <w:rFonts w:ascii="Arial" w:eastAsia="Droid Sans Fallback" w:hAnsi="Arial" w:cs="Arial"/>
          <w:kern w:val="3"/>
          <w:sz w:val="21"/>
          <w:szCs w:val="21"/>
          <w:lang w:eastAsia="zh-CN" w:bidi="hi-IN"/>
        </w:rPr>
      </w:pPr>
    </w:p>
    <w:p w14:paraId="784A7FF5" w14:textId="5D1BD449" w:rsidR="009C1014" w:rsidRDefault="009C1014" w:rsidP="00343C17">
      <w:pPr>
        <w:spacing w:after="240" w:line="276" w:lineRule="auto"/>
        <w:jc w:val="both"/>
        <w:rPr>
          <w:rFonts w:ascii="Arial" w:eastAsia="Droid Sans Fallback" w:hAnsi="Arial" w:cs="Arial"/>
          <w:kern w:val="3"/>
          <w:sz w:val="21"/>
          <w:szCs w:val="21"/>
          <w:lang w:eastAsia="zh-CN" w:bidi="hi-IN"/>
        </w:rPr>
      </w:pPr>
    </w:p>
    <w:p w14:paraId="0FABDF25" w14:textId="77777777" w:rsidR="009C1014" w:rsidRDefault="009C1014" w:rsidP="00343C17">
      <w:pPr>
        <w:spacing w:after="240" w:line="276" w:lineRule="auto"/>
        <w:jc w:val="both"/>
        <w:rPr>
          <w:rFonts w:ascii="Arial" w:eastAsia="Droid Sans Fallback" w:hAnsi="Arial" w:cs="Arial"/>
          <w:kern w:val="3"/>
          <w:sz w:val="21"/>
          <w:szCs w:val="21"/>
          <w:lang w:eastAsia="zh-CN" w:bidi="hi-IN"/>
        </w:rPr>
      </w:pPr>
    </w:p>
    <w:p w14:paraId="0E652E4F" w14:textId="1B4BB1FB" w:rsidR="00983AA3" w:rsidRPr="00983AA3" w:rsidRDefault="00983AA3" w:rsidP="00983AA3">
      <w:pPr>
        <w:pStyle w:val="Descripcin"/>
        <w:keepNext/>
        <w:jc w:val="center"/>
        <w:rPr>
          <w:rFonts w:ascii="Arial" w:hAnsi="Arial" w:cs="Arial"/>
          <w:smallCaps w:val="0"/>
          <w:sz w:val="18"/>
          <w:szCs w:val="18"/>
        </w:rPr>
      </w:pPr>
      <w:bookmarkStart w:id="500" w:name="_Toc99110881"/>
      <w:r w:rsidRPr="00983AA3">
        <w:rPr>
          <w:rFonts w:ascii="Arial" w:hAnsi="Arial" w:cs="Arial"/>
          <w:smallCaps w:val="0"/>
          <w:color w:val="9D2235" w:themeColor="accent1"/>
          <w:sz w:val="18"/>
          <w:szCs w:val="18"/>
        </w:rPr>
        <w:t xml:space="preserve">Taula </w:t>
      </w:r>
      <w:r w:rsidRPr="00983AA3">
        <w:rPr>
          <w:rFonts w:ascii="Arial" w:hAnsi="Arial" w:cs="Arial"/>
          <w:smallCaps w:val="0"/>
          <w:color w:val="9D2235" w:themeColor="accent1"/>
          <w:sz w:val="18"/>
          <w:szCs w:val="18"/>
        </w:rPr>
        <w:fldChar w:fldCharType="begin" w:fldLock="1"/>
      </w:r>
      <w:r w:rsidRPr="00983AA3">
        <w:rPr>
          <w:rFonts w:ascii="Arial" w:hAnsi="Arial" w:cs="Arial"/>
          <w:smallCaps w:val="0"/>
          <w:color w:val="9D2235" w:themeColor="accent1"/>
          <w:sz w:val="18"/>
          <w:szCs w:val="18"/>
        </w:rPr>
        <w:instrText xml:space="preserve"> SEQ Taula \* ARABIC </w:instrText>
      </w:r>
      <w:r w:rsidRPr="00983AA3">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36</w:t>
      </w:r>
      <w:r w:rsidRPr="00983AA3">
        <w:rPr>
          <w:rFonts w:ascii="Arial" w:hAnsi="Arial" w:cs="Arial"/>
          <w:smallCaps w:val="0"/>
          <w:color w:val="9D2235" w:themeColor="accent1"/>
          <w:sz w:val="18"/>
          <w:szCs w:val="18"/>
        </w:rPr>
        <w:fldChar w:fldCharType="end"/>
      </w:r>
      <w:r w:rsidRPr="00983AA3">
        <w:rPr>
          <w:rFonts w:ascii="Arial" w:hAnsi="Arial" w:cs="Arial"/>
          <w:smallCaps w:val="0"/>
          <w:color w:val="9D2235" w:themeColor="accent1"/>
          <w:sz w:val="18"/>
          <w:szCs w:val="18"/>
        </w:rPr>
        <w:t xml:space="preserve">. </w:t>
      </w:r>
      <w:r w:rsidRPr="00983AA3">
        <w:rPr>
          <w:rFonts w:ascii="Arial" w:hAnsi="Arial" w:cs="Arial"/>
          <w:smallCaps w:val="0"/>
          <w:sz w:val="18"/>
          <w:szCs w:val="18"/>
        </w:rPr>
        <w:t>Comparativa de l'estat d'execució d'ingressos a 31 de desembre dels exercicis 2020 i 2021</w:t>
      </w:r>
      <w:bookmarkEnd w:id="500"/>
    </w:p>
    <w:tbl>
      <w:tblPr>
        <w:tblW w:w="15026" w:type="dxa"/>
        <w:tblInd w:w="-147" w:type="dxa"/>
        <w:tblLayout w:type="fixed"/>
        <w:tblCellMar>
          <w:left w:w="70" w:type="dxa"/>
          <w:right w:w="70" w:type="dxa"/>
        </w:tblCellMar>
        <w:tblLook w:val="04A0" w:firstRow="1" w:lastRow="0" w:firstColumn="1" w:lastColumn="0" w:noHBand="0" w:noVBand="1"/>
      </w:tblPr>
      <w:tblGrid>
        <w:gridCol w:w="1135"/>
        <w:gridCol w:w="1417"/>
        <w:gridCol w:w="1559"/>
        <w:gridCol w:w="1418"/>
        <w:gridCol w:w="1276"/>
        <w:gridCol w:w="1559"/>
        <w:gridCol w:w="1548"/>
        <w:gridCol w:w="716"/>
        <w:gridCol w:w="713"/>
        <w:gridCol w:w="708"/>
        <w:gridCol w:w="709"/>
        <w:gridCol w:w="851"/>
        <w:gridCol w:w="708"/>
        <w:gridCol w:w="709"/>
      </w:tblGrid>
      <w:tr w:rsidR="00983AA3" w:rsidRPr="00983AA3" w14:paraId="671E6B9E" w14:textId="77777777" w:rsidTr="00271465">
        <w:trPr>
          <w:trHeight w:val="332"/>
        </w:trPr>
        <w:tc>
          <w:tcPr>
            <w:tcW w:w="1135" w:type="dxa"/>
            <w:vMerge w:val="restart"/>
            <w:tcBorders>
              <w:top w:val="single" w:sz="4" w:space="0" w:color="000000"/>
              <w:left w:val="single" w:sz="4" w:space="0" w:color="000000"/>
              <w:bottom w:val="single" w:sz="4" w:space="0" w:color="000000"/>
              <w:right w:val="single" w:sz="4" w:space="0" w:color="000000"/>
            </w:tcBorders>
            <w:shd w:val="clear" w:color="auto" w:fill="9D2235"/>
            <w:vAlign w:val="center"/>
            <w:hideMark/>
          </w:tcPr>
          <w:p w14:paraId="5BC7EEF3"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CAPÍTOL</w:t>
            </w:r>
          </w:p>
        </w:tc>
        <w:tc>
          <w:tcPr>
            <w:tcW w:w="4394" w:type="dxa"/>
            <w:gridSpan w:val="3"/>
            <w:vMerge w:val="restart"/>
            <w:tcBorders>
              <w:top w:val="single" w:sz="4" w:space="0" w:color="auto"/>
              <w:left w:val="single" w:sz="4" w:space="0" w:color="auto"/>
              <w:bottom w:val="single" w:sz="4" w:space="0" w:color="auto"/>
              <w:right w:val="single" w:sz="4" w:space="0" w:color="auto"/>
            </w:tcBorders>
            <w:shd w:val="clear" w:color="auto" w:fill="9D2235"/>
            <w:vAlign w:val="center"/>
            <w:hideMark/>
          </w:tcPr>
          <w:p w14:paraId="2026BB05"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2020</w:t>
            </w:r>
          </w:p>
        </w:tc>
        <w:tc>
          <w:tcPr>
            <w:tcW w:w="4383" w:type="dxa"/>
            <w:gridSpan w:val="3"/>
            <w:vMerge w:val="restart"/>
            <w:tcBorders>
              <w:top w:val="single" w:sz="4" w:space="0" w:color="auto"/>
              <w:left w:val="single" w:sz="4" w:space="0" w:color="auto"/>
              <w:bottom w:val="single" w:sz="4" w:space="0" w:color="auto"/>
              <w:right w:val="single" w:sz="4" w:space="0" w:color="auto"/>
            </w:tcBorders>
            <w:shd w:val="clear" w:color="auto" w:fill="9D2235"/>
            <w:vAlign w:val="center"/>
            <w:hideMark/>
          </w:tcPr>
          <w:p w14:paraId="08E16106"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2021</w:t>
            </w:r>
          </w:p>
        </w:tc>
        <w:tc>
          <w:tcPr>
            <w:tcW w:w="2846" w:type="dxa"/>
            <w:gridSpan w:val="4"/>
            <w:tcBorders>
              <w:top w:val="single" w:sz="4" w:space="0" w:color="auto"/>
              <w:left w:val="nil"/>
              <w:bottom w:val="single" w:sz="4" w:space="0" w:color="auto"/>
              <w:right w:val="single" w:sz="4" w:space="0" w:color="auto"/>
            </w:tcBorders>
            <w:shd w:val="clear" w:color="auto" w:fill="9D2235"/>
            <w:noWrap/>
            <w:vAlign w:val="bottom"/>
            <w:hideMark/>
          </w:tcPr>
          <w:p w14:paraId="4953CB1E"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 DE REALITZACIÓ</w:t>
            </w:r>
          </w:p>
        </w:tc>
        <w:tc>
          <w:tcPr>
            <w:tcW w:w="2268" w:type="dxa"/>
            <w:gridSpan w:val="3"/>
            <w:vMerge w:val="restart"/>
            <w:tcBorders>
              <w:top w:val="single" w:sz="4" w:space="0" w:color="000000"/>
              <w:left w:val="nil"/>
              <w:bottom w:val="single" w:sz="4" w:space="0" w:color="000000"/>
              <w:right w:val="single" w:sz="4" w:space="0" w:color="000000"/>
            </w:tcBorders>
            <w:shd w:val="clear" w:color="auto" w:fill="9D2235"/>
            <w:vAlign w:val="center"/>
            <w:hideMark/>
          </w:tcPr>
          <w:p w14:paraId="2EA4109F"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TAXES DE VARIACIÓ</w:t>
            </w:r>
          </w:p>
        </w:tc>
      </w:tr>
      <w:tr w:rsidR="00983AA3" w:rsidRPr="00983AA3" w14:paraId="5080E37E" w14:textId="77777777" w:rsidTr="00271465">
        <w:trPr>
          <w:trHeight w:val="300"/>
        </w:trPr>
        <w:tc>
          <w:tcPr>
            <w:tcW w:w="1135" w:type="dxa"/>
            <w:vMerge/>
            <w:tcBorders>
              <w:top w:val="single" w:sz="4" w:space="0" w:color="000000"/>
              <w:left w:val="single" w:sz="4" w:space="0" w:color="000000"/>
              <w:bottom w:val="single" w:sz="4" w:space="0" w:color="000000"/>
              <w:right w:val="single" w:sz="4" w:space="0" w:color="000000"/>
            </w:tcBorders>
            <w:shd w:val="clear" w:color="auto" w:fill="9D2235"/>
            <w:vAlign w:val="center"/>
            <w:hideMark/>
          </w:tcPr>
          <w:p w14:paraId="15136DA9" w14:textId="77777777" w:rsidR="00983AA3" w:rsidRPr="00983AA3" w:rsidRDefault="00983AA3" w:rsidP="00983AA3">
            <w:pPr>
              <w:spacing w:after="0" w:line="240" w:lineRule="auto"/>
              <w:rPr>
                <w:rFonts w:ascii="Arial" w:eastAsia="Times New Roman" w:hAnsi="Arial" w:cs="Arial"/>
                <w:b/>
                <w:bCs/>
                <w:color w:val="FFFFFF"/>
                <w:sz w:val="18"/>
                <w:szCs w:val="18"/>
                <w:lang w:val="es-ES" w:eastAsia="es-ES"/>
              </w:rPr>
            </w:pPr>
          </w:p>
        </w:tc>
        <w:tc>
          <w:tcPr>
            <w:tcW w:w="4394" w:type="dxa"/>
            <w:gridSpan w:val="3"/>
            <w:vMerge/>
            <w:tcBorders>
              <w:top w:val="single" w:sz="4" w:space="0" w:color="auto"/>
              <w:left w:val="single" w:sz="4" w:space="0" w:color="auto"/>
              <w:bottom w:val="single" w:sz="4" w:space="0" w:color="auto"/>
              <w:right w:val="single" w:sz="4" w:space="0" w:color="auto"/>
            </w:tcBorders>
            <w:shd w:val="clear" w:color="auto" w:fill="9D2235"/>
            <w:vAlign w:val="center"/>
            <w:hideMark/>
          </w:tcPr>
          <w:p w14:paraId="25629708" w14:textId="77777777" w:rsidR="00983AA3" w:rsidRPr="00983AA3" w:rsidRDefault="00983AA3" w:rsidP="00983AA3">
            <w:pPr>
              <w:spacing w:after="0" w:line="240" w:lineRule="auto"/>
              <w:rPr>
                <w:rFonts w:ascii="Arial" w:eastAsia="Times New Roman" w:hAnsi="Arial" w:cs="Arial"/>
                <w:b/>
                <w:bCs/>
                <w:color w:val="FFFFFF"/>
                <w:sz w:val="18"/>
                <w:szCs w:val="18"/>
                <w:lang w:val="es-ES" w:eastAsia="es-ES"/>
              </w:rPr>
            </w:pPr>
          </w:p>
        </w:tc>
        <w:tc>
          <w:tcPr>
            <w:tcW w:w="4383" w:type="dxa"/>
            <w:gridSpan w:val="3"/>
            <w:vMerge/>
            <w:tcBorders>
              <w:top w:val="single" w:sz="4" w:space="0" w:color="auto"/>
              <w:left w:val="single" w:sz="4" w:space="0" w:color="auto"/>
              <w:bottom w:val="single" w:sz="4" w:space="0" w:color="auto"/>
              <w:right w:val="single" w:sz="4" w:space="0" w:color="auto"/>
            </w:tcBorders>
            <w:shd w:val="clear" w:color="auto" w:fill="9D2235"/>
            <w:vAlign w:val="center"/>
            <w:hideMark/>
          </w:tcPr>
          <w:p w14:paraId="5248CEF1" w14:textId="77777777" w:rsidR="00983AA3" w:rsidRPr="00983AA3" w:rsidRDefault="00983AA3" w:rsidP="00983AA3">
            <w:pPr>
              <w:spacing w:after="0" w:line="240" w:lineRule="auto"/>
              <w:rPr>
                <w:rFonts w:ascii="Arial" w:eastAsia="Times New Roman" w:hAnsi="Arial" w:cs="Arial"/>
                <w:b/>
                <w:bCs/>
                <w:color w:val="FFFFFF"/>
                <w:sz w:val="18"/>
                <w:szCs w:val="18"/>
                <w:lang w:val="es-ES" w:eastAsia="es-ES"/>
              </w:rPr>
            </w:pPr>
          </w:p>
        </w:tc>
        <w:tc>
          <w:tcPr>
            <w:tcW w:w="1429" w:type="dxa"/>
            <w:gridSpan w:val="2"/>
            <w:tcBorders>
              <w:top w:val="single" w:sz="4" w:space="0" w:color="auto"/>
              <w:left w:val="nil"/>
              <w:bottom w:val="single" w:sz="4" w:space="0" w:color="auto"/>
              <w:right w:val="single" w:sz="4" w:space="0" w:color="auto"/>
            </w:tcBorders>
            <w:shd w:val="clear" w:color="auto" w:fill="9D2235"/>
            <w:noWrap/>
            <w:vAlign w:val="bottom"/>
            <w:hideMark/>
          </w:tcPr>
          <w:p w14:paraId="4E37E6DD"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2020</w:t>
            </w:r>
          </w:p>
        </w:tc>
        <w:tc>
          <w:tcPr>
            <w:tcW w:w="1417" w:type="dxa"/>
            <w:gridSpan w:val="2"/>
            <w:tcBorders>
              <w:top w:val="single" w:sz="4" w:space="0" w:color="auto"/>
              <w:left w:val="nil"/>
              <w:bottom w:val="single" w:sz="4" w:space="0" w:color="auto"/>
              <w:right w:val="single" w:sz="4" w:space="0" w:color="auto"/>
            </w:tcBorders>
            <w:shd w:val="clear" w:color="auto" w:fill="9D2235"/>
            <w:noWrap/>
            <w:vAlign w:val="bottom"/>
            <w:hideMark/>
          </w:tcPr>
          <w:p w14:paraId="51A09B07"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2021</w:t>
            </w:r>
          </w:p>
        </w:tc>
        <w:tc>
          <w:tcPr>
            <w:tcW w:w="2268" w:type="dxa"/>
            <w:gridSpan w:val="3"/>
            <w:vMerge/>
            <w:tcBorders>
              <w:top w:val="single" w:sz="4" w:space="0" w:color="000000"/>
              <w:left w:val="nil"/>
              <w:bottom w:val="single" w:sz="4" w:space="0" w:color="000000"/>
              <w:right w:val="single" w:sz="4" w:space="0" w:color="000000"/>
            </w:tcBorders>
            <w:shd w:val="clear" w:color="auto" w:fill="9D2235"/>
            <w:vAlign w:val="center"/>
            <w:hideMark/>
          </w:tcPr>
          <w:p w14:paraId="19684738" w14:textId="77777777" w:rsidR="00983AA3" w:rsidRPr="00983AA3" w:rsidRDefault="00983AA3" w:rsidP="00983AA3">
            <w:pPr>
              <w:spacing w:after="0" w:line="240" w:lineRule="auto"/>
              <w:rPr>
                <w:rFonts w:ascii="Arial" w:eastAsia="Times New Roman" w:hAnsi="Arial" w:cs="Arial"/>
                <w:b/>
                <w:bCs/>
                <w:color w:val="FFFFFF"/>
                <w:sz w:val="18"/>
                <w:szCs w:val="18"/>
                <w:lang w:val="es-ES" w:eastAsia="es-ES"/>
              </w:rPr>
            </w:pPr>
          </w:p>
        </w:tc>
      </w:tr>
      <w:tr w:rsidR="00983AA3" w:rsidRPr="00983AA3" w14:paraId="57BC44BA" w14:textId="77777777" w:rsidTr="00271465">
        <w:trPr>
          <w:trHeight w:val="1260"/>
        </w:trPr>
        <w:tc>
          <w:tcPr>
            <w:tcW w:w="1135" w:type="dxa"/>
            <w:vMerge/>
            <w:tcBorders>
              <w:top w:val="single" w:sz="4" w:space="0" w:color="000000"/>
              <w:left w:val="single" w:sz="4" w:space="0" w:color="000000"/>
              <w:bottom w:val="single" w:sz="4" w:space="0" w:color="000000"/>
              <w:right w:val="single" w:sz="4" w:space="0" w:color="000000"/>
            </w:tcBorders>
            <w:shd w:val="clear" w:color="auto" w:fill="9D2235"/>
            <w:vAlign w:val="center"/>
            <w:hideMark/>
          </w:tcPr>
          <w:p w14:paraId="7BA442CB" w14:textId="77777777" w:rsidR="00983AA3" w:rsidRPr="00983AA3" w:rsidRDefault="00983AA3" w:rsidP="00983AA3">
            <w:pPr>
              <w:spacing w:after="0" w:line="240" w:lineRule="auto"/>
              <w:rPr>
                <w:rFonts w:ascii="Arial" w:eastAsia="Times New Roman" w:hAnsi="Arial" w:cs="Arial"/>
                <w:b/>
                <w:bCs/>
                <w:color w:val="FFFFFF"/>
                <w:sz w:val="18"/>
                <w:szCs w:val="18"/>
                <w:lang w:val="es-ES" w:eastAsia="es-ES"/>
              </w:rPr>
            </w:pPr>
          </w:p>
        </w:tc>
        <w:tc>
          <w:tcPr>
            <w:tcW w:w="1417" w:type="dxa"/>
            <w:tcBorders>
              <w:top w:val="nil"/>
              <w:left w:val="nil"/>
              <w:bottom w:val="single" w:sz="4" w:space="0" w:color="000000"/>
              <w:right w:val="single" w:sz="4" w:space="0" w:color="000000"/>
            </w:tcBorders>
            <w:shd w:val="clear" w:color="auto" w:fill="9D2235"/>
            <w:vAlign w:val="center"/>
            <w:hideMark/>
          </w:tcPr>
          <w:p w14:paraId="67A366C5"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PREVISIONS TOTALS( 1)</w:t>
            </w:r>
          </w:p>
        </w:tc>
        <w:tc>
          <w:tcPr>
            <w:tcW w:w="1559" w:type="dxa"/>
            <w:tcBorders>
              <w:top w:val="nil"/>
              <w:left w:val="nil"/>
              <w:bottom w:val="single" w:sz="4" w:space="0" w:color="000000"/>
              <w:right w:val="single" w:sz="4" w:space="0" w:color="000000"/>
            </w:tcBorders>
            <w:shd w:val="clear" w:color="auto" w:fill="9D2235"/>
            <w:vAlign w:val="center"/>
            <w:hideMark/>
          </w:tcPr>
          <w:p w14:paraId="02AA8BAE"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DRETS RECONEGUTS NETS( 2)</w:t>
            </w:r>
          </w:p>
        </w:tc>
        <w:tc>
          <w:tcPr>
            <w:tcW w:w="1418" w:type="dxa"/>
            <w:tcBorders>
              <w:top w:val="nil"/>
              <w:left w:val="nil"/>
              <w:bottom w:val="single" w:sz="4" w:space="0" w:color="000000"/>
              <w:right w:val="single" w:sz="4" w:space="0" w:color="000000"/>
            </w:tcBorders>
            <w:shd w:val="clear" w:color="auto" w:fill="9D2235"/>
            <w:vAlign w:val="center"/>
            <w:hideMark/>
          </w:tcPr>
          <w:p w14:paraId="63BD4C34"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RECAPTACIÓ LÍQUIDA( 3)</w:t>
            </w:r>
          </w:p>
        </w:tc>
        <w:tc>
          <w:tcPr>
            <w:tcW w:w="1276" w:type="dxa"/>
            <w:tcBorders>
              <w:top w:val="nil"/>
              <w:left w:val="nil"/>
              <w:bottom w:val="single" w:sz="4" w:space="0" w:color="000000"/>
              <w:right w:val="single" w:sz="4" w:space="0" w:color="000000"/>
            </w:tcBorders>
            <w:shd w:val="clear" w:color="auto" w:fill="9D2235"/>
            <w:vAlign w:val="center"/>
            <w:hideMark/>
          </w:tcPr>
          <w:p w14:paraId="7021575C"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PREVISIONS TOTALS( 4)</w:t>
            </w:r>
          </w:p>
        </w:tc>
        <w:tc>
          <w:tcPr>
            <w:tcW w:w="1559" w:type="dxa"/>
            <w:tcBorders>
              <w:top w:val="nil"/>
              <w:left w:val="nil"/>
              <w:bottom w:val="single" w:sz="4" w:space="0" w:color="000000"/>
              <w:right w:val="single" w:sz="4" w:space="0" w:color="000000"/>
            </w:tcBorders>
            <w:shd w:val="clear" w:color="auto" w:fill="9D2235"/>
            <w:vAlign w:val="center"/>
            <w:hideMark/>
          </w:tcPr>
          <w:p w14:paraId="4A21478D"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DRETS RECONEGUTS NETS( 5)</w:t>
            </w:r>
          </w:p>
        </w:tc>
        <w:tc>
          <w:tcPr>
            <w:tcW w:w="1548" w:type="dxa"/>
            <w:tcBorders>
              <w:top w:val="nil"/>
              <w:left w:val="nil"/>
              <w:bottom w:val="single" w:sz="4" w:space="0" w:color="000000"/>
              <w:right w:val="single" w:sz="4" w:space="0" w:color="000000"/>
            </w:tcBorders>
            <w:shd w:val="clear" w:color="auto" w:fill="9D2235"/>
            <w:vAlign w:val="center"/>
            <w:hideMark/>
          </w:tcPr>
          <w:p w14:paraId="79C2D20C"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RECAPTACIÓ LÍQUIDA( 6)</w:t>
            </w:r>
          </w:p>
        </w:tc>
        <w:tc>
          <w:tcPr>
            <w:tcW w:w="716" w:type="dxa"/>
            <w:tcBorders>
              <w:top w:val="nil"/>
              <w:left w:val="nil"/>
              <w:bottom w:val="single" w:sz="4" w:space="0" w:color="000000"/>
              <w:right w:val="single" w:sz="4" w:space="0" w:color="000000"/>
            </w:tcBorders>
            <w:shd w:val="clear" w:color="auto" w:fill="9D2235"/>
            <w:vAlign w:val="center"/>
            <w:hideMark/>
          </w:tcPr>
          <w:p w14:paraId="420110CB"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2/1</w:t>
            </w:r>
          </w:p>
        </w:tc>
        <w:tc>
          <w:tcPr>
            <w:tcW w:w="713" w:type="dxa"/>
            <w:tcBorders>
              <w:top w:val="nil"/>
              <w:left w:val="nil"/>
              <w:bottom w:val="single" w:sz="4" w:space="0" w:color="000000"/>
              <w:right w:val="single" w:sz="4" w:space="0" w:color="000000"/>
            </w:tcBorders>
            <w:shd w:val="clear" w:color="auto" w:fill="9D2235"/>
            <w:vAlign w:val="center"/>
            <w:hideMark/>
          </w:tcPr>
          <w:p w14:paraId="3DEE0E18"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3/2</w:t>
            </w:r>
          </w:p>
        </w:tc>
        <w:tc>
          <w:tcPr>
            <w:tcW w:w="708" w:type="dxa"/>
            <w:tcBorders>
              <w:top w:val="nil"/>
              <w:left w:val="nil"/>
              <w:bottom w:val="single" w:sz="4" w:space="0" w:color="000000"/>
              <w:right w:val="single" w:sz="4" w:space="0" w:color="000000"/>
            </w:tcBorders>
            <w:shd w:val="clear" w:color="auto" w:fill="9D2235"/>
            <w:vAlign w:val="center"/>
            <w:hideMark/>
          </w:tcPr>
          <w:p w14:paraId="709F7A18"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5/4</w:t>
            </w:r>
          </w:p>
        </w:tc>
        <w:tc>
          <w:tcPr>
            <w:tcW w:w="709" w:type="dxa"/>
            <w:tcBorders>
              <w:top w:val="nil"/>
              <w:left w:val="nil"/>
              <w:bottom w:val="single" w:sz="4" w:space="0" w:color="000000"/>
              <w:right w:val="single" w:sz="4" w:space="0" w:color="000000"/>
            </w:tcBorders>
            <w:shd w:val="clear" w:color="auto" w:fill="9D2235"/>
            <w:vAlign w:val="center"/>
            <w:hideMark/>
          </w:tcPr>
          <w:p w14:paraId="311BE095"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6/5</w:t>
            </w:r>
          </w:p>
        </w:tc>
        <w:tc>
          <w:tcPr>
            <w:tcW w:w="851" w:type="dxa"/>
            <w:tcBorders>
              <w:top w:val="nil"/>
              <w:left w:val="nil"/>
              <w:bottom w:val="single" w:sz="4" w:space="0" w:color="000000"/>
              <w:right w:val="single" w:sz="4" w:space="0" w:color="000000"/>
            </w:tcBorders>
            <w:shd w:val="clear" w:color="auto" w:fill="9D2235"/>
            <w:vAlign w:val="center"/>
            <w:hideMark/>
          </w:tcPr>
          <w:p w14:paraId="15838355"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4/1</w:t>
            </w:r>
          </w:p>
        </w:tc>
        <w:tc>
          <w:tcPr>
            <w:tcW w:w="708" w:type="dxa"/>
            <w:tcBorders>
              <w:top w:val="nil"/>
              <w:left w:val="nil"/>
              <w:bottom w:val="single" w:sz="4" w:space="0" w:color="000000"/>
              <w:right w:val="single" w:sz="4" w:space="0" w:color="000000"/>
            </w:tcBorders>
            <w:shd w:val="clear" w:color="auto" w:fill="9D2235"/>
            <w:vAlign w:val="center"/>
            <w:hideMark/>
          </w:tcPr>
          <w:p w14:paraId="71520721"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5/2</w:t>
            </w:r>
          </w:p>
        </w:tc>
        <w:tc>
          <w:tcPr>
            <w:tcW w:w="709" w:type="dxa"/>
            <w:tcBorders>
              <w:top w:val="nil"/>
              <w:left w:val="nil"/>
              <w:bottom w:val="single" w:sz="4" w:space="0" w:color="000000"/>
              <w:right w:val="single" w:sz="4" w:space="0" w:color="000000"/>
            </w:tcBorders>
            <w:shd w:val="clear" w:color="auto" w:fill="9D2235"/>
            <w:vAlign w:val="center"/>
            <w:hideMark/>
          </w:tcPr>
          <w:p w14:paraId="72E8601E" w14:textId="77777777" w:rsidR="00983AA3" w:rsidRPr="00983AA3" w:rsidRDefault="00983AA3" w:rsidP="00983AA3">
            <w:pPr>
              <w:spacing w:after="0" w:line="240" w:lineRule="auto"/>
              <w:jc w:val="center"/>
              <w:rPr>
                <w:rFonts w:ascii="Arial" w:eastAsia="Times New Roman" w:hAnsi="Arial" w:cs="Arial"/>
                <w:b/>
                <w:bCs/>
                <w:color w:val="FFFFFF"/>
                <w:sz w:val="18"/>
                <w:szCs w:val="18"/>
                <w:lang w:val="es-ES" w:eastAsia="es-ES"/>
              </w:rPr>
            </w:pPr>
            <w:r w:rsidRPr="00983AA3">
              <w:rPr>
                <w:rFonts w:ascii="Arial" w:eastAsia="Times New Roman" w:hAnsi="Arial" w:cs="Arial"/>
                <w:b/>
                <w:bCs/>
                <w:color w:val="FFFFFF"/>
                <w:sz w:val="18"/>
                <w:szCs w:val="18"/>
                <w:lang w:val="ca" w:eastAsia="es-ES"/>
              </w:rPr>
              <w:t>6/3</w:t>
            </w:r>
          </w:p>
        </w:tc>
      </w:tr>
      <w:tr w:rsidR="00983AA3" w:rsidRPr="00983AA3" w14:paraId="42482A9F" w14:textId="77777777" w:rsidTr="00271465">
        <w:trPr>
          <w:trHeight w:val="300"/>
        </w:trPr>
        <w:tc>
          <w:tcPr>
            <w:tcW w:w="1135" w:type="dxa"/>
            <w:tcBorders>
              <w:top w:val="nil"/>
              <w:left w:val="single" w:sz="4" w:space="0" w:color="000000"/>
              <w:bottom w:val="single" w:sz="4" w:space="0" w:color="000000"/>
              <w:right w:val="single" w:sz="4" w:space="0" w:color="000000"/>
            </w:tcBorders>
            <w:shd w:val="clear" w:color="auto" w:fill="auto"/>
            <w:vAlign w:val="center"/>
            <w:hideMark/>
          </w:tcPr>
          <w:p w14:paraId="6CA567B6" w14:textId="77777777" w:rsidR="00983AA3" w:rsidRPr="00983AA3" w:rsidRDefault="00983AA3" w:rsidP="00983AA3">
            <w:pPr>
              <w:spacing w:after="0" w:line="240" w:lineRule="auto"/>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III</w:t>
            </w:r>
          </w:p>
        </w:tc>
        <w:tc>
          <w:tcPr>
            <w:tcW w:w="1417" w:type="dxa"/>
            <w:tcBorders>
              <w:top w:val="nil"/>
              <w:left w:val="nil"/>
              <w:bottom w:val="single" w:sz="4" w:space="0" w:color="000000"/>
              <w:right w:val="single" w:sz="4" w:space="0" w:color="000000"/>
            </w:tcBorders>
            <w:shd w:val="clear" w:color="auto" w:fill="auto"/>
            <w:noWrap/>
            <w:vAlign w:val="bottom"/>
            <w:hideMark/>
          </w:tcPr>
          <w:p w14:paraId="2088B0A6"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1559" w:type="dxa"/>
            <w:tcBorders>
              <w:top w:val="nil"/>
              <w:left w:val="nil"/>
              <w:bottom w:val="single" w:sz="4" w:space="0" w:color="000000"/>
              <w:right w:val="single" w:sz="4" w:space="0" w:color="000000"/>
            </w:tcBorders>
            <w:shd w:val="clear" w:color="auto" w:fill="auto"/>
            <w:vAlign w:val="center"/>
            <w:hideMark/>
          </w:tcPr>
          <w:p w14:paraId="36ED89C7"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1418" w:type="dxa"/>
            <w:tcBorders>
              <w:top w:val="nil"/>
              <w:left w:val="nil"/>
              <w:bottom w:val="single" w:sz="4" w:space="0" w:color="000000"/>
              <w:right w:val="single" w:sz="4" w:space="0" w:color="000000"/>
            </w:tcBorders>
            <w:shd w:val="clear" w:color="auto" w:fill="auto"/>
            <w:vAlign w:val="center"/>
            <w:hideMark/>
          </w:tcPr>
          <w:p w14:paraId="51CB56FB"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1276" w:type="dxa"/>
            <w:tcBorders>
              <w:top w:val="nil"/>
              <w:left w:val="nil"/>
              <w:bottom w:val="single" w:sz="4" w:space="0" w:color="000000"/>
              <w:right w:val="single" w:sz="4" w:space="0" w:color="000000"/>
            </w:tcBorders>
            <w:shd w:val="clear" w:color="auto" w:fill="auto"/>
            <w:noWrap/>
            <w:vAlign w:val="bottom"/>
            <w:hideMark/>
          </w:tcPr>
          <w:p w14:paraId="00D4C42A"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1559" w:type="dxa"/>
            <w:tcBorders>
              <w:top w:val="nil"/>
              <w:left w:val="nil"/>
              <w:bottom w:val="single" w:sz="4" w:space="0" w:color="000000"/>
              <w:right w:val="single" w:sz="4" w:space="0" w:color="000000"/>
            </w:tcBorders>
            <w:shd w:val="clear" w:color="auto" w:fill="auto"/>
            <w:noWrap/>
            <w:vAlign w:val="bottom"/>
            <w:hideMark/>
          </w:tcPr>
          <w:p w14:paraId="7D761EB9"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167,77</w:t>
            </w:r>
          </w:p>
        </w:tc>
        <w:tc>
          <w:tcPr>
            <w:tcW w:w="1548" w:type="dxa"/>
            <w:tcBorders>
              <w:top w:val="nil"/>
              <w:left w:val="nil"/>
              <w:bottom w:val="single" w:sz="4" w:space="0" w:color="000000"/>
              <w:right w:val="single" w:sz="4" w:space="0" w:color="000000"/>
            </w:tcBorders>
            <w:shd w:val="clear" w:color="auto" w:fill="auto"/>
            <w:noWrap/>
            <w:vAlign w:val="bottom"/>
            <w:hideMark/>
          </w:tcPr>
          <w:p w14:paraId="3785AA80"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167,77</w:t>
            </w:r>
          </w:p>
        </w:tc>
        <w:tc>
          <w:tcPr>
            <w:tcW w:w="716" w:type="dxa"/>
            <w:tcBorders>
              <w:top w:val="nil"/>
              <w:left w:val="nil"/>
              <w:bottom w:val="single" w:sz="4" w:space="0" w:color="000000"/>
              <w:right w:val="single" w:sz="4" w:space="0" w:color="000000"/>
            </w:tcBorders>
            <w:shd w:val="clear" w:color="auto" w:fill="auto"/>
            <w:noWrap/>
            <w:vAlign w:val="bottom"/>
            <w:hideMark/>
          </w:tcPr>
          <w:p w14:paraId="1DEAC94B"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713" w:type="dxa"/>
            <w:tcBorders>
              <w:top w:val="nil"/>
              <w:left w:val="nil"/>
              <w:bottom w:val="single" w:sz="4" w:space="0" w:color="000000"/>
              <w:right w:val="single" w:sz="4" w:space="0" w:color="000000"/>
            </w:tcBorders>
            <w:shd w:val="clear" w:color="auto" w:fill="auto"/>
            <w:noWrap/>
            <w:vAlign w:val="bottom"/>
            <w:hideMark/>
          </w:tcPr>
          <w:p w14:paraId="5338FF16"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708" w:type="dxa"/>
            <w:tcBorders>
              <w:top w:val="nil"/>
              <w:left w:val="nil"/>
              <w:bottom w:val="single" w:sz="4" w:space="0" w:color="000000"/>
              <w:right w:val="single" w:sz="4" w:space="0" w:color="000000"/>
            </w:tcBorders>
            <w:shd w:val="clear" w:color="auto" w:fill="auto"/>
            <w:noWrap/>
            <w:vAlign w:val="bottom"/>
            <w:hideMark/>
          </w:tcPr>
          <w:p w14:paraId="4C9EDBB6"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709" w:type="dxa"/>
            <w:tcBorders>
              <w:top w:val="nil"/>
              <w:left w:val="nil"/>
              <w:bottom w:val="single" w:sz="4" w:space="0" w:color="000000"/>
              <w:right w:val="single" w:sz="4" w:space="0" w:color="000000"/>
            </w:tcBorders>
            <w:shd w:val="clear" w:color="auto" w:fill="auto"/>
            <w:noWrap/>
            <w:vAlign w:val="bottom"/>
            <w:hideMark/>
          </w:tcPr>
          <w:p w14:paraId="055FC477"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w:t>
            </w:r>
          </w:p>
        </w:tc>
        <w:tc>
          <w:tcPr>
            <w:tcW w:w="851" w:type="dxa"/>
            <w:tcBorders>
              <w:top w:val="nil"/>
              <w:left w:val="nil"/>
              <w:bottom w:val="single" w:sz="4" w:space="0" w:color="000000"/>
              <w:right w:val="single" w:sz="4" w:space="0" w:color="000000"/>
            </w:tcBorders>
            <w:shd w:val="clear" w:color="EEEEEE" w:fill="EEEEEE"/>
            <w:noWrap/>
            <w:vAlign w:val="bottom"/>
            <w:hideMark/>
          </w:tcPr>
          <w:p w14:paraId="4600B98F"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708" w:type="dxa"/>
            <w:tcBorders>
              <w:top w:val="nil"/>
              <w:left w:val="nil"/>
              <w:bottom w:val="single" w:sz="4" w:space="0" w:color="000000"/>
              <w:right w:val="single" w:sz="4" w:space="0" w:color="000000"/>
            </w:tcBorders>
            <w:shd w:val="clear" w:color="EEEEEE" w:fill="EEEEEE"/>
            <w:noWrap/>
            <w:vAlign w:val="bottom"/>
            <w:hideMark/>
          </w:tcPr>
          <w:p w14:paraId="24DB82DC"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709" w:type="dxa"/>
            <w:tcBorders>
              <w:top w:val="nil"/>
              <w:left w:val="nil"/>
              <w:bottom w:val="single" w:sz="4" w:space="0" w:color="000000"/>
              <w:right w:val="single" w:sz="4" w:space="0" w:color="000000"/>
            </w:tcBorders>
            <w:shd w:val="clear" w:color="000000" w:fill="E7E6E6"/>
            <w:vAlign w:val="center"/>
            <w:hideMark/>
          </w:tcPr>
          <w:p w14:paraId="1437F895" w14:textId="77777777" w:rsidR="00983AA3" w:rsidRPr="00983AA3" w:rsidRDefault="00983AA3" w:rsidP="00983AA3">
            <w:pPr>
              <w:spacing w:after="0" w:line="240" w:lineRule="auto"/>
              <w:jc w:val="center"/>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es-ES" w:eastAsia="es-ES"/>
              </w:rPr>
              <w:t> </w:t>
            </w:r>
          </w:p>
        </w:tc>
      </w:tr>
      <w:tr w:rsidR="00983AA3" w:rsidRPr="00983AA3" w14:paraId="62FDF3BA" w14:textId="77777777" w:rsidTr="00271465">
        <w:trPr>
          <w:trHeight w:val="330"/>
        </w:trPr>
        <w:tc>
          <w:tcPr>
            <w:tcW w:w="1135" w:type="dxa"/>
            <w:tcBorders>
              <w:top w:val="nil"/>
              <w:left w:val="single" w:sz="4" w:space="0" w:color="000000"/>
              <w:bottom w:val="single" w:sz="4" w:space="0" w:color="000000"/>
              <w:right w:val="single" w:sz="4" w:space="0" w:color="000000"/>
            </w:tcBorders>
            <w:shd w:val="clear" w:color="auto" w:fill="auto"/>
            <w:noWrap/>
            <w:vAlign w:val="bottom"/>
            <w:hideMark/>
          </w:tcPr>
          <w:p w14:paraId="6597DBF8" w14:textId="77777777" w:rsidR="00983AA3" w:rsidRPr="00983AA3" w:rsidRDefault="00983AA3" w:rsidP="00983AA3">
            <w:pPr>
              <w:spacing w:after="0" w:line="240" w:lineRule="auto"/>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IV</w:t>
            </w:r>
          </w:p>
        </w:tc>
        <w:tc>
          <w:tcPr>
            <w:tcW w:w="1417" w:type="dxa"/>
            <w:tcBorders>
              <w:top w:val="nil"/>
              <w:left w:val="nil"/>
              <w:bottom w:val="single" w:sz="4" w:space="0" w:color="000000"/>
              <w:right w:val="single" w:sz="4" w:space="0" w:color="000000"/>
            </w:tcBorders>
            <w:shd w:val="clear" w:color="auto" w:fill="auto"/>
            <w:noWrap/>
            <w:vAlign w:val="bottom"/>
            <w:hideMark/>
          </w:tcPr>
          <w:p w14:paraId="0DDE9A81"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4.227.429,79</w:t>
            </w:r>
          </w:p>
        </w:tc>
        <w:tc>
          <w:tcPr>
            <w:tcW w:w="1559" w:type="dxa"/>
            <w:tcBorders>
              <w:top w:val="nil"/>
              <w:left w:val="nil"/>
              <w:bottom w:val="single" w:sz="4" w:space="0" w:color="000000"/>
              <w:right w:val="single" w:sz="4" w:space="0" w:color="000000"/>
            </w:tcBorders>
            <w:shd w:val="clear" w:color="auto" w:fill="auto"/>
            <w:noWrap/>
            <w:vAlign w:val="bottom"/>
            <w:hideMark/>
          </w:tcPr>
          <w:p w14:paraId="2FD9FF6F"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4.227.462,00</w:t>
            </w:r>
          </w:p>
        </w:tc>
        <w:tc>
          <w:tcPr>
            <w:tcW w:w="1418" w:type="dxa"/>
            <w:tcBorders>
              <w:top w:val="nil"/>
              <w:left w:val="nil"/>
              <w:bottom w:val="single" w:sz="4" w:space="0" w:color="000000"/>
              <w:right w:val="single" w:sz="4" w:space="0" w:color="000000"/>
            </w:tcBorders>
            <w:shd w:val="clear" w:color="auto" w:fill="auto"/>
            <w:noWrap/>
            <w:vAlign w:val="bottom"/>
            <w:hideMark/>
          </w:tcPr>
          <w:p w14:paraId="5929247B"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1.409.141,32</w:t>
            </w:r>
          </w:p>
        </w:tc>
        <w:tc>
          <w:tcPr>
            <w:tcW w:w="1276" w:type="dxa"/>
            <w:tcBorders>
              <w:top w:val="nil"/>
              <w:left w:val="nil"/>
              <w:bottom w:val="single" w:sz="4" w:space="0" w:color="000000"/>
              <w:right w:val="single" w:sz="4" w:space="0" w:color="000000"/>
            </w:tcBorders>
            <w:shd w:val="clear" w:color="auto" w:fill="auto"/>
            <w:noWrap/>
            <w:vAlign w:val="bottom"/>
            <w:hideMark/>
          </w:tcPr>
          <w:p w14:paraId="1A6976C0"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4.224.450,00</w:t>
            </w:r>
          </w:p>
        </w:tc>
        <w:tc>
          <w:tcPr>
            <w:tcW w:w="1559" w:type="dxa"/>
            <w:tcBorders>
              <w:top w:val="nil"/>
              <w:left w:val="nil"/>
              <w:bottom w:val="single" w:sz="4" w:space="0" w:color="000000"/>
              <w:right w:val="single" w:sz="4" w:space="0" w:color="000000"/>
            </w:tcBorders>
            <w:shd w:val="clear" w:color="auto" w:fill="auto"/>
            <w:noWrap/>
            <w:vAlign w:val="bottom"/>
            <w:hideMark/>
          </w:tcPr>
          <w:p w14:paraId="5AFD6516"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4.224.450,00</w:t>
            </w:r>
          </w:p>
        </w:tc>
        <w:tc>
          <w:tcPr>
            <w:tcW w:w="1548" w:type="dxa"/>
            <w:tcBorders>
              <w:top w:val="nil"/>
              <w:left w:val="nil"/>
              <w:bottom w:val="single" w:sz="4" w:space="0" w:color="000000"/>
              <w:right w:val="single" w:sz="4" w:space="0" w:color="000000"/>
            </w:tcBorders>
            <w:shd w:val="clear" w:color="auto" w:fill="auto"/>
            <w:noWrap/>
            <w:vAlign w:val="bottom"/>
            <w:hideMark/>
          </w:tcPr>
          <w:p w14:paraId="461BE5D1"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4.224.450,00</w:t>
            </w:r>
          </w:p>
        </w:tc>
        <w:tc>
          <w:tcPr>
            <w:tcW w:w="716" w:type="dxa"/>
            <w:tcBorders>
              <w:top w:val="nil"/>
              <w:left w:val="nil"/>
              <w:bottom w:val="single" w:sz="4" w:space="0" w:color="000000"/>
              <w:right w:val="single" w:sz="4" w:space="0" w:color="000000"/>
            </w:tcBorders>
            <w:shd w:val="clear" w:color="auto" w:fill="auto"/>
            <w:noWrap/>
            <w:vAlign w:val="bottom"/>
            <w:hideMark/>
          </w:tcPr>
          <w:p w14:paraId="374C6130"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w:t>
            </w:r>
          </w:p>
        </w:tc>
        <w:tc>
          <w:tcPr>
            <w:tcW w:w="713" w:type="dxa"/>
            <w:tcBorders>
              <w:top w:val="nil"/>
              <w:left w:val="nil"/>
              <w:bottom w:val="single" w:sz="4" w:space="0" w:color="000000"/>
              <w:right w:val="single" w:sz="4" w:space="0" w:color="000000"/>
            </w:tcBorders>
            <w:shd w:val="clear" w:color="auto" w:fill="auto"/>
            <w:noWrap/>
            <w:vAlign w:val="bottom"/>
            <w:hideMark/>
          </w:tcPr>
          <w:p w14:paraId="08393540"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33%</w:t>
            </w:r>
          </w:p>
        </w:tc>
        <w:tc>
          <w:tcPr>
            <w:tcW w:w="708" w:type="dxa"/>
            <w:tcBorders>
              <w:top w:val="nil"/>
              <w:left w:val="nil"/>
              <w:bottom w:val="single" w:sz="4" w:space="0" w:color="000000"/>
              <w:right w:val="single" w:sz="4" w:space="0" w:color="000000"/>
            </w:tcBorders>
            <w:shd w:val="clear" w:color="auto" w:fill="auto"/>
            <w:noWrap/>
            <w:vAlign w:val="bottom"/>
            <w:hideMark/>
          </w:tcPr>
          <w:p w14:paraId="15BC7E51"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w:t>
            </w:r>
          </w:p>
        </w:tc>
        <w:tc>
          <w:tcPr>
            <w:tcW w:w="709" w:type="dxa"/>
            <w:tcBorders>
              <w:top w:val="nil"/>
              <w:left w:val="nil"/>
              <w:bottom w:val="single" w:sz="4" w:space="0" w:color="000000"/>
              <w:right w:val="single" w:sz="4" w:space="0" w:color="000000"/>
            </w:tcBorders>
            <w:shd w:val="clear" w:color="auto" w:fill="auto"/>
            <w:noWrap/>
            <w:vAlign w:val="bottom"/>
            <w:hideMark/>
          </w:tcPr>
          <w:p w14:paraId="7B46A763"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w:t>
            </w:r>
          </w:p>
        </w:tc>
        <w:tc>
          <w:tcPr>
            <w:tcW w:w="851" w:type="dxa"/>
            <w:tcBorders>
              <w:top w:val="nil"/>
              <w:left w:val="nil"/>
              <w:bottom w:val="single" w:sz="4" w:space="0" w:color="000000"/>
              <w:right w:val="single" w:sz="4" w:space="0" w:color="000000"/>
            </w:tcBorders>
            <w:shd w:val="clear" w:color="EEEEEE" w:fill="EEEEEE"/>
            <w:noWrap/>
            <w:vAlign w:val="bottom"/>
            <w:hideMark/>
          </w:tcPr>
          <w:p w14:paraId="6090897C"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-0,07</w:t>
            </w:r>
          </w:p>
        </w:tc>
        <w:tc>
          <w:tcPr>
            <w:tcW w:w="708" w:type="dxa"/>
            <w:tcBorders>
              <w:top w:val="nil"/>
              <w:left w:val="nil"/>
              <w:bottom w:val="single" w:sz="4" w:space="0" w:color="000000"/>
              <w:right w:val="single" w:sz="4" w:space="0" w:color="000000"/>
            </w:tcBorders>
            <w:shd w:val="clear" w:color="EEEEEE" w:fill="EEEEEE"/>
            <w:noWrap/>
            <w:vAlign w:val="bottom"/>
            <w:hideMark/>
          </w:tcPr>
          <w:p w14:paraId="23F73217"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-0,07</w:t>
            </w:r>
          </w:p>
        </w:tc>
        <w:tc>
          <w:tcPr>
            <w:tcW w:w="709" w:type="dxa"/>
            <w:tcBorders>
              <w:top w:val="nil"/>
              <w:left w:val="nil"/>
              <w:bottom w:val="single" w:sz="4" w:space="0" w:color="000000"/>
              <w:right w:val="single" w:sz="4" w:space="0" w:color="000000"/>
            </w:tcBorders>
            <w:shd w:val="clear" w:color="EEEEEE" w:fill="EEEEEE"/>
            <w:noWrap/>
            <w:vAlign w:val="bottom"/>
            <w:hideMark/>
          </w:tcPr>
          <w:p w14:paraId="5D49603D"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199,79</w:t>
            </w:r>
          </w:p>
        </w:tc>
      </w:tr>
      <w:tr w:rsidR="00983AA3" w:rsidRPr="00983AA3" w14:paraId="323F43CB" w14:textId="77777777" w:rsidTr="00271465">
        <w:trPr>
          <w:trHeight w:val="330"/>
        </w:trPr>
        <w:tc>
          <w:tcPr>
            <w:tcW w:w="1135" w:type="dxa"/>
            <w:tcBorders>
              <w:top w:val="nil"/>
              <w:left w:val="single" w:sz="4" w:space="0" w:color="000000"/>
              <w:bottom w:val="single" w:sz="4" w:space="0" w:color="000000"/>
              <w:right w:val="single" w:sz="4" w:space="0" w:color="000000"/>
            </w:tcBorders>
            <w:shd w:val="clear" w:color="auto" w:fill="auto"/>
            <w:noWrap/>
            <w:vAlign w:val="bottom"/>
            <w:hideMark/>
          </w:tcPr>
          <w:p w14:paraId="437C122B" w14:textId="77777777" w:rsidR="00983AA3" w:rsidRPr="00983AA3" w:rsidRDefault="00983AA3" w:rsidP="00983AA3">
            <w:pPr>
              <w:spacing w:after="0" w:line="240" w:lineRule="auto"/>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VII</w:t>
            </w:r>
          </w:p>
        </w:tc>
        <w:tc>
          <w:tcPr>
            <w:tcW w:w="1417" w:type="dxa"/>
            <w:tcBorders>
              <w:top w:val="nil"/>
              <w:left w:val="nil"/>
              <w:bottom w:val="single" w:sz="4" w:space="0" w:color="000000"/>
              <w:right w:val="single" w:sz="4" w:space="0" w:color="000000"/>
            </w:tcBorders>
            <w:shd w:val="clear" w:color="auto" w:fill="auto"/>
            <w:noWrap/>
            <w:vAlign w:val="bottom"/>
            <w:hideMark/>
          </w:tcPr>
          <w:p w14:paraId="09D1CF2B"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242.445,95</w:t>
            </w:r>
          </w:p>
        </w:tc>
        <w:tc>
          <w:tcPr>
            <w:tcW w:w="1559" w:type="dxa"/>
            <w:tcBorders>
              <w:top w:val="nil"/>
              <w:left w:val="nil"/>
              <w:bottom w:val="single" w:sz="4" w:space="0" w:color="000000"/>
              <w:right w:val="single" w:sz="4" w:space="0" w:color="000000"/>
            </w:tcBorders>
            <w:shd w:val="clear" w:color="auto" w:fill="auto"/>
            <w:noWrap/>
            <w:vAlign w:val="bottom"/>
            <w:hideMark/>
          </w:tcPr>
          <w:p w14:paraId="51056C67"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242.450,00</w:t>
            </w:r>
          </w:p>
        </w:tc>
        <w:tc>
          <w:tcPr>
            <w:tcW w:w="1418" w:type="dxa"/>
            <w:tcBorders>
              <w:top w:val="nil"/>
              <w:left w:val="nil"/>
              <w:bottom w:val="single" w:sz="4" w:space="0" w:color="000000"/>
              <w:right w:val="single" w:sz="4" w:space="0" w:color="000000"/>
            </w:tcBorders>
            <w:shd w:val="clear" w:color="auto" w:fill="auto"/>
            <w:noWrap/>
            <w:vAlign w:val="bottom"/>
            <w:hideMark/>
          </w:tcPr>
          <w:p w14:paraId="581C85B5"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242.450,00</w:t>
            </w:r>
          </w:p>
        </w:tc>
        <w:tc>
          <w:tcPr>
            <w:tcW w:w="1276" w:type="dxa"/>
            <w:tcBorders>
              <w:top w:val="nil"/>
              <w:left w:val="nil"/>
              <w:bottom w:val="single" w:sz="4" w:space="0" w:color="000000"/>
              <w:right w:val="single" w:sz="4" w:space="0" w:color="000000"/>
            </w:tcBorders>
            <w:shd w:val="clear" w:color="auto" w:fill="auto"/>
            <w:noWrap/>
            <w:vAlign w:val="bottom"/>
            <w:hideMark/>
          </w:tcPr>
          <w:p w14:paraId="594245DF"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199.890,00</w:t>
            </w:r>
          </w:p>
        </w:tc>
        <w:tc>
          <w:tcPr>
            <w:tcW w:w="1559" w:type="dxa"/>
            <w:tcBorders>
              <w:top w:val="nil"/>
              <w:left w:val="nil"/>
              <w:bottom w:val="single" w:sz="4" w:space="0" w:color="000000"/>
              <w:right w:val="single" w:sz="4" w:space="0" w:color="000000"/>
            </w:tcBorders>
            <w:shd w:val="clear" w:color="auto" w:fill="auto"/>
            <w:noWrap/>
            <w:vAlign w:val="bottom"/>
            <w:hideMark/>
          </w:tcPr>
          <w:p w14:paraId="5E7F6309"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199.890,00</w:t>
            </w:r>
          </w:p>
        </w:tc>
        <w:tc>
          <w:tcPr>
            <w:tcW w:w="1548" w:type="dxa"/>
            <w:tcBorders>
              <w:top w:val="nil"/>
              <w:left w:val="nil"/>
              <w:bottom w:val="single" w:sz="4" w:space="0" w:color="000000"/>
              <w:right w:val="single" w:sz="4" w:space="0" w:color="000000"/>
            </w:tcBorders>
            <w:shd w:val="clear" w:color="auto" w:fill="auto"/>
            <w:noWrap/>
            <w:vAlign w:val="bottom"/>
            <w:hideMark/>
          </w:tcPr>
          <w:p w14:paraId="5807471B"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199.890,00</w:t>
            </w:r>
          </w:p>
        </w:tc>
        <w:tc>
          <w:tcPr>
            <w:tcW w:w="716" w:type="dxa"/>
            <w:tcBorders>
              <w:top w:val="nil"/>
              <w:left w:val="nil"/>
              <w:bottom w:val="single" w:sz="4" w:space="0" w:color="000000"/>
              <w:right w:val="single" w:sz="4" w:space="0" w:color="000000"/>
            </w:tcBorders>
            <w:shd w:val="clear" w:color="auto" w:fill="auto"/>
            <w:noWrap/>
            <w:vAlign w:val="bottom"/>
            <w:hideMark/>
          </w:tcPr>
          <w:p w14:paraId="2A3FB3CC"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w:t>
            </w:r>
          </w:p>
        </w:tc>
        <w:tc>
          <w:tcPr>
            <w:tcW w:w="713" w:type="dxa"/>
            <w:tcBorders>
              <w:top w:val="nil"/>
              <w:left w:val="nil"/>
              <w:bottom w:val="single" w:sz="4" w:space="0" w:color="000000"/>
              <w:right w:val="single" w:sz="4" w:space="0" w:color="000000"/>
            </w:tcBorders>
            <w:shd w:val="clear" w:color="auto" w:fill="auto"/>
            <w:noWrap/>
            <w:vAlign w:val="bottom"/>
            <w:hideMark/>
          </w:tcPr>
          <w:p w14:paraId="68E15C8B"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w:t>
            </w:r>
          </w:p>
        </w:tc>
        <w:tc>
          <w:tcPr>
            <w:tcW w:w="708" w:type="dxa"/>
            <w:tcBorders>
              <w:top w:val="nil"/>
              <w:left w:val="nil"/>
              <w:bottom w:val="single" w:sz="4" w:space="0" w:color="000000"/>
              <w:right w:val="single" w:sz="4" w:space="0" w:color="000000"/>
            </w:tcBorders>
            <w:shd w:val="clear" w:color="auto" w:fill="auto"/>
            <w:noWrap/>
            <w:vAlign w:val="bottom"/>
            <w:hideMark/>
          </w:tcPr>
          <w:p w14:paraId="28A82C9F"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w:t>
            </w:r>
          </w:p>
        </w:tc>
        <w:tc>
          <w:tcPr>
            <w:tcW w:w="709" w:type="dxa"/>
            <w:tcBorders>
              <w:top w:val="nil"/>
              <w:left w:val="nil"/>
              <w:bottom w:val="single" w:sz="4" w:space="0" w:color="000000"/>
              <w:right w:val="single" w:sz="4" w:space="0" w:color="000000"/>
            </w:tcBorders>
            <w:shd w:val="clear" w:color="auto" w:fill="auto"/>
            <w:noWrap/>
            <w:vAlign w:val="bottom"/>
            <w:hideMark/>
          </w:tcPr>
          <w:p w14:paraId="56C4875C"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w:t>
            </w:r>
          </w:p>
        </w:tc>
        <w:tc>
          <w:tcPr>
            <w:tcW w:w="851" w:type="dxa"/>
            <w:tcBorders>
              <w:top w:val="nil"/>
              <w:left w:val="nil"/>
              <w:bottom w:val="single" w:sz="4" w:space="0" w:color="000000"/>
              <w:right w:val="single" w:sz="4" w:space="0" w:color="000000"/>
            </w:tcBorders>
            <w:shd w:val="clear" w:color="EEEEEE" w:fill="EEEEEE"/>
            <w:noWrap/>
            <w:vAlign w:val="bottom"/>
            <w:hideMark/>
          </w:tcPr>
          <w:p w14:paraId="4C89A5B8"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-17.55</w:t>
            </w:r>
          </w:p>
        </w:tc>
        <w:tc>
          <w:tcPr>
            <w:tcW w:w="708" w:type="dxa"/>
            <w:tcBorders>
              <w:top w:val="nil"/>
              <w:left w:val="nil"/>
              <w:bottom w:val="single" w:sz="4" w:space="0" w:color="000000"/>
              <w:right w:val="single" w:sz="4" w:space="0" w:color="000000"/>
            </w:tcBorders>
            <w:shd w:val="clear" w:color="EEEEEE" w:fill="EEEEEE"/>
            <w:noWrap/>
            <w:vAlign w:val="bottom"/>
            <w:hideMark/>
          </w:tcPr>
          <w:p w14:paraId="57A760C1"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-17,55</w:t>
            </w:r>
          </w:p>
        </w:tc>
        <w:tc>
          <w:tcPr>
            <w:tcW w:w="709" w:type="dxa"/>
            <w:tcBorders>
              <w:top w:val="nil"/>
              <w:left w:val="nil"/>
              <w:bottom w:val="single" w:sz="4" w:space="0" w:color="000000"/>
              <w:right w:val="single" w:sz="4" w:space="0" w:color="000000"/>
            </w:tcBorders>
            <w:shd w:val="clear" w:color="EEEEEE" w:fill="EEEEEE"/>
            <w:noWrap/>
            <w:vAlign w:val="bottom"/>
            <w:hideMark/>
          </w:tcPr>
          <w:p w14:paraId="4B37AEF1"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-17,55</w:t>
            </w:r>
          </w:p>
        </w:tc>
      </w:tr>
      <w:tr w:rsidR="00983AA3" w:rsidRPr="00983AA3" w14:paraId="04AD59DF" w14:textId="77777777" w:rsidTr="00271465">
        <w:trPr>
          <w:trHeight w:val="330"/>
        </w:trPr>
        <w:tc>
          <w:tcPr>
            <w:tcW w:w="1135" w:type="dxa"/>
            <w:tcBorders>
              <w:top w:val="nil"/>
              <w:left w:val="single" w:sz="4" w:space="0" w:color="000000"/>
              <w:bottom w:val="single" w:sz="4" w:space="0" w:color="000000"/>
              <w:right w:val="single" w:sz="4" w:space="0" w:color="000000"/>
            </w:tcBorders>
            <w:shd w:val="clear" w:color="auto" w:fill="auto"/>
            <w:vAlign w:val="bottom"/>
            <w:hideMark/>
          </w:tcPr>
          <w:p w14:paraId="4018A055" w14:textId="77777777" w:rsidR="00983AA3" w:rsidRPr="00983AA3" w:rsidRDefault="00983AA3" w:rsidP="00983AA3">
            <w:pPr>
              <w:spacing w:after="0" w:line="240" w:lineRule="auto"/>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VIII</w:t>
            </w:r>
          </w:p>
        </w:tc>
        <w:tc>
          <w:tcPr>
            <w:tcW w:w="1417" w:type="dxa"/>
            <w:tcBorders>
              <w:top w:val="nil"/>
              <w:left w:val="nil"/>
              <w:bottom w:val="single" w:sz="4" w:space="0" w:color="000000"/>
              <w:right w:val="single" w:sz="4" w:space="0" w:color="000000"/>
            </w:tcBorders>
            <w:shd w:val="clear" w:color="auto" w:fill="auto"/>
            <w:noWrap/>
            <w:vAlign w:val="bottom"/>
            <w:hideMark/>
          </w:tcPr>
          <w:p w14:paraId="0BCBB1B4"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1559" w:type="dxa"/>
            <w:tcBorders>
              <w:top w:val="nil"/>
              <w:left w:val="nil"/>
              <w:bottom w:val="single" w:sz="4" w:space="0" w:color="000000"/>
              <w:right w:val="single" w:sz="4" w:space="0" w:color="000000"/>
            </w:tcBorders>
            <w:shd w:val="clear" w:color="auto" w:fill="auto"/>
            <w:noWrap/>
            <w:vAlign w:val="bottom"/>
            <w:hideMark/>
          </w:tcPr>
          <w:p w14:paraId="206CEB2F"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1418" w:type="dxa"/>
            <w:tcBorders>
              <w:top w:val="nil"/>
              <w:left w:val="nil"/>
              <w:bottom w:val="single" w:sz="4" w:space="0" w:color="000000"/>
              <w:right w:val="single" w:sz="4" w:space="0" w:color="000000"/>
            </w:tcBorders>
            <w:shd w:val="clear" w:color="auto" w:fill="auto"/>
            <w:noWrap/>
            <w:vAlign w:val="bottom"/>
            <w:hideMark/>
          </w:tcPr>
          <w:p w14:paraId="0D8724AC"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1276" w:type="dxa"/>
            <w:tcBorders>
              <w:top w:val="nil"/>
              <w:left w:val="nil"/>
              <w:bottom w:val="single" w:sz="4" w:space="0" w:color="000000"/>
              <w:right w:val="single" w:sz="4" w:space="0" w:color="000000"/>
            </w:tcBorders>
            <w:shd w:val="clear" w:color="auto" w:fill="auto"/>
            <w:noWrap/>
            <w:vAlign w:val="bottom"/>
            <w:hideMark/>
          </w:tcPr>
          <w:p w14:paraId="14968F9D"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3.787.793,15</w:t>
            </w:r>
          </w:p>
        </w:tc>
        <w:tc>
          <w:tcPr>
            <w:tcW w:w="1559" w:type="dxa"/>
            <w:tcBorders>
              <w:top w:val="nil"/>
              <w:left w:val="nil"/>
              <w:bottom w:val="single" w:sz="4" w:space="0" w:color="000000"/>
              <w:right w:val="single" w:sz="4" w:space="0" w:color="000000"/>
            </w:tcBorders>
            <w:shd w:val="clear" w:color="auto" w:fill="auto"/>
            <w:noWrap/>
            <w:vAlign w:val="bottom"/>
            <w:hideMark/>
          </w:tcPr>
          <w:p w14:paraId="6F102531"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1548" w:type="dxa"/>
            <w:tcBorders>
              <w:top w:val="nil"/>
              <w:left w:val="nil"/>
              <w:bottom w:val="single" w:sz="4" w:space="0" w:color="000000"/>
              <w:right w:val="single" w:sz="4" w:space="0" w:color="000000"/>
            </w:tcBorders>
            <w:shd w:val="clear" w:color="auto" w:fill="auto"/>
            <w:noWrap/>
            <w:vAlign w:val="bottom"/>
            <w:hideMark/>
          </w:tcPr>
          <w:p w14:paraId="596FBA9E"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0,00</w:t>
            </w:r>
          </w:p>
        </w:tc>
        <w:tc>
          <w:tcPr>
            <w:tcW w:w="716" w:type="dxa"/>
            <w:tcBorders>
              <w:top w:val="nil"/>
              <w:left w:val="nil"/>
              <w:bottom w:val="single" w:sz="4" w:space="0" w:color="000000"/>
              <w:right w:val="single" w:sz="4" w:space="0" w:color="000000"/>
            </w:tcBorders>
            <w:shd w:val="clear" w:color="auto" w:fill="auto"/>
            <w:noWrap/>
            <w:vAlign w:val="bottom"/>
            <w:hideMark/>
          </w:tcPr>
          <w:p w14:paraId="2E5715F1"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713" w:type="dxa"/>
            <w:tcBorders>
              <w:top w:val="nil"/>
              <w:left w:val="nil"/>
              <w:bottom w:val="single" w:sz="4" w:space="0" w:color="000000"/>
              <w:right w:val="single" w:sz="4" w:space="0" w:color="000000"/>
            </w:tcBorders>
            <w:shd w:val="clear" w:color="auto" w:fill="auto"/>
            <w:noWrap/>
            <w:vAlign w:val="bottom"/>
            <w:hideMark/>
          </w:tcPr>
          <w:p w14:paraId="5DF19085"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708" w:type="dxa"/>
            <w:tcBorders>
              <w:top w:val="nil"/>
              <w:left w:val="nil"/>
              <w:bottom w:val="single" w:sz="4" w:space="0" w:color="000000"/>
              <w:right w:val="single" w:sz="4" w:space="0" w:color="000000"/>
            </w:tcBorders>
            <w:shd w:val="clear" w:color="auto" w:fill="auto"/>
            <w:noWrap/>
            <w:vAlign w:val="bottom"/>
            <w:hideMark/>
          </w:tcPr>
          <w:p w14:paraId="17423395"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0%</w:t>
            </w:r>
          </w:p>
        </w:tc>
        <w:tc>
          <w:tcPr>
            <w:tcW w:w="709" w:type="dxa"/>
            <w:tcBorders>
              <w:top w:val="nil"/>
              <w:left w:val="nil"/>
              <w:bottom w:val="single" w:sz="4" w:space="0" w:color="000000"/>
              <w:right w:val="single" w:sz="4" w:space="0" w:color="000000"/>
            </w:tcBorders>
            <w:shd w:val="clear" w:color="auto" w:fill="auto"/>
            <w:noWrap/>
            <w:vAlign w:val="bottom"/>
            <w:hideMark/>
          </w:tcPr>
          <w:p w14:paraId="61C198DE"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851" w:type="dxa"/>
            <w:tcBorders>
              <w:top w:val="nil"/>
              <w:left w:val="nil"/>
              <w:bottom w:val="single" w:sz="4" w:space="0" w:color="000000"/>
              <w:right w:val="single" w:sz="4" w:space="0" w:color="000000"/>
            </w:tcBorders>
            <w:shd w:val="clear" w:color="EEEEEE" w:fill="EEEEEE"/>
            <w:noWrap/>
            <w:vAlign w:val="bottom"/>
            <w:hideMark/>
          </w:tcPr>
          <w:p w14:paraId="5B127043"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ca" w:eastAsia="es-ES"/>
              </w:rPr>
              <w:t>100,00</w:t>
            </w:r>
          </w:p>
        </w:tc>
        <w:tc>
          <w:tcPr>
            <w:tcW w:w="708" w:type="dxa"/>
            <w:tcBorders>
              <w:top w:val="nil"/>
              <w:left w:val="nil"/>
              <w:bottom w:val="single" w:sz="4" w:space="0" w:color="000000"/>
              <w:right w:val="single" w:sz="4" w:space="0" w:color="000000"/>
            </w:tcBorders>
            <w:shd w:val="clear" w:color="EEEEEE" w:fill="EEEEEE"/>
            <w:noWrap/>
            <w:vAlign w:val="bottom"/>
            <w:hideMark/>
          </w:tcPr>
          <w:p w14:paraId="6D699E97"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c>
          <w:tcPr>
            <w:tcW w:w="709" w:type="dxa"/>
            <w:tcBorders>
              <w:top w:val="nil"/>
              <w:left w:val="nil"/>
              <w:bottom w:val="single" w:sz="4" w:space="0" w:color="000000"/>
              <w:right w:val="single" w:sz="4" w:space="0" w:color="000000"/>
            </w:tcBorders>
            <w:shd w:val="clear" w:color="EEEEEE" w:fill="EEEEEE"/>
            <w:noWrap/>
            <w:vAlign w:val="bottom"/>
            <w:hideMark/>
          </w:tcPr>
          <w:p w14:paraId="07F60869" w14:textId="77777777" w:rsidR="00983AA3" w:rsidRPr="00983AA3" w:rsidRDefault="00983AA3" w:rsidP="00983AA3">
            <w:pPr>
              <w:spacing w:after="0" w:line="240" w:lineRule="auto"/>
              <w:jc w:val="right"/>
              <w:rPr>
                <w:rFonts w:ascii="Arial" w:eastAsia="Times New Roman" w:hAnsi="Arial" w:cs="Arial"/>
                <w:color w:val="000000"/>
                <w:sz w:val="18"/>
                <w:szCs w:val="18"/>
                <w:lang w:val="es-ES" w:eastAsia="es-ES"/>
              </w:rPr>
            </w:pPr>
            <w:r w:rsidRPr="00983AA3">
              <w:rPr>
                <w:rFonts w:ascii="Arial" w:eastAsia="Times New Roman" w:hAnsi="Arial" w:cs="Arial"/>
                <w:color w:val="000000"/>
                <w:sz w:val="18"/>
                <w:szCs w:val="18"/>
                <w:lang w:val="es-ES" w:eastAsia="es-ES"/>
              </w:rPr>
              <w:t> </w:t>
            </w:r>
          </w:p>
        </w:tc>
      </w:tr>
      <w:tr w:rsidR="00983AA3" w:rsidRPr="00983AA3" w14:paraId="594FA628" w14:textId="77777777" w:rsidTr="00271465">
        <w:trPr>
          <w:trHeight w:val="336"/>
        </w:trPr>
        <w:tc>
          <w:tcPr>
            <w:tcW w:w="1135" w:type="dxa"/>
            <w:tcBorders>
              <w:top w:val="nil"/>
              <w:left w:val="single" w:sz="4" w:space="0" w:color="000000"/>
              <w:bottom w:val="single" w:sz="4" w:space="0" w:color="000000"/>
              <w:right w:val="single" w:sz="4" w:space="0" w:color="000000"/>
            </w:tcBorders>
            <w:shd w:val="clear" w:color="auto" w:fill="auto"/>
            <w:noWrap/>
            <w:vAlign w:val="bottom"/>
            <w:hideMark/>
          </w:tcPr>
          <w:p w14:paraId="095D7C8F"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 xml:space="preserve">Suma total </w:t>
            </w:r>
          </w:p>
        </w:tc>
        <w:tc>
          <w:tcPr>
            <w:tcW w:w="1417" w:type="dxa"/>
            <w:tcBorders>
              <w:top w:val="nil"/>
              <w:left w:val="nil"/>
              <w:bottom w:val="single" w:sz="4" w:space="0" w:color="000000"/>
              <w:right w:val="single" w:sz="4" w:space="0" w:color="000000"/>
            </w:tcBorders>
            <w:shd w:val="clear" w:color="auto" w:fill="auto"/>
            <w:noWrap/>
            <w:vAlign w:val="bottom"/>
            <w:hideMark/>
          </w:tcPr>
          <w:p w14:paraId="6280246F"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4.469.875,74</w:t>
            </w:r>
          </w:p>
        </w:tc>
        <w:tc>
          <w:tcPr>
            <w:tcW w:w="1559" w:type="dxa"/>
            <w:tcBorders>
              <w:top w:val="nil"/>
              <w:left w:val="nil"/>
              <w:bottom w:val="single" w:sz="4" w:space="0" w:color="000000"/>
              <w:right w:val="single" w:sz="4" w:space="0" w:color="000000"/>
            </w:tcBorders>
            <w:shd w:val="clear" w:color="auto" w:fill="auto"/>
            <w:noWrap/>
            <w:vAlign w:val="bottom"/>
            <w:hideMark/>
          </w:tcPr>
          <w:p w14:paraId="69028FC9"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4.469.912,00</w:t>
            </w:r>
          </w:p>
        </w:tc>
        <w:tc>
          <w:tcPr>
            <w:tcW w:w="1418" w:type="dxa"/>
            <w:tcBorders>
              <w:top w:val="nil"/>
              <w:left w:val="nil"/>
              <w:bottom w:val="single" w:sz="4" w:space="0" w:color="000000"/>
              <w:right w:val="single" w:sz="4" w:space="0" w:color="000000"/>
            </w:tcBorders>
            <w:shd w:val="clear" w:color="auto" w:fill="auto"/>
            <w:noWrap/>
            <w:vAlign w:val="bottom"/>
            <w:hideMark/>
          </w:tcPr>
          <w:p w14:paraId="22530D94"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1.651.591,32</w:t>
            </w:r>
          </w:p>
        </w:tc>
        <w:tc>
          <w:tcPr>
            <w:tcW w:w="1276" w:type="dxa"/>
            <w:tcBorders>
              <w:top w:val="nil"/>
              <w:left w:val="nil"/>
              <w:bottom w:val="single" w:sz="4" w:space="0" w:color="000000"/>
              <w:right w:val="single" w:sz="4" w:space="0" w:color="000000"/>
            </w:tcBorders>
            <w:shd w:val="clear" w:color="auto" w:fill="auto"/>
            <w:noWrap/>
            <w:vAlign w:val="bottom"/>
            <w:hideMark/>
          </w:tcPr>
          <w:p w14:paraId="673CAE65"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8.212.133,15</w:t>
            </w:r>
          </w:p>
        </w:tc>
        <w:tc>
          <w:tcPr>
            <w:tcW w:w="1559" w:type="dxa"/>
            <w:tcBorders>
              <w:top w:val="nil"/>
              <w:left w:val="nil"/>
              <w:bottom w:val="single" w:sz="4" w:space="0" w:color="000000"/>
              <w:right w:val="single" w:sz="4" w:space="0" w:color="000000"/>
            </w:tcBorders>
            <w:shd w:val="clear" w:color="auto" w:fill="auto"/>
            <w:noWrap/>
            <w:vAlign w:val="bottom"/>
            <w:hideMark/>
          </w:tcPr>
          <w:p w14:paraId="1DFB4B69"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4.424.507,77</w:t>
            </w:r>
          </w:p>
        </w:tc>
        <w:tc>
          <w:tcPr>
            <w:tcW w:w="1548" w:type="dxa"/>
            <w:tcBorders>
              <w:top w:val="nil"/>
              <w:left w:val="nil"/>
              <w:bottom w:val="single" w:sz="4" w:space="0" w:color="000000"/>
              <w:right w:val="single" w:sz="4" w:space="0" w:color="000000"/>
            </w:tcBorders>
            <w:shd w:val="clear" w:color="auto" w:fill="auto"/>
            <w:noWrap/>
            <w:vAlign w:val="bottom"/>
            <w:hideMark/>
          </w:tcPr>
          <w:p w14:paraId="4C88B224"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4.424.507,77</w:t>
            </w:r>
          </w:p>
        </w:tc>
        <w:tc>
          <w:tcPr>
            <w:tcW w:w="716" w:type="dxa"/>
            <w:tcBorders>
              <w:top w:val="nil"/>
              <w:left w:val="nil"/>
              <w:bottom w:val="single" w:sz="4" w:space="0" w:color="000000"/>
              <w:right w:val="single" w:sz="4" w:space="0" w:color="000000"/>
            </w:tcBorders>
            <w:shd w:val="clear" w:color="auto" w:fill="auto"/>
            <w:noWrap/>
            <w:vAlign w:val="bottom"/>
            <w:hideMark/>
          </w:tcPr>
          <w:p w14:paraId="3326F55B"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100%</w:t>
            </w:r>
          </w:p>
        </w:tc>
        <w:tc>
          <w:tcPr>
            <w:tcW w:w="713" w:type="dxa"/>
            <w:tcBorders>
              <w:top w:val="nil"/>
              <w:left w:val="nil"/>
              <w:bottom w:val="single" w:sz="4" w:space="0" w:color="000000"/>
              <w:right w:val="single" w:sz="4" w:space="0" w:color="000000"/>
            </w:tcBorders>
            <w:shd w:val="clear" w:color="auto" w:fill="auto"/>
            <w:noWrap/>
            <w:vAlign w:val="bottom"/>
            <w:hideMark/>
          </w:tcPr>
          <w:p w14:paraId="789F7B92"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37%</w:t>
            </w:r>
          </w:p>
        </w:tc>
        <w:tc>
          <w:tcPr>
            <w:tcW w:w="708" w:type="dxa"/>
            <w:tcBorders>
              <w:top w:val="nil"/>
              <w:left w:val="nil"/>
              <w:bottom w:val="single" w:sz="4" w:space="0" w:color="000000"/>
              <w:right w:val="single" w:sz="4" w:space="0" w:color="000000"/>
            </w:tcBorders>
            <w:shd w:val="clear" w:color="auto" w:fill="auto"/>
            <w:noWrap/>
            <w:vAlign w:val="bottom"/>
            <w:hideMark/>
          </w:tcPr>
          <w:p w14:paraId="1954963D"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54%</w:t>
            </w:r>
          </w:p>
        </w:tc>
        <w:tc>
          <w:tcPr>
            <w:tcW w:w="709" w:type="dxa"/>
            <w:tcBorders>
              <w:top w:val="nil"/>
              <w:left w:val="nil"/>
              <w:bottom w:val="single" w:sz="4" w:space="0" w:color="000000"/>
              <w:right w:val="single" w:sz="4" w:space="0" w:color="000000"/>
            </w:tcBorders>
            <w:shd w:val="clear" w:color="auto" w:fill="auto"/>
            <w:noWrap/>
            <w:vAlign w:val="bottom"/>
            <w:hideMark/>
          </w:tcPr>
          <w:p w14:paraId="5D1461EC"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100%</w:t>
            </w:r>
          </w:p>
        </w:tc>
        <w:tc>
          <w:tcPr>
            <w:tcW w:w="851" w:type="dxa"/>
            <w:tcBorders>
              <w:top w:val="nil"/>
              <w:left w:val="nil"/>
              <w:bottom w:val="single" w:sz="4" w:space="0" w:color="000000"/>
              <w:right w:val="single" w:sz="4" w:space="0" w:color="000000"/>
            </w:tcBorders>
            <w:shd w:val="clear" w:color="EEEEEE" w:fill="EEEEEE"/>
            <w:noWrap/>
            <w:vAlign w:val="bottom"/>
            <w:hideMark/>
          </w:tcPr>
          <w:p w14:paraId="71FD8AAD"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83,72</w:t>
            </w:r>
          </w:p>
        </w:tc>
        <w:tc>
          <w:tcPr>
            <w:tcW w:w="708" w:type="dxa"/>
            <w:tcBorders>
              <w:top w:val="nil"/>
              <w:left w:val="nil"/>
              <w:bottom w:val="single" w:sz="4" w:space="0" w:color="000000"/>
              <w:right w:val="single" w:sz="4" w:space="0" w:color="000000"/>
            </w:tcBorders>
            <w:shd w:val="clear" w:color="EEEEEE" w:fill="EEEEEE"/>
            <w:noWrap/>
            <w:vAlign w:val="bottom"/>
            <w:hideMark/>
          </w:tcPr>
          <w:p w14:paraId="26BDF6ED"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-1,02</w:t>
            </w:r>
          </w:p>
        </w:tc>
        <w:tc>
          <w:tcPr>
            <w:tcW w:w="709" w:type="dxa"/>
            <w:tcBorders>
              <w:top w:val="nil"/>
              <w:left w:val="nil"/>
              <w:bottom w:val="single" w:sz="4" w:space="0" w:color="000000"/>
              <w:right w:val="single" w:sz="4" w:space="0" w:color="000000"/>
            </w:tcBorders>
            <w:shd w:val="clear" w:color="EEEEEE" w:fill="EEEEEE"/>
            <w:noWrap/>
            <w:vAlign w:val="bottom"/>
            <w:hideMark/>
          </w:tcPr>
          <w:p w14:paraId="60B6A11C" w14:textId="77777777" w:rsidR="00983AA3" w:rsidRPr="00983AA3" w:rsidRDefault="00983AA3" w:rsidP="00983AA3">
            <w:pPr>
              <w:spacing w:after="0" w:line="240" w:lineRule="auto"/>
              <w:jc w:val="right"/>
              <w:rPr>
                <w:rFonts w:ascii="Arial" w:eastAsia="Times New Roman" w:hAnsi="Arial" w:cs="Arial"/>
                <w:b/>
                <w:bCs/>
                <w:color w:val="000000"/>
                <w:sz w:val="18"/>
                <w:szCs w:val="18"/>
                <w:lang w:val="es-ES" w:eastAsia="es-ES"/>
              </w:rPr>
            </w:pPr>
            <w:r w:rsidRPr="00983AA3">
              <w:rPr>
                <w:rFonts w:ascii="Arial" w:eastAsia="Times New Roman" w:hAnsi="Arial" w:cs="Arial"/>
                <w:b/>
                <w:bCs/>
                <w:color w:val="000000"/>
                <w:sz w:val="18"/>
                <w:szCs w:val="18"/>
                <w:lang w:val="ca" w:eastAsia="es-ES"/>
              </w:rPr>
              <w:t>167,89</w:t>
            </w:r>
          </w:p>
        </w:tc>
      </w:tr>
    </w:tbl>
    <w:p w14:paraId="5A8A621D" w14:textId="09E2D3CC" w:rsidR="00986810" w:rsidRDefault="00986810" w:rsidP="00343C17">
      <w:pPr>
        <w:spacing w:after="240" w:line="276" w:lineRule="auto"/>
        <w:jc w:val="both"/>
        <w:rPr>
          <w:rFonts w:ascii="Arial" w:eastAsia="Droid Sans Fallback" w:hAnsi="Arial" w:cs="Arial"/>
          <w:kern w:val="3"/>
          <w:sz w:val="21"/>
          <w:szCs w:val="21"/>
          <w:lang w:eastAsia="zh-CN" w:bidi="hi-IN"/>
        </w:rPr>
      </w:pPr>
    </w:p>
    <w:p w14:paraId="5DE3E3BE" w14:textId="0AA4D76E" w:rsidR="00986810" w:rsidRDefault="00986810" w:rsidP="00343C17">
      <w:pPr>
        <w:spacing w:after="240" w:line="276" w:lineRule="auto"/>
        <w:jc w:val="both"/>
        <w:rPr>
          <w:rFonts w:ascii="Arial" w:eastAsia="Droid Sans Fallback" w:hAnsi="Arial" w:cs="Arial"/>
          <w:kern w:val="3"/>
          <w:sz w:val="21"/>
          <w:szCs w:val="21"/>
          <w:lang w:eastAsia="zh-CN" w:bidi="hi-IN"/>
        </w:rPr>
      </w:pPr>
    </w:p>
    <w:p w14:paraId="70E93D8C" w14:textId="3EEB129B" w:rsidR="00986810" w:rsidRDefault="00986810" w:rsidP="00343C17">
      <w:pPr>
        <w:spacing w:after="240" w:line="276" w:lineRule="auto"/>
        <w:jc w:val="both"/>
        <w:rPr>
          <w:rFonts w:ascii="Arial" w:eastAsia="Droid Sans Fallback" w:hAnsi="Arial" w:cs="Arial"/>
          <w:kern w:val="3"/>
          <w:sz w:val="21"/>
          <w:szCs w:val="21"/>
          <w:lang w:eastAsia="zh-CN" w:bidi="hi-IN"/>
        </w:rPr>
      </w:pPr>
    </w:p>
    <w:p w14:paraId="5B3589C4" w14:textId="2FF30CA8" w:rsidR="00986810" w:rsidRDefault="00986810" w:rsidP="00343C17">
      <w:pPr>
        <w:spacing w:after="240" w:line="276" w:lineRule="auto"/>
        <w:jc w:val="both"/>
        <w:rPr>
          <w:rFonts w:ascii="Arial" w:eastAsia="Droid Sans Fallback" w:hAnsi="Arial" w:cs="Arial"/>
          <w:kern w:val="3"/>
          <w:sz w:val="21"/>
          <w:szCs w:val="21"/>
          <w:lang w:eastAsia="zh-CN" w:bidi="hi-IN"/>
        </w:rPr>
      </w:pPr>
    </w:p>
    <w:p w14:paraId="1A394474" w14:textId="53DF62D0" w:rsidR="00986810" w:rsidRDefault="00986810" w:rsidP="00343C17">
      <w:pPr>
        <w:spacing w:after="240" w:line="276" w:lineRule="auto"/>
        <w:jc w:val="both"/>
        <w:rPr>
          <w:rFonts w:ascii="Arial" w:eastAsia="Droid Sans Fallback" w:hAnsi="Arial" w:cs="Arial"/>
          <w:kern w:val="3"/>
          <w:sz w:val="21"/>
          <w:szCs w:val="21"/>
          <w:lang w:eastAsia="zh-CN" w:bidi="hi-IN"/>
        </w:rPr>
      </w:pPr>
    </w:p>
    <w:p w14:paraId="3BDE98A9" w14:textId="65934FBA" w:rsidR="00983AA3" w:rsidRDefault="00983AA3" w:rsidP="00343C17">
      <w:pPr>
        <w:spacing w:after="240" w:line="276" w:lineRule="auto"/>
        <w:jc w:val="both"/>
        <w:rPr>
          <w:rFonts w:ascii="Arial" w:eastAsia="Droid Sans Fallback" w:hAnsi="Arial" w:cs="Arial"/>
          <w:kern w:val="3"/>
          <w:sz w:val="21"/>
          <w:szCs w:val="21"/>
          <w:lang w:eastAsia="zh-CN" w:bidi="hi-IN"/>
        </w:rPr>
      </w:pPr>
    </w:p>
    <w:p w14:paraId="5F668595" w14:textId="7B1F9E5C" w:rsidR="00983AA3" w:rsidRDefault="00983AA3" w:rsidP="00343C17">
      <w:pPr>
        <w:spacing w:after="240" w:line="276" w:lineRule="auto"/>
        <w:jc w:val="both"/>
        <w:rPr>
          <w:rFonts w:ascii="Arial" w:eastAsia="Droid Sans Fallback" w:hAnsi="Arial" w:cs="Arial"/>
          <w:kern w:val="3"/>
          <w:sz w:val="21"/>
          <w:szCs w:val="21"/>
          <w:lang w:eastAsia="zh-CN" w:bidi="hi-IN"/>
        </w:rPr>
      </w:pPr>
    </w:p>
    <w:p w14:paraId="070B2B95" w14:textId="5BDF8C4B" w:rsidR="00983AA3" w:rsidRDefault="00983AA3" w:rsidP="00343C17">
      <w:pPr>
        <w:spacing w:after="240" w:line="276" w:lineRule="auto"/>
        <w:jc w:val="both"/>
        <w:rPr>
          <w:rFonts w:ascii="Arial" w:eastAsia="Droid Sans Fallback" w:hAnsi="Arial" w:cs="Arial"/>
          <w:kern w:val="3"/>
          <w:sz w:val="21"/>
          <w:szCs w:val="21"/>
          <w:lang w:eastAsia="zh-CN" w:bidi="hi-IN"/>
        </w:rPr>
      </w:pPr>
    </w:p>
    <w:p w14:paraId="2A15F689" w14:textId="279F9EB8" w:rsidR="009C1014" w:rsidRDefault="009C1014" w:rsidP="00343C17">
      <w:pPr>
        <w:spacing w:after="240" w:line="276" w:lineRule="auto"/>
        <w:jc w:val="both"/>
        <w:rPr>
          <w:rFonts w:ascii="Arial" w:eastAsia="Droid Sans Fallback" w:hAnsi="Arial" w:cs="Arial"/>
          <w:kern w:val="3"/>
          <w:sz w:val="21"/>
          <w:szCs w:val="21"/>
          <w:lang w:eastAsia="zh-CN" w:bidi="hi-IN"/>
        </w:rPr>
      </w:pPr>
    </w:p>
    <w:p w14:paraId="3198AE1E" w14:textId="495C945B" w:rsidR="009C1014" w:rsidRDefault="009C1014" w:rsidP="00343C17">
      <w:pPr>
        <w:spacing w:after="240" w:line="276" w:lineRule="auto"/>
        <w:jc w:val="both"/>
        <w:rPr>
          <w:rFonts w:ascii="Arial" w:eastAsia="Droid Sans Fallback" w:hAnsi="Arial" w:cs="Arial"/>
          <w:kern w:val="3"/>
          <w:sz w:val="21"/>
          <w:szCs w:val="21"/>
          <w:lang w:eastAsia="zh-CN" w:bidi="hi-IN"/>
        </w:rPr>
      </w:pPr>
    </w:p>
    <w:p w14:paraId="0C43BBAF" w14:textId="77777777" w:rsidR="00DC250D" w:rsidRPr="00DC250D" w:rsidRDefault="00DC250D" w:rsidP="00DC250D">
      <w:pPr>
        <w:spacing w:after="240" w:line="276" w:lineRule="auto"/>
        <w:jc w:val="both"/>
        <w:rPr>
          <w:rFonts w:ascii="Arial" w:eastAsia="Droid Sans Fallback" w:hAnsi="Arial" w:cs="Arial"/>
          <w:b/>
          <w:kern w:val="3"/>
          <w:sz w:val="21"/>
          <w:szCs w:val="21"/>
          <w:lang w:val="es-ES" w:eastAsia="zh-CN" w:bidi="hi-IN"/>
        </w:rPr>
      </w:pPr>
      <w:r w:rsidRPr="00DC250D">
        <w:rPr>
          <w:rFonts w:ascii="Arial" w:eastAsia="Droid Sans Fallback" w:hAnsi="Arial" w:cs="Arial"/>
          <w:b/>
          <w:kern w:val="3"/>
          <w:sz w:val="21"/>
          <w:szCs w:val="21"/>
          <w:lang w:val="ca" w:eastAsia="zh-CN" w:bidi="hi-IN"/>
        </w:rPr>
        <w:t>Pressupost de despeses:</w:t>
      </w:r>
    </w:p>
    <w:p w14:paraId="054E9B47" w14:textId="681EDF10" w:rsidR="00983AA3" w:rsidRDefault="00DC250D" w:rsidP="00DC250D">
      <w:pPr>
        <w:spacing w:after="240" w:line="276" w:lineRule="auto"/>
        <w:jc w:val="both"/>
        <w:rPr>
          <w:rFonts w:ascii="Arial" w:eastAsia="Droid Sans Fallback" w:hAnsi="Arial" w:cs="Arial"/>
          <w:kern w:val="3"/>
          <w:sz w:val="21"/>
          <w:szCs w:val="21"/>
          <w:lang w:eastAsia="zh-CN" w:bidi="hi-IN"/>
        </w:rPr>
      </w:pPr>
      <w:r w:rsidRPr="00DC250D">
        <w:rPr>
          <w:rFonts w:ascii="Arial" w:eastAsia="Droid Sans Fallback" w:hAnsi="Arial" w:cs="Arial"/>
          <w:kern w:val="3"/>
          <w:sz w:val="21"/>
          <w:szCs w:val="21"/>
          <w:lang w:val="ca" w:eastAsia="zh-CN" w:bidi="hi-IN"/>
        </w:rPr>
        <w:t>El detall per capítols de l'execució del pressupost de despeses de l'Agència a 31 de desembre de 2021, així com la comparativa respecte de l'exercici 2021, es mostra en les taules següents.</w:t>
      </w:r>
    </w:p>
    <w:p w14:paraId="3FD8BCDA" w14:textId="3204F37A" w:rsidR="00DC250D" w:rsidRPr="00DC250D" w:rsidRDefault="00DC250D" w:rsidP="00DC250D">
      <w:pPr>
        <w:pStyle w:val="Descripcin"/>
        <w:keepNext/>
        <w:jc w:val="center"/>
        <w:rPr>
          <w:rFonts w:ascii="Arial" w:hAnsi="Arial" w:cs="Arial"/>
          <w:smallCaps w:val="0"/>
          <w:sz w:val="18"/>
          <w:szCs w:val="18"/>
        </w:rPr>
      </w:pPr>
      <w:bookmarkStart w:id="501" w:name="_Toc99110882"/>
      <w:r w:rsidRPr="00DC250D">
        <w:rPr>
          <w:rFonts w:ascii="Arial" w:hAnsi="Arial" w:cs="Arial"/>
          <w:smallCaps w:val="0"/>
          <w:color w:val="9D2235" w:themeColor="accent1"/>
          <w:sz w:val="18"/>
          <w:szCs w:val="18"/>
        </w:rPr>
        <w:t xml:space="preserve">Taula </w:t>
      </w:r>
      <w:r w:rsidRPr="00DC250D">
        <w:rPr>
          <w:rFonts w:ascii="Arial" w:hAnsi="Arial" w:cs="Arial"/>
          <w:smallCaps w:val="0"/>
          <w:color w:val="9D2235" w:themeColor="accent1"/>
          <w:sz w:val="18"/>
          <w:szCs w:val="18"/>
        </w:rPr>
        <w:fldChar w:fldCharType="begin" w:fldLock="1"/>
      </w:r>
      <w:r w:rsidRPr="00DC250D">
        <w:rPr>
          <w:rFonts w:ascii="Arial" w:hAnsi="Arial" w:cs="Arial"/>
          <w:smallCaps w:val="0"/>
          <w:color w:val="9D2235" w:themeColor="accent1"/>
          <w:sz w:val="18"/>
          <w:szCs w:val="18"/>
        </w:rPr>
        <w:instrText xml:space="preserve"> SEQ Taula \* ARABIC </w:instrText>
      </w:r>
      <w:r w:rsidRPr="00DC250D">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37</w:t>
      </w:r>
      <w:r w:rsidRPr="00DC250D">
        <w:rPr>
          <w:rFonts w:ascii="Arial" w:hAnsi="Arial" w:cs="Arial"/>
          <w:smallCaps w:val="0"/>
          <w:color w:val="9D2235" w:themeColor="accent1"/>
          <w:sz w:val="18"/>
          <w:szCs w:val="18"/>
        </w:rPr>
        <w:fldChar w:fldCharType="end"/>
      </w:r>
      <w:r w:rsidRPr="00DC250D">
        <w:rPr>
          <w:rFonts w:ascii="Arial" w:hAnsi="Arial" w:cs="Arial"/>
          <w:smallCaps w:val="0"/>
          <w:color w:val="9D2235" w:themeColor="accent1"/>
          <w:sz w:val="18"/>
          <w:szCs w:val="18"/>
        </w:rPr>
        <w:t xml:space="preserve">. </w:t>
      </w:r>
      <w:r w:rsidRPr="00DC250D">
        <w:rPr>
          <w:rFonts w:ascii="Arial" w:hAnsi="Arial" w:cs="Arial"/>
          <w:smallCaps w:val="0"/>
          <w:sz w:val="18"/>
          <w:szCs w:val="18"/>
        </w:rPr>
        <w:t>Execució del pressupost de despeses de l'exercici 2021</w:t>
      </w:r>
      <w:bookmarkEnd w:id="501"/>
    </w:p>
    <w:tbl>
      <w:tblPr>
        <w:tblW w:w="14527" w:type="dxa"/>
        <w:tblInd w:w="43" w:type="dxa"/>
        <w:tblCellMar>
          <w:top w:w="55" w:type="dxa"/>
          <w:left w:w="55" w:type="dxa"/>
          <w:bottom w:w="55" w:type="dxa"/>
          <w:right w:w="55" w:type="dxa"/>
        </w:tblCellMar>
        <w:tblLook w:val="0000" w:firstRow="0" w:lastRow="0" w:firstColumn="0" w:lastColumn="0" w:noHBand="0" w:noVBand="0"/>
      </w:tblPr>
      <w:tblGrid>
        <w:gridCol w:w="1214"/>
        <w:gridCol w:w="1161"/>
        <w:gridCol w:w="1410"/>
        <w:gridCol w:w="1232"/>
        <w:gridCol w:w="1508"/>
        <w:gridCol w:w="1509"/>
        <w:gridCol w:w="1308"/>
        <w:gridCol w:w="1524"/>
        <w:gridCol w:w="1230"/>
        <w:gridCol w:w="1336"/>
        <w:gridCol w:w="1095"/>
      </w:tblGrid>
      <w:tr w:rsidR="00DC250D" w:rsidRPr="00DC250D" w14:paraId="0DAB7050" w14:textId="77777777" w:rsidTr="00DC250D">
        <w:trPr>
          <w:trHeight w:val="937"/>
        </w:trPr>
        <w:tc>
          <w:tcPr>
            <w:tcW w:w="1214" w:type="dxa"/>
            <w:shd w:val="clear" w:color="auto" w:fill="9D2235"/>
          </w:tcPr>
          <w:p w14:paraId="35D6F4D8"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Capítols</w:t>
            </w:r>
          </w:p>
        </w:tc>
        <w:tc>
          <w:tcPr>
            <w:tcW w:w="1161" w:type="dxa"/>
            <w:shd w:val="clear" w:color="auto" w:fill="9D2235"/>
          </w:tcPr>
          <w:p w14:paraId="127BC4A2"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Crèdits inicials</w:t>
            </w:r>
          </w:p>
        </w:tc>
        <w:tc>
          <w:tcPr>
            <w:tcW w:w="1410" w:type="dxa"/>
            <w:shd w:val="clear" w:color="auto" w:fill="9D2235"/>
          </w:tcPr>
          <w:p w14:paraId="31333D3D"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Modificacions de crèdit</w:t>
            </w:r>
          </w:p>
        </w:tc>
        <w:tc>
          <w:tcPr>
            <w:tcW w:w="1232" w:type="dxa"/>
            <w:shd w:val="clear" w:color="auto" w:fill="9D2235"/>
          </w:tcPr>
          <w:p w14:paraId="15C12474"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Crèdits totals</w:t>
            </w:r>
          </w:p>
        </w:tc>
        <w:tc>
          <w:tcPr>
            <w:tcW w:w="1508" w:type="dxa"/>
            <w:shd w:val="clear" w:color="auto" w:fill="9D2235"/>
          </w:tcPr>
          <w:p w14:paraId="2DA04112"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Despeses compromeses</w:t>
            </w:r>
          </w:p>
        </w:tc>
        <w:tc>
          <w:tcPr>
            <w:tcW w:w="1509" w:type="dxa"/>
            <w:shd w:val="clear" w:color="auto" w:fill="9D2235"/>
          </w:tcPr>
          <w:p w14:paraId="77ED1B97"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 Crèdits compromesos</w:t>
            </w:r>
          </w:p>
        </w:tc>
        <w:tc>
          <w:tcPr>
            <w:tcW w:w="1308" w:type="dxa"/>
            <w:shd w:val="clear" w:color="auto" w:fill="9D2235"/>
          </w:tcPr>
          <w:p w14:paraId="5E4857B4"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Obligacions reconegudes</w:t>
            </w:r>
          </w:p>
        </w:tc>
        <w:tc>
          <w:tcPr>
            <w:tcW w:w="1524" w:type="dxa"/>
            <w:shd w:val="clear" w:color="auto" w:fill="9D2235"/>
          </w:tcPr>
          <w:p w14:paraId="18598B4E"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 Obligacions</w:t>
            </w:r>
          </w:p>
          <w:p w14:paraId="3E41ECED"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despeses compromeses</w:t>
            </w:r>
          </w:p>
        </w:tc>
        <w:tc>
          <w:tcPr>
            <w:tcW w:w="1230" w:type="dxa"/>
            <w:shd w:val="clear" w:color="auto" w:fill="9D2235"/>
          </w:tcPr>
          <w:p w14:paraId="022B25C8"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Pagaments liquidats</w:t>
            </w:r>
          </w:p>
        </w:tc>
        <w:tc>
          <w:tcPr>
            <w:tcW w:w="1336" w:type="dxa"/>
            <w:shd w:val="clear" w:color="auto" w:fill="9D2235"/>
          </w:tcPr>
          <w:p w14:paraId="4C55096D"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 Pagaments</w:t>
            </w:r>
          </w:p>
          <w:p w14:paraId="75577509"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 xml:space="preserve"> Obligacions reconegudes</w:t>
            </w:r>
          </w:p>
        </w:tc>
        <w:tc>
          <w:tcPr>
            <w:tcW w:w="1095" w:type="dxa"/>
            <w:shd w:val="clear" w:color="auto" w:fill="9D2235"/>
          </w:tcPr>
          <w:p w14:paraId="3731D454"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FFFFFF"/>
                <w:kern w:val="2"/>
                <w:sz w:val="18"/>
                <w:szCs w:val="18"/>
                <w:lang w:val="es-ES" w:eastAsia="zh-CN"/>
              </w:rPr>
            </w:pPr>
            <w:r w:rsidRPr="00DC250D">
              <w:rPr>
                <w:rFonts w:ascii="Arial" w:eastAsia="NSimSun" w:hAnsi="Arial" w:cs="Arial"/>
                <w:b/>
                <w:bCs/>
                <w:color w:val="FFFFFF"/>
                <w:kern w:val="2"/>
                <w:sz w:val="18"/>
                <w:szCs w:val="18"/>
                <w:lang w:val="ca" w:eastAsia="zh-CN"/>
              </w:rPr>
              <w:t>Pendent de pagament</w:t>
            </w:r>
          </w:p>
        </w:tc>
      </w:tr>
      <w:tr w:rsidR="00DC250D" w:rsidRPr="00DC250D" w14:paraId="08D2F268" w14:textId="77777777" w:rsidTr="00DC250D">
        <w:tc>
          <w:tcPr>
            <w:tcW w:w="1214" w:type="dxa"/>
            <w:tcBorders>
              <w:bottom w:val="single" w:sz="4" w:space="0" w:color="993333"/>
            </w:tcBorders>
            <w:shd w:val="clear" w:color="auto" w:fill="FFFFFF"/>
            <w:vAlign w:val="center"/>
          </w:tcPr>
          <w:p w14:paraId="05005FB8"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000000"/>
                <w:kern w:val="2"/>
                <w:sz w:val="18"/>
                <w:szCs w:val="18"/>
                <w:lang w:val="es-ES" w:eastAsia="zh-CN"/>
              </w:rPr>
            </w:pPr>
            <w:r w:rsidRPr="00DC250D">
              <w:rPr>
                <w:rFonts w:ascii="Arial" w:eastAsia="NSimSun" w:hAnsi="Arial" w:cs="Arial"/>
                <w:b/>
                <w:bCs/>
                <w:color w:val="000000"/>
                <w:kern w:val="2"/>
                <w:sz w:val="18"/>
                <w:szCs w:val="18"/>
                <w:lang w:val="ca" w:eastAsia="zh-CN"/>
              </w:rPr>
              <w:t>I</w:t>
            </w:r>
          </w:p>
        </w:tc>
        <w:tc>
          <w:tcPr>
            <w:tcW w:w="1161" w:type="dxa"/>
            <w:tcBorders>
              <w:bottom w:val="single" w:sz="4" w:space="0" w:color="993333"/>
            </w:tcBorders>
            <w:shd w:val="clear" w:color="auto" w:fill="FFFFFF"/>
            <w:vAlign w:val="center"/>
          </w:tcPr>
          <w:p w14:paraId="7A64C139" w14:textId="77777777" w:rsidR="00DC250D" w:rsidRPr="00DC250D" w:rsidRDefault="00DC250D" w:rsidP="00DC250D">
            <w:pPr>
              <w:widowControl w:val="0"/>
              <w:suppressAutoHyphens/>
              <w:spacing w:after="0" w:line="276" w:lineRule="auto"/>
              <w:jc w:val="right"/>
              <w:textAlignment w:val="baseline"/>
              <w:rPr>
                <w:rFonts w:ascii="Arial" w:eastAsia="Calibri" w:hAnsi="Arial" w:cs="Arial"/>
                <w:sz w:val="18"/>
                <w:szCs w:val="18"/>
                <w:lang w:val="es-ES"/>
              </w:rPr>
            </w:pPr>
            <w:r w:rsidRPr="00DC250D">
              <w:rPr>
                <w:rFonts w:ascii="Arial" w:eastAsia="NSimSun" w:hAnsi="Arial" w:cs="Arial"/>
                <w:sz w:val="18"/>
                <w:szCs w:val="18"/>
                <w:lang w:val="ca"/>
              </w:rPr>
              <w:t>3.505.480,00</w:t>
            </w:r>
          </w:p>
        </w:tc>
        <w:tc>
          <w:tcPr>
            <w:tcW w:w="1410" w:type="dxa"/>
            <w:tcBorders>
              <w:bottom w:val="single" w:sz="4" w:space="0" w:color="993333"/>
            </w:tcBorders>
            <w:shd w:val="clear" w:color="auto" w:fill="FFFFFF"/>
          </w:tcPr>
          <w:p w14:paraId="0655AE6F" w14:textId="77777777" w:rsidR="00DC250D" w:rsidRPr="00DC250D" w:rsidRDefault="00DC250D" w:rsidP="00DC250D">
            <w:pPr>
              <w:widowControl w:val="0"/>
              <w:suppressAutoHyphens/>
              <w:spacing w:after="0" w:line="276" w:lineRule="auto"/>
              <w:jc w:val="right"/>
              <w:textAlignment w:val="baseline"/>
              <w:rPr>
                <w:rFonts w:ascii="Arial" w:eastAsia="Calibri" w:hAnsi="Arial" w:cs="Arial"/>
                <w:sz w:val="18"/>
                <w:szCs w:val="18"/>
                <w:lang w:val="es-ES"/>
              </w:rPr>
            </w:pPr>
            <w:r w:rsidRPr="00DC250D">
              <w:rPr>
                <w:rFonts w:ascii="Arial" w:eastAsia="NSimSun" w:hAnsi="Arial" w:cs="Arial"/>
                <w:sz w:val="18"/>
                <w:szCs w:val="18"/>
                <w:lang w:val="ca"/>
              </w:rPr>
              <w:t>0,00</w:t>
            </w:r>
          </w:p>
        </w:tc>
        <w:tc>
          <w:tcPr>
            <w:tcW w:w="1232" w:type="dxa"/>
            <w:tcBorders>
              <w:bottom w:val="single" w:sz="4" w:space="0" w:color="993333"/>
            </w:tcBorders>
            <w:shd w:val="clear" w:color="auto" w:fill="FFFFFF"/>
            <w:vAlign w:val="center"/>
          </w:tcPr>
          <w:p w14:paraId="20117C38"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highlight w:val="yellow"/>
                <w:lang w:val="es-ES" w:eastAsia="zh-CN"/>
              </w:rPr>
            </w:pPr>
            <w:r w:rsidRPr="00DC250D">
              <w:rPr>
                <w:rFonts w:ascii="Arial" w:eastAsia="NSimSun" w:hAnsi="Arial" w:cs="Arial"/>
                <w:sz w:val="18"/>
                <w:szCs w:val="18"/>
                <w:lang w:val="ca"/>
              </w:rPr>
              <w:t>3.505.480,00</w:t>
            </w:r>
          </w:p>
        </w:tc>
        <w:tc>
          <w:tcPr>
            <w:tcW w:w="1508" w:type="dxa"/>
            <w:tcBorders>
              <w:bottom w:val="single" w:sz="4" w:space="0" w:color="993333"/>
            </w:tcBorders>
            <w:shd w:val="clear" w:color="auto" w:fill="FFFFFF"/>
            <w:vAlign w:val="center"/>
          </w:tcPr>
          <w:p w14:paraId="59D7240B"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2.677.798,99</w:t>
            </w:r>
          </w:p>
        </w:tc>
        <w:tc>
          <w:tcPr>
            <w:tcW w:w="1509" w:type="dxa"/>
            <w:tcBorders>
              <w:bottom w:val="single" w:sz="4" w:space="0" w:color="993333"/>
            </w:tcBorders>
            <w:shd w:val="clear" w:color="auto" w:fill="FFFFFF"/>
            <w:vAlign w:val="center"/>
          </w:tcPr>
          <w:p w14:paraId="2D8EA093"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76,39</w:t>
            </w:r>
          </w:p>
        </w:tc>
        <w:tc>
          <w:tcPr>
            <w:tcW w:w="1308" w:type="dxa"/>
            <w:tcBorders>
              <w:bottom w:val="single" w:sz="4" w:space="0" w:color="993333"/>
            </w:tcBorders>
            <w:shd w:val="clear" w:color="auto" w:fill="FFFFFF"/>
            <w:vAlign w:val="center"/>
          </w:tcPr>
          <w:p w14:paraId="53B2F46E"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2.642.987,99</w:t>
            </w:r>
          </w:p>
        </w:tc>
        <w:tc>
          <w:tcPr>
            <w:tcW w:w="1524" w:type="dxa"/>
            <w:tcBorders>
              <w:bottom w:val="single" w:sz="4" w:space="0" w:color="993333"/>
            </w:tcBorders>
            <w:shd w:val="clear" w:color="auto" w:fill="FFFFFF"/>
            <w:vAlign w:val="center"/>
          </w:tcPr>
          <w:p w14:paraId="1357EF50"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Preu/ a</w:t>
            </w:r>
          </w:p>
        </w:tc>
        <w:tc>
          <w:tcPr>
            <w:tcW w:w="1230" w:type="dxa"/>
            <w:tcBorders>
              <w:bottom w:val="single" w:sz="4" w:space="0" w:color="993333"/>
            </w:tcBorders>
            <w:shd w:val="clear" w:color="auto" w:fill="FFFFFF"/>
            <w:vAlign w:val="center"/>
          </w:tcPr>
          <w:p w14:paraId="2F849140"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2.642.</w:t>
            </w:r>
            <w:r w:rsidRPr="00DC250D">
              <w:rPr>
                <w:rFonts w:ascii="Arial" w:eastAsia="NSimSun" w:hAnsi="Arial" w:cs="Arial"/>
                <w:kern w:val="2"/>
                <w:sz w:val="18"/>
                <w:szCs w:val="18"/>
                <w:lang w:val="ca" w:eastAsia="zh-CN"/>
              </w:rPr>
              <w:t xml:space="preserve"> Preu</w:t>
            </w:r>
            <w:r w:rsidRPr="00DC250D">
              <w:rPr>
                <w:rFonts w:ascii="Arial" w:eastAsia="NSimSun" w:hAnsi="Arial" w:cs="Arial"/>
                <w:color w:val="000000"/>
                <w:kern w:val="2"/>
                <w:sz w:val="18"/>
                <w:szCs w:val="18"/>
                <w:lang w:val="ca" w:eastAsia="zh-CN"/>
              </w:rPr>
              <w:t>/ a</w:t>
            </w:r>
          </w:p>
        </w:tc>
        <w:tc>
          <w:tcPr>
            <w:tcW w:w="1336" w:type="dxa"/>
            <w:tcBorders>
              <w:bottom w:val="single" w:sz="4" w:space="0" w:color="993333"/>
            </w:tcBorders>
            <w:shd w:val="clear" w:color="auto" w:fill="FFFFFF"/>
            <w:vAlign w:val="center"/>
          </w:tcPr>
          <w:p w14:paraId="0BC51F24"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Preu/ a</w:t>
            </w:r>
          </w:p>
        </w:tc>
        <w:tc>
          <w:tcPr>
            <w:tcW w:w="1095" w:type="dxa"/>
            <w:tcBorders>
              <w:bottom w:val="single" w:sz="4" w:space="0" w:color="993333"/>
            </w:tcBorders>
            <w:shd w:val="clear" w:color="auto" w:fill="FFFFFF"/>
            <w:vAlign w:val="center"/>
          </w:tcPr>
          <w:p w14:paraId="24486838"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465,00</w:t>
            </w:r>
          </w:p>
        </w:tc>
      </w:tr>
      <w:tr w:rsidR="00DC250D" w:rsidRPr="00DC250D" w14:paraId="746704D3" w14:textId="77777777" w:rsidTr="00DC250D">
        <w:trPr>
          <w:trHeight w:val="395"/>
        </w:trPr>
        <w:tc>
          <w:tcPr>
            <w:tcW w:w="1214" w:type="dxa"/>
            <w:tcBorders>
              <w:top w:val="single" w:sz="4" w:space="0" w:color="993333"/>
              <w:bottom w:val="single" w:sz="4" w:space="0" w:color="993333"/>
            </w:tcBorders>
            <w:shd w:val="clear" w:color="auto" w:fill="FFFFFF"/>
            <w:vAlign w:val="center"/>
          </w:tcPr>
          <w:p w14:paraId="1FAA2CE4"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000000"/>
                <w:kern w:val="2"/>
                <w:sz w:val="18"/>
                <w:szCs w:val="18"/>
                <w:lang w:val="es-ES" w:eastAsia="zh-CN"/>
              </w:rPr>
            </w:pPr>
            <w:r w:rsidRPr="00DC250D">
              <w:rPr>
                <w:rFonts w:ascii="Arial" w:eastAsia="NSimSun" w:hAnsi="Arial" w:cs="Arial"/>
                <w:b/>
                <w:bCs/>
                <w:color w:val="000000"/>
                <w:kern w:val="2"/>
                <w:sz w:val="18"/>
                <w:szCs w:val="18"/>
                <w:lang w:val="ca" w:eastAsia="zh-CN"/>
              </w:rPr>
              <w:t>II</w:t>
            </w:r>
          </w:p>
        </w:tc>
        <w:tc>
          <w:tcPr>
            <w:tcW w:w="1161" w:type="dxa"/>
            <w:tcBorders>
              <w:top w:val="single" w:sz="4" w:space="0" w:color="993333"/>
              <w:bottom w:val="single" w:sz="4" w:space="0" w:color="993333"/>
            </w:tcBorders>
            <w:shd w:val="clear" w:color="auto" w:fill="FFFFFF"/>
          </w:tcPr>
          <w:p w14:paraId="5E88E7A4"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704.970,00</w:t>
            </w:r>
          </w:p>
        </w:tc>
        <w:tc>
          <w:tcPr>
            <w:tcW w:w="1410" w:type="dxa"/>
            <w:tcBorders>
              <w:top w:val="single" w:sz="4" w:space="0" w:color="993333"/>
              <w:bottom w:val="single" w:sz="4" w:space="0" w:color="993333"/>
            </w:tcBorders>
            <w:shd w:val="clear" w:color="auto" w:fill="FFFFFF"/>
          </w:tcPr>
          <w:p w14:paraId="452B5CFD"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0,00</w:t>
            </w:r>
          </w:p>
        </w:tc>
        <w:tc>
          <w:tcPr>
            <w:tcW w:w="1232" w:type="dxa"/>
            <w:tcBorders>
              <w:top w:val="single" w:sz="4" w:space="0" w:color="993333"/>
              <w:bottom w:val="single" w:sz="4" w:space="0" w:color="993333"/>
            </w:tcBorders>
            <w:shd w:val="clear" w:color="auto" w:fill="FFFFFF"/>
            <w:vAlign w:val="center"/>
          </w:tcPr>
          <w:p w14:paraId="2B9B2AA8"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704.970,00</w:t>
            </w:r>
          </w:p>
        </w:tc>
        <w:tc>
          <w:tcPr>
            <w:tcW w:w="1508" w:type="dxa"/>
            <w:tcBorders>
              <w:top w:val="single" w:sz="4" w:space="0" w:color="993333"/>
              <w:bottom w:val="single" w:sz="4" w:space="0" w:color="993333"/>
            </w:tcBorders>
            <w:shd w:val="clear" w:color="auto" w:fill="FFFFFF"/>
            <w:vAlign w:val="center"/>
          </w:tcPr>
          <w:p w14:paraId="7AC03336"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411.566,90</w:t>
            </w:r>
          </w:p>
        </w:tc>
        <w:tc>
          <w:tcPr>
            <w:tcW w:w="1509" w:type="dxa"/>
            <w:tcBorders>
              <w:top w:val="single" w:sz="4" w:space="0" w:color="993333"/>
              <w:bottom w:val="single" w:sz="4" w:space="0" w:color="993333"/>
            </w:tcBorders>
            <w:shd w:val="clear" w:color="auto" w:fill="FFFFFF"/>
            <w:vAlign w:val="center"/>
          </w:tcPr>
          <w:p w14:paraId="3A79AA0F"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Preu/ a</w:t>
            </w:r>
          </w:p>
        </w:tc>
        <w:tc>
          <w:tcPr>
            <w:tcW w:w="1308" w:type="dxa"/>
            <w:tcBorders>
              <w:top w:val="single" w:sz="4" w:space="0" w:color="993333"/>
              <w:bottom w:val="single" w:sz="4" w:space="0" w:color="993333"/>
            </w:tcBorders>
            <w:shd w:val="clear" w:color="auto" w:fill="FFFFFF"/>
            <w:vAlign w:val="center"/>
          </w:tcPr>
          <w:p w14:paraId="687DDCA3"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363.647,56</w:t>
            </w:r>
          </w:p>
        </w:tc>
        <w:tc>
          <w:tcPr>
            <w:tcW w:w="1524" w:type="dxa"/>
            <w:tcBorders>
              <w:top w:val="single" w:sz="4" w:space="0" w:color="993333"/>
              <w:bottom w:val="single" w:sz="4" w:space="0" w:color="993333"/>
            </w:tcBorders>
            <w:shd w:val="clear" w:color="auto" w:fill="FFFFFF"/>
            <w:vAlign w:val="center"/>
          </w:tcPr>
          <w:p w14:paraId="3F86353A"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51,58</w:t>
            </w:r>
          </w:p>
        </w:tc>
        <w:tc>
          <w:tcPr>
            <w:tcW w:w="1230" w:type="dxa"/>
            <w:tcBorders>
              <w:top w:val="single" w:sz="4" w:space="0" w:color="993333"/>
              <w:bottom w:val="single" w:sz="4" w:space="0" w:color="993333"/>
            </w:tcBorders>
            <w:shd w:val="clear" w:color="auto" w:fill="FFFFFF"/>
            <w:vAlign w:val="center"/>
          </w:tcPr>
          <w:p w14:paraId="1AB4CE03"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346.573,03</w:t>
            </w:r>
          </w:p>
        </w:tc>
        <w:tc>
          <w:tcPr>
            <w:tcW w:w="1336" w:type="dxa"/>
            <w:tcBorders>
              <w:top w:val="single" w:sz="4" w:space="0" w:color="993333"/>
              <w:bottom w:val="single" w:sz="4" w:space="0" w:color="993333"/>
            </w:tcBorders>
            <w:shd w:val="clear" w:color="auto" w:fill="FFFFFF"/>
            <w:vAlign w:val="center"/>
          </w:tcPr>
          <w:p w14:paraId="254FF7B2"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95,30</w:t>
            </w:r>
          </w:p>
        </w:tc>
        <w:tc>
          <w:tcPr>
            <w:tcW w:w="1095" w:type="dxa"/>
            <w:tcBorders>
              <w:top w:val="single" w:sz="4" w:space="0" w:color="993333"/>
              <w:bottom w:val="single" w:sz="4" w:space="0" w:color="993333"/>
            </w:tcBorders>
            <w:shd w:val="clear" w:color="auto" w:fill="FFFFFF"/>
            <w:vAlign w:val="center"/>
          </w:tcPr>
          <w:p w14:paraId="07DE40C2"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17.074,53</w:t>
            </w:r>
          </w:p>
        </w:tc>
      </w:tr>
      <w:tr w:rsidR="00DC250D" w:rsidRPr="00DC250D" w14:paraId="05F98109" w14:textId="77777777" w:rsidTr="00DC250D">
        <w:trPr>
          <w:trHeight w:val="395"/>
        </w:trPr>
        <w:tc>
          <w:tcPr>
            <w:tcW w:w="1214" w:type="dxa"/>
            <w:tcBorders>
              <w:top w:val="single" w:sz="4" w:space="0" w:color="993333"/>
              <w:bottom w:val="single" w:sz="4" w:space="0" w:color="993333"/>
            </w:tcBorders>
            <w:shd w:val="clear" w:color="auto" w:fill="FFFFFF"/>
            <w:vAlign w:val="center"/>
          </w:tcPr>
          <w:p w14:paraId="2F311541"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color w:val="000000"/>
                <w:kern w:val="2"/>
                <w:sz w:val="18"/>
                <w:szCs w:val="18"/>
                <w:lang w:val="es-ES" w:eastAsia="zh-CN"/>
              </w:rPr>
            </w:pPr>
            <w:r w:rsidRPr="00DC250D">
              <w:rPr>
                <w:rFonts w:ascii="Arial" w:eastAsia="NSimSun" w:hAnsi="Arial" w:cs="Arial"/>
                <w:b/>
                <w:bCs/>
                <w:color w:val="000000"/>
                <w:kern w:val="2"/>
                <w:sz w:val="18"/>
                <w:szCs w:val="18"/>
                <w:lang w:val="ca" w:eastAsia="zh-CN"/>
              </w:rPr>
              <w:t>IV</w:t>
            </w:r>
          </w:p>
        </w:tc>
        <w:tc>
          <w:tcPr>
            <w:tcW w:w="1161" w:type="dxa"/>
            <w:tcBorders>
              <w:top w:val="single" w:sz="4" w:space="0" w:color="993333"/>
              <w:bottom w:val="single" w:sz="4" w:space="0" w:color="993333"/>
            </w:tcBorders>
            <w:shd w:val="clear" w:color="auto" w:fill="FFFFFF"/>
          </w:tcPr>
          <w:p w14:paraId="0909292C"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kern w:val="2"/>
                <w:sz w:val="18"/>
                <w:szCs w:val="18"/>
                <w:lang w:val="ca" w:eastAsia="zh-CN"/>
              </w:rPr>
              <w:t>14.000,00</w:t>
            </w:r>
          </w:p>
        </w:tc>
        <w:tc>
          <w:tcPr>
            <w:tcW w:w="1410" w:type="dxa"/>
            <w:tcBorders>
              <w:top w:val="single" w:sz="4" w:space="0" w:color="993333"/>
              <w:bottom w:val="single" w:sz="4" w:space="0" w:color="993333"/>
            </w:tcBorders>
            <w:shd w:val="clear" w:color="auto" w:fill="FFFFFF"/>
          </w:tcPr>
          <w:p w14:paraId="3F7D2632"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3.787.793,15</w:t>
            </w:r>
          </w:p>
        </w:tc>
        <w:tc>
          <w:tcPr>
            <w:tcW w:w="1232" w:type="dxa"/>
            <w:tcBorders>
              <w:top w:val="single" w:sz="4" w:space="0" w:color="993333"/>
              <w:bottom w:val="single" w:sz="4" w:space="0" w:color="993333"/>
            </w:tcBorders>
            <w:shd w:val="clear" w:color="auto" w:fill="FFFFFF"/>
            <w:vAlign w:val="center"/>
          </w:tcPr>
          <w:p w14:paraId="3F2F2242"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3.801.793,15</w:t>
            </w:r>
          </w:p>
        </w:tc>
        <w:tc>
          <w:tcPr>
            <w:tcW w:w="1508" w:type="dxa"/>
            <w:tcBorders>
              <w:top w:val="single" w:sz="4" w:space="0" w:color="993333"/>
              <w:bottom w:val="single" w:sz="4" w:space="0" w:color="993333"/>
            </w:tcBorders>
            <w:shd w:val="clear" w:color="auto" w:fill="FFFFFF"/>
            <w:vAlign w:val="center"/>
          </w:tcPr>
          <w:p w14:paraId="0E420C81"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3.787.793,15</w:t>
            </w:r>
          </w:p>
        </w:tc>
        <w:tc>
          <w:tcPr>
            <w:tcW w:w="1509" w:type="dxa"/>
            <w:tcBorders>
              <w:top w:val="single" w:sz="4" w:space="0" w:color="993333"/>
              <w:bottom w:val="single" w:sz="4" w:space="0" w:color="993333"/>
            </w:tcBorders>
            <w:shd w:val="clear" w:color="auto" w:fill="FFFFFF"/>
            <w:vAlign w:val="center"/>
          </w:tcPr>
          <w:p w14:paraId="16E67221"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99,63</w:t>
            </w:r>
          </w:p>
        </w:tc>
        <w:tc>
          <w:tcPr>
            <w:tcW w:w="1308" w:type="dxa"/>
            <w:tcBorders>
              <w:top w:val="single" w:sz="4" w:space="0" w:color="993333"/>
              <w:bottom w:val="single" w:sz="4" w:space="0" w:color="993333"/>
            </w:tcBorders>
            <w:shd w:val="clear" w:color="auto" w:fill="FFFFFF"/>
            <w:vAlign w:val="center"/>
          </w:tcPr>
          <w:p w14:paraId="21B5177C"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3.787.793,15</w:t>
            </w:r>
          </w:p>
        </w:tc>
        <w:tc>
          <w:tcPr>
            <w:tcW w:w="1524" w:type="dxa"/>
            <w:tcBorders>
              <w:top w:val="single" w:sz="4" w:space="0" w:color="993333"/>
              <w:bottom w:val="single" w:sz="4" w:space="0" w:color="993333"/>
            </w:tcBorders>
            <w:shd w:val="clear" w:color="auto" w:fill="FFFFFF"/>
            <w:vAlign w:val="center"/>
          </w:tcPr>
          <w:p w14:paraId="3B52AC11"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99,63</w:t>
            </w:r>
          </w:p>
        </w:tc>
        <w:tc>
          <w:tcPr>
            <w:tcW w:w="1230" w:type="dxa"/>
            <w:tcBorders>
              <w:top w:val="single" w:sz="4" w:space="0" w:color="993333"/>
              <w:bottom w:val="single" w:sz="4" w:space="0" w:color="993333"/>
            </w:tcBorders>
            <w:shd w:val="clear" w:color="auto" w:fill="FFFFFF"/>
            <w:vAlign w:val="center"/>
          </w:tcPr>
          <w:p w14:paraId="6D9FCE9B"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3.787.793,15</w:t>
            </w:r>
          </w:p>
        </w:tc>
        <w:tc>
          <w:tcPr>
            <w:tcW w:w="1336" w:type="dxa"/>
            <w:tcBorders>
              <w:top w:val="single" w:sz="4" w:space="0" w:color="993333"/>
              <w:bottom w:val="single" w:sz="4" w:space="0" w:color="993333"/>
            </w:tcBorders>
            <w:shd w:val="clear" w:color="auto" w:fill="FFFFFF"/>
            <w:vAlign w:val="center"/>
          </w:tcPr>
          <w:p w14:paraId="26C6069F"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color w:val="000000"/>
                <w:kern w:val="2"/>
                <w:sz w:val="18"/>
                <w:szCs w:val="18"/>
                <w:lang w:val="es-ES" w:eastAsia="zh-CN"/>
              </w:rPr>
            </w:pPr>
            <w:r w:rsidRPr="00DC250D">
              <w:rPr>
                <w:rFonts w:ascii="Arial" w:eastAsia="NSimSun" w:hAnsi="Arial" w:cs="Arial"/>
                <w:color w:val="000000"/>
                <w:kern w:val="2"/>
                <w:sz w:val="18"/>
                <w:szCs w:val="18"/>
                <w:lang w:val="ca" w:eastAsia="zh-CN"/>
              </w:rPr>
              <w:t>100,00</w:t>
            </w:r>
          </w:p>
        </w:tc>
        <w:tc>
          <w:tcPr>
            <w:tcW w:w="1095" w:type="dxa"/>
            <w:tcBorders>
              <w:top w:val="single" w:sz="4" w:space="0" w:color="993333"/>
              <w:bottom w:val="single" w:sz="4" w:space="0" w:color="993333"/>
            </w:tcBorders>
            <w:shd w:val="clear" w:color="auto" w:fill="FFFFFF"/>
            <w:vAlign w:val="center"/>
          </w:tcPr>
          <w:p w14:paraId="15F8D469"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p>
        </w:tc>
      </w:tr>
      <w:tr w:rsidR="00DC250D" w:rsidRPr="00DC250D" w14:paraId="588E7A65" w14:textId="77777777" w:rsidTr="00DC250D">
        <w:trPr>
          <w:trHeight w:val="676"/>
        </w:trPr>
        <w:tc>
          <w:tcPr>
            <w:tcW w:w="1214" w:type="dxa"/>
            <w:tcBorders>
              <w:top w:val="single" w:sz="4" w:space="0" w:color="993333"/>
              <w:bottom w:val="single" w:sz="4" w:space="0" w:color="993333"/>
            </w:tcBorders>
            <w:shd w:val="clear" w:color="auto" w:fill="E7E6E6"/>
            <w:vAlign w:val="center"/>
          </w:tcPr>
          <w:p w14:paraId="4FD7F549"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TOTAL operacions corrents</w:t>
            </w:r>
          </w:p>
        </w:tc>
        <w:tc>
          <w:tcPr>
            <w:tcW w:w="1161" w:type="dxa"/>
            <w:tcBorders>
              <w:top w:val="single" w:sz="4" w:space="0" w:color="993333"/>
              <w:bottom w:val="single" w:sz="4" w:space="0" w:color="993333"/>
            </w:tcBorders>
            <w:shd w:val="clear" w:color="auto" w:fill="E7E6E6"/>
          </w:tcPr>
          <w:p w14:paraId="2AE9C225"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64C9CA00"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4.224.450,00</w:t>
            </w:r>
          </w:p>
        </w:tc>
        <w:tc>
          <w:tcPr>
            <w:tcW w:w="1410" w:type="dxa"/>
            <w:tcBorders>
              <w:top w:val="single" w:sz="4" w:space="0" w:color="993333"/>
              <w:bottom w:val="single" w:sz="4" w:space="0" w:color="993333"/>
            </w:tcBorders>
            <w:shd w:val="clear" w:color="auto" w:fill="E7E6E6"/>
          </w:tcPr>
          <w:p w14:paraId="2C57438F"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color w:val="000000"/>
                <w:kern w:val="2"/>
                <w:sz w:val="18"/>
                <w:szCs w:val="18"/>
                <w:lang w:val="es-ES" w:eastAsia="zh-CN"/>
              </w:rPr>
            </w:pPr>
          </w:p>
          <w:p w14:paraId="2AC78B75"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color w:val="000000"/>
                <w:kern w:val="2"/>
                <w:sz w:val="18"/>
                <w:szCs w:val="18"/>
                <w:lang w:val="ca" w:eastAsia="zh-CN"/>
              </w:rPr>
              <w:t>3.787.793,15</w:t>
            </w:r>
          </w:p>
        </w:tc>
        <w:tc>
          <w:tcPr>
            <w:tcW w:w="1232" w:type="dxa"/>
            <w:tcBorders>
              <w:top w:val="single" w:sz="4" w:space="0" w:color="993333"/>
              <w:bottom w:val="single" w:sz="4" w:space="0" w:color="993333"/>
            </w:tcBorders>
            <w:shd w:val="clear" w:color="auto" w:fill="E7E6E6"/>
            <w:vAlign w:val="center"/>
          </w:tcPr>
          <w:p w14:paraId="443DDE6C"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8.012.243,15</w:t>
            </w:r>
          </w:p>
        </w:tc>
        <w:tc>
          <w:tcPr>
            <w:tcW w:w="1508" w:type="dxa"/>
            <w:tcBorders>
              <w:top w:val="single" w:sz="4" w:space="0" w:color="993333"/>
              <w:bottom w:val="single" w:sz="4" w:space="0" w:color="993333"/>
            </w:tcBorders>
            <w:shd w:val="clear" w:color="auto" w:fill="E7E6E6"/>
            <w:vAlign w:val="center"/>
          </w:tcPr>
          <w:p w14:paraId="148AA3B0"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Preu/ a</w:t>
            </w:r>
          </w:p>
        </w:tc>
        <w:tc>
          <w:tcPr>
            <w:tcW w:w="1509" w:type="dxa"/>
            <w:tcBorders>
              <w:top w:val="single" w:sz="4" w:space="0" w:color="993333"/>
              <w:bottom w:val="single" w:sz="4" w:space="0" w:color="993333"/>
            </w:tcBorders>
            <w:shd w:val="clear" w:color="auto" w:fill="E7E6E6"/>
            <w:vAlign w:val="center"/>
          </w:tcPr>
          <w:p w14:paraId="25B6513C"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Preu/ a</w:t>
            </w:r>
          </w:p>
        </w:tc>
        <w:tc>
          <w:tcPr>
            <w:tcW w:w="1308" w:type="dxa"/>
            <w:tcBorders>
              <w:top w:val="single" w:sz="4" w:space="0" w:color="993333"/>
              <w:bottom w:val="single" w:sz="4" w:space="0" w:color="993333"/>
            </w:tcBorders>
            <w:shd w:val="clear" w:color="auto" w:fill="E7E6E6"/>
            <w:vAlign w:val="center"/>
          </w:tcPr>
          <w:p w14:paraId="5E572A69"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6.794.428,70</w:t>
            </w:r>
          </w:p>
        </w:tc>
        <w:tc>
          <w:tcPr>
            <w:tcW w:w="1524" w:type="dxa"/>
            <w:tcBorders>
              <w:top w:val="single" w:sz="4" w:space="0" w:color="993333"/>
              <w:bottom w:val="single" w:sz="4" w:space="0" w:color="993333"/>
            </w:tcBorders>
            <w:shd w:val="clear" w:color="auto" w:fill="E7E6E6"/>
            <w:vAlign w:val="center"/>
          </w:tcPr>
          <w:p w14:paraId="5102E026"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Preu/ a</w:t>
            </w:r>
          </w:p>
        </w:tc>
        <w:tc>
          <w:tcPr>
            <w:tcW w:w="1230" w:type="dxa"/>
            <w:tcBorders>
              <w:top w:val="single" w:sz="4" w:space="0" w:color="993333"/>
              <w:bottom w:val="single" w:sz="4" w:space="0" w:color="993333"/>
            </w:tcBorders>
            <w:shd w:val="clear" w:color="auto" w:fill="E7E6E6"/>
            <w:vAlign w:val="center"/>
          </w:tcPr>
          <w:p w14:paraId="765E021F"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Preu/ a</w:t>
            </w:r>
          </w:p>
        </w:tc>
        <w:tc>
          <w:tcPr>
            <w:tcW w:w="1336" w:type="dxa"/>
            <w:tcBorders>
              <w:top w:val="single" w:sz="4" w:space="0" w:color="993333"/>
              <w:bottom w:val="single" w:sz="4" w:space="0" w:color="993333"/>
            </w:tcBorders>
            <w:shd w:val="clear" w:color="auto" w:fill="E7E6E6"/>
            <w:vAlign w:val="center"/>
          </w:tcPr>
          <w:p w14:paraId="0F8443D2"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Preu/ a</w:t>
            </w:r>
          </w:p>
        </w:tc>
        <w:tc>
          <w:tcPr>
            <w:tcW w:w="1095" w:type="dxa"/>
            <w:tcBorders>
              <w:top w:val="single" w:sz="4" w:space="0" w:color="993333"/>
              <w:bottom w:val="single" w:sz="4" w:space="0" w:color="993333"/>
            </w:tcBorders>
            <w:shd w:val="clear" w:color="auto" w:fill="E7E6E6"/>
            <w:vAlign w:val="center"/>
          </w:tcPr>
          <w:p w14:paraId="602A79C6"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17.539,53</w:t>
            </w:r>
          </w:p>
        </w:tc>
      </w:tr>
      <w:tr w:rsidR="00DC250D" w:rsidRPr="00DC250D" w14:paraId="021B6AB6" w14:textId="77777777" w:rsidTr="00DC250D">
        <w:tc>
          <w:tcPr>
            <w:tcW w:w="1214" w:type="dxa"/>
            <w:tcBorders>
              <w:top w:val="single" w:sz="4" w:space="0" w:color="993333"/>
              <w:bottom w:val="single" w:sz="4" w:space="0" w:color="993333"/>
            </w:tcBorders>
            <w:shd w:val="clear" w:color="auto" w:fill="FFFFFF"/>
            <w:vAlign w:val="center"/>
          </w:tcPr>
          <w:p w14:paraId="6CFA49E2"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VI</w:t>
            </w:r>
          </w:p>
        </w:tc>
        <w:tc>
          <w:tcPr>
            <w:tcW w:w="1161" w:type="dxa"/>
            <w:tcBorders>
              <w:top w:val="single" w:sz="4" w:space="0" w:color="993333"/>
              <w:bottom w:val="single" w:sz="4" w:space="0" w:color="993333"/>
            </w:tcBorders>
            <w:shd w:val="clear" w:color="auto" w:fill="auto"/>
          </w:tcPr>
          <w:p w14:paraId="58F15118"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199.890,00</w:t>
            </w:r>
          </w:p>
        </w:tc>
        <w:tc>
          <w:tcPr>
            <w:tcW w:w="1410" w:type="dxa"/>
            <w:tcBorders>
              <w:top w:val="single" w:sz="4" w:space="0" w:color="993333"/>
              <w:bottom w:val="single" w:sz="4" w:space="0" w:color="993333"/>
            </w:tcBorders>
            <w:shd w:val="clear" w:color="auto" w:fill="auto"/>
          </w:tcPr>
          <w:p w14:paraId="3CC0F86F"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0,00</w:t>
            </w:r>
          </w:p>
        </w:tc>
        <w:tc>
          <w:tcPr>
            <w:tcW w:w="1232" w:type="dxa"/>
            <w:tcBorders>
              <w:top w:val="single" w:sz="4" w:space="0" w:color="993333"/>
              <w:bottom w:val="single" w:sz="4" w:space="0" w:color="993333"/>
            </w:tcBorders>
            <w:shd w:val="clear" w:color="auto" w:fill="auto"/>
            <w:vAlign w:val="center"/>
          </w:tcPr>
          <w:p w14:paraId="520797AF"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199.890,00</w:t>
            </w:r>
          </w:p>
        </w:tc>
        <w:tc>
          <w:tcPr>
            <w:tcW w:w="1508" w:type="dxa"/>
            <w:tcBorders>
              <w:top w:val="single" w:sz="4" w:space="0" w:color="993333"/>
              <w:bottom w:val="single" w:sz="4" w:space="0" w:color="993333"/>
            </w:tcBorders>
            <w:shd w:val="clear" w:color="auto" w:fill="auto"/>
            <w:vAlign w:val="center"/>
          </w:tcPr>
          <w:p w14:paraId="0852FADB"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41.253,66</w:t>
            </w:r>
          </w:p>
        </w:tc>
        <w:tc>
          <w:tcPr>
            <w:tcW w:w="1509" w:type="dxa"/>
            <w:tcBorders>
              <w:top w:val="single" w:sz="4" w:space="0" w:color="993333"/>
              <w:bottom w:val="single" w:sz="4" w:space="0" w:color="993333"/>
            </w:tcBorders>
            <w:shd w:val="clear" w:color="auto" w:fill="auto"/>
            <w:vAlign w:val="center"/>
          </w:tcPr>
          <w:p w14:paraId="726E54B5"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20,64</w:t>
            </w:r>
          </w:p>
        </w:tc>
        <w:tc>
          <w:tcPr>
            <w:tcW w:w="1308" w:type="dxa"/>
            <w:tcBorders>
              <w:top w:val="single" w:sz="4" w:space="0" w:color="993333"/>
              <w:bottom w:val="single" w:sz="4" w:space="0" w:color="993333"/>
            </w:tcBorders>
            <w:shd w:val="clear" w:color="auto" w:fill="auto"/>
            <w:vAlign w:val="center"/>
          </w:tcPr>
          <w:p w14:paraId="0DB4A9F4"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22.398,27</w:t>
            </w:r>
          </w:p>
        </w:tc>
        <w:tc>
          <w:tcPr>
            <w:tcW w:w="1524" w:type="dxa"/>
            <w:tcBorders>
              <w:top w:val="single" w:sz="4" w:space="0" w:color="993333"/>
              <w:bottom w:val="single" w:sz="4" w:space="0" w:color="993333"/>
            </w:tcBorders>
            <w:shd w:val="clear" w:color="auto" w:fill="auto"/>
            <w:vAlign w:val="center"/>
          </w:tcPr>
          <w:p w14:paraId="66E8B567"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11,21</w:t>
            </w:r>
          </w:p>
        </w:tc>
        <w:tc>
          <w:tcPr>
            <w:tcW w:w="1230" w:type="dxa"/>
            <w:tcBorders>
              <w:top w:val="single" w:sz="4" w:space="0" w:color="993333"/>
              <w:bottom w:val="single" w:sz="4" w:space="0" w:color="993333"/>
            </w:tcBorders>
            <w:shd w:val="clear" w:color="auto" w:fill="auto"/>
            <w:vAlign w:val="center"/>
          </w:tcPr>
          <w:p w14:paraId="0884205D"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22.398,27</w:t>
            </w:r>
          </w:p>
        </w:tc>
        <w:tc>
          <w:tcPr>
            <w:tcW w:w="1336" w:type="dxa"/>
            <w:tcBorders>
              <w:top w:val="single" w:sz="4" w:space="0" w:color="993333"/>
              <w:bottom w:val="single" w:sz="4" w:space="0" w:color="993333"/>
            </w:tcBorders>
            <w:shd w:val="clear" w:color="auto" w:fill="auto"/>
            <w:vAlign w:val="center"/>
          </w:tcPr>
          <w:p w14:paraId="4FDA517F"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100,00</w:t>
            </w:r>
          </w:p>
        </w:tc>
        <w:tc>
          <w:tcPr>
            <w:tcW w:w="1095" w:type="dxa"/>
            <w:tcBorders>
              <w:top w:val="single" w:sz="4" w:space="0" w:color="993333"/>
              <w:bottom w:val="single" w:sz="4" w:space="0" w:color="993333"/>
            </w:tcBorders>
            <w:shd w:val="clear" w:color="auto" w:fill="auto"/>
            <w:vAlign w:val="center"/>
          </w:tcPr>
          <w:p w14:paraId="05755A72"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tc>
      </w:tr>
      <w:tr w:rsidR="00DC250D" w:rsidRPr="00DC250D" w14:paraId="5DAD84D2" w14:textId="77777777" w:rsidTr="00DC250D">
        <w:tc>
          <w:tcPr>
            <w:tcW w:w="1214" w:type="dxa"/>
            <w:tcBorders>
              <w:top w:val="single" w:sz="4" w:space="0" w:color="993333"/>
              <w:bottom w:val="single" w:sz="4" w:space="0" w:color="993333"/>
            </w:tcBorders>
            <w:shd w:val="clear" w:color="auto" w:fill="FFFFFF"/>
            <w:vAlign w:val="center"/>
          </w:tcPr>
          <w:p w14:paraId="70D96A6F"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TOTAL operacions capital</w:t>
            </w:r>
          </w:p>
        </w:tc>
        <w:tc>
          <w:tcPr>
            <w:tcW w:w="1161" w:type="dxa"/>
            <w:tcBorders>
              <w:top w:val="single" w:sz="4" w:space="0" w:color="993333"/>
              <w:bottom w:val="single" w:sz="4" w:space="0" w:color="993333"/>
            </w:tcBorders>
            <w:shd w:val="clear" w:color="auto" w:fill="auto"/>
          </w:tcPr>
          <w:p w14:paraId="5FD50582"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0A412D43"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199.890,00</w:t>
            </w:r>
          </w:p>
        </w:tc>
        <w:tc>
          <w:tcPr>
            <w:tcW w:w="1410" w:type="dxa"/>
            <w:tcBorders>
              <w:top w:val="single" w:sz="4" w:space="0" w:color="993333"/>
              <w:bottom w:val="single" w:sz="4" w:space="0" w:color="993333"/>
            </w:tcBorders>
            <w:shd w:val="clear" w:color="auto" w:fill="auto"/>
          </w:tcPr>
          <w:p w14:paraId="01721F70"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122CB2BA"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0,00</w:t>
            </w:r>
          </w:p>
        </w:tc>
        <w:tc>
          <w:tcPr>
            <w:tcW w:w="1232" w:type="dxa"/>
            <w:tcBorders>
              <w:top w:val="single" w:sz="4" w:space="0" w:color="993333"/>
              <w:bottom w:val="single" w:sz="4" w:space="0" w:color="993333"/>
            </w:tcBorders>
            <w:shd w:val="clear" w:color="auto" w:fill="auto"/>
          </w:tcPr>
          <w:p w14:paraId="57D15566"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14C60881"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199.890,00</w:t>
            </w:r>
          </w:p>
        </w:tc>
        <w:tc>
          <w:tcPr>
            <w:tcW w:w="1508" w:type="dxa"/>
            <w:tcBorders>
              <w:top w:val="single" w:sz="4" w:space="0" w:color="993333"/>
              <w:bottom w:val="single" w:sz="4" w:space="0" w:color="993333"/>
            </w:tcBorders>
            <w:shd w:val="clear" w:color="auto" w:fill="auto"/>
          </w:tcPr>
          <w:p w14:paraId="0C4101F3"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34F48CE3"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41.253,66</w:t>
            </w:r>
          </w:p>
        </w:tc>
        <w:tc>
          <w:tcPr>
            <w:tcW w:w="1509" w:type="dxa"/>
            <w:tcBorders>
              <w:top w:val="single" w:sz="4" w:space="0" w:color="993333"/>
              <w:bottom w:val="single" w:sz="4" w:space="0" w:color="993333"/>
            </w:tcBorders>
            <w:shd w:val="clear" w:color="auto" w:fill="auto"/>
          </w:tcPr>
          <w:p w14:paraId="24CDB07E"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p>
          <w:p w14:paraId="01F884F4"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20,64</w:t>
            </w:r>
          </w:p>
        </w:tc>
        <w:tc>
          <w:tcPr>
            <w:tcW w:w="1308" w:type="dxa"/>
            <w:tcBorders>
              <w:top w:val="single" w:sz="4" w:space="0" w:color="993333"/>
              <w:bottom w:val="single" w:sz="4" w:space="0" w:color="993333"/>
            </w:tcBorders>
            <w:shd w:val="clear" w:color="auto" w:fill="auto"/>
            <w:vAlign w:val="center"/>
          </w:tcPr>
          <w:p w14:paraId="36113A71"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22.398,27</w:t>
            </w:r>
          </w:p>
        </w:tc>
        <w:tc>
          <w:tcPr>
            <w:tcW w:w="1524" w:type="dxa"/>
            <w:tcBorders>
              <w:top w:val="single" w:sz="4" w:space="0" w:color="993333"/>
              <w:bottom w:val="single" w:sz="4" w:space="0" w:color="993333"/>
            </w:tcBorders>
            <w:shd w:val="clear" w:color="auto" w:fill="auto"/>
          </w:tcPr>
          <w:p w14:paraId="4DFBC490"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p>
          <w:p w14:paraId="4EB0AC0B"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11,21</w:t>
            </w:r>
          </w:p>
        </w:tc>
        <w:tc>
          <w:tcPr>
            <w:tcW w:w="1230" w:type="dxa"/>
            <w:tcBorders>
              <w:top w:val="single" w:sz="4" w:space="0" w:color="993333"/>
              <w:bottom w:val="single" w:sz="4" w:space="0" w:color="993333"/>
            </w:tcBorders>
            <w:shd w:val="clear" w:color="auto" w:fill="auto"/>
          </w:tcPr>
          <w:p w14:paraId="6AC4F2C4"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20A24211"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22.398,27</w:t>
            </w:r>
          </w:p>
        </w:tc>
        <w:tc>
          <w:tcPr>
            <w:tcW w:w="1336" w:type="dxa"/>
            <w:tcBorders>
              <w:top w:val="single" w:sz="4" w:space="0" w:color="993333"/>
              <w:bottom w:val="single" w:sz="4" w:space="0" w:color="993333"/>
            </w:tcBorders>
            <w:shd w:val="clear" w:color="auto" w:fill="auto"/>
          </w:tcPr>
          <w:p w14:paraId="0BCD3935"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p>
          <w:p w14:paraId="5B184E1D"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kern w:val="2"/>
                <w:sz w:val="18"/>
                <w:szCs w:val="18"/>
                <w:lang w:val="es-ES" w:eastAsia="zh-CN"/>
              </w:rPr>
            </w:pPr>
            <w:r w:rsidRPr="00DC250D">
              <w:rPr>
                <w:rFonts w:ascii="Arial" w:eastAsia="NSimSun" w:hAnsi="Arial" w:cs="Arial"/>
                <w:kern w:val="2"/>
                <w:sz w:val="18"/>
                <w:szCs w:val="18"/>
                <w:lang w:val="ca" w:eastAsia="zh-CN"/>
              </w:rPr>
              <w:t>100,00</w:t>
            </w:r>
          </w:p>
        </w:tc>
        <w:tc>
          <w:tcPr>
            <w:tcW w:w="1095" w:type="dxa"/>
            <w:tcBorders>
              <w:top w:val="single" w:sz="4" w:space="0" w:color="993333"/>
              <w:bottom w:val="single" w:sz="4" w:space="0" w:color="993333"/>
            </w:tcBorders>
            <w:shd w:val="clear" w:color="auto" w:fill="auto"/>
          </w:tcPr>
          <w:p w14:paraId="4E79A0A6"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p w14:paraId="2B14F2A6"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kern w:val="2"/>
                <w:sz w:val="18"/>
                <w:szCs w:val="18"/>
                <w:lang w:val="es-ES" w:eastAsia="zh-CN"/>
              </w:rPr>
            </w:pPr>
          </w:p>
        </w:tc>
      </w:tr>
      <w:tr w:rsidR="00DC250D" w:rsidRPr="00DC250D" w14:paraId="2D41FB5E" w14:textId="77777777" w:rsidTr="00DC250D">
        <w:tc>
          <w:tcPr>
            <w:tcW w:w="1214" w:type="dxa"/>
            <w:tcBorders>
              <w:top w:val="single" w:sz="4" w:space="0" w:color="993333"/>
              <w:bottom w:val="single" w:sz="4" w:space="0" w:color="993333"/>
            </w:tcBorders>
            <w:shd w:val="clear" w:color="auto" w:fill="E7E6E6"/>
            <w:vAlign w:val="center"/>
          </w:tcPr>
          <w:p w14:paraId="64CD672B"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TOTAL</w:t>
            </w:r>
          </w:p>
        </w:tc>
        <w:tc>
          <w:tcPr>
            <w:tcW w:w="1161" w:type="dxa"/>
            <w:tcBorders>
              <w:top w:val="single" w:sz="4" w:space="0" w:color="993333"/>
              <w:bottom w:val="single" w:sz="4" w:space="0" w:color="993333"/>
            </w:tcBorders>
            <w:shd w:val="clear" w:color="auto" w:fill="E7E6E6"/>
          </w:tcPr>
          <w:p w14:paraId="36FBD8A1"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4.424.340,00</w:t>
            </w:r>
          </w:p>
        </w:tc>
        <w:tc>
          <w:tcPr>
            <w:tcW w:w="1410" w:type="dxa"/>
            <w:tcBorders>
              <w:top w:val="single" w:sz="4" w:space="0" w:color="993333"/>
              <w:bottom w:val="single" w:sz="4" w:space="0" w:color="993333"/>
            </w:tcBorders>
            <w:shd w:val="clear" w:color="auto" w:fill="E7E6E6"/>
          </w:tcPr>
          <w:p w14:paraId="76B26390"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3.787.793,15</w:t>
            </w:r>
            <w:r w:rsidRPr="00DC250D">
              <w:rPr>
                <w:rFonts w:ascii="Arial" w:eastAsia="NSimSun" w:hAnsi="Arial" w:cs="Arial"/>
                <w:b/>
                <w:bCs/>
                <w:kern w:val="2"/>
                <w:sz w:val="18"/>
                <w:szCs w:val="18"/>
                <w:vertAlign w:val="superscript"/>
                <w:lang w:val="ca" w:eastAsia="zh-CN"/>
              </w:rPr>
              <w:footnoteReference w:customMarkFollows="1" w:id="6"/>
              <w:sym w:font="Symbol" w:char="F02A"/>
            </w:r>
          </w:p>
        </w:tc>
        <w:tc>
          <w:tcPr>
            <w:tcW w:w="1232" w:type="dxa"/>
            <w:tcBorders>
              <w:top w:val="single" w:sz="4" w:space="0" w:color="993333"/>
              <w:bottom w:val="single" w:sz="4" w:space="0" w:color="993333"/>
            </w:tcBorders>
            <w:shd w:val="clear" w:color="auto" w:fill="E7E6E6"/>
            <w:vAlign w:val="center"/>
          </w:tcPr>
          <w:p w14:paraId="34A28BAA" w14:textId="725B5A1F" w:rsidR="00DC250D" w:rsidRPr="00DC250D" w:rsidRDefault="00DC250D" w:rsidP="00DC250D">
            <w:pPr>
              <w:widowControl w:val="0"/>
              <w:suppressAutoHyphens/>
              <w:spacing w:after="0" w:line="276" w:lineRule="auto"/>
              <w:jc w:val="right"/>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8.212.133,15</w:t>
            </w:r>
            <w:r w:rsidRPr="00DC250D">
              <w:rPr>
                <w:rFonts w:ascii="Arial" w:eastAsia="NSimSun" w:hAnsi="Arial" w:cs="Arial"/>
                <w:b/>
                <w:bCs/>
                <w:kern w:val="2"/>
                <w:sz w:val="18"/>
                <w:szCs w:val="18"/>
                <w:vertAlign w:val="superscript"/>
                <w:lang w:val="ca" w:eastAsia="zh-CN"/>
              </w:rPr>
              <w:footnoteReference w:customMarkFollows="1" w:id="7"/>
              <w:sym w:font="Symbol" w:char="F02A"/>
            </w:r>
          </w:p>
        </w:tc>
        <w:tc>
          <w:tcPr>
            <w:tcW w:w="1508" w:type="dxa"/>
            <w:tcBorders>
              <w:top w:val="single" w:sz="4" w:space="0" w:color="993333"/>
              <w:bottom w:val="single" w:sz="4" w:space="0" w:color="993333"/>
            </w:tcBorders>
            <w:shd w:val="clear" w:color="auto" w:fill="E7E6E6"/>
            <w:vAlign w:val="center"/>
          </w:tcPr>
          <w:p w14:paraId="5AD4D871"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6.918.412,70</w:t>
            </w:r>
          </w:p>
        </w:tc>
        <w:tc>
          <w:tcPr>
            <w:tcW w:w="1509" w:type="dxa"/>
            <w:tcBorders>
              <w:top w:val="single" w:sz="4" w:space="0" w:color="993333"/>
              <w:bottom w:val="single" w:sz="4" w:space="0" w:color="993333"/>
            </w:tcBorders>
            <w:shd w:val="clear" w:color="auto" w:fill="E7E6E6"/>
            <w:vAlign w:val="center"/>
          </w:tcPr>
          <w:p w14:paraId="32803F2B"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es-ES" w:eastAsia="zh-CN"/>
              </w:rPr>
              <w:t>84,25</w:t>
            </w:r>
          </w:p>
        </w:tc>
        <w:tc>
          <w:tcPr>
            <w:tcW w:w="1308" w:type="dxa"/>
            <w:tcBorders>
              <w:top w:val="single" w:sz="4" w:space="0" w:color="993333"/>
              <w:bottom w:val="single" w:sz="4" w:space="0" w:color="993333"/>
            </w:tcBorders>
            <w:shd w:val="clear" w:color="auto" w:fill="E7E6E6"/>
            <w:vAlign w:val="center"/>
          </w:tcPr>
          <w:p w14:paraId="7D041F79"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es-ES" w:eastAsia="zh-CN"/>
              </w:rPr>
              <w:t>6.816.826,97</w:t>
            </w:r>
          </w:p>
        </w:tc>
        <w:tc>
          <w:tcPr>
            <w:tcW w:w="1524" w:type="dxa"/>
            <w:tcBorders>
              <w:top w:val="single" w:sz="4" w:space="0" w:color="993333"/>
              <w:bottom w:val="single" w:sz="4" w:space="0" w:color="993333"/>
            </w:tcBorders>
            <w:shd w:val="clear" w:color="auto" w:fill="E7E6E6"/>
            <w:vAlign w:val="center"/>
          </w:tcPr>
          <w:p w14:paraId="22385068"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es-ES" w:eastAsia="zh-CN"/>
              </w:rPr>
              <w:t>83,01</w:t>
            </w:r>
          </w:p>
        </w:tc>
        <w:tc>
          <w:tcPr>
            <w:tcW w:w="1230" w:type="dxa"/>
            <w:tcBorders>
              <w:top w:val="single" w:sz="4" w:space="0" w:color="993333"/>
              <w:bottom w:val="single" w:sz="4" w:space="0" w:color="993333"/>
            </w:tcBorders>
            <w:shd w:val="clear" w:color="auto" w:fill="E7E6E6"/>
            <w:vAlign w:val="center"/>
          </w:tcPr>
          <w:p w14:paraId="65716B8A"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ca" w:eastAsia="zh-CN"/>
              </w:rPr>
              <w:t>6.799.287,44</w:t>
            </w:r>
          </w:p>
        </w:tc>
        <w:tc>
          <w:tcPr>
            <w:tcW w:w="1336" w:type="dxa"/>
            <w:tcBorders>
              <w:top w:val="single" w:sz="4" w:space="0" w:color="993333"/>
              <w:bottom w:val="single" w:sz="4" w:space="0" w:color="993333"/>
            </w:tcBorders>
            <w:shd w:val="clear" w:color="auto" w:fill="E7E6E6"/>
            <w:vAlign w:val="center"/>
          </w:tcPr>
          <w:p w14:paraId="4B376B18" w14:textId="77777777" w:rsidR="00DC250D" w:rsidRPr="00DC250D" w:rsidRDefault="00DC250D" w:rsidP="00DC250D">
            <w:pPr>
              <w:widowControl w:val="0"/>
              <w:suppressAutoHyphens/>
              <w:spacing w:after="0" w:line="276" w:lineRule="auto"/>
              <w:jc w:val="center"/>
              <w:textAlignment w:val="baseline"/>
              <w:rPr>
                <w:rFonts w:ascii="Arial" w:eastAsia="NSimSun" w:hAnsi="Arial" w:cs="Arial"/>
                <w:b/>
                <w:bCs/>
                <w:kern w:val="2"/>
                <w:sz w:val="18"/>
                <w:szCs w:val="18"/>
                <w:lang w:val="es-ES" w:eastAsia="zh-CN"/>
              </w:rPr>
            </w:pPr>
            <w:r w:rsidRPr="00DC250D">
              <w:rPr>
                <w:rFonts w:ascii="Arial" w:eastAsia="NSimSun" w:hAnsi="Arial" w:cs="Arial"/>
                <w:b/>
                <w:bCs/>
                <w:kern w:val="2"/>
                <w:sz w:val="18"/>
                <w:szCs w:val="18"/>
                <w:lang w:val="es-ES" w:eastAsia="zh-CN"/>
              </w:rPr>
              <w:t>99,74</w:t>
            </w:r>
          </w:p>
        </w:tc>
        <w:tc>
          <w:tcPr>
            <w:tcW w:w="1095" w:type="dxa"/>
            <w:tcBorders>
              <w:top w:val="single" w:sz="4" w:space="0" w:color="993333"/>
              <w:bottom w:val="single" w:sz="4" w:space="0" w:color="993333"/>
            </w:tcBorders>
            <w:shd w:val="clear" w:color="auto" w:fill="E7E6E6"/>
            <w:vAlign w:val="center"/>
          </w:tcPr>
          <w:p w14:paraId="28144905" w14:textId="77777777" w:rsidR="00DC250D" w:rsidRPr="00DC250D" w:rsidRDefault="00DC250D" w:rsidP="00DC250D">
            <w:pPr>
              <w:widowControl w:val="0"/>
              <w:suppressAutoHyphens/>
              <w:spacing w:after="0" w:line="276" w:lineRule="auto"/>
              <w:jc w:val="right"/>
              <w:textAlignment w:val="baseline"/>
              <w:rPr>
                <w:rFonts w:ascii="Arial" w:eastAsia="NSimSun" w:hAnsi="Arial" w:cs="Arial"/>
                <w:b/>
                <w:bCs/>
                <w:kern w:val="2"/>
                <w:sz w:val="18"/>
                <w:szCs w:val="18"/>
                <w:lang w:val="es-ES" w:eastAsia="zh-CN"/>
              </w:rPr>
            </w:pPr>
            <w:r w:rsidRPr="00DC250D">
              <w:rPr>
                <w:rFonts w:ascii="Arial" w:eastAsia="NSimSun" w:hAnsi="Arial" w:cs="Arial"/>
                <w:kern w:val="2"/>
                <w:sz w:val="18"/>
                <w:szCs w:val="18"/>
                <w:lang w:val="ca" w:eastAsia="zh-CN"/>
              </w:rPr>
              <w:t>17.539,53</w:t>
            </w:r>
          </w:p>
        </w:tc>
      </w:tr>
    </w:tbl>
    <w:p w14:paraId="02C26971" w14:textId="7753BBD6" w:rsidR="00983AA3" w:rsidRDefault="00983AA3" w:rsidP="00343C17">
      <w:pPr>
        <w:spacing w:after="240" w:line="276" w:lineRule="auto"/>
        <w:jc w:val="both"/>
        <w:rPr>
          <w:rFonts w:ascii="Arial" w:eastAsia="Droid Sans Fallback" w:hAnsi="Arial" w:cs="Arial"/>
          <w:kern w:val="3"/>
          <w:sz w:val="21"/>
          <w:szCs w:val="21"/>
          <w:lang w:eastAsia="zh-CN" w:bidi="hi-IN"/>
        </w:rPr>
      </w:pPr>
    </w:p>
    <w:p w14:paraId="6259EBE4" w14:textId="2EBB7101" w:rsidR="00983AA3" w:rsidRDefault="00983AA3" w:rsidP="00343C17">
      <w:pPr>
        <w:spacing w:after="240" w:line="276" w:lineRule="auto"/>
        <w:jc w:val="both"/>
        <w:rPr>
          <w:rFonts w:ascii="Arial" w:eastAsia="Droid Sans Fallback" w:hAnsi="Arial" w:cs="Arial"/>
          <w:kern w:val="3"/>
          <w:sz w:val="21"/>
          <w:szCs w:val="21"/>
          <w:lang w:eastAsia="zh-CN" w:bidi="hi-IN"/>
        </w:rPr>
      </w:pPr>
    </w:p>
    <w:p w14:paraId="3449F536" w14:textId="77777777" w:rsidR="009E4657" w:rsidRPr="009E4657" w:rsidRDefault="009E4657" w:rsidP="009E4657">
      <w:pPr>
        <w:keepLines/>
        <w:spacing w:after="0" w:line="240" w:lineRule="auto"/>
        <w:jc w:val="both"/>
        <w:rPr>
          <w:rFonts w:ascii="Arial" w:eastAsia="Times New Roman" w:hAnsi="Arial" w:cs="Arial"/>
          <w:b/>
          <w:bCs/>
          <w:color w:val="FFFFFF"/>
          <w:sz w:val="21"/>
          <w:szCs w:val="21"/>
          <w:lang w:val="es-ES" w:eastAsia="es-ES"/>
        </w:rPr>
      </w:pPr>
    </w:p>
    <w:p w14:paraId="1450F8E7" w14:textId="77777777" w:rsidR="009E4657" w:rsidRPr="009E4657" w:rsidRDefault="009E4657" w:rsidP="009E4657">
      <w:pPr>
        <w:rPr>
          <w:rFonts w:ascii="Arial" w:eastAsia="Times New Roman" w:hAnsi="Arial" w:cs="Arial"/>
          <w:sz w:val="21"/>
          <w:szCs w:val="21"/>
          <w:highlight w:val="yellow"/>
          <w:lang w:val="es-ES"/>
        </w:rPr>
      </w:pPr>
    </w:p>
    <w:p w14:paraId="382054B7" w14:textId="72BB37D0" w:rsidR="009E4657" w:rsidRPr="009E4657" w:rsidRDefault="009E4657" w:rsidP="009E4657">
      <w:pPr>
        <w:pStyle w:val="Descripcin"/>
        <w:keepNext/>
        <w:jc w:val="center"/>
        <w:rPr>
          <w:rFonts w:ascii="Arial" w:hAnsi="Arial" w:cs="Arial"/>
          <w:smallCaps w:val="0"/>
          <w:sz w:val="18"/>
          <w:szCs w:val="18"/>
        </w:rPr>
      </w:pPr>
      <w:bookmarkStart w:id="502" w:name="_Toc99110883"/>
      <w:r w:rsidRPr="009E4657">
        <w:rPr>
          <w:rFonts w:ascii="Arial" w:hAnsi="Arial" w:cs="Arial"/>
          <w:smallCaps w:val="0"/>
          <w:color w:val="9D2235" w:themeColor="accent1"/>
          <w:sz w:val="18"/>
          <w:szCs w:val="18"/>
        </w:rPr>
        <w:t xml:space="preserve">Taula </w:t>
      </w:r>
      <w:r w:rsidRPr="009E4657">
        <w:rPr>
          <w:rFonts w:ascii="Arial" w:hAnsi="Arial" w:cs="Arial"/>
          <w:smallCaps w:val="0"/>
          <w:color w:val="9D2235" w:themeColor="accent1"/>
          <w:sz w:val="18"/>
          <w:szCs w:val="18"/>
        </w:rPr>
        <w:fldChar w:fldCharType="begin" w:fldLock="1"/>
      </w:r>
      <w:r w:rsidRPr="009E4657">
        <w:rPr>
          <w:rFonts w:ascii="Arial" w:hAnsi="Arial" w:cs="Arial"/>
          <w:smallCaps w:val="0"/>
          <w:color w:val="9D2235" w:themeColor="accent1"/>
          <w:sz w:val="18"/>
          <w:szCs w:val="18"/>
        </w:rPr>
        <w:instrText xml:space="preserve"> SEQ Taula \* ARABIC </w:instrText>
      </w:r>
      <w:r w:rsidRPr="009E4657">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38</w:t>
      </w:r>
      <w:r w:rsidRPr="009E4657">
        <w:rPr>
          <w:rFonts w:ascii="Arial" w:hAnsi="Arial" w:cs="Arial"/>
          <w:smallCaps w:val="0"/>
          <w:color w:val="9D2235" w:themeColor="accent1"/>
          <w:sz w:val="18"/>
          <w:szCs w:val="18"/>
        </w:rPr>
        <w:fldChar w:fldCharType="end"/>
      </w:r>
      <w:r w:rsidRPr="009E4657">
        <w:rPr>
          <w:rFonts w:ascii="Arial" w:hAnsi="Arial" w:cs="Arial"/>
          <w:smallCaps w:val="0"/>
          <w:color w:val="9D2235" w:themeColor="accent1"/>
          <w:sz w:val="18"/>
          <w:szCs w:val="18"/>
        </w:rPr>
        <w:t xml:space="preserve">. </w:t>
      </w:r>
      <w:r w:rsidRPr="009E4657">
        <w:rPr>
          <w:rFonts w:ascii="Arial" w:hAnsi="Arial" w:cs="Arial"/>
          <w:smallCaps w:val="0"/>
          <w:sz w:val="18"/>
          <w:szCs w:val="18"/>
        </w:rPr>
        <w:t>Comparativa de l'estat d'execució de despeses a 31 de desembre dels exercicis 2020 i 2021</w:t>
      </w:r>
      <w:bookmarkEnd w:id="502"/>
    </w:p>
    <w:tbl>
      <w:tblPr>
        <w:tblpPr w:leftFromText="142" w:rightFromText="142" w:vertAnchor="page" w:horzAnchor="page" w:tblpXSpec="center" w:tblpY="1696"/>
        <w:tblOverlap w:val="never"/>
        <w:tblW w:w="16297" w:type="dxa"/>
        <w:jc w:val="center"/>
        <w:tblLayout w:type="fixed"/>
        <w:tblCellMar>
          <w:left w:w="70" w:type="dxa"/>
          <w:right w:w="70" w:type="dxa"/>
        </w:tblCellMar>
        <w:tblLook w:val="04A0" w:firstRow="1" w:lastRow="0" w:firstColumn="1" w:lastColumn="0" w:noHBand="0" w:noVBand="1"/>
      </w:tblPr>
      <w:tblGrid>
        <w:gridCol w:w="704"/>
        <w:gridCol w:w="1276"/>
        <w:gridCol w:w="1134"/>
        <w:gridCol w:w="1417"/>
        <w:gridCol w:w="1134"/>
        <w:gridCol w:w="1276"/>
        <w:gridCol w:w="1276"/>
        <w:gridCol w:w="1417"/>
        <w:gridCol w:w="1701"/>
        <w:gridCol w:w="851"/>
        <w:gridCol w:w="567"/>
        <w:gridCol w:w="709"/>
        <w:gridCol w:w="708"/>
        <w:gridCol w:w="709"/>
        <w:gridCol w:w="709"/>
        <w:gridCol w:w="709"/>
      </w:tblGrid>
      <w:tr w:rsidR="009E4657" w:rsidRPr="009E4657" w14:paraId="60909C3A" w14:textId="77777777" w:rsidTr="00271465">
        <w:trPr>
          <w:trHeight w:val="468"/>
          <w:jc w:val="center"/>
        </w:trPr>
        <w:tc>
          <w:tcPr>
            <w:tcW w:w="704" w:type="dxa"/>
            <w:vMerge w:val="restart"/>
            <w:tcBorders>
              <w:top w:val="single" w:sz="4" w:space="0" w:color="000000"/>
              <w:left w:val="single" w:sz="4" w:space="0" w:color="000000"/>
              <w:right w:val="nil"/>
            </w:tcBorders>
            <w:shd w:val="clear" w:color="auto" w:fill="9D2235"/>
            <w:vAlign w:val="center"/>
            <w:hideMark/>
          </w:tcPr>
          <w:p w14:paraId="0169790F"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CAPÍT.</w:t>
            </w:r>
          </w:p>
        </w:tc>
        <w:tc>
          <w:tcPr>
            <w:tcW w:w="4961" w:type="dxa"/>
            <w:gridSpan w:val="4"/>
            <w:vMerge w:val="restart"/>
            <w:tcBorders>
              <w:top w:val="single" w:sz="4" w:space="0" w:color="auto"/>
              <w:left w:val="single" w:sz="4" w:space="0" w:color="auto"/>
              <w:right w:val="single" w:sz="4" w:space="0" w:color="auto"/>
            </w:tcBorders>
            <w:shd w:val="clear" w:color="auto" w:fill="9D2235"/>
            <w:vAlign w:val="center"/>
            <w:hideMark/>
          </w:tcPr>
          <w:p w14:paraId="4655DE56"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2020</w:t>
            </w:r>
          </w:p>
        </w:tc>
        <w:tc>
          <w:tcPr>
            <w:tcW w:w="5670" w:type="dxa"/>
            <w:gridSpan w:val="4"/>
            <w:vMerge w:val="restart"/>
            <w:tcBorders>
              <w:top w:val="single" w:sz="4" w:space="0" w:color="auto"/>
              <w:left w:val="single" w:sz="4" w:space="0" w:color="auto"/>
              <w:right w:val="single" w:sz="4" w:space="0" w:color="auto"/>
            </w:tcBorders>
            <w:shd w:val="clear" w:color="auto" w:fill="9D2235"/>
            <w:noWrap/>
            <w:vAlign w:val="center"/>
            <w:hideMark/>
          </w:tcPr>
          <w:p w14:paraId="673F5153"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2021</w:t>
            </w:r>
          </w:p>
        </w:tc>
        <w:tc>
          <w:tcPr>
            <w:tcW w:w="2835" w:type="dxa"/>
            <w:gridSpan w:val="4"/>
            <w:tcBorders>
              <w:top w:val="single" w:sz="4" w:space="0" w:color="auto"/>
              <w:left w:val="nil"/>
              <w:bottom w:val="single" w:sz="4" w:space="0" w:color="auto"/>
              <w:right w:val="single" w:sz="4" w:space="0" w:color="auto"/>
            </w:tcBorders>
            <w:shd w:val="clear" w:color="auto" w:fill="9D2235"/>
            <w:vAlign w:val="center"/>
            <w:hideMark/>
          </w:tcPr>
          <w:p w14:paraId="031FB86B"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 DE REALITZACIÓ</w:t>
            </w:r>
          </w:p>
        </w:tc>
        <w:tc>
          <w:tcPr>
            <w:tcW w:w="2127" w:type="dxa"/>
            <w:gridSpan w:val="3"/>
            <w:tcBorders>
              <w:top w:val="single" w:sz="4" w:space="0" w:color="auto"/>
              <w:left w:val="nil"/>
              <w:right w:val="single" w:sz="4" w:space="0" w:color="auto"/>
            </w:tcBorders>
            <w:shd w:val="clear" w:color="auto" w:fill="9D2235"/>
            <w:vAlign w:val="center"/>
          </w:tcPr>
          <w:p w14:paraId="72F29D7C"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TAXES DE VARIACIÓ</w:t>
            </w:r>
          </w:p>
        </w:tc>
      </w:tr>
      <w:tr w:rsidR="009E4657" w:rsidRPr="009E4657" w14:paraId="70F2DB4D" w14:textId="77777777" w:rsidTr="00271465">
        <w:trPr>
          <w:trHeight w:val="467"/>
          <w:jc w:val="center"/>
        </w:trPr>
        <w:tc>
          <w:tcPr>
            <w:tcW w:w="704" w:type="dxa"/>
            <w:vMerge/>
            <w:tcBorders>
              <w:left w:val="single" w:sz="4" w:space="0" w:color="000000"/>
              <w:right w:val="nil"/>
            </w:tcBorders>
            <w:shd w:val="clear" w:color="auto" w:fill="9D2235"/>
            <w:vAlign w:val="center"/>
          </w:tcPr>
          <w:p w14:paraId="26C6497E"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p>
        </w:tc>
        <w:tc>
          <w:tcPr>
            <w:tcW w:w="4961" w:type="dxa"/>
            <w:gridSpan w:val="4"/>
            <w:vMerge/>
            <w:tcBorders>
              <w:left w:val="single" w:sz="4" w:space="0" w:color="auto"/>
              <w:bottom w:val="single" w:sz="4" w:space="0" w:color="auto"/>
              <w:right w:val="single" w:sz="4" w:space="0" w:color="auto"/>
            </w:tcBorders>
            <w:shd w:val="clear" w:color="auto" w:fill="9D2235"/>
            <w:vAlign w:val="center"/>
          </w:tcPr>
          <w:p w14:paraId="1FFE3A3F"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p>
        </w:tc>
        <w:tc>
          <w:tcPr>
            <w:tcW w:w="5670" w:type="dxa"/>
            <w:gridSpan w:val="4"/>
            <w:vMerge/>
            <w:tcBorders>
              <w:left w:val="single" w:sz="4" w:space="0" w:color="auto"/>
              <w:bottom w:val="single" w:sz="4" w:space="0" w:color="auto"/>
              <w:right w:val="single" w:sz="4" w:space="0" w:color="auto"/>
            </w:tcBorders>
            <w:shd w:val="clear" w:color="auto" w:fill="9D2235"/>
            <w:noWrap/>
            <w:vAlign w:val="center"/>
          </w:tcPr>
          <w:p w14:paraId="770D43B2"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p>
        </w:tc>
        <w:tc>
          <w:tcPr>
            <w:tcW w:w="1418" w:type="dxa"/>
            <w:gridSpan w:val="2"/>
            <w:tcBorders>
              <w:top w:val="single" w:sz="4" w:space="0" w:color="auto"/>
              <w:left w:val="nil"/>
              <w:bottom w:val="single" w:sz="4" w:space="0" w:color="auto"/>
              <w:right w:val="single" w:sz="4" w:space="0" w:color="auto"/>
            </w:tcBorders>
            <w:shd w:val="clear" w:color="auto" w:fill="9D2235"/>
            <w:vAlign w:val="center"/>
          </w:tcPr>
          <w:p w14:paraId="52EB0870"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2020</w:t>
            </w:r>
          </w:p>
        </w:tc>
        <w:tc>
          <w:tcPr>
            <w:tcW w:w="1417" w:type="dxa"/>
            <w:gridSpan w:val="2"/>
            <w:tcBorders>
              <w:top w:val="single" w:sz="4" w:space="0" w:color="auto"/>
              <w:left w:val="nil"/>
              <w:bottom w:val="single" w:sz="4" w:space="0" w:color="auto"/>
              <w:right w:val="single" w:sz="4" w:space="0" w:color="auto"/>
            </w:tcBorders>
            <w:shd w:val="clear" w:color="auto" w:fill="9D2235"/>
            <w:vAlign w:val="center"/>
          </w:tcPr>
          <w:p w14:paraId="1DAF856F"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2021</w:t>
            </w:r>
          </w:p>
        </w:tc>
        <w:tc>
          <w:tcPr>
            <w:tcW w:w="2127" w:type="dxa"/>
            <w:gridSpan w:val="3"/>
            <w:tcBorders>
              <w:left w:val="nil"/>
              <w:bottom w:val="single" w:sz="4" w:space="0" w:color="auto"/>
              <w:right w:val="single" w:sz="4" w:space="0" w:color="auto"/>
            </w:tcBorders>
            <w:shd w:val="clear" w:color="auto" w:fill="9D2235"/>
            <w:vAlign w:val="center"/>
          </w:tcPr>
          <w:p w14:paraId="719EB782" w14:textId="77777777" w:rsidR="009E4657" w:rsidRPr="009E4657" w:rsidRDefault="009E4657" w:rsidP="009E4657">
            <w:pPr>
              <w:spacing w:after="0" w:line="240" w:lineRule="auto"/>
              <w:rPr>
                <w:rFonts w:ascii="Arial" w:eastAsia="Times New Roman" w:hAnsi="Arial" w:cs="Arial"/>
                <w:b/>
                <w:bCs/>
                <w:color w:val="FFFFFF"/>
                <w:sz w:val="16"/>
                <w:szCs w:val="16"/>
                <w:lang w:val="es-ES" w:eastAsia="es-ES"/>
              </w:rPr>
            </w:pPr>
          </w:p>
        </w:tc>
      </w:tr>
      <w:tr w:rsidR="009E4657" w:rsidRPr="009E4657" w14:paraId="4B863E46" w14:textId="77777777" w:rsidTr="00271465">
        <w:trPr>
          <w:trHeight w:val="1035"/>
          <w:jc w:val="center"/>
        </w:trPr>
        <w:tc>
          <w:tcPr>
            <w:tcW w:w="704" w:type="dxa"/>
            <w:vMerge/>
            <w:tcBorders>
              <w:left w:val="single" w:sz="4" w:space="0" w:color="000000"/>
              <w:bottom w:val="single" w:sz="4" w:space="0" w:color="000000"/>
              <w:right w:val="nil"/>
            </w:tcBorders>
            <w:shd w:val="clear" w:color="auto" w:fill="9D2235"/>
            <w:vAlign w:val="center"/>
            <w:hideMark/>
          </w:tcPr>
          <w:p w14:paraId="2FD41A86" w14:textId="77777777" w:rsidR="009E4657" w:rsidRPr="009E4657" w:rsidRDefault="009E4657" w:rsidP="009E4657">
            <w:pPr>
              <w:spacing w:after="0" w:line="240" w:lineRule="auto"/>
              <w:rPr>
                <w:rFonts w:ascii="Arial" w:eastAsia="Times New Roman" w:hAnsi="Arial" w:cs="Arial"/>
                <w:b/>
                <w:bCs/>
                <w:color w:val="FFFFFF"/>
                <w:sz w:val="16"/>
                <w:szCs w:val="16"/>
                <w:lang w:val="es-ES" w:eastAsia="es-ES"/>
              </w:rPr>
            </w:pPr>
          </w:p>
        </w:tc>
        <w:tc>
          <w:tcPr>
            <w:tcW w:w="1276" w:type="dxa"/>
            <w:tcBorders>
              <w:top w:val="nil"/>
              <w:left w:val="single" w:sz="4" w:space="0" w:color="auto"/>
              <w:bottom w:val="single" w:sz="4" w:space="0" w:color="auto"/>
              <w:right w:val="single" w:sz="4" w:space="0" w:color="auto"/>
            </w:tcBorders>
            <w:shd w:val="clear" w:color="auto" w:fill="9D2235"/>
            <w:vAlign w:val="center"/>
            <w:hideMark/>
          </w:tcPr>
          <w:p w14:paraId="770A62C3" w14:textId="77777777" w:rsidR="009E4657" w:rsidRPr="009E4657" w:rsidRDefault="009E4657" w:rsidP="009E4657">
            <w:pPr>
              <w:spacing w:after="0" w:line="240" w:lineRule="auto"/>
              <w:ind w:left="201" w:hanging="201"/>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CRÈDITS</w:t>
            </w:r>
          </w:p>
          <w:p w14:paraId="647BDC1B" w14:textId="77777777" w:rsidR="009E4657" w:rsidRPr="009E4657" w:rsidRDefault="009E4657" w:rsidP="009E4657">
            <w:pPr>
              <w:spacing w:after="0" w:line="240" w:lineRule="auto"/>
              <w:ind w:left="201" w:hanging="201"/>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DEFINI-</w:t>
            </w:r>
          </w:p>
          <w:p w14:paraId="7EB7EF04" w14:textId="77777777" w:rsidR="009E4657" w:rsidRPr="009E4657" w:rsidRDefault="009E4657" w:rsidP="009E4657">
            <w:pPr>
              <w:spacing w:after="0" w:line="240" w:lineRule="auto"/>
              <w:ind w:left="201" w:hanging="201"/>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TIUS</w:t>
            </w:r>
          </w:p>
          <w:p w14:paraId="71596C47" w14:textId="77777777" w:rsidR="009E4657" w:rsidRPr="009E4657" w:rsidRDefault="009E4657" w:rsidP="009E4657">
            <w:pPr>
              <w:spacing w:after="0" w:line="240" w:lineRule="auto"/>
              <w:ind w:left="201" w:hanging="201"/>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(1)</w:t>
            </w:r>
          </w:p>
        </w:tc>
        <w:tc>
          <w:tcPr>
            <w:tcW w:w="1134" w:type="dxa"/>
            <w:tcBorders>
              <w:top w:val="nil"/>
              <w:left w:val="nil"/>
              <w:bottom w:val="single" w:sz="4" w:space="0" w:color="auto"/>
              <w:right w:val="single" w:sz="4" w:space="0" w:color="auto"/>
            </w:tcBorders>
            <w:shd w:val="clear" w:color="auto" w:fill="9D2235"/>
            <w:vAlign w:val="center"/>
            <w:hideMark/>
          </w:tcPr>
          <w:p w14:paraId="0E9BDB81"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DESPESES COMPROME-TIDOS( 2)</w:t>
            </w:r>
          </w:p>
        </w:tc>
        <w:tc>
          <w:tcPr>
            <w:tcW w:w="1417" w:type="dxa"/>
            <w:tcBorders>
              <w:top w:val="nil"/>
              <w:left w:val="nil"/>
              <w:bottom w:val="single" w:sz="4" w:space="0" w:color="auto"/>
              <w:right w:val="single" w:sz="4" w:space="0" w:color="auto"/>
            </w:tcBorders>
            <w:shd w:val="clear" w:color="auto" w:fill="9D2235"/>
            <w:vAlign w:val="center"/>
            <w:hideMark/>
          </w:tcPr>
          <w:p w14:paraId="0C409326"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OBLIGACIONS RECONEGUDES NETES( 3)</w:t>
            </w:r>
          </w:p>
        </w:tc>
        <w:tc>
          <w:tcPr>
            <w:tcW w:w="1134" w:type="dxa"/>
            <w:tcBorders>
              <w:top w:val="nil"/>
              <w:left w:val="nil"/>
              <w:bottom w:val="single" w:sz="4" w:space="0" w:color="auto"/>
              <w:right w:val="single" w:sz="4" w:space="0" w:color="auto"/>
            </w:tcBorders>
            <w:shd w:val="clear" w:color="auto" w:fill="9D2235"/>
            <w:vAlign w:val="center"/>
            <w:hideMark/>
          </w:tcPr>
          <w:p w14:paraId="2459BD86"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PAGAMENTS REALI-</w:t>
            </w:r>
          </w:p>
          <w:p w14:paraId="21C8714F"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ZADOS( 4)</w:t>
            </w:r>
          </w:p>
        </w:tc>
        <w:tc>
          <w:tcPr>
            <w:tcW w:w="1276" w:type="dxa"/>
            <w:tcBorders>
              <w:top w:val="nil"/>
              <w:left w:val="nil"/>
              <w:bottom w:val="single" w:sz="4" w:space="0" w:color="000000"/>
              <w:right w:val="single" w:sz="4" w:space="0" w:color="000000"/>
            </w:tcBorders>
            <w:shd w:val="clear" w:color="auto" w:fill="9D2235"/>
            <w:vAlign w:val="center"/>
            <w:hideMark/>
          </w:tcPr>
          <w:p w14:paraId="21AF9CF2"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CRÈDITS DEFINITIUS( 5)</w:t>
            </w:r>
          </w:p>
        </w:tc>
        <w:tc>
          <w:tcPr>
            <w:tcW w:w="1276" w:type="dxa"/>
            <w:tcBorders>
              <w:top w:val="nil"/>
              <w:left w:val="nil"/>
              <w:bottom w:val="single" w:sz="4" w:space="0" w:color="000000"/>
              <w:right w:val="single" w:sz="4" w:space="0" w:color="000000"/>
            </w:tcBorders>
            <w:shd w:val="clear" w:color="auto" w:fill="9D2235"/>
            <w:vAlign w:val="center"/>
            <w:hideMark/>
          </w:tcPr>
          <w:p w14:paraId="6924C10F"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DESPESES COMPROME-</w:t>
            </w:r>
          </w:p>
          <w:p w14:paraId="420F51CA"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TIDOS( 6)</w:t>
            </w:r>
          </w:p>
        </w:tc>
        <w:tc>
          <w:tcPr>
            <w:tcW w:w="1417" w:type="dxa"/>
            <w:tcBorders>
              <w:top w:val="nil"/>
              <w:left w:val="nil"/>
              <w:bottom w:val="single" w:sz="4" w:space="0" w:color="000000"/>
              <w:right w:val="single" w:sz="4" w:space="0" w:color="000000"/>
            </w:tcBorders>
            <w:shd w:val="clear" w:color="auto" w:fill="9D2235"/>
            <w:vAlign w:val="center"/>
            <w:hideMark/>
          </w:tcPr>
          <w:p w14:paraId="60C17717"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OBLIGACIONS RECONEGUDES NETES( 7)</w:t>
            </w:r>
          </w:p>
        </w:tc>
        <w:tc>
          <w:tcPr>
            <w:tcW w:w="1701" w:type="dxa"/>
            <w:tcBorders>
              <w:top w:val="nil"/>
              <w:left w:val="nil"/>
              <w:bottom w:val="single" w:sz="4" w:space="0" w:color="000000"/>
              <w:right w:val="single" w:sz="4" w:space="0" w:color="000000"/>
            </w:tcBorders>
            <w:shd w:val="clear" w:color="auto" w:fill="9D2235"/>
            <w:vAlign w:val="center"/>
            <w:hideMark/>
          </w:tcPr>
          <w:p w14:paraId="79029CD8"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 xml:space="preserve">PAGAMENTS </w:t>
            </w:r>
          </w:p>
          <w:p w14:paraId="74481575"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REALI-</w:t>
            </w:r>
          </w:p>
          <w:p w14:paraId="0C6C279D"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ZADOS( 8)</w:t>
            </w:r>
          </w:p>
        </w:tc>
        <w:tc>
          <w:tcPr>
            <w:tcW w:w="851" w:type="dxa"/>
            <w:tcBorders>
              <w:top w:val="single" w:sz="4" w:space="0" w:color="auto"/>
              <w:left w:val="nil"/>
              <w:bottom w:val="single" w:sz="4" w:space="0" w:color="000000"/>
              <w:right w:val="single" w:sz="4" w:space="0" w:color="000000"/>
            </w:tcBorders>
            <w:shd w:val="clear" w:color="auto" w:fill="9D2235"/>
            <w:vAlign w:val="center"/>
            <w:hideMark/>
          </w:tcPr>
          <w:p w14:paraId="2C385A20"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3/1</w:t>
            </w:r>
          </w:p>
        </w:tc>
        <w:tc>
          <w:tcPr>
            <w:tcW w:w="567" w:type="dxa"/>
            <w:tcBorders>
              <w:top w:val="single" w:sz="4" w:space="0" w:color="auto"/>
              <w:left w:val="nil"/>
              <w:bottom w:val="single" w:sz="4" w:space="0" w:color="000000"/>
              <w:right w:val="single" w:sz="4" w:space="0" w:color="000000"/>
            </w:tcBorders>
            <w:shd w:val="clear" w:color="auto" w:fill="9D2235"/>
            <w:vAlign w:val="center"/>
            <w:hideMark/>
          </w:tcPr>
          <w:p w14:paraId="08E637EC"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4/3</w:t>
            </w:r>
          </w:p>
        </w:tc>
        <w:tc>
          <w:tcPr>
            <w:tcW w:w="709" w:type="dxa"/>
            <w:tcBorders>
              <w:top w:val="single" w:sz="4" w:space="0" w:color="auto"/>
              <w:left w:val="nil"/>
              <w:bottom w:val="single" w:sz="4" w:space="0" w:color="000000"/>
              <w:right w:val="single" w:sz="4" w:space="0" w:color="000000"/>
            </w:tcBorders>
            <w:shd w:val="clear" w:color="auto" w:fill="9D2235"/>
            <w:vAlign w:val="center"/>
          </w:tcPr>
          <w:p w14:paraId="02FC185A"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7/5</w:t>
            </w:r>
          </w:p>
        </w:tc>
        <w:tc>
          <w:tcPr>
            <w:tcW w:w="708" w:type="dxa"/>
            <w:tcBorders>
              <w:top w:val="single" w:sz="4" w:space="0" w:color="auto"/>
              <w:left w:val="nil"/>
              <w:bottom w:val="single" w:sz="4" w:space="0" w:color="000000"/>
              <w:right w:val="single" w:sz="4" w:space="0" w:color="000000"/>
            </w:tcBorders>
            <w:shd w:val="clear" w:color="auto" w:fill="9D2235"/>
            <w:vAlign w:val="center"/>
            <w:hideMark/>
          </w:tcPr>
          <w:p w14:paraId="1C3EF057"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8/7</w:t>
            </w:r>
          </w:p>
        </w:tc>
        <w:tc>
          <w:tcPr>
            <w:tcW w:w="709" w:type="dxa"/>
            <w:tcBorders>
              <w:top w:val="single" w:sz="4" w:space="0" w:color="auto"/>
              <w:left w:val="nil"/>
              <w:bottom w:val="single" w:sz="4" w:space="0" w:color="000000"/>
              <w:right w:val="single" w:sz="4" w:space="0" w:color="000000"/>
            </w:tcBorders>
            <w:shd w:val="clear" w:color="auto" w:fill="9D2235"/>
            <w:vAlign w:val="center"/>
            <w:hideMark/>
          </w:tcPr>
          <w:p w14:paraId="35970390"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5/1</w:t>
            </w:r>
          </w:p>
        </w:tc>
        <w:tc>
          <w:tcPr>
            <w:tcW w:w="709" w:type="dxa"/>
            <w:tcBorders>
              <w:top w:val="single" w:sz="4" w:space="0" w:color="auto"/>
              <w:left w:val="nil"/>
              <w:bottom w:val="single" w:sz="4" w:space="0" w:color="000000"/>
              <w:right w:val="single" w:sz="4" w:space="0" w:color="000000"/>
            </w:tcBorders>
            <w:shd w:val="clear" w:color="auto" w:fill="9D2235"/>
            <w:vAlign w:val="center"/>
            <w:hideMark/>
          </w:tcPr>
          <w:p w14:paraId="7D708081"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7/3</w:t>
            </w:r>
          </w:p>
        </w:tc>
        <w:tc>
          <w:tcPr>
            <w:tcW w:w="709" w:type="dxa"/>
            <w:tcBorders>
              <w:top w:val="single" w:sz="4" w:space="0" w:color="auto"/>
              <w:left w:val="nil"/>
              <w:bottom w:val="single" w:sz="4" w:space="0" w:color="000000"/>
              <w:right w:val="single" w:sz="4" w:space="0" w:color="000000"/>
            </w:tcBorders>
            <w:shd w:val="clear" w:color="auto" w:fill="9D2235"/>
            <w:vAlign w:val="center"/>
            <w:hideMark/>
          </w:tcPr>
          <w:p w14:paraId="5FFEC2DB" w14:textId="77777777" w:rsidR="009E4657" w:rsidRPr="009E4657" w:rsidRDefault="009E4657" w:rsidP="009E4657">
            <w:pPr>
              <w:spacing w:after="0" w:line="240" w:lineRule="auto"/>
              <w:jc w:val="center"/>
              <w:rPr>
                <w:rFonts w:ascii="Arial" w:eastAsia="Times New Roman" w:hAnsi="Arial" w:cs="Arial"/>
                <w:b/>
                <w:bCs/>
                <w:color w:val="FFFFFF"/>
                <w:sz w:val="16"/>
                <w:szCs w:val="16"/>
                <w:lang w:val="es-ES" w:eastAsia="es-ES"/>
              </w:rPr>
            </w:pPr>
            <w:r w:rsidRPr="009E4657">
              <w:rPr>
                <w:rFonts w:ascii="Arial" w:eastAsia="Times New Roman" w:hAnsi="Arial" w:cs="Arial"/>
                <w:b/>
                <w:bCs/>
                <w:color w:val="FFFFFF"/>
                <w:sz w:val="16"/>
                <w:szCs w:val="16"/>
                <w:lang w:val="ca" w:eastAsia="es-ES"/>
              </w:rPr>
              <w:t>8/4</w:t>
            </w:r>
          </w:p>
        </w:tc>
      </w:tr>
      <w:tr w:rsidR="009E4657" w:rsidRPr="009E4657" w14:paraId="6BABB27B" w14:textId="77777777" w:rsidTr="00271465">
        <w:trPr>
          <w:trHeight w:val="315"/>
          <w:jc w:val="center"/>
        </w:trPr>
        <w:tc>
          <w:tcPr>
            <w:tcW w:w="704" w:type="dxa"/>
            <w:tcBorders>
              <w:top w:val="nil"/>
              <w:left w:val="single" w:sz="4" w:space="0" w:color="000000"/>
              <w:bottom w:val="single" w:sz="4" w:space="0" w:color="000000"/>
              <w:right w:val="nil"/>
            </w:tcBorders>
            <w:shd w:val="clear" w:color="auto" w:fill="auto"/>
            <w:noWrap/>
            <w:vAlign w:val="center"/>
            <w:hideMark/>
          </w:tcPr>
          <w:p w14:paraId="780FE0CA" w14:textId="77777777" w:rsidR="009E4657" w:rsidRPr="009E4657" w:rsidRDefault="009E4657" w:rsidP="009E4657">
            <w:pPr>
              <w:spacing w:after="0" w:line="240" w:lineRule="auto"/>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I</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42F8BAA"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3.456.767,80</w:t>
            </w:r>
          </w:p>
        </w:tc>
        <w:tc>
          <w:tcPr>
            <w:tcW w:w="1134" w:type="dxa"/>
            <w:tcBorders>
              <w:top w:val="nil"/>
              <w:left w:val="nil"/>
              <w:bottom w:val="single" w:sz="4" w:space="0" w:color="auto"/>
              <w:right w:val="single" w:sz="4" w:space="0" w:color="auto"/>
            </w:tcBorders>
            <w:shd w:val="clear" w:color="auto" w:fill="auto"/>
            <w:noWrap/>
            <w:vAlign w:val="center"/>
            <w:hideMark/>
          </w:tcPr>
          <w:p w14:paraId="7F0DA9FB"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2.755.042,50</w:t>
            </w:r>
          </w:p>
        </w:tc>
        <w:tc>
          <w:tcPr>
            <w:tcW w:w="1417" w:type="dxa"/>
            <w:tcBorders>
              <w:top w:val="nil"/>
              <w:left w:val="nil"/>
              <w:bottom w:val="single" w:sz="4" w:space="0" w:color="auto"/>
              <w:right w:val="single" w:sz="4" w:space="0" w:color="auto"/>
            </w:tcBorders>
            <w:shd w:val="clear" w:color="auto" w:fill="auto"/>
            <w:noWrap/>
            <w:vAlign w:val="center"/>
            <w:hideMark/>
          </w:tcPr>
          <w:p w14:paraId="4A3F0F59"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2.338.518,67</w:t>
            </w:r>
          </w:p>
        </w:tc>
        <w:tc>
          <w:tcPr>
            <w:tcW w:w="1134" w:type="dxa"/>
            <w:tcBorders>
              <w:top w:val="nil"/>
              <w:left w:val="nil"/>
              <w:bottom w:val="single" w:sz="4" w:space="0" w:color="auto"/>
              <w:right w:val="single" w:sz="4" w:space="0" w:color="auto"/>
            </w:tcBorders>
            <w:shd w:val="clear" w:color="auto" w:fill="auto"/>
            <w:noWrap/>
            <w:vAlign w:val="center"/>
            <w:hideMark/>
          </w:tcPr>
          <w:p w14:paraId="703CAB43"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2.334.778,67</w:t>
            </w:r>
          </w:p>
        </w:tc>
        <w:tc>
          <w:tcPr>
            <w:tcW w:w="1276" w:type="dxa"/>
            <w:tcBorders>
              <w:top w:val="nil"/>
              <w:left w:val="nil"/>
              <w:bottom w:val="single" w:sz="4" w:space="0" w:color="000000"/>
              <w:right w:val="single" w:sz="4" w:space="0" w:color="000000"/>
            </w:tcBorders>
            <w:shd w:val="clear" w:color="auto" w:fill="auto"/>
            <w:noWrap/>
            <w:vAlign w:val="center"/>
            <w:hideMark/>
          </w:tcPr>
          <w:p w14:paraId="628312B0"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3.505.480,00</w:t>
            </w:r>
          </w:p>
        </w:tc>
        <w:tc>
          <w:tcPr>
            <w:tcW w:w="1276" w:type="dxa"/>
            <w:tcBorders>
              <w:top w:val="nil"/>
              <w:left w:val="nil"/>
              <w:bottom w:val="single" w:sz="4" w:space="0" w:color="000000"/>
              <w:right w:val="single" w:sz="4" w:space="0" w:color="000000"/>
            </w:tcBorders>
            <w:shd w:val="clear" w:color="auto" w:fill="auto"/>
            <w:noWrap/>
            <w:vAlign w:val="center"/>
            <w:hideMark/>
          </w:tcPr>
          <w:p w14:paraId="5970D2C3"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2.677.798,99</w:t>
            </w:r>
          </w:p>
        </w:tc>
        <w:tc>
          <w:tcPr>
            <w:tcW w:w="1417" w:type="dxa"/>
            <w:tcBorders>
              <w:top w:val="nil"/>
              <w:left w:val="nil"/>
              <w:bottom w:val="single" w:sz="4" w:space="0" w:color="000000"/>
              <w:right w:val="single" w:sz="4" w:space="0" w:color="000000"/>
            </w:tcBorders>
            <w:shd w:val="clear" w:color="auto" w:fill="auto"/>
            <w:noWrap/>
            <w:vAlign w:val="center"/>
            <w:hideMark/>
          </w:tcPr>
          <w:p w14:paraId="58526119"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2.643.496,78</w:t>
            </w:r>
          </w:p>
        </w:tc>
        <w:tc>
          <w:tcPr>
            <w:tcW w:w="1701" w:type="dxa"/>
            <w:tcBorders>
              <w:top w:val="nil"/>
              <w:left w:val="nil"/>
              <w:bottom w:val="single" w:sz="4" w:space="0" w:color="000000"/>
              <w:right w:val="single" w:sz="4" w:space="0" w:color="000000"/>
            </w:tcBorders>
            <w:shd w:val="clear" w:color="auto" w:fill="auto"/>
            <w:noWrap/>
            <w:vAlign w:val="center"/>
            <w:hideMark/>
          </w:tcPr>
          <w:p w14:paraId="6B63E940"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2.624.024,23</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2F82F0A"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68%</w:t>
            </w: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14:paraId="363176F6"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100%</w:t>
            </w:r>
          </w:p>
        </w:tc>
        <w:tc>
          <w:tcPr>
            <w:tcW w:w="709" w:type="dxa"/>
            <w:tcBorders>
              <w:top w:val="single" w:sz="4" w:space="0" w:color="000000"/>
              <w:left w:val="nil"/>
              <w:bottom w:val="single" w:sz="4" w:space="0" w:color="000000"/>
              <w:right w:val="single" w:sz="4" w:space="0" w:color="000000"/>
            </w:tcBorders>
            <w:shd w:val="clear" w:color="auto" w:fill="auto"/>
            <w:noWrap/>
            <w:vAlign w:val="center"/>
          </w:tcPr>
          <w:p w14:paraId="22AD9D9A"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75%</w:t>
            </w:r>
          </w:p>
        </w:tc>
        <w:tc>
          <w:tcPr>
            <w:tcW w:w="708" w:type="dxa"/>
            <w:tcBorders>
              <w:top w:val="single" w:sz="4" w:space="0" w:color="000000"/>
              <w:left w:val="nil"/>
              <w:bottom w:val="single" w:sz="4" w:space="0" w:color="000000"/>
              <w:right w:val="single" w:sz="4" w:space="0" w:color="000000"/>
            </w:tcBorders>
            <w:shd w:val="clear" w:color="auto" w:fill="auto"/>
            <w:noWrap/>
            <w:vAlign w:val="center"/>
            <w:hideMark/>
          </w:tcPr>
          <w:p w14:paraId="7983D570"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99%</w:t>
            </w:r>
          </w:p>
        </w:tc>
        <w:tc>
          <w:tcPr>
            <w:tcW w:w="709" w:type="dxa"/>
            <w:tcBorders>
              <w:top w:val="single" w:sz="4" w:space="0" w:color="000000"/>
              <w:left w:val="single" w:sz="4" w:space="0" w:color="000000"/>
              <w:bottom w:val="single" w:sz="4" w:space="0" w:color="000000"/>
              <w:right w:val="single" w:sz="4" w:space="0" w:color="000000"/>
            </w:tcBorders>
            <w:shd w:val="clear" w:color="000000" w:fill="E7E6E6"/>
            <w:noWrap/>
            <w:vAlign w:val="center"/>
            <w:hideMark/>
          </w:tcPr>
          <w:p w14:paraId="51A0283E"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1,41</w:t>
            </w:r>
          </w:p>
        </w:tc>
        <w:tc>
          <w:tcPr>
            <w:tcW w:w="709" w:type="dxa"/>
            <w:tcBorders>
              <w:top w:val="single" w:sz="4" w:space="0" w:color="000000"/>
              <w:left w:val="nil"/>
              <w:bottom w:val="single" w:sz="4" w:space="0" w:color="000000"/>
              <w:right w:val="single" w:sz="4" w:space="0" w:color="000000"/>
            </w:tcBorders>
            <w:shd w:val="clear" w:color="000000" w:fill="E7E6E6"/>
            <w:noWrap/>
            <w:vAlign w:val="center"/>
            <w:hideMark/>
          </w:tcPr>
          <w:p w14:paraId="0834A46C"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13,04</w:t>
            </w:r>
          </w:p>
        </w:tc>
        <w:tc>
          <w:tcPr>
            <w:tcW w:w="709" w:type="dxa"/>
            <w:tcBorders>
              <w:top w:val="single" w:sz="4" w:space="0" w:color="000000"/>
              <w:left w:val="nil"/>
              <w:bottom w:val="single" w:sz="4" w:space="0" w:color="000000"/>
              <w:right w:val="single" w:sz="4" w:space="0" w:color="000000"/>
            </w:tcBorders>
            <w:shd w:val="clear" w:color="000000" w:fill="E7E6E6"/>
            <w:noWrap/>
            <w:vAlign w:val="center"/>
            <w:hideMark/>
          </w:tcPr>
          <w:p w14:paraId="66948B2A"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12,39</w:t>
            </w:r>
          </w:p>
        </w:tc>
      </w:tr>
      <w:tr w:rsidR="009E4657" w:rsidRPr="009E4657" w14:paraId="424CC77C" w14:textId="77777777" w:rsidTr="00271465">
        <w:trPr>
          <w:trHeight w:val="600"/>
          <w:jc w:val="center"/>
        </w:trPr>
        <w:tc>
          <w:tcPr>
            <w:tcW w:w="704" w:type="dxa"/>
            <w:tcBorders>
              <w:top w:val="nil"/>
              <w:left w:val="single" w:sz="4" w:space="0" w:color="000000"/>
              <w:bottom w:val="single" w:sz="4" w:space="0" w:color="000000"/>
              <w:right w:val="nil"/>
            </w:tcBorders>
            <w:shd w:val="clear" w:color="auto" w:fill="auto"/>
            <w:vAlign w:val="center"/>
            <w:hideMark/>
          </w:tcPr>
          <w:p w14:paraId="34EB0BED" w14:textId="77777777" w:rsidR="009E4657" w:rsidRPr="009E4657" w:rsidRDefault="009E4657" w:rsidP="009E4657">
            <w:pPr>
              <w:spacing w:after="0" w:line="240" w:lineRule="auto"/>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II</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83544A9"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770.661,99</w:t>
            </w:r>
          </w:p>
        </w:tc>
        <w:tc>
          <w:tcPr>
            <w:tcW w:w="1134" w:type="dxa"/>
            <w:tcBorders>
              <w:top w:val="nil"/>
              <w:left w:val="nil"/>
              <w:bottom w:val="single" w:sz="4" w:space="0" w:color="auto"/>
              <w:right w:val="single" w:sz="4" w:space="0" w:color="auto"/>
            </w:tcBorders>
            <w:shd w:val="clear" w:color="auto" w:fill="auto"/>
            <w:noWrap/>
            <w:vAlign w:val="center"/>
            <w:hideMark/>
          </w:tcPr>
          <w:p w14:paraId="6E97DEC2"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403.686,60</w:t>
            </w:r>
          </w:p>
        </w:tc>
        <w:tc>
          <w:tcPr>
            <w:tcW w:w="1417" w:type="dxa"/>
            <w:tcBorders>
              <w:top w:val="nil"/>
              <w:left w:val="nil"/>
              <w:bottom w:val="single" w:sz="4" w:space="0" w:color="auto"/>
              <w:right w:val="single" w:sz="4" w:space="0" w:color="auto"/>
            </w:tcBorders>
            <w:shd w:val="clear" w:color="auto" w:fill="auto"/>
            <w:noWrap/>
            <w:vAlign w:val="center"/>
            <w:hideMark/>
          </w:tcPr>
          <w:p w14:paraId="5349B0BC"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340.806,56</w:t>
            </w:r>
          </w:p>
        </w:tc>
        <w:tc>
          <w:tcPr>
            <w:tcW w:w="1134" w:type="dxa"/>
            <w:tcBorders>
              <w:top w:val="nil"/>
              <w:left w:val="nil"/>
              <w:bottom w:val="single" w:sz="4" w:space="0" w:color="auto"/>
              <w:right w:val="single" w:sz="4" w:space="0" w:color="auto"/>
            </w:tcBorders>
            <w:shd w:val="clear" w:color="auto" w:fill="auto"/>
            <w:noWrap/>
            <w:vAlign w:val="center"/>
            <w:hideMark/>
          </w:tcPr>
          <w:p w14:paraId="4D0E0AAA"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313.901,48</w:t>
            </w:r>
          </w:p>
        </w:tc>
        <w:tc>
          <w:tcPr>
            <w:tcW w:w="1276" w:type="dxa"/>
            <w:tcBorders>
              <w:top w:val="nil"/>
              <w:left w:val="nil"/>
              <w:bottom w:val="single" w:sz="4" w:space="0" w:color="000000"/>
              <w:right w:val="single" w:sz="4" w:space="0" w:color="000000"/>
            </w:tcBorders>
            <w:shd w:val="clear" w:color="auto" w:fill="auto"/>
            <w:noWrap/>
            <w:vAlign w:val="center"/>
            <w:hideMark/>
          </w:tcPr>
          <w:p w14:paraId="2EBC0AF4"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704.970,00</w:t>
            </w:r>
          </w:p>
        </w:tc>
        <w:tc>
          <w:tcPr>
            <w:tcW w:w="1276" w:type="dxa"/>
            <w:tcBorders>
              <w:top w:val="nil"/>
              <w:left w:val="nil"/>
              <w:bottom w:val="single" w:sz="4" w:space="0" w:color="000000"/>
              <w:right w:val="single" w:sz="4" w:space="0" w:color="000000"/>
            </w:tcBorders>
            <w:shd w:val="clear" w:color="auto" w:fill="auto"/>
            <w:noWrap/>
            <w:vAlign w:val="center"/>
            <w:hideMark/>
          </w:tcPr>
          <w:p w14:paraId="7EFCFB64"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410.479,86</w:t>
            </w:r>
          </w:p>
        </w:tc>
        <w:tc>
          <w:tcPr>
            <w:tcW w:w="1417" w:type="dxa"/>
            <w:tcBorders>
              <w:top w:val="nil"/>
              <w:left w:val="nil"/>
              <w:bottom w:val="single" w:sz="4" w:space="0" w:color="000000"/>
              <w:right w:val="single" w:sz="4" w:space="0" w:color="000000"/>
            </w:tcBorders>
            <w:shd w:val="clear" w:color="auto" w:fill="auto"/>
            <w:noWrap/>
            <w:vAlign w:val="center"/>
            <w:hideMark/>
          </w:tcPr>
          <w:p w14:paraId="4A4539D7"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363.647,56</w:t>
            </w:r>
          </w:p>
        </w:tc>
        <w:tc>
          <w:tcPr>
            <w:tcW w:w="1701" w:type="dxa"/>
            <w:tcBorders>
              <w:top w:val="nil"/>
              <w:left w:val="nil"/>
              <w:bottom w:val="single" w:sz="4" w:space="0" w:color="000000"/>
              <w:right w:val="single" w:sz="4" w:space="0" w:color="000000"/>
            </w:tcBorders>
            <w:shd w:val="clear" w:color="auto" w:fill="auto"/>
            <w:noWrap/>
            <w:vAlign w:val="center"/>
            <w:hideMark/>
          </w:tcPr>
          <w:p w14:paraId="5CC8D986"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346.573,03</w:t>
            </w:r>
          </w:p>
        </w:tc>
        <w:tc>
          <w:tcPr>
            <w:tcW w:w="851" w:type="dxa"/>
            <w:tcBorders>
              <w:top w:val="nil"/>
              <w:left w:val="single" w:sz="4" w:space="0" w:color="000000"/>
              <w:bottom w:val="single" w:sz="4" w:space="0" w:color="000000"/>
              <w:right w:val="single" w:sz="4" w:space="0" w:color="000000"/>
            </w:tcBorders>
            <w:shd w:val="clear" w:color="auto" w:fill="auto"/>
            <w:noWrap/>
            <w:vAlign w:val="center"/>
          </w:tcPr>
          <w:p w14:paraId="204DE384"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44%</w:t>
            </w:r>
          </w:p>
        </w:tc>
        <w:tc>
          <w:tcPr>
            <w:tcW w:w="567" w:type="dxa"/>
            <w:tcBorders>
              <w:top w:val="nil"/>
              <w:left w:val="nil"/>
              <w:bottom w:val="single" w:sz="4" w:space="0" w:color="000000"/>
              <w:right w:val="single" w:sz="4" w:space="0" w:color="000000"/>
            </w:tcBorders>
            <w:shd w:val="clear" w:color="auto" w:fill="auto"/>
            <w:noWrap/>
            <w:vAlign w:val="center"/>
            <w:hideMark/>
          </w:tcPr>
          <w:p w14:paraId="671DFFC4"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92%</w:t>
            </w:r>
          </w:p>
        </w:tc>
        <w:tc>
          <w:tcPr>
            <w:tcW w:w="709" w:type="dxa"/>
            <w:tcBorders>
              <w:top w:val="nil"/>
              <w:left w:val="nil"/>
              <w:bottom w:val="single" w:sz="4" w:space="0" w:color="000000"/>
              <w:right w:val="single" w:sz="4" w:space="0" w:color="000000"/>
            </w:tcBorders>
            <w:shd w:val="clear" w:color="auto" w:fill="auto"/>
            <w:noWrap/>
            <w:vAlign w:val="center"/>
          </w:tcPr>
          <w:p w14:paraId="04E9E09E"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52%</w:t>
            </w:r>
          </w:p>
        </w:tc>
        <w:tc>
          <w:tcPr>
            <w:tcW w:w="708" w:type="dxa"/>
            <w:tcBorders>
              <w:top w:val="nil"/>
              <w:left w:val="nil"/>
              <w:bottom w:val="single" w:sz="4" w:space="0" w:color="000000"/>
              <w:right w:val="single" w:sz="4" w:space="0" w:color="000000"/>
            </w:tcBorders>
            <w:shd w:val="clear" w:color="auto" w:fill="auto"/>
            <w:noWrap/>
            <w:vAlign w:val="center"/>
            <w:hideMark/>
          </w:tcPr>
          <w:p w14:paraId="1B5ABBC8"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95%</w:t>
            </w:r>
          </w:p>
        </w:tc>
        <w:tc>
          <w:tcPr>
            <w:tcW w:w="709" w:type="dxa"/>
            <w:tcBorders>
              <w:top w:val="nil"/>
              <w:left w:val="single" w:sz="4" w:space="0" w:color="000000"/>
              <w:bottom w:val="single" w:sz="4" w:space="0" w:color="000000"/>
              <w:right w:val="single" w:sz="4" w:space="0" w:color="000000"/>
            </w:tcBorders>
            <w:shd w:val="clear" w:color="000000" w:fill="E7E6E6"/>
            <w:noWrap/>
            <w:vAlign w:val="center"/>
            <w:hideMark/>
          </w:tcPr>
          <w:p w14:paraId="02E2ABD8"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-8,52</w:t>
            </w:r>
          </w:p>
        </w:tc>
        <w:tc>
          <w:tcPr>
            <w:tcW w:w="709" w:type="dxa"/>
            <w:tcBorders>
              <w:top w:val="nil"/>
              <w:left w:val="nil"/>
              <w:bottom w:val="single" w:sz="4" w:space="0" w:color="000000"/>
              <w:right w:val="single" w:sz="4" w:space="0" w:color="000000"/>
            </w:tcBorders>
            <w:shd w:val="clear" w:color="000000" w:fill="E7E6E6"/>
            <w:noWrap/>
            <w:vAlign w:val="center"/>
            <w:hideMark/>
          </w:tcPr>
          <w:p w14:paraId="4CE73C2F"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6,70</w:t>
            </w:r>
          </w:p>
        </w:tc>
        <w:tc>
          <w:tcPr>
            <w:tcW w:w="709" w:type="dxa"/>
            <w:tcBorders>
              <w:top w:val="nil"/>
              <w:left w:val="nil"/>
              <w:bottom w:val="single" w:sz="4" w:space="0" w:color="000000"/>
              <w:right w:val="single" w:sz="4" w:space="0" w:color="000000"/>
            </w:tcBorders>
            <w:shd w:val="clear" w:color="000000" w:fill="E7E6E6"/>
            <w:noWrap/>
            <w:vAlign w:val="center"/>
            <w:hideMark/>
          </w:tcPr>
          <w:p w14:paraId="5DFCB230"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10,41</w:t>
            </w:r>
          </w:p>
        </w:tc>
      </w:tr>
      <w:tr w:rsidR="009E4657" w:rsidRPr="009E4657" w14:paraId="40144524" w14:textId="77777777" w:rsidTr="00271465">
        <w:trPr>
          <w:trHeight w:val="315"/>
          <w:jc w:val="center"/>
        </w:trPr>
        <w:tc>
          <w:tcPr>
            <w:tcW w:w="704" w:type="dxa"/>
            <w:tcBorders>
              <w:top w:val="nil"/>
              <w:left w:val="single" w:sz="4" w:space="0" w:color="000000"/>
              <w:bottom w:val="single" w:sz="4" w:space="0" w:color="000000"/>
              <w:right w:val="nil"/>
            </w:tcBorders>
            <w:shd w:val="clear" w:color="auto" w:fill="auto"/>
            <w:noWrap/>
            <w:vAlign w:val="center"/>
            <w:hideMark/>
          </w:tcPr>
          <w:p w14:paraId="168DB70B" w14:textId="77777777" w:rsidR="009E4657" w:rsidRPr="009E4657" w:rsidRDefault="009E4657" w:rsidP="009E4657">
            <w:pPr>
              <w:spacing w:after="0" w:line="240" w:lineRule="auto"/>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III</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B3D00D"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E415F42"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5CF04D54"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9D36E27"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0,00</w:t>
            </w:r>
          </w:p>
        </w:tc>
        <w:tc>
          <w:tcPr>
            <w:tcW w:w="1276" w:type="dxa"/>
            <w:tcBorders>
              <w:top w:val="nil"/>
              <w:left w:val="nil"/>
              <w:bottom w:val="single" w:sz="4" w:space="0" w:color="000000"/>
              <w:right w:val="single" w:sz="4" w:space="0" w:color="000000"/>
            </w:tcBorders>
            <w:shd w:val="clear" w:color="auto" w:fill="auto"/>
            <w:noWrap/>
            <w:vAlign w:val="center"/>
            <w:hideMark/>
          </w:tcPr>
          <w:p w14:paraId="0F359175"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3.801.793,15</w:t>
            </w:r>
          </w:p>
        </w:tc>
        <w:tc>
          <w:tcPr>
            <w:tcW w:w="1276" w:type="dxa"/>
            <w:tcBorders>
              <w:top w:val="nil"/>
              <w:left w:val="nil"/>
              <w:bottom w:val="single" w:sz="4" w:space="0" w:color="000000"/>
              <w:right w:val="single" w:sz="4" w:space="0" w:color="000000"/>
            </w:tcBorders>
            <w:shd w:val="clear" w:color="auto" w:fill="auto"/>
            <w:noWrap/>
            <w:vAlign w:val="center"/>
            <w:hideMark/>
          </w:tcPr>
          <w:p w14:paraId="1519ED54"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3.787.793,15</w:t>
            </w:r>
          </w:p>
        </w:tc>
        <w:tc>
          <w:tcPr>
            <w:tcW w:w="1417" w:type="dxa"/>
            <w:tcBorders>
              <w:top w:val="nil"/>
              <w:left w:val="nil"/>
              <w:bottom w:val="single" w:sz="4" w:space="0" w:color="000000"/>
              <w:right w:val="single" w:sz="4" w:space="0" w:color="000000"/>
            </w:tcBorders>
            <w:shd w:val="clear" w:color="auto" w:fill="auto"/>
            <w:noWrap/>
            <w:vAlign w:val="center"/>
            <w:hideMark/>
          </w:tcPr>
          <w:p w14:paraId="1EB26F5B"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3.787.793,15</w:t>
            </w:r>
          </w:p>
        </w:tc>
        <w:tc>
          <w:tcPr>
            <w:tcW w:w="1701" w:type="dxa"/>
            <w:tcBorders>
              <w:top w:val="nil"/>
              <w:left w:val="nil"/>
              <w:bottom w:val="single" w:sz="4" w:space="0" w:color="000000"/>
              <w:right w:val="single" w:sz="4" w:space="0" w:color="000000"/>
            </w:tcBorders>
            <w:shd w:val="clear" w:color="auto" w:fill="auto"/>
            <w:noWrap/>
            <w:vAlign w:val="center"/>
            <w:hideMark/>
          </w:tcPr>
          <w:p w14:paraId="3E66C69B"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3.787.793,15</w:t>
            </w:r>
          </w:p>
        </w:tc>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07DE0C44"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p>
        </w:tc>
        <w:tc>
          <w:tcPr>
            <w:tcW w:w="567" w:type="dxa"/>
            <w:tcBorders>
              <w:top w:val="nil"/>
              <w:left w:val="nil"/>
              <w:bottom w:val="single" w:sz="4" w:space="0" w:color="000000"/>
              <w:right w:val="single" w:sz="4" w:space="0" w:color="000000"/>
            </w:tcBorders>
            <w:shd w:val="clear" w:color="auto" w:fill="auto"/>
            <w:noWrap/>
            <w:vAlign w:val="center"/>
            <w:hideMark/>
          </w:tcPr>
          <w:p w14:paraId="6C894C04"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p>
        </w:tc>
        <w:tc>
          <w:tcPr>
            <w:tcW w:w="709" w:type="dxa"/>
            <w:tcBorders>
              <w:top w:val="nil"/>
              <w:left w:val="nil"/>
              <w:bottom w:val="single" w:sz="4" w:space="0" w:color="000000"/>
              <w:right w:val="single" w:sz="4" w:space="0" w:color="000000"/>
            </w:tcBorders>
            <w:shd w:val="clear" w:color="auto" w:fill="auto"/>
            <w:noWrap/>
            <w:vAlign w:val="center"/>
          </w:tcPr>
          <w:p w14:paraId="6A3621F2"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100%</w:t>
            </w:r>
          </w:p>
        </w:tc>
        <w:tc>
          <w:tcPr>
            <w:tcW w:w="708" w:type="dxa"/>
            <w:tcBorders>
              <w:top w:val="nil"/>
              <w:left w:val="nil"/>
              <w:bottom w:val="single" w:sz="4" w:space="0" w:color="000000"/>
              <w:right w:val="single" w:sz="4" w:space="0" w:color="000000"/>
            </w:tcBorders>
            <w:shd w:val="clear" w:color="auto" w:fill="auto"/>
            <w:noWrap/>
            <w:vAlign w:val="center"/>
            <w:hideMark/>
          </w:tcPr>
          <w:p w14:paraId="39C141B7"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100%</w:t>
            </w:r>
          </w:p>
        </w:tc>
        <w:tc>
          <w:tcPr>
            <w:tcW w:w="709" w:type="dxa"/>
            <w:tcBorders>
              <w:top w:val="nil"/>
              <w:left w:val="single" w:sz="4" w:space="0" w:color="000000"/>
              <w:bottom w:val="single" w:sz="4" w:space="0" w:color="000000"/>
              <w:right w:val="single" w:sz="4" w:space="0" w:color="000000"/>
            </w:tcBorders>
            <w:shd w:val="clear" w:color="000000" w:fill="E7E6E6"/>
            <w:noWrap/>
            <w:vAlign w:val="center"/>
            <w:hideMark/>
          </w:tcPr>
          <w:p w14:paraId="4602EC89"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p>
        </w:tc>
        <w:tc>
          <w:tcPr>
            <w:tcW w:w="709" w:type="dxa"/>
            <w:tcBorders>
              <w:top w:val="nil"/>
              <w:left w:val="nil"/>
              <w:bottom w:val="single" w:sz="4" w:space="0" w:color="000000"/>
              <w:right w:val="single" w:sz="4" w:space="0" w:color="000000"/>
            </w:tcBorders>
            <w:shd w:val="clear" w:color="000000" w:fill="E7E6E6"/>
            <w:noWrap/>
            <w:vAlign w:val="center"/>
            <w:hideMark/>
          </w:tcPr>
          <w:p w14:paraId="7939228D"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p>
        </w:tc>
        <w:tc>
          <w:tcPr>
            <w:tcW w:w="709" w:type="dxa"/>
            <w:tcBorders>
              <w:top w:val="nil"/>
              <w:left w:val="nil"/>
              <w:bottom w:val="single" w:sz="4" w:space="0" w:color="000000"/>
              <w:right w:val="single" w:sz="4" w:space="0" w:color="000000"/>
            </w:tcBorders>
            <w:shd w:val="clear" w:color="000000" w:fill="E7E6E6"/>
            <w:noWrap/>
            <w:vAlign w:val="center"/>
            <w:hideMark/>
          </w:tcPr>
          <w:p w14:paraId="1FEF72CF"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p>
        </w:tc>
      </w:tr>
      <w:tr w:rsidR="009E4657" w:rsidRPr="009E4657" w14:paraId="150FD190" w14:textId="77777777" w:rsidTr="00271465">
        <w:trPr>
          <w:trHeight w:val="315"/>
          <w:jc w:val="center"/>
        </w:trPr>
        <w:tc>
          <w:tcPr>
            <w:tcW w:w="704" w:type="dxa"/>
            <w:tcBorders>
              <w:top w:val="nil"/>
              <w:left w:val="single" w:sz="4" w:space="0" w:color="000000"/>
              <w:bottom w:val="single" w:sz="4" w:space="0" w:color="000000"/>
              <w:right w:val="nil"/>
            </w:tcBorders>
            <w:shd w:val="clear" w:color="auto" w:fill="auto"/>
            <w:noWrap/>
            <w:vAlign w:val="center"/>
            <w:hideMark/>
          </w:tcPr>
          <w:p w14:paraId="64AD5D07" w14:textId="77777777" w:rsidR="009E4657" w:rsidRPr="009E4657" w:rsidRDefault="009E4657" w:rsidP="009E4657">
            <w:pPr>
              <w:spacing w:after="0" w:line="240" w:lineRule="auto"/>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VI</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9D6C569"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242.445,95</w:t>
            </w:r>
          </w:p>
        </w:tc>
        <w:tc>
          <w:tcPr>
            <w:tcW w:w="1134" w:type="dxa"/>
            <w:tcBorders>
              <w:top w:val="nil"/>
              <w:left w:val="nil"/>
              <w:bottom w:val="single" w:sz="4" w:space="0" w:color="auto"/>
              <w:right w:val="single" w:sz="4" w:space="0" w:color="auto"/>
            </w:tcBorders>
            <w:shd w:val="clear" w:color="auto" w:fill="auto"/>
            <w:noWrap/>
            <w:vAlign w:val="center"/>
            <w:hideMark/>
          </w:tcPr>
          <w:p w14:paraId="6F602E40"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73.452,26</w:t>
            </w:r>
          </w:p>
        </w:tc>
        <w:tc>
          <w:tcPr>
            <w:tcW w:w="1417" w:type="dxa"/>
            <w:tcBorders>
              <w:top w:val="nil"/>
              <w:left w:val="nil"/>
              <w:bottom w:val="single" w:sz="4" w:space="0" w:color="auto"/>
              <w:right w:val="single" w:sz="4" w:space="0" w:color="auto"/>
            </w:tcBorders>
            <w:shd w:val="clear" w:color="auto" w:fill="auto"/>
            <w:noWrap/>
            <w:vAlign w:val="center"/>
            <w:hideMark/>
          </w:tcPr>
          <w:p w14:paraId="57DB36AC"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56.696,72</w:t>
            </w:r>
          </w:p>
        </w:tc>
        <w:tc>
          <w:tcPr>
            <w:tcW w:w="1134" w:type="dxa"/>
            <w:tcBorders>
              <w:top w:val="nil"/>
              <w:left w:val="nil"/>
              <w:bottom w:val="single" w:sz="4" w:space="0" w:color="auto"/>
              <w:right w:val="single" w:sz="4" w:space="0" w:color="auto"/>
            </w:tcBorders>
            <w:shd w:val="clear" w:color="auto" w:fill="auto"/>
            <w:noWrap/>
            <w:vAlign w:val="center"/>
            <w:hideMark/>
          </w:tcPr>
          <w:p w14:paraId="0FCD5435"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28.022,45</w:t>
            </w:r>
          </w:p>
        </w:tc>
        <w:tc>
          <w:tcPr>
            <w:tcW w:w="1276" w:type="dxa"/>
            <w:tcBorders>
              <w:top w:val="nil"/>
              <w:left w:val="nil"/>
              <w:bottom w:val="single" w:sz="4" w:space="0" w:color="000000"/>
              <w:right w:val="single" w:sz="4" w:space="0" w:color="000000"/>
            </w:tcBorders>
            <w:shd w:val="clear" w:color="auto" w:fill="auto"/>
            <w:noWrap/>
            <w:vAlign w:val="center"/>
            <w:hideMark/>
          </w:tcPr>
          <w:p w14:paraId="5324220F"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199.890,00</w:t>
            </w:r>
          </w:p>
        </w:tc>
        <w:tc>
          <w:tcPr>
            <w:tcW w:w="1276" w:type="dxa"/>
            <w:tcBorders>
              <w:top w:val="nil"/>
              <w:left w:val="nil"/>
              <w:bottom w:val="single" w:sz="4" w:space="0" w:color="000000"/>
              <w:right w:val="single" w:sz="4" w:space="0" w:color="000000"/>
            </w:tcBorders>
            <w:shd w:val="clear" w:color="auto" w:fill="auto"/>
            <w:noWrap/>
            <w:vAlign w:val="center"/>
            <w:hideMark/>
          </w:tcPr>
          <w:p w14:paraId="2C3B8B1E"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41.253,66</w:t>
            </w:r>
          </w:p>
        </w:tc>
        <w:tc>
          <w:tcPr>
            <w:tcW w:w="1417" w:type="dxa"/>
            <w:tcBorders>
              <w:top w:val="nil"/>
              <w:left w:val="nil"/>
              <w:bottom w:val="single" w:sz="4" w:space="0" w:color="000000"/>
              <w:right w:val="single" w:sz="4" w:space="0" w:color="000000"/>
            </w:tcBorders>
            <w:shd w:val="clear" w:color="auto" w:fill="auto"/>
            <w:noWrap/>
            <w:vAlign w:val="center"/>
            <w:hideMark/>
          </w:tcPr>
          <w:p w14:paraId="0354C66F"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22.398,27</w:t>
            </w:r>
          </w:p>
        </w:tc>
        <w:tc>
          <w:tcPr>
            <w:tcW w:w="1701" w:type="dxa"/>
            <w:tcBorders>
              <w:top w:val="nil"/>
              <w:left w:val="nil"/>
              <w:bottom w:val="single" w:sz="4" w:space="0" w:color="000000"/>
              <w:right w:val="single" w:sz="4" w:space="0" w:color="000000"/>
            </w:tcBorders>
            <w:shd w:val="clear" w:color="auto" w:fill="auto"/>
            <w:noWrap/>
            <w:vAlign w:val="center"/>
            <w:hideMark/>
          </w:tcPr>
          <w:p w14:paraId="664D3D34" w14:textId="77777777" w:rsidR="009E4657" w:rsidRPr="009E4657" w:rsidRDefault="009E4657" w:rsidP="009E4657">
            <w:pPr>
              <w:spacing w:after="0" w:line="240" w:lineRule="auto"/>
              <w:jc w:val="right"/>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eastAsia="es-ES"/>
              </w:rPr>
              <w:t>22.398,27</w:t>
            </w:r>
          </w:p>
        </w:tc>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3C31EC87"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23%</w:t>
            </w:r>
          </w:p>
        </w:tc>
        <w:tc>
          <w:tcPr>
            <w:tcW w:w="567" w:type="dxa"/>
            <w:tcBorders>
              <w:top w:val="nil"/>
              <w:left w:val="nil"/>
              <w:bottom w:val="single" w:sz="4" w:space="0" w:color="000000"/>
              <w:right w:val="single" w:sz="4" w:space="0" w:color="000000"/>
            </w:tcBorders>
            <w:shd w:val="clear" w:color="auto" w:fill="auto"/>
            <w:noWrap/>
            <w:vAlign w:val="center"/>
            <w:hideMark/>
          </w:tcPr>
          <w:p w14:paraId="624BD274"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49%</w:t>
            </w:r>
          </w:p>
        </w:tc>
        <w:tc>
          <w:tcPr>
            <w:tcW w:w="709" w:type="dxa"/>
            <w:tcBorders>
              <w:top w:val="nil"/>
              <w:left w:val="nil"/>
              <w:bottom w:val="single" w:sz="4" w:space="0" w:color="000000"/>
              <w:right w:val="single" w:sz="4" w:space="0" w:color="000000"/>
            </w:tcBorders>
            <w:shd w:val="clear" w:color="auto" w:fill="auto"/>
            <w:noWrap/>
            <w:vAlign w:val="center"/>
          </w:tcPr>
          <w:p w14:paraId="11D59D10"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4AF71806"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100%</w:t>
            </w:r>
          </w:p>
        </w:tc>
        <w:tc>
          <w:tcPr>
            <w:tcW w:w="709" w:type="dxa"/>
            <w:tcBorders>
              <w:top w:val="nil"/>
              <w:left w:val="single" w:sz="4" w:space="0" w:color="000000"/>
              <w:bottom w:val="single" w:sz="4" w:space="0" w:color="000000"/>
              <w:right w:val="single" w:sz="4" w:space="0" w:color="000000"/>
            </w:tcBorders>
            <w:shd w:val="clear" w:color="000000" w:fill="E7E6E6"/>
            <w:noWrap/>
            <w:vAlign w:val="center"/>
            <w:hideMark/>
          </w:tcPr>
          <w:p w14:paraId="04617447"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-17,55</w:t>
            </w:r>
          </w:p>
        </w:tc>
        <w:tc>
          <w:tcPr>
            <w:tcW w:w="709" w:type="dxa"/>
            <w:tcBorders>
              <w:top w:val="nil"/>
              <w:left w:val="nil"/>
              <w:bottom w:val="single" w:sz="4" w:space="0" w:color="000000"/>
              <w:right w:val="single" w:sz="4" w:space="0" w:color="000000"/>
            </w:tcBorders>
            <w:shd w:val="clear" w:color="000000" w:fill="E7E6E6"/>
            <w:noWrap/>
            <w:vAlign w:val="center"/>
            <w:hideMark/>
          </w:tcPr>
          <w:p w14:paraId="29B66FF5"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-60,49</w:t>
            </w:r>
          </w:p>
        </w:tc>
        <w:tc>
          <w:tcPr>
            <w:tcW w:w="709" w:type="dxa"/>
            <w:tcBorders>
              <w:top w:val="nil"/>
              <w:left w:val="nil"/>
              <w:bottom w:val="single" w:sz="4" w:space="0" w:color="000000"/>
              <w:right w:val="single" w:sz="4" w:space="0" w:color="000000"/>
            </w:tcBorders>
            <w:shd w:val="clear" w:color="000000" w:fill="E7E6E6"/>
            <w:noWrap/>
            <w:vAlign w:val="center"/>
            <w:hideMark/>
          </w:tcPr>
          <w:p w14:paraId="56F1CB44" w14:textId="77777777" w:rsidR="009E4657" w:rsidRPr="009E4657" w:rsidRDefault="009E4657" w:rsidP="009E4657">
            <w:pPr>
              <w:spacing w:after="0" w:line="240" w:lineRule="auto"/>
              <w:jc w:val="center"/>
              <w:rPr>
                <w:rFonts w:ascii="Arial" w:eastAsia="Times New Roman" w:hAnsi="Arial" w:cs="Arial"/>
                <w:color w:val="000000"/>
                <w:sz w:val="16"/>
                <w:szCs w:val="16"/>
                <w:lang w:val="es-ES" w:eastAsia="es-ES"/>
              </w:rPr>
            </w:pPr>
            <w:r w:rsidRPr="009E4657">
              <w:rPr>
                <w:rFonts w:ascii="Arial" w:eastAsia="Times New Roman" w:hAnsi="Arial" w:cs="Arial"/>
                <w:color w:val="000000"/>
                <w:sz w:val="16"/>
                <w:szCs w:val="16"/>
                <w:lang w:val="ca"/>
              </w:rPr>
              <w:t>-20,07</w:t>
            </w:r>
          </w:p>
        </w:tc>
      </w:tr>
      <w:tr w:rsidR="009E4657" w:rsidRPr="009E4657" w14:paraId="7494F24C" w14:textId="77777777" w:rsidTr="00271465">
        <w:trPr>
          <w:trHeight w:val="315"/>
          <w:jc w:val="center"/>
        </w:trPr>
        <w:tc>
          <w:tcPr>
            <w:tcW w:w="704" w:type="dxa"/>
            <w:tcBorders>
              <w:top w:val="nil"/>
              <w:left w:val="single" w:sz="4" w:space="0" w:color="000000"/>
              <w:bottom w:val="single" w:sz="4" w:space="0" w:color="000000"/>
              <w:right w:val="nil"/>
            </w:tcBorders>
            <w:shd w:val="clear" w:color="auto" w:fill="auto"/>
            <w:noWrap/>
            <w:vAlign w:val="center"/>
            <w:hideMark/>
          </w:tcPr>
          <w:p w14:paraId="1AE73D55"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 xml:space="preserve">Suma total </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428AC50"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4.469.875,74</w:t>
            </w:r>
          </w:p>
        </w:tc>
        <w:tc>
          <w:tcPr>
            <w:tcW w:w="1134" w:type="dxa"/>
            <w:tcBorders>
              <w:top w:val="nil"/>
              <w:left w:val="nil"/>
              <w:bottom w:val="single" w:sz="4" w:space="0" w:color="auto"/>
              <w:right w:val="single" w:sz="4" w:space="0" w:color="auto"/>
            </w:tcBorders>
            <w:shd w:val="clear" w:color="auto" w:fill="auto"/>
            <w:noWrap/>
            <w:vAlign w:val="center"/>
            <w:hideMark/>
          </w:tcPr>
          <w:p w14:paraId="17674904"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3.232.181,36</w:t>
            </w:r>
          </w:p>
        </w:tc>
        <w:tc>
          <w:tcPr>
            <w:tcW w:w="1417" w:type="dxa"/>
            <w:tcBorders>
              <w:top w:val="nil"/>
              <w:left w:val="nil"/>
              <w:bottom w:val="single" w:sz="4" w:space="0" w:color="auto"/>
              <w:right w:val="single" w:sz="4" w:space="0" w:color="auto"/>
            </w:tcBorders>
            <w:shd w:val="clear" w:color="auto" w:fill="auto"/>
            <w:noWrap/>
            <w:vAlign w:val="center"/>
            <w:hideMark/>
          </w:tcPr>
          <w:p w14:paraId="7068CAA8"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2.736.021,95</w:t>
            </w:r>
          </w:p>
        </w:tc>
        <w:tc>
          <w:tcPr>
            <w:tcW w:w="1134" w:type="dxa"/>
            <w:tcBorders>
              <w:top w:val="nil"/>
              <w:left w:val="nil"/>
              <w:bottom w:val="single" w:sz="4" w:space="0" w:color="auto"/>
              <w:right w:val="single" w:sz="4" w:space="0" w:color="auto"/>
            </w:tcBorders>
            <w:shd w:val="clear" w:color="auto" w:fill="auto"/>
            <w:noWrap/>
            <w:vAlign w:val="center"/>
            <w:hideMark/>
          </w:tcPr>
          <w:p w14:paraId="7F3395AD"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2.676.702,60</w:t>
            </w:r>
          </w:p>
        </w:tc>
        <w:tc>
          <w:tcPr>
            <w:tcW w:w="1276" w:type="dxa"/>
            <w:tcBorders>
              <w:top w:val="nil"/>
              <w:left w:val="nil"/>
              <w:bottom w:val="single" w:sz="4" w:space="0" w:color="000000"/>
              <w:right w:val="single" w:sz="4" w:space="0" w:color="000000"/>
            </w:tcBorders>
            <w:shd w:val="clear" w:color="auto" w:fill="auto"/>
            <w:noWrap/>
            <w:vAlign w:val="center"/>
            <w:hideMark/>
          </w:tcPr>
          <w:p w14:paraId="7901F76B"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8.212.133,15</w:t>
            </w:r>
          </w:p>
        </w:tc>
        <w:tc>
          <w:tcPr>
            <w:tcW w:w="1276" w:type="dxa"/>
            <w:tcBorders>
              <w:top w:val="nil"/>
              <w:left w:val="nil"/>
              <w:bottom w:val="single" w:sz="4" w:space="0" w:color="000000"/>
              <w:right w:val="single" w:sz="4" w:space="0" w:color="000000"/>
            </w:tcBorders>
            <w:shd w:val="clear" w:color="auto" w:fill="auto"/>
            <w:noWrap/>
            <w:vAlign w:val="center"/>
            <w:hideMark/>
          </w:tcPr>
          <w:p w14:paraId="5B7DC186"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6.917.325,66</w:t>
            </w:r>
          </w:p>
        </w:tc>
        <w:tc>
          <w:tcPr>
            <w:tcW w:w="1417" w:type="dxa"/>
            <w:tcBorders>
              <w:top w:val="nil"/>
              <w:left w:val="nil"/>
              <w:bottom w:val="single" w:sz="4" w:space="0" w:color="000000"/>
              <w:right w:val="single" w:sz="4" w:space="0" w:color="000000"/>
            </w:tcBorders>
            <w:shd w:val="clear" w:color="auto" w:fill="auto"/>
            <w:noWrap/>
            <w:vAlign w:val="center"/>
            <w:hideMark/>
          </w:tcPr>
          <w:p w14:paraId="0276230D"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6.817.335,76</w:t>
            </w:r>
          </w:p>
        </w:tc>
        <w:tc>
          <w:tcPr>
            <w:tcW w:w="1701" w:type="dxa"/>
            <w:tcBorders>
              <w:top w:val="nil"/>
              <w:left w:val="nil"/>
              <w:bottom w:val="single" w:sz="4" w:space="0" w:color="000000"/>
              <w:right w:val="single" w:sz="4" w:space="0" w:color="000000"/>
            </w:tcBorders>
            <w:shd w:val="clear" w:color="auto" w:fill="auto"/>
            <w:noWrap/>
            <w:vAlign w:val="center"/>
            <w:hideMark/>
          </w:tcPr>
          <w:p w14:paraId="092B5662" w14:textId="77777777" w:rsidR="009E4657" w:rsidRPr="009E4657" w:rsidRDefault="009E4657" w:rsidP="009E4657">
            <w:pPr>
              <w:spacing w:after="0" w:line="240" w:lineRule="auto"/>
              <w:jc w:val="right"/>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eastAsia="es-ES"/>
              </w:rPr>
              <w:t>6.780.788,68</w:t>
            </w:r>
          </w:p>
        </w:tc>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5E9DAAF8" w14:textId="77777777" w:rsidR="009E4657" w:rsidRPr="009E4657" w:rsidRDefault="009E4657" w:rsidP="009E4657">
            <w:pPr>
              <w:spacing w:after="0" w:line="240" w:lineRule="auto"/>
              <w:jc w:val="center"/>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rPr>
              <w:t>61%</w:t>
            </w:r>
          </w:p>
        </w:tc>
        <w:tc>
          <w:tcPr>
            <w:tcW w:w="567" w:type="dxa"/>
            <w:tcBorders>
              <w:top w:val="nil"/>
              <w:left w:val="nil"/>
              <w:bottom w:val="single" w:sz="4" w:space="0" w:color="000000"/>
              <w:right w:val="single" w:sz="4" w:space="0" w:color="000000"/>
            </w:tcBorders>
            <w:shd w:val="clear" w:color="auto" w:fill="auto"/>
            <w:noWrap/>
            <w:vAlign w:val="center"/>
            <w:hideMark/>
          </w:tcPr>
          <w:p w14:paraId="61B4D3DC" w14:textId="77777777" w:rsidR="009E4657" w:rsidRPr="009E4657" w:rsidRDefault="009E4657" w:rsidP="009E4657">
            <w:pPr>
              <w:spacing w:after="0" w:line="240" w:lineRule="auto"/>
              <w:jc w:val="center"/>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rPr>
              <w:t>98%</w:t>
            </w:r>
          </w:p>
        </w:tc>
        <w:tc>
          <w:tcPr>
            <w:tcW w:w="709" w:type="dxa"/>
            <w:tcBorders>
              <w:top w:val="nil"/>
              <w:left w:val="nil"/>
              <w:bottom w:val="single" w:sz="4" w:space="0" w:color="000000"/>
              <w:right w:val="single" w:sz="4" w:space="0" w:color="000000"/>
            </w:tcBorders>
            <w:shd w:val="clear" w:color="auto" w:fill="auto"/>
            <w:noWrap/>
            <w:vAlign w:val="center"/>
          </w:tcPr>
          <w:p w14:paraId="71307F6D" w14:textId="77777777" w:rsidR="009E4657" w:rsidRPr="009E4657" w:rsidRDefault="009E4657" w:rsidP="009E4657">
            <w:pPr>
              <w:spacing w:after="0" w:line="240" w:lineRule="auto"/>
              <w:jc w:val="center"/>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rPr>
              <w:t>83%</w:t>
            </w:r>
          </w:p>
        </w:tc>
        <w:tc>
          <w:tcPr>
            <w:tcW w:w="708" w:type="dxa"/>
            <w:tcBorders>
              <w:top w:val="nil"/>
              <w:left w:val="nil"/>
              <w:bottom w:val="single" w:sz="4" w:space="0" w:color="000000"/>
              <w:right w:val="single" w:sz="4" w:space="0" w:color="000000"/>
            </w:tcBorders>
            <w:shd w:val="clear" w:color="auto" w:fill="auto"/>
            <w:noWrap/>
            <w:vAlign w:val="center"/>
            <w:hideMark/>
          </w:tcPr>
          <w:p w14:paraId="6C957700" w14:textId="77777777" w:rsidR="009E4657" w:rsidRPr="009E4657" w:rsidRDefault="009E4657" w:rsidP="009E4657">
            <w:pPr>
              <w:spacing w:after="0" w:line="240" w:lineRule="auto"/>
              <w:jc w:val="center"/>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rPr>
              <w:t>99%</w:t>
            </w:r>
          </w:p>
        </w:tc>
        <w:tc>
          <w:tcPr>
            <w:tcW w:w="709" w:type="dxa"/>
            <w:tcBorders>
              <w:top w:val="nil"/>
              <w:left w:val="single" w:sz="4" w:space="0" w:color="000000"/>
              <w:bottom w:val="single" w:sz="4" w:space="0" w:color="000000"/>
              <w:right w:val="single" w:sz="4" w:space="0" w:color="000000"/>
            </w:tcBorders>
            <w:shd w:val="clear" w:color="000000" w:fill="E7E6E6"/>
            <w:noWrap/>
            <w:vAlign w:val="center"/>
            <w:hideMark/>
          </w:tcPr>
          <w:p w14:paraId="3D032553" w14:textId="77777777" w:rsidR="009E4657" w:rsidRPr="009E4657" w:rsidRDefault="009E4657" w:rsidP="009E4657">
            <w:pPr>
              <w:spacing w:after="0" w:line="240" w:lineRule="auto"/>
              <w:jc w:val="center"/>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rPr>
              <w:t>83,72</w:t>
            </w:r>
          </w:p>
        </w:tc>
        <w:tc>
          <w:tcPr>
            <w:tcW w:w="709" w:type="dxa"/>
            <w:tcBorders>
              <w:top w:val="nil"/>
              <w:left w:val="nil"/>
              <w:bottom w:val="single" w:sz="4" w:space="0" w:color="000000"/>
              <w:right w:val="single" w:sz="4" w:space="0" w:color="000000"/>
            </w:tcBorders>
            <w:shd w:val="clear" w:color="000000" w:fill="E7E6E6"/>
            <w:noWrap/>
            <w:vAlign w:val="center"/>
            <w:hideMark/>
          </w:tcPr>
          <w:p w14:paraId="3CBBB167" w14:textId="77777777" w:rsidR="009E4657" w:rsidRPr="009E4657" w:rsidRDefault="009E4657" w:rsidP="009E4657">
            <w:pPr>
              <w:spacing w:after="0" w:line="240" w:lineRule="auto"/>
              <w:jc w:val="center"/>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rPr>
              <w:t>149,17</w:t>
            </w:r>
          </w:p>
        </w:tc>
        <w:tc>
          <w:tcPr>
            <w:tcW w:w="709" w:type="dxa"/>
            <w:tcBorders>
              <w:top w:val="nil"/>
              <w:left w:val="nil"/>
              <w:bottom w:val="single" w:sz="4" w:space="0" w:color="000000"/>
              <w:right w:val="single" w:sz="4" w:space="0" w:color="000000"/>
            </w:tcBorders>
            <w:shd w:val="clear" w:color="000000" w:fill="E7E6E6"/>
            <w:noWrap/>
            <w:vAlign w:val="center"/>
            <w:hideMark/>
          </w:tcPr>
          <w:p w14:paraId="07918481" w14:textId="77777777" w:rsidR="009E4657" w:rsidRPr="009E4657" w:rsidRDefault="009E4657" w:rsidP="009E4657">
            <w:pPr>
              <w:spacing w:after="0" w:line="240" w:lineRule="auto"/>
              <w:jc w:val="center"/>
              <w:rPr>
                <w:rFonts w:ascii="Arial" w:eastAsia="Times New Roman" w:hAnsi="Arial" w:cs="Arial"/>
                <w:b/>
                <w:bCs/>
                <w:color w:val="000000"/>
                <w:sz w:val="16"/>
                <w:szCs w:val="16"/>
                <w:lang w:val="es-ES" w:eastAsia="es-ES"/>
              </w:rPr>
            </w:pPr>
            <w:r w:rsidRPr="009E4657">
              <w:rPr>
                <w:rFonts w:ascii="Arial" w:eastAsia="Times New Roman" w:hAnsi="Arial" w:cs="Arial"/>
                <w:b/>
                <w:bCs/>
                <w:color w:val="000000"/>
                <w:sz w:val="16"/>
                <w:szCs w:val="16"/>
                <w:lang w:val="ca"/>
              </w:rPr>
              <w:t>153,33</w:t>
            </w:r>
          </w:p>
        </w:tc>
      </w:tr>
    </w:tbl>
    <w:p w14:paraId="1120389C" w14:textId="678A7B74" w:rsidR="009E4657" w:rsidRPr="009E4657" w:rsidRDefault="009E4657" w:rsidP="009E4657">
      <w:pPr>
        <w:rPr>
          <w:rFonts w:ascii="Arial" w:eastAsia="Times New Roman" w:hAnsi="Arial" w:cs="Arial"/>
          <w:sz w:val="18"/>
          <w:szCs w:val="18"/>
          <w:highlight w:val="yellow"/>
          <w:lang w:val="es-ES"/>
        </w:rPr>
      </w:pPr>
    </w:p>
    <w:p w14:paraId="1C287AD6" w14:textId="77777777" w:rsidR="009E4657" w:rsidRPr="009E4657" w:rsidRDefault="009E4657" w:rsidP="009E4657">
      <w:pPr>
        <w:rPr>
          <w:rFonts w:ascii="Arial" w:eastAsia="Times New Roman" w:hAnsi="Arial" w:cs="Arial"/>
          <w:sz w:val="21"/>
          <w:szCs w:val="21"/>
          <w:highlight w:val="yellow"/>
          <w:lang w:val="es-ES"/>
        </w:rPr>
      </w:pPr>
    </w:p>
    <w:p w14:paraId="57FD2621" w14:textId="77777777" w:rsidR="009E4657" w:rsidRPr="009E4657" w:rsidRDefault="009E4657" w:rsidP="009E4657">
      <w:pPr>
        <w:rPr>
          <w:rFonts w:ascii="Arial" w:eastAsia="Times New Roman" w:hAnsi="Arial" w:cs="Arial"/>
          <w:sz w:val="21"/>
          <w:szCs w:val="21"/>
          <w:highlight w:val="yellow"/>
          <w:lang w:val="es-ES"/>
        </w:rPr>
      </w:pPr>
    </w:p>
    <w:p w14:paraId="25AC9748" w14:textId="77777777" w:rsidR="009E4657" w:rsidRPr="009E4657" w:rsidRDefault="009E4657" w:rsidP="009E4657">
      <w:pPr>
        <w:rPr>
          <w:rFonts w:ascii="Arial" w:eastAsia="Times New Roman" w:hAnsi="Arial" w:cs="Arial"/>
          <w:sz w:val="21"/>
          <w:szCs w:val="21"/>
          <w:highlight w:val="yellow"/>
          <w:lang w:val="es-ES"/>
        </w:rPr>
      </w:pPr>
    </w:p>
    <w:p w14:paraId="69347015" w14:textId="77777777" w:rsidR="009E4657" w:rsidRPr="009E4657" w:rsidRDefault="009E4657" w:rsidP="009E4657">
      <w:pPr>
        <w:rPr>
          <w:rFonts w:ascii="Arial" w:eastAsia="Times New Roman" w:hAnsi="Arial" w:cs="Arial"/>
          <w:sz w:val="21"/>
          <w:szCs w:val="21"/>
          <w:highlight w:val="yellow"/>
          <w:lang w:val="es-ES"/>
        </w:rPr>
      </w:pPr>
    </w:p>
    <w:p w14:paraId="1BBCC80C" w14:textId="77777777" w:rsidR="009E4657" w:rsidRPr="009E4657" w:rsidRDefault="009E4657" w:rsidP="009E4657">
      <w:pPr>
        <w:rPr>
          <w:rFonts w:ascii="Arial" w:eastAsia="Times New Roman" w:hAnsi="Arial" w:cs="Arial"/>
          <w:sz w:val="21"/>
          <w:szCs w:val="21"/>
          <w:highlight w:val="yellow"/>
          <w:lang w:val="es-ES"/>
        </w:rPr>
      </w:pPr>
    </w:p>
    <w:p w14:paraId="345335D9" w14:textId="77777777" w:rsidR="009E4657" w:rsidRPr="009E4657" w:rsidRDefault="009E4657" w:rsidP="009E4657">
      <w:pPr>
        <w:rPr>
          <w:rFonts w:ascii="Arial" w:eastAsia="Times New Roman" w:hAnsi="Arial" w:cs="Arial"/>
          <w:sz w:val="21"/>
          <w:szCs w:val="21"/>
          <w:highlight w:val="yellow"/>
          <w:lang w:val="es-ES"/>
        </w:rPr>
      </w:pPr>
    </w:p>
    <w:p w14:paraId="7745963A" w14:textId="77777777" w:rsidR="009E4657" w:rsidRPr="009E4657" w:rsidRDefault="009E4657" w:rsidP="009E4657">
      <w:pPr>
        <w:rPr>
          <w:rFonts w:ascii="Arial" w:eastAsia="Times New Roman" w:hAnsi="Arial" w:cs="Arial"/>
          <w:sz w:val="21"/>
          <w:szCs w:val="21"/>
          <w:highlight w:val="yellow"/>
          <w:lang w:val="es-ES"/>
        </w:rPr>
      </w:pPr>
    </w:p>
    <w:p w14:paraId="43A12B74" w14:textId="77777777" w:rsidR="009E4657" w:rsidRPr="009E4657" w:rsidRDefault="009E4657" w:rsidP="009E4657">
      <w:pPr>
        <w:rPr>
          <w:rFonts w:ascii="Arial" w:eastAsia="Times New Roman" w:hAnsi="Arial" w:cs="Arial"/>
          <w:sz w:val="21"/>
          <w:szCs w:val="21"/>
          <w:highlight w:val="yellow"/>
          <w:lang w:val="es-ES"/>
        </w:rPr>
      </w:pPr>
    </w:p>
    <w:p w14:paraId="190CC8B3" w14:textId="77777777" w:rsidR="009E4657" w:rsidRPr="009E4657" w:rsidRDefault="009E4657" w:rsidP="009E4657">
      <w:pPr>
        <w:rPr>
          <w:rFonts w:ascii="Arial" w:eastAsia="Times New Roman" w:hAnsi="Arial" w:cs="Arial"/>
          <w:sz w:val="21"/>
          <w:szCs w:val="21"/>
          <w:highlight w:val="yellow"/>
          <w:lang w:val="es-ES"/>
        </w:rPr>
        <w:sectPr w:rsidR="009E4657" w:rsidRPr="009E4657" w:rsidSect="00D13556">
          <w:pgSz w:w="16838" w:h="11906" w:orient="landscape"/>
          <w:pgMar w:top="1134" w:right="1134" w:bottom="1134" w:left="1134" w:header="0" w:footer="0" w:gutter="0"/>
          <w:cols w:space="720"/>
          <w:formProt w:val="0"/>
          <w:docGrid w:linePitch="100"/>
        </w:sectPr>
      </w:pPr>
    </w:p>
    <w:p w14:paraId="08BD828F" w14:textId="7A76B4FE" w:rsidR="002627D2" w:rsidRDefault="002627D2" w:rsidP="002627D2">
      <w:pPr>
        <w:spacing w:after="240" w:line="276" w:lineRule="auto"/>
        <w:jc w:val="both"/>
        <w:rPr>
          <w:rFonts w:ascii="Arial" w:eastAsia="Droid Sans Fallback" w:hAnsi="Arial" w:cs="Arial"/>
          <w:kern w:val="3"/>
          <w:sz w:val="21"/>
          <w:szCs w:val="21"/>
          <w:lang w:val="ca" w:eastAsia="zh-CN" w:bidi="hi-IN"/>
        </w:rPr>
      </w:pPr>
      <w:r w:rsidRPr="002627D2">
        <w:rPr>
          <w:rFonts w:ascii="Arial" w:eastAsia="Droid Sans Fallback" w:hAnsi="Arial" w:cs="Arial"/>
          <w:kern w:val="3"/>
          <w:sz w:val="21"/>
          <w:szCs w:val="21"/>
          <w:lang w:val="ca" w:eastAsia="zh-CN" w:bidi="hi-IN"/>
        </w:rPr>
        <w:t xml:space="preserve">El </w:t>
      </w:r>
      <w:r w:rsidRPr="002627D2">
        <w:rPr>
          <w:rFonts w:ascii="Arial" w:eastAsia="Droid Sans Fallback" w:hAnsi="Arial" w:cs="Arial"/>
          <w:b/>
          <w:bCs/>
          <w:kern w:val="3"/>
          <w:sz w:val="21"/>
          <w:szCs w:val="21"/>
          <w:lang w:val="ca" w:eastAsia="zh-CN" w:bidi="hi-IN"/>
        </w:rPr>
        <w:t>resultat pressupostari</w:t>
      </w:r>
      <w:r w:rsidRPr="002627D2">
        <w:rPr>
          <w:rFonts w:ascii="Arial" w:eastAsia="Droid Sans Fallback" w:hAnsi="Arial" w:cs="Arial"/>
          <w:kern w:val="3"/>
          <w:sz w:val="21"/>
          <w:szCs w:val="21"/>
          <w:lang w:val="ca" w:eastAsia="zh-CN" w:bidi="hi-IN"/>
        </w:rPr>
        <w:t xml:space="preserve"> de  l'exercici 2021 ascendeix a -2.392.319,20 euros. Sobre aquest resultat s'ha de realitzar el corresponent ajust com a conseqüència del pagament realitzat a la Generalitat Valenciana per a la devolució dels romanents d'exercicis anteriors. D'aquesta manera, s'obté un </w:t>
      </w:r>
      <w:r w:rsidRPr="002627D2">
        <w:rPr>
          <w:rFonts w:ascii="Arial" w:eastAsia="Droid Sans Fallback" w:hAnsi="Arial" w:cs="Arial"/>
          <w:b/>
          <w:kern w:val="3"/>
          <w:sz w:val="21"/>
          <w:szCs w:val="21"/>
          <w:lang w:val="ca" w:eastAsia="zh-CN" w:bidi="hi-IN"/>
        </w:rPr>
        <w:t>resultat pressupostari ajustat</w:t>
      </w:r>
      <w:r w:rsidRPr="002627D2">
        <w:rPr>
          <w:rFonts w:ascii="Arial" w:eastAsia="Droid Sans Fallback" w:hAnsi="Arial" w:cs="Arial"/>
          <w:kern w:val="3"/>
          <w:sz w:val="21"/>
          <w:szCs w:val="21"/>
          <w:lang w:val="ca" w:eastAsia="zh-CN" w:bidi="hi-IN"/>
        </w:rPr>
        <w:t xml:space="preserve"> positiu d'1.395.473,95 euros, d'acord amb el detall que s'ofereix a continuació.</w:t>
      </w:r>
    </w:p>
    <w:p w14:paraId="370A6D22" w14:textId="77777777" w:rsidR="00F14B75" w:rsidRPr="002627D2" w:rsidRDefault="00F14B75" w:rsidP="002627D2">
      <w:pPr>
        <w:spacing w:after="240" w:line="276" w:lineRule="auto"/>
        <w:jc w:val="both"/>
        <w:rPr>
          <w:rFonts w:ascii="Arial" w:eastAsia="Droid Sans Fallback" w:hAnsi="Arial" w:cs="Arial"/>
          <w:kern w:val="3"/>
          <w:sz w:val="21"/>
          <w:szCs w:val="21"/>
          <w:lang w:val="es-ES" w:eastAsia="zh-CN" w:bidi="hi-IN"/>
        </w:rPr>
      </w:pPr>
    </w:p>
    <w:p w14:paraId="5E930E07" w14:textId="09C3E4FE" w:rsidR="002627D2" w:rsidRPr="002627D2" w:rsidRDefault="002627D2" w:rsidP="00F14B75">
      <w:pPr>
        <w:pStyle w:val="Descripcin"/>
        <w:keepNext/>
        <w:jc w:val="center"/>
        <w:rPr>
          <w:rFonts w:ascii="Arial" w:hAnsi="Arial" w:cs="Arial"/>
          <w:smallCaps w:val="0"/>
          <w:sz w:val="18"/>
          <w:szCs w:val="18"/>
        </w:rPr>
      </w:pPr>
      <w:bookmarkStart w:id="503" w:name="_Toc99110884"/>
      <w:r w:rsidRPr="002627D2">
        <w:rPr>
          <w:rFonts w:ascii="Arial" w:hAnsi="Arial" w:cs="Arial"/>
          <w:smallCaps w:val="0"/>
          <w:color w:val="9D2235" w:themeColor="accent1"/>
          <w:sz w:val="18"/>
          <w:szCs w:val="18"/>
        </w:rPr>
        <w:t xml:space="preserve">Taula </w:t>
      </w:r>
      <w:r w:rsidRPr="002627D2">
        <w:rPr>
          <w:rFonts w:ascii="Arial" w:hAnsi="Arial" w:cs="Arial"/>
          <w:smallCaps w:val="0"/>
          <w:color w:val="9D2235" w:themeColor="accent1"/>
          <w:sz w:val="18"/>
          <w:szCs w:val="18"/>
        </w:rPr>
        <w:fldChar w:fldCharType="begin" w:fldLock="1"/>
      </w:r>
      <w:r w:rsidRPr="002627D2">
        <w:rPr>
          <w:rFonts w:ascii="Arial" w:hAnsi="Arial" w:cs="Arial"/>
          <w:smallCaps w:val="0"/>
          <w:color w:val="9D2235" w:themeColor="accent1"/>
          <w:sz w:val="18"/>
          <w:szCs w:val="18"/>
        </w:rPr>
        <w:instrText xml:space="preserve"> SEQ Taula \* ARABIC </w:instrText>
      </w:r>
      <w:r w:rsidRPr="002627D2">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39</w:t>
      </w:r>
      <w:r w:rsidRPr="002627D2">
        <w:rPr>
          <w:rFonts w:ascii="Arial" w:hAnsi="Arial" w:cs="Arial"/>
          <w:smallCaps w:val="0"/>
          <w:color w:val="9D2235" w:themeColor="accent1"/>
          <w:sz w:val="18"/>
          <w:szCs w:val="18"/>
        </w:rPr>
        <w:fldChar w:fldCharType="end"/>
      </w:r>
      <w:r w:rsidRPr="002627D2">
        <w:rPr>
          <w:rFonts w:ascii="Arial" w:hAnsi="Arial" w:cs="Arial"/>
          <w:smallCaps w:val="0"/>
          <w:color w:val="9D2235" w:themeColor="accent1"/>
          <w:sz w:val="18"/>
          <w:szCs w:val="18"/>
        </w:rPr>
        <w:t xml:space="preserve">. </w:t>
      </w:r>
      <w:r w:rsidRPr="002627D2">
        <w:rPr>
          <w:rFonts w:ascii="Arial" w:hAnsi="Arial" w:cs="Arial"/>
          <w:smallCaps w:val="0"/>
          <w:sz w:val="18"/>
          <w:szCs w:val="18"/>
        </w:rPr>
        <w:t>Resultat pressupostari 2021</w:t>
      </w:r>
      <w:bookmarkEnd w:id="503"/>
    </w:p>
    <w:tbl>
      <w:tblPr>
        <w:tblW w:w="8505" w:type="dxa"/>
        <w:jc w:val="center"/>
        <w:tblBorders>
          <w:bottom w:val="single" w:sz="4" w:space="0" w:color="auto"/>
        </w:tblBorders>
        <w:tblCellMar>
          <w:top w:w="28" w:type="dxa"/>
          <w:left w:w="28" w:type="dxa"/>
          <w:bottom w:w="28" w:type="dxa"/>
          <w:right w:w="28" w:type="dxa"/>
        </w:tblCellMar>
        <w:tblLook w:val="0000" w:firstRow="0" w:lastRow="0" w:firstColumn="0" w:lastColumn="0" w:noHBand="0" w:noVBand="0"/>
      </w:tblPr>
      <w:tblGrid>
        <w:gridCol w:w="6722"/>
        <w:gridCol w:w="1783"/>
      </w:tblGrid>
      <w:tr w:rsidR="002627D2" w:rsidRPr="00283296" w14:paraId="59B0B040" w14:textId="77777777" w:rsidTr="00271465">
        <w:trPr>
          <w:jc w:val="center"/>
        </w:trPr>
        <w:tc>
          <w:tcPr>
            <w:tcW w:w="6722" w:type="dxa"/>
            <w:tcBorders>
              <w:bottom w:val="single" w:sz="4" w:space="0" w:color="auto"/>
            </w:tcBorders>
            <w:shd w:val="clear" w:color="auto" w:fill="9D2235"/>
          </w:tcPr>
          <w:p w14:paraId="16A10BB9" w14:textId="77777777" w:rsidR="002627D2" w:rsidRPr="00283296" w:rsidRDefault="002627D2" w:rsidP="002627D2">
            <w:pPr>
              <w:widowControl w:val="0"/>
              <w:suppressAutoHyphens/>
              <w:spacing w:after="0" w:line="276" w:lineRule="auto"/>
              <w:jc w:val="both"/>
              <w:textAlignment w:val="baseline"/>
              <w:rPr>
                <w:rFonts w:ascii="Arial" w:eastAsia="NSimSun" w:hAnsi="Arial" w:cs="Arial"/>
                <w:b/>
                <w:bCs/>
                <w:color w:val="FFFFFF"/>
                <w:kern w:val="2"/>
                <w:sz w:val="19"/>
                <w:szCs w:val="19"/>
                <w:highlight w:val="yellow"/>
                <w:lang w:val="es-ES" w:eastAsia="zh-CN"/>
              </w:rPr>
            </w:pPr>
            <w:r w:rsidRPr="00283296">
              <w:rPr>
                <w:rFonts w:ascii="Arial" w:eastAsia="NSimSun" w:hAnsi="Arial" w:cs="Arial"/>
                <w:b/>
                <w:bCs/>
                <w:color w:val="FFFFFF"/>
                <w:kern w:val="2"/>
                <w:sz w:val="19"/>
                <w:szCs w:val="19"/>
                <w:lang w:val="ca" w:eastAsia="zh-CN"/>
              </w:rPr>
              <w:t>Operacions corrents</w:t>
            </w:r>
          </w:p>
        </w:tc>
        <w:tc>
          <w:tcPr>
            <w:tcW w:w="1783" w:type="dxa"/>
            <w:tcBorders>
              <w:bottom w:val="single" w:sz="4" w:space="0" w:color="auto"/>
            </w:tcBorders>
            <w:shd w:val="clear" w:color="auto" w:fill="9D2235"/>
          </w:tcPr>
          <w:p w14:paraId="3B4B7ABE" w14:textId="77777777" w:rsidR="002627D2" w:rsidRPr="00283296" w:rsidRDefault="002627D2" w:rsidP="002627D2">
            <w:pPr>
              <w:widowControl w:val="0"/>
              <w:suppressAutoHyphens/>
              <w:spacing w:after="0" w:line="276" w:lineRule="auto"/>
              <w:jc w:val="both"/>
              <w:textAlignment w:val="baseline"/>
              <w:rPr>
                <w:rFonts w:ascii="Arial" w:eastAsia="NSimSun" w:hAnsi="Arial" w:cs="Arial"/>
                <w:kern w:val="2"/>
                <w:sz w:val="19"/>
                <w:szCs w:val="19"/>
                <w:highlight w:val="yellow"/>
                <w:lang w:val="es-ES" w:eastAsia="zh-CN"/>
              </w:rPr>
            </w:pPr>
          </w:p>
        </w:tc>
      </w:tr>
      <w:tr w:rsidR="002627D2" w:rsidRPr="00283296" w14:paraId="4AE3BABD" w14:textId="77777777" w:rsidTr="00271465">
        <w:trPr>
          <w:jc w:val="center"/>
        </w:trPr>
        <w:tc>
          <w:tcPr>
            <w:tcW w:w="6722" w:type="dxa"/>
            <w:tcBorders>
              <w:top w:val="single" w:sz="4" w:space="0" w:color="auto"/>
              <w:bottom w:val="single" w:sz="4" w:space="0" w:color="auto"/>
            </w:tcBorders>
            <w:shd w:val="clear" w:color="auto" w:fill="auto"/>
          </w:tcPr>
          <w:p w14:paraId="6A66704C" w14:textId="77777777" w:rsidR="002627D2" w:rsidRPr="00283296" w:rsidRDefault="002627D2" w:rsidP="002627D2">
            <w:pPr>
              <w:widowControl w:val="0"/>
              <w:tabs>
                <w:tab w:val="right" w:pos="7941"/>
              </w:tabs>
              <w:suppressAutoHyphens/>
              <w:spacing w:after="0" w:line="276" w:lineRule="auto"/>
              <w:jc w:val="both"/>
              <w:textAlignment w:val="baseline"/>
              <w:rPr>
                <w:rFonts w:ascii="Arial" w:eastAsia="NSimSun" w:hAnsi="Arial" w:cs="Arial"/>
                <w:kern w:val="2"/>
                <w:sz w:val="19"/>
                <w:szCs w:val="19"/>
                <w:lang w:val="es-ES" w:eastAsia="zh-CN"/>
              </w:rPr>
            </w:pPr>
            <w:r w:rsidRPr="00283296">
              <w:rPr>
                <w:rFonts w:ascii="Arial" w:eastAsia="NSimSun" w:hAnsi="Arial" w:cs="Arial"/>
                <w:color w:val="000000"/>
                <w:kern w:val="2"/>
                <w:sz w:val="19"/>
                <w:szCs w:val="19"/>
                <w:lang w:val="ca" w:eastAsia="zh-CN"/>
              </w:rPr>
              <w:t>Drets liquidats</w:t>
            </w:r>
          </w:p>
        </w:tc>
        <w:tc>
          <w:tcPr>
            <w:tcW w:w="1783" w:type="dxa"/>
            <w:tcBorders>
              <w:top w:val="single" w:sz="4" w:space="0" w:color="auto"/>
              <w:bottom w:val="single" w:sz="4" w:space="0" w:color="auto"/>
            </w:tcBorders>
            <w:shd w:val="clear" w:color="auto" w:fill="auto"/>
          </w:tcPr>
          <w:p w14:paraId="76EF06C5" w14:textId="77777777" w:rsidR="002627D2" w:rsidRPr="00283296" w:rsidRDefault="002627D2" w:rsidP="002627D2">
            <w:pPr>
              <w:widowControl w:val="0"/>
              <w:tabs>
                <w:tab w:val="right" w:pos="7941"/>
              </w:tabs>
              <w:suppressAutoHyphens/>
              <w:spacing w:after="0" w:line="276" w:lineRule="auto"/>
              <w:jc w:val="right"/>
              <w:textAlignment w:val="baseline"/>
              <w:rPr>
                <w:rFonts w:ascii="Arial" w:eastAsia="NSimSun" w:hAnsi="Arial" w:cs="Arial"/>
                <w:kern w:val="2"/>
                <w:sz w:val="19"/>
                <w:szCs w:val="19"/>
                <w:highlight w:val="yellow"/>
                <w:lang w:val="es-ES" w:eastAsia="zh-CN"/>
              </w:rPr>
            </w:pPr>
            <w:r w:rsidRPr="00283296">
              <w:rPr>
                <w:rFonts w:ascii="Arial" w:eastAsia="NSimSun" w:hAnsi="Arial" w:cs="Arial"/>
                <w:kern w:val="2"/>
                <w:sz w:val="19"/>
                <w:szCs w:val="19"/>
                <w:lang w:val="es-ES" w:eastAsia="zh-CN"/>
              </w:rPr>
              <w:t>4.224.617,77 €</w:t>
            </w:r>
          </w:p>
        </w:tc>
      </w:tr>
      <w:tr w:rsidR="002627D2" w:rsidRPr="00283296" w14:paraId="4B29C94E" w14:textId="77777777" w:rsidTr="00271465">
        <w:trPr>
          <w:jc w:val="center"/>
        </w:trPr>
        <w:tc>
          <w:tcPr>
            <w:tcW w:w="6722" w:type="dxa"/>
            <w:tcBorders>
              <w:top w:val="single" w:sz="4" w:space="0" w:color="auto"/>
              <w:bottom w:val="single" w:sz="4" w:space="0" w:color="auto"/>
            </w:tcBorders>
            <w:shd w:val="clear" w:color="auto" w:fill="auto"/>
          </w:tcPr>
          <w:p w14:paraId="1D7FB237" w14:textId="77777777" w:rsidR="002627D2" w:rsidRPr="00283296" w:rsidRDefault="002627D2" w:rsidP="002627D2">
            <w:pPr>
              <w:widowControl w:val="0"/>
              <w:tabs>
                <w:tab w:val="right" w:pos="7953"/>
              </w:tabs>
              <w:suppressAutoHyphens/>
              <w:spacing w:after="0" w:line="276" w:lineRule="auto"/>
              <w:jc w:val="both"/>
              <w:textAlignment w:val="baseline"/>
              <w:rPr>
                <w:rFonts w:ascii="Arial" w:eastAsia="NSimSun" w:hAnsi="Arial" w:cs="Arial"/>
                <w:kern w:val="2"/>
                <w:sz w:val="19"/>
                <w:szCs w:val="19"/>
                <w:lang w:val="es-ES" w:eastAsia="zh-CN"/>
              </w:rPr>
            </w:pPr>
            <w:r w:rsidRPr="00283296">
              <w:rPr>
                <w:rFonts w:ascii="Arial" w:eastAsia="NSimSun" w:hAnsi="Arial" w:cs="Arial"/>
                <w:kern w:val="2"/>
                <w:sz w:val="19"/>
                <w:szCs w:val="19"/>
                <w:lang w:val="ca" w:eastAsia="zh-CN"/>
              </w:rPr>
              <w:t>Obligacions reconegudes</w:t>
            </w:r>
          </w:p>
        </w:tc>
        <w:tc>
          <w:tcPr>
            <w:tcW w:w="1783" w:type="dxa"/>
            <w:tcBorders>
              <w:top w:val="single" w:sz="4" w:space="0" w:color="auto"/>
              <w:bottom w:val="single" w:sz="4" w:space="0" w:color="auto"/>
            </w:tcBorders>
            <w:shd w:val="clear" w:color="auto" w:fill="auto"/>
          </w:tcPr>
          <w:p w14:paraId="46E49B62" w14:textId="77777777" w:rsidR="002627D2" w:rsidRPr="00283296" w:rsidRDefault="002627D2" w:rsidP="002627D2">
            <w:pPr>
              <w:widowControl w:val="0"/>
              <w:tabs>
                <w:tab w:val="right" w:pos="7953"/>
              </w:tabs>
              <w:suppressAutoHyphens/>
              <w:spacing w:after="0" w:line="276" w:lineRule="auto"/>
              <w:jc w:val="right"/>
              <w:textAlignment w:val="baseline"/>
              <w:rPr>
                <w:rFonts w:ascii="Arial" w:eastAsia="NSimSun" w:hAnsi="Arial" w:cs="Arial"/>
                <w:kern w:val="2"/>
                <w:sz w:val="19"/>
                <w:szCs w:val="19"/>
                <w:highlight w:val="yellow"/>
                <w:lang w:val="es-ES" w:eastAsia="zh-CN"/>
              </w:rPr>
            </w:pPr>
            <w:r w:rsidRPr="00283296">
              <w:rPr>
                <w:rFonts w:ascii="Arial" w:eastAsia="NSimSun" w:hAnsi="Arial" w:cs="Arial"/>
                <w:kern w:val="2"/>
                <w:sz w:val="19"/>
                <w:szCs w:val="19"/>
                <w:lang w:val="es-ES" w:eastAsia="zh-CN"/>
              </w:rPr>
              <w:t>6.794.428,70 €</w:t>
            </w:r>
          </w:p>
        </w:tc>
      </w:tr>
      <w:tr w:rsidR="002627D2" w:rsidRPr="00283296" w14:paraId="160274DA" w14:textId="77777777" w:rsidTr="00271465">
        <w:trPr>
          <w:jc w:val="center"/>
        </w:trPr>
        <w:tc>
          <w:tcPr>
            <w:tcW w:w="6722" w:type="dxa"/>
            <w:tcBorders>
              <w:bottom w:val="single" w:sz="4" w:space="0" w:color="auto"/>
            </w:tcBorders>
            <w:shd w:val="clear" w:color="auto" w:fill="9D2235"/>
          </w:tcPr>
          <w:p w14:paraId="1D1C92D9" w14:textId="77777777" w:rsidR="002627D2" w:rsidRPr="00283296" w:rsidRDefault="002627D2" w:rsidP="002627D2">
            <w:pPr>
              <w:widowControl w:val="0"/>
              <w:suppressAutoHyphens/>
              <w:spacing w:after="0" w:line="276" w:lineRule="auto"/>
              <w:jc w:val="both"/>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Operacions de capital</w:t>
            </w:r>
          </w:p>
        </w:tc>
        <w:tc>
          <w:tcPr>
            <w:tcW w:w="1783" w:type="dxa"/>
            <w:tcBorders>
              <w:bottom w:val="single" w:sz="4" w:space="0" w:color="auto"/>
            </w:tcBorders>
            <w:shd w:val="clear" w:color="auto" w:fill="9D2235"/>
          </w:tcPr>
          <w:p w14:paraId="6C3A5CAE" w14:textId="77777777" w:rsidR="002627D2" w:rsidRPr="00283296" w:rsidRDefault="002627D2" w:rsidP="002627D2">
            <w:pPr>
              <w:widowControl w:val="0"/>
              <w:suppressAutoHyphens/>
              <w:spacing w:after="0" w:line="276" w:lineRule="auto"/>
              <w:jc w:val="right"/>
              <w:textAlignment w:val="baseline"/>
              <w:rPr>
                <w:rFonts w:ascii="Arial" w:eastAsia="NSimSun" w:hAnsi="Arial" w:cs="Arial"/>
                <w:kern w:val="2"/>
                <w:sz w:val="19"/>
                <w:szCs w:val="19"/>
                <w:highlight w:val="yellow"/>
                <w:lang w:val="es-ES" w:eastAsia="zh-CN"/>
              </w:rPr>
            </w:pPr>
          </w:p>
        </w:tc>
      </w:tr>
      <w:tr w:rsidR="002627D2" w:rsidRPr="00283296" w14:paraId="3FA73003" w14:textId="77777777" w:rsidTr="00271465">
        <w:trPr>
          <w:jc w:val="center"/>
        </w:trPr>
        <w:tc>
          <w:tcPr>
            <w:tcW w:w="6722" w:type="dxa"/>
            <w:tcBorders>
              <w:top w:val="single" w:sz="4" w:space="0" w:color="auto"/>
              <w:bottom w:val="single" w:sz="4" w:space="0" w:color="auto"/>
            </w:tcBorders>
            <w:shd w:val="clear" w:color="auto" w:fill="auto"/>
          </w:tcPr>
          <w:p w14:paraId="77498990" w14:textId="77777777" w:rsidR="002627D2" w:rsidRPr="00283296" w:rsidRDefault="002627D2" w:rsidP="002627D2">
            <w:pPr>
              <w:widowControl w:val="0"/>
              <w:tabs>
                <w:tab w:val="right" w:pos="7941"/>
              </w:tabs>
              <w:suppressAutoHyphens/>
              <w:spacing w:after="0" w:line="276" w:lineRule="auto"/>
              <w:jc w:val="both"/>
              <w:textAlignment w:val="baseline"/>
              <w:rPr>
                <w:rFonts w:ascii="Arial" w:eastAsia="NSimSun" w:hAnsi="Arial" w:cs="Arial"/>
                <w:color w:val="000000"/>
                <w:kern w:val="2"/>
                <w:sz w:val="19"/>
                <w:szCs w:val="19"/>
                <w:lang w:val="es-ES" w:eastAsia="zh-CN"/>
              </w:rPr>
            </w:pPr>
            <w:r w:rsidRPr="00283296">
              <w:rPr>
                <w:rFonts w:ascii="Arial" w:eastAsia="NSimSun" w:hAnsi="Arial" w:cs="Arial"/>
                <w:color w:val="000000"/>
                <w:kern w:val="2"/>
                <w:sz w:val="19"/>
                <w:szCs w:val="19"/>
                <w:lang w:val="ca" w:eastAsia="zh-CN"/>
              </w:rPr>
              <w:t>Drets liquidats</w:t>
            </w:r>
          </w:p>
        </w:tc>
        <w:tc>
          <w:tcPr>
            <w:tcW w:w="1783" w:type="dxa"/>
            <w:tcBorders>
              <w:top w:val="single" w:sz="4" w:space="0" w:color="auto"/>
              <w:bottom w:val="single" w:sz="4" w:space="0" w:color="auto"/>
            </w:tcBorders>
            <w:shd w:val="clear" w:color="auto" w:fill="auto"/>
          </w:tcPr>
          <w:p w14:paraId="5B2F4642" w14:textId="77777777" w:rsidR="002627D2" w:rsidRPr="00283296" w:rsidRDefault="002627D2" w:rsidP="002627D2">
            <w:pPr>
              <w:widowControl w:val="0"/>
              <w:tabs>
                <w:tab w:val="right" w:pos="7941"/>
              </w:tabs>
              <w:suppressAutoHyphens/>
              <w:spacing w:after="0" w:line="276" w:lineRule="auto"/>
              <w:jc w:val="right"/>
              <w:textAlignment w:val="baseline"/>
              <w:rPr>
                <w:rFonts w:ascii="Arial" w:eastAsia="NSimSun" w:hAnsi="Arial" w:cs="Arial"/>
                <w:color w:val="000000"/>
                <w:kern w:val="2"/>
                <w:sz w:val="19"/>
                <w:szCs w:val="19"/>
                <w:highlight w:val="yellow"/>
                <w:lang w:val="es-ES" w:eastAsia="zh-CN"/>
              </w:rPr>
            </w:pPr>
            <w:r w:rsidRPr="00283296">
              <w:rPr>
                <w:rFonts w:ascii="Arial" w:eastAsia="NSimSun" w:hAnsi="Arial" w:cs="Helvetica"/>
                <w:color w:val="000000"/>
                <w:kern w:val="2"/>
                <w:sz w:val="19"/>
                <w:szCs w:val="19"/>
                <w:lang w:val="es-ES" w:eastAsia="zh-CN"/>
              </w:rPr>
              <w:t>199.890,00 €</w:t>
            </w:r>
          </w:p>
        </w:tc>
      </w:tr>
      <w:tr w:rsidR="002627D2" w:rsidRPr="00283296" w14:paraId="50A0EA09" w14:textId="77777777" w:rsidTr="00271465">
        <w:trPr>
          <w:jc w:val="center"/>
        </w:trPr>
        <w:tc>
          <w:tcPr>
            <w:tcW w:w="6722" w:type="dxa"/>
            <w:tcBorders>
              <w:top w:val="single" w:sz="4" w:space="0" w:color="auto"/>
              <w:bottom w:val="single" w:sz="4" w:space="0" w:color="auto"/>
            </w:tcBorders>
            <w:shd w:val="clear" w:color="auto" w:fill="auto"/>
          </w:tcPr>
          <w:p w14:paraId="0BE9BB5C" w14:textId="77777777" w:rsidR="002627D2" w:rsidRPr="00283296" w:rsidRDefault="002627D2" w:rsidP="002627D2">
            <w:pPr>
              <w:widowControl w:val="0"/>
              <w:tabs>
                <w:tab w:val="right" w:pos="7953"/>
              </w:tabs>
              <w:suppressAutoHyphens/>
              <w:spacing w:after="0" w:line="276" w:lineRule="auto"/>
              <w:jc w:val="both"/>
              <w:textAlignment w:val="baseline"/>
              <w:rPr>
                <w:rFonts w:ascii="Arial" w:eastAsia="NSimSun" w:hAnsi="Arial" w:cs="Arial"/>
                <w:kern w:val="2"/>
                <w:sz w:val="19"/>
                <w:szCs w:val="19"/>
                <w:lang w:val="es-ES" w:eastAsia="zh-CN"/>
              </w:rPr>
            </w:pPr>
            <w:r w:rsidRPr="00283296">
              <w:rPr>
                <w:rFonts w:ascii="Arial" w:eastAsia="NSimSun" w:hAnsi="Arial" w:cs="Arial"/>
                <w:color w:val="000000"/>
                <w:kern w:val="2"/>
                <w:sz w:val="19"/>
                <w:szCs w:val="19"/>
                <w:lang w:val="ca" w:eastAsia="zh-CN"/>
              </w:rPr>
              <w:t>Obligacions reconegudes</w:t>
            </w:r>
          </w:p>
        </w:tc>
        <w:tc>
          <w:tcPr>
            <w:tcW w:w="1783" w:type="dxa"/>
            <w:tcBorders>
              <w:top w:val="single" w:sz="4" w:space="0" w:color="auto"/>
              <w:bottom w:val="single" w:sz="4" w:space="0" w:color="auto"/>
            </w:tcBorders>
            <w:shd w:val="clear" w:color="auto" w:fill="auto"/>
          </w:tcPr>
          <w:p w14:paraId="20C56ADA" w14:textId="77777777" w:rsidR="002627D2" w:rsidRPr="00283296" w:rsidRDefault="002627D2" w:rsidP="002627D2">
            <w:pPr>
              <w:widowControl w:val="0"/>
              <w:tabs>
                <w:tab w:val="right" w:pos="7953"/>
              </w:tabs>
              <w:suppressAutoHyphens/>
              <w:spacing w:after="0" w:line="276" w:lineRule="auto"/>
              <w:jc w:val="right"/>
              <w:textAlignment w:val="baseline"/>
              <w:rPr>
                <w:rFonts w:ascii="Arial" w:eastAsia="NSimSun" w:hAnsi="Arial" w:cs="Arial"/>
                <w:kern w:val="2"/>
                <w:sz w:val="19"/>
                <w:szCs w:val="19"/>
                <w:highlight w:val="yellow"/>
                <w:lang w:val="es-ES" w:eastAsia="zh-CN"/>
              </w:rPr>
            </w:pPr>
            <w:r w:rsidRPr="00283296">
              <w:rPr>
                <w:rFonts w:ascii="Arial" w:eastAsia="NSimSun" w:hAnsi="Arial" w:cs="Arial"/>
                <w:color w:val="000000"/>
                <w:kern w:val="2"/>
                <w:sz w:val="19"/>
                <w:szCs w:val="19"/>
                <w:lang w:val="es-ES" w:eastAsia="zh-CN"/>
              </w:rPr>
              <w:t>22.398,27 €</w:t>
            </w:r>
          </w:p>
        </w:tc>
      </w:tr>
      <w:tr w:rsidR="002627D2" w:rsidRPr="00283296" w14:paraId="72DF284D" w14:textId="77777777" w:rsidTr="00271465">
        <w:trPr>
          <w:jc w:val="center"/>
        </w:trPr>
        <w:tc>
          <w:tcPr>
            <w:tcW w:w="6722" w:type="dxa"/>
            <w:tcBorders>
              <w:top w:val="single" w:sz="4" w:space="0" w:color="auto"/>
              <w:bottom w:val="single" w:sz="4" w:space="0" w:color="auto"/>
            </w:tcBorders>
            <w:shd w:val="clear" w:color="auto" w:fill="auto"/>
          </w:tcPr>
          <w:p w14:paraId="483F47FE" w14:textId="77777777" w:rsidR="002627D2" w:rsidRPr="00283296" w:rsidRDefault="002627D2" w:rsidP="002627D2">
            <w:pPr>
              <w:widowControl w:val="0"/>
              <w:tabs>
                <w:tab w:val="right" w:pos="7953"/>
              </w:tabs>
              <w:suppressAutoHyphens/>
              <w:spacing w:after="0" w:line="276" w:lineRule="auto"/>
              <w:jc w:val="right"/>
              <w:textAlignment w:val="baseline"/>
              <w:rPr>
                <w:rFonts w:ascii="Arial" w:eastAsia="NSimSun" w:hAnsi="Arial" w:cs="Arial"/>
                <w:kern w:val="2"/>
                <w:sz w:val="19"/>
                <w:szCs w:val="19"/>
                <w:lang w:val="es-ES" w:eastAsia="zh-CN"/>
              </w:rPr>
            </w:pPr>
            <w:r w:rsidRPr="00283296">
              <w:rPr>
                <w:rFonts w:ascii="Arial" w:eastAsia="NSimSun" w:hAnsi="Arial" w:cs="Arial"/>
                <w:color w:val="9D2235"/>
                <w:kern w:val="2"/>
                <w:sz w:val="19"/>
                <w:szCs w:val="19"/>
                <w:lang w:val="ca" w:eastAsia="zh-CN"/>
              </w:rPr>
              <w:t>Total drets liquidats</w:t>
            </w:r>
          </w:p>
        </w:tc>
        <w:tc>
          <w:tcPr>
            <w:tcW w:w="1783" w:type="dxa"/>
            <w:tcBorders>
              <w:top w:val="single" w:sz="4" w:space="0" w:color="auto"/>
              <w:bottom w:val="single" w:sz="4" w:space="0" w:color="auto"/>
            </w:tcBorders>
            <w:shd w:val="clear" w:color="auto" w:fill="auto"/>
          </w:tcPr>
          <w:p w14:paraId="3EB9A441" w14:textId="77777777" w:rsidR="002627D2" w:rsidRPr="00283296" w:rsidRDefault="002627D2" w:rsidP="002627D2">
            <w:pPr>
              <w:widowControl w:val="0"/>
              <w:tabs>
                <w:tab w:val="right" w:pos="7953"/>
              </w:tabs>
              <w:suppressAutoHyphens/>
              <w:spacing w:after="0" w:line="276" w:lineRule="auto"/>
              <w:jc w:val="right"/>
              <w:textAlignment w:val="baseline"/>
              <w:rPr>
                <w:rFonts w:ascii="Arial" w:eastAsia="NSimSun" w:hAnsi="Arial" w:cs="Arial"/>
                <w:kern w:val="2"/>
                <w:sz w:val="19"/>
                <w:szCs w:val="19"/>
                <w:highlight w:val="yellow"/>
                <w:lang w:val="es-ES" w:eastAsia="zh-CN"/>
              </w:rPr>
            </w:pPr>
            <w:r w:rsidRPr="00283296">
              <w:rPr>
                <w:rFonts w:ascii="Arial" w:eastAsia="NSimSun" w:hAnsi="Arial" w:cs="Arial"/>
                <w:kern w:val="2"/>
                <w:sz w:val="19"/>
                <w:szCs w:val="19"/>
                <w:lang w:val="es-ES" w:eastAsia="zh-CN"/>
              </w:rPr>
              <w:t>4.424.507,77 €</w:t>
            </w:r>
          </w:p>
        </w:tc>
      </w:tr>
      <w:tr w:rsidR="002627D2" w:rsidRPr="00283296" w14:paraId="24928C6D" w14:textId="77777777" w:rsidTr="00271465">
        <w:trPr>
          <w:jc w:val="center"/>
        </w:trPr>
        <w:tc>
          <w:tcPr>
            <w:tcW w:w="6722" w:type="dxa"/>
            <w:tcBorders>
              <w:top w:val="single" w:sz="4" w:space="0" w:color="auto"/>
              <w:bottom w:val="single" w:sz="4" w:space="0" w:color="auto"/>
            </w:tcBorders>
            <w:shd w:val="clear" w:color="auto" w:fill="auto"/>
          </w:tcPr>
          <w:p w14:paraId="761A183E" w14:textId="77777777" w:rsidR="002627D2" w:rsidRPr="00283296" w:rsidRDefault="002627D2" w:rsidP="002627D2">
            <w:pPr>
              <w:widowControl w:val="0"/>
              <w:tabs>
                <w:tab w:val="right" w:pos="7941"/>
              </w:tabs>
              <w:suppressAutoHyphens/>
              <w:spacing w:after="0" w:line="276" w:lineRule="auto"/>
              <w:jc w:val="right"/>
              <w:textAlignment w:val="baseline"/>
              <w:rPr>
                <w:rFonts w:ascii="Arial" w:eastAsia="NSimSun" w:hAnsi="Arial" w:cs="Arial"/>
                <w:kern w:val="2"/>
                <w:sz w:val="19"/>
                <w:szCs w:val="19"/>
                <w:lang w:val="es-ES" w:eastAsia="zh-CN"/>
              </w:rPr>
            </w:pPr>
            <w:r w:rsidRPr="00283296">
              <w:rPr>
                <w:rFonts w:ascii="Arial" w:eastAsia="NSimSun" w:hAnsi="Arial" w:cs="Arial"/>
                <w:color w:val="9D2235"/>
                <w:kern w:val="2"/>
                <w:sz w:val="19"/>
                <w:szCs w:val="19"/>
                <w:lang w:val="ca" w:eastAsia="zh-CN"/>
              </w:rPr>
              <w:t>Total obligacions reconegudes</w:t>
            </w:r>
          </w:p>
        </w:tc>
        <w:tc>
          <w:tcPr>
            <w:tcW w:w="1783" w:type="dxa"/>
            <w:tcBorders>
              <w:top w:val="single" w:sz="4" w:space="0" w:color="auto"/>
              <w:bottom w:val="single" w:sz="4" w:space="0" w:color="auto"/>
            </w:tcBorders>
            <w:shd w:val="clear" w:color="auto" w:fill="auto"/>
          </w:tcPr>
          <w:p w14:paraId="6220EF8B" w14:textId="77777777" w:rsidR="002627D2" w:rsidRPr="00283296" w:rsidRDefault="002627D2" w:rsidP="002627D2">
            <w:pPr>
              <w:widowControl w:val="0"/>
              <w:tabs>
                <w:tab w:val="right" w:pos="7941"/>
              </w:tabs>
              <w:suppressAutoHyphens/>
              <w:spacing w:after="0" w:line="276" w:lineRule="auto"/>
              <w:jc w:val="right"/>
              <w:textAlignment w:val="baseline"/>
              <w:rPr>
                <w:rFonts w:ascii="Arial" w:eastAsia="NSimSun" w:hAnsi="Arial" w:cs="Arial"/>
                <w:kern w:val="2"/>
                <w:sz w:val="19"/>
                <w:szCs w:val="19"/>
                <w:highlight w:val="yellow"/>
                <w:lang w:val="es-ES" w:eastAsia="zh-CN"/>
              </w:rPr>
            </w:pPr>
            <w:r w:rsidRPr="00283296">
              <w:rPr>
                <w:rFonts w:ascii="Arial" w:eastAsia="NSimSun" w:hAnsi="Arial" w:cs="Arial"/>
                <w:kern w:val="2"/>
                <w:sz w:val="19"/>
                <w:szCs w:val="19"/>
                <w:lang w:val="es-ES" w:eastAsia="zh-CN"/>
              </w:rPr>
              <w:t>6.816.826,97 €</w:t>
            </w:r>
          </w:p>
        </w:tc>
      </w:tr>
      <w:tr w:rsidR="002627D2" w:rsidRPr="00283296" w14:paraId="0C15504B" w14:textId="77777777" w:rsidTr="00271465">
        <w:trPr>
          <w:trHeight w:val="434"/>
          <w:jc w:val="center"/>
        </w:trPr>
        <w:tc>
          <w:tcPr>
            <w:tcW w:w="6722" w:type="dxa"/>
            <w:tcBorders>
              <w:top w:val="single" w:sz="4" w:space="0" w:color="auto"/>
              <w:bottom w:val="single" w:sz="4" w:space="0" w:color="auto"/>
            </w:tcBorders>
            <w:shd w:val="clear" w:color="auto" w:fill="9D2235"/>
          </w:tcPr>
          <w:p w14:paraId="2521FEC7" w14:textId="77777777" w:rsidR="002627D2" w:rsidRPr="00283296" w:rsidRDefault="002627D2" w:rsidP="002627D2">
            <w:pPr>
              <w:widowControl w:val="0"/>
              <w:tabs>
                <w:tab w:val="right" w:pos="7965"/>
              </w:tabs>
              <w:suppressAutoHyphens/>
              <w:spacing w:after="0" w:line="276" w:lineRule="auto"/>
              <w:jc w:val="both"/>
              <w:textAlignment w:val="baseline"/>
              <w:rPr>
                <w:rFonts w:ascii="Arial" w:eastAsia="NSimSun" w:hAnsi="Arial" w:cs="Arial"/>
                <w:kern w:val="2"/>
                <w:sz w:val="19"/>
                <w:szCs w:val="19"/>
                <w:lang w:val="es-ES" w:eastAsia="zh-CN"/>
              </w:rPr>
            </w:pPr>
            <w:r w:rsidRPr="00283296">
              <w:rPr>
                <w:rFonts w:ascii="Arial" w:eastAsia="NSimSun" w:hAnsi="Arial" w:cs="Arial"/>
                <w:b/>
                <w:bCs/>
                <w:color w:val="FFFFFF"/>
                <w:kern w:val="2"/>
                <w:sz w:val="19"/>
                <w:szCs w:val="19"/>
                <w:lang w:val="ca" w:eastAsia="zh-CN"/>
              </w:rPr>
              <w:t xml:space="preserve"> Resultat pressupostari</w:t>
            </w:r>
          </w:p>
        </w:tc>
        <w:tc>
          <w:tcPr>
            <w:tcW w:w="1783" w:type="dxa"/>
            <w:tcBorders>
              <w:top w:val="single" w:sz="4" w:space="0" w:color="auto"/>
              <w:bottom w:val="single" w:sz="4" w:space="0" w:color="auto"/>
            </w:tcBorders>
            <w:shd w:val="clear" w:color="auto" w:fill="9D2235"/>
          </w:tcPr>
          <w:p w14:paraId="2437CF38" w14:textId="77777777" w:rsidR="002627D2" w:rsidRPr="00283296" w:rsidRDefault="002627D2" w:rsidP="002627D2">
            <w:pPr>
              <w:widowControl w:val="0"/>
              <w:tabs>
                <w:tab w:val="right" w:pos="7965"/>
              </w:tabs>
              <w:suppressAutoHyphens/>
              <w:spacing w:after="0" w:line="276" w:lineRule="auto"/>
              <w:jc w:val="center"/>
              <w:textAlignment w:val="baseline"/>
              <w:rPr>
                <w:rFonts w:ascii="Arial" w:eastAsia="NSimSun" w:hAnsi="Arial" w:cs="Arial"/>
                <w:b/>
                <w:bCs/>
                <w:color w:val="FFFFFF"/>
                <w:kern w:val="2"/>
                <w:sz w:val="19"/>
                <w:szCs w:val="19"/>
                <w:highlight w:val="yellow"/>
                <w:lang w:val="es-ES" w:eastAsia="zh-CN"/>
              </w:rPr>
            </w:pPr>
            <w:r w:rsidRPr="00283296">
              <w:rPr>
                <w:rFonts w:ascii="Arial" w:eastAsia="NSimSun" w:hAnsi="Arial" w:cs="Arial"/>
                <w:b/>
                <w:bCs/>
                <w:color w:val="FFFFFF"/>
                <w:kern w:val="2"/>
                <w:sz w:val="19"/>
                <w:szCs w:val="19"/>
                <w:lang w:val="ca" w:eastAsia="zh-CN"/>
              </w:rPr>
              <w:t xml:space="preserve">    -2.392.319,20 €</w:t>
            </w:r>
          </w:p>
        </w:tc>
      </w:tr>
      <w:tr w:rsidR="002627D2" w:rsidRPr="00283296" w14:paraId="28E4A081" w14:textId="77777777" w:rsidTr="00271465">
        <w:trPr>
          <w:jc w:val="center"/>
        </w:trPr>
        <w:tc>
          <w:tcPr>
            <w:tcW w:w="6722" w:type="dxa"/>
            <w:tcBorders>
              <w:top w:val="single" w:sz="4" w:space="0" w:color="auto"/>
              <w:bottom w:val="single" w:sz="4" w:space="0" w:color="auto"/>
            </w:tcBorders>
            <w:shd w:val="clear" w:color="auto" w:fill="auto"/>
          </w:tcPr>
          <w:p w14:paraId="28B60286" w14:textId="77777777" w:rsidR="002627D2" w:rsidRPr="00283296" w:rsidRDefault="002627D2" w:rsidP="002627D2">
            <w:pPr>
              <w:widowControl w:val="0"/>
              <w:suppressAutoHyphens/>
              <w:spacing w:after="0" w:line="276" w:lineRule="auto"/>
              <w:jc w:val="both"/>
              <w:textAlignment w:val="baseline"/>
              <w:rPr>
                <w:rFonts w:ascii="Arial" w:eastAsia="NSimSun" w:hAnsi="Arial" w:cs="Arial"/>
                <w:b/>
                <w:bCs/>
                <w:color w:val="000000"/>
                <w:kern w:val="2"/>
                <w:sz w:val="19"/>
                <w:szCs w:val="19"/>
                <w:lang w:val="es-ES" w:eastAsia="zh-CN"/>
              </w:rPr>
            </w:pPr>
            <w:r w:rsidRPr="00283296">
              <w:rPr>
                <w:rFonts w:ascii="Arial" w:eastAsia="NSimSun" w:hAnsi="Arial" w:cs="Arial"/>
                <w:b/>
                <w:bCs/>
                <w:color w:val="000000"/>
                <w:kern w:val="2"/>
                <w:sz w:val="19"/>
                <w:szCs w:val="19"/>
                <w:lang w:val="ca" w:eastAsia="zh-CN"/>
              </w:rPr>
              <w:t>AJUSTOS</w:t>
            </w:r>
          </w:p>
        </w:tc>
        <w:tc>
          <w:tcPr>
            <w:tcW w:w="1783" w:type="dxa"/>
            <w:tcBorders>
              <w:top w:val="single" w:sz="4" w:space="0" w:color="auto"/>
              <w:bottom w:val="single" w:sz="4" w:space="0" w:color="auto"/>
            </w:tcBorders>
            <w:shd w:val="clear" w:color="auto" w:fill="auto"/>
          </w:tcPr>
          <w:p w14:paraId="698B87C6" w14:textId="77777777" w:rsidR="002627D2" w:rsidRPr="00283296" w:rsidRDefault="002627D2" w:rsidP="002627D2">
            <w:pPr>
              <w:widowControl w:val="0"/>
              <w:suppressAutoHyphens/>
              <w:spacing w:after="0" w:line="276" w:lineRule="auto"/>
              <w:jc w:val="right"/>
              <w:textAlignment w:val="baseline"/>
              <w:rPr>
                <w:rFonts w:ascii="Arial" w:eastAsia="NSimSun" w:hAnsi="Arial" w:cs="Arial"/>
                <w:color w:val="000000"/>
                <w:kern w:val="2"/>
                <w:sz w:val="19"/>
                <w:szCs w:val="19"/>
                <w:highlight w:val="yellow"/>
                <w:lang w:val="es-ES" w:eastAsia="zh-CN"/>
              </w:rPr>
            </w:pPr>
          </w:p>
        </w:tc>
      </w:tr>
      <w:tr w:rsidR="002627D2" w:rsidRPr="00283296" w14:paraId="76B6C207" w14:textId="77777777" w:rsidTr="00271465">
        <w:trPr>
          <w:jc w:val="center"/>
        </w:trPr>
        <w:tc>
          <w:tcPr>
            <w:tcW w:w="6722" w:type="dxa"/>
            <w:tcBorders>
              <w:top w:val="single" w:sz="4" w:space="0" w:color="auto"/>
              <w:bottom w:val="single" w:sz="4" w:space="0" w:color="auto"/>
            </w:tcBorders>
            <w:shd w:val="clear" w:color="auto" w:fill="auto"/>
          </w:tcPr>
          <w:p w14:paraId="65EE4C14" w14:textId="77777777" w:rsidR="002627D2" w:rsidRPr="00283296" w:rsidRDefault="002627D2" w:rsidP="002627D2">
            <w:pPr>
              <w:widowControl w:val="0"/>
              <w:suppressAutoHyphens/>
              <w:spacing w:after="0" w:line="276" w:lineRule="auto"/>
              <w:jc w:val="both"/>
              <w:textAlignment w:val="baseline"/>
              <w:rPr>
                <w:rFonts w:ascii="Arial" w:eastAsia="NSimSun" w:hAnsi="Arial" w:cs="Arial"/>
                <w:color w:val="000000"/>
                <w:kern w:val="2"/>
                <w:sz w:val="19"/>
                <w:szCs w:val="19"/>
                <w:lang w:val="es-ES" w:eastAsia="zh-CN"/>
              </w:rPr>
            </w:pPr>
            <w:r w:rsidRPr="00283296">
              <w:rPr>
                <w:rFonts w:ascii="Arial" w:eastAsia="NSimSun" w:hAnsi="Arial" w:cs="Arial"/>
                <w:color w:val="000000"/>
                <w:kern w:val="2"/>
                <w:sz w:val="19"/>
                <w:szCs w:val="19"/>
                <w:lang w:val="ca" w:eastAsia="zh-CN"/>
              </w:rPr>
              <w:t>Crèdits gastats finançats amb romanent de tresoreria per a despeses generals</w:t>
            </w:r>
          </w:p>
        </w:tc>
        <w:tc>
          <w:tcPr>
            <w:tcW w:w="1783" w:type="dxa"/>
            <w:tcBorders>
              <w:top w:val="single" w:sz="4" w:space="0" w:color="auto"/>
              <w:bottom w:val="single" w:sz="4" w:space="0" w:color="auto"/>
            </w:tcBorders>
            <w:shd w:val="clear" w:color="auto" w:fill="auto"/>
          </w:tcPr>
          <w:p w14:paraId="01E98598" w14:textId="77777777" w:rsidR="002627D2" w:rsidRPr="00283296" w:rsidRDefault="002627D2" w:rsidP="002627D2">
            <w:pPr>
              <w:widowControl w:val="0"/>
              <w:suppressAutoHyphens/>
              <w:spacing w:after="0" w:line="276" w:lineRule="auto"/>
              <w:jc w:val="right"/>
              <w:textAlignment w:val="baseline"/>
              <w:rPr>
                <w:rFonts w:ascii="Arial" w:eastAsia="NSimSun" w:hAnsi="Arial" w:cs="Arial"/>
                <w:color w:val="000000"/>
                <w:kern w:val="2"/>
                <w:sz w:val="19"/>
                <w:szCs w:val="19"/>
                <w:highlight w:val="yellow"/>
                <w:lang w:val="es-ES" w:eastAsia="zh-CN"/>
              </w:rPr>
            </w:pPr>
            <w:r w:rsidRPr="00283296">
              <w:rPr>
                <w:rFonts w:ascii="Arial" w:eastAsia="NSimSun" w:hAnsi="Arial" w:cs="Arial"/>
                <w:color w:val="000000"/>
                <w:kern w:val="2"/>
                <w:sz w:val="19"/>
                <w:szCs w:val="19"/>
                <w:lang w:val="es-ES" w:eastAsia="zh-CN"/>
              </w:rPr>
              <w:t>3.787.793,15 €</w:t>
            </w:r>
          </w:p>
        </w:tc>
      </w:tr>
      <w:tr w:rsidR="002627D2" w:rsidRPr="00283296" w14:paraId="0C965438" w14:textId="77777777" w:rsidTr="00271465">
        <w:trPr>
          <w:jc w:val="center"/>
        </w:trPr>
        <w:tc>
          <w:tcPr>
            <w:tcW w:w="6722" w:type="dxa"/>
            <w:tcBorders>
              <w:top w:val="single" w:sz="4" w:space="0" w:color="auto"/>
              <w:bottom w:val="single" w:sz="4" w:space="0" w:color="auto"/>
            </w:tcBorders>
            <w:shd w:val="clear" w:color="auto" w:fill="auto"/>
          </w:tcPr>
          <w:p w14:paraId="5C3E6E05" w14:textId="77777777" w:rsidR="002627D2" w:rsidRPr="00283296" w:rsidRDefault="002627D2" w:rsidP="002627D2">
            <w:pPr>
              <w:widowControl w:val="0"/>
              <w:suppressAutoHyphens/>
              <w:spacing w:after="0" w:line="276" w:lineRule="auto"/>
              <w:jc w:val="both"/>
              <w:textAlignment w:val="baseline"/>
              <w:rPr>
                <w:rFonts w:ascii="Arial" w:eastAsia="NSimSun" w:hAnsi="Arial" w:cs="Arial"/>
                <w:color w:val="000000"/>
                <w:kern w:val="2"/>
                <w:sz w:val="19"/>
                <w:szCs w:val="19"/>
                <w:lang w:val="es-ES" w:eastAsia="zh-CN"/>
              </w:rPr>
            </w:pPr>
            <w:r w:rsidRPr="00283296">
              <w:rPr>
                <w:rFonts w:ascii="Arial" w:eastAsia="NSimSun" w:hAnsi="Arial" w:cs="Arial"/>
                <w:color w:val="000000"/>
                <w:kern w:val="2"/>
                <w:sz w:val="19"/>
                <w:szCs w:val="19"/>
                <w:lang w:val="ca" w:eastAsia="zh-CN"/>
              </w:rPr>
              <w:t>Desviacions de finançament positives de l' exercici</w:t>
            </w:r>
          </w:p>
        </w:tc>
        <w:tc>
          <w:tcPr>
            <w:tcW w:w="1783" w:type="dxa"/>
            <w:tcBorders>
              <w:top w:val="single" w:sz="4" w:space="0" w:color="auto"/>
              <w:bottom w:val="single" w:sz="4" w:space="0" w:color="auto"/>
            </w:tcBorders>
            <w:shd w:val="clear" w:color="auto" w:fill="auto"/>
          </w:tcPr>
          <w:p w14:paraId="620FA0BD" w14:textId="77777777" w:rsidR="002627D2" w:rsidRPr="00283296" w:rsidRDefault="002627D2" w:rsidP="002627D2">
            <w:pPr>
              <w:widowControl w:val="0"/>
              <w:suppressAutoHyphens/>
              <w:spacing w:after="0" w:line="276" w:lineRule="auto"/>
              <w:jc w:val="right"/>
              <w:textAlignment w:val="baseline"/>
              <w:rPr>
                <w:rFonts w:ascii="Arial" w:eastAsia="NSimSun" w:hAnsi="Arial" w:cs="Arial"/>
                <w:color w:val="000000"/>
                <w:kern w:val="2"/>
                <w:sz w:val="19"/>
                <w:szCs w:val="19"/>
                <w:highlight w:val="yellow"/>
                <w:lang w:val="es-ES" w:eastAsia="zh-CN"/>
              </w:rPr>
            </w:pPr>
          </w:p>
        </w:tc>
      </w:tr>
      <w:tr w:rsidR="002627D2" w:rsidRPr="00283296" w14:paraId="6214FEFC" w14:textId="77777777" w:rsidTr="00271465">
        <w:trPr>
          <w:jc w:val="center"/>
        </w:trPr>
        <w:tc>
          <w:tcPr>
            <w:tcW w:w="6722" w:type="dxa"/>
            <w:tcBorders>
              <w:top w:val="single" w:sz="4" w:space="0" w:color="auto"/>
              <w:bottom w:val="single" w:sz="4" w:space="0" w:color="auto"/>
            </w:tcBorders>
            <w:shd w:val="clear" w:color="auto" w:fill="auto"/>
          </w:tcPr>
          <w:p w14:paraId="7E29AED9" w14:textId="77777777" w:rsidR="002627D2" w:rsidRPr="00283296" w:rsidRDefault="002627D2" w:rsidP="002627D2">
            <w:pPr>
              <w:widowControl w:val="0"/>
              <w:suppressAutoHyphens/>
              <w:spacing w:after="0" w:line="276" w:lineRule="auto"/>
              <w:jc w:val="both"/>
              <w:textAlignment w:val="baseline"/>
              <w:rPr>
                <w:rFonts w:ascii="Arial" w:eastAsia="NSimSun" w:hAnsi="Arial" w:cs="Arial"/>
                <w:color w:val="000000"/>
                <w:kern w:val="2"/>
                <w:sz w:val="19"/>
                <w:szCs w:val="19"/>
                <w:lang w:val="es-ES" w:eastAsia="zh-CN"/>
              </w:rPr>
            </w:pPr>
            <w:r w:rsidRPr="00283296">
              <w:rPr>
                <w:rFonts w:ascii="Arial" w:eastAsia="NSimSun" w:hAnsi="Arial" w:cs="Arial"/>
                <w:color w:val="000000"/>
                <w:kern w:val="2"/>
                <w:sz w:val="19"/>
                <w:szCs w:val="19"/>
                <w:lang w:val="ca" w:eastAsia="zh-CN"/>
              </w:rPr>
              <w:t>Desviacions de finançament negatives de l' exercici</w:t>
            </w:r>
          </w:p>
        </w:tc>
        <w:tc>
          <w:tcPr>
            <w:tcW w:w="1783" w:type="dxa"/>
            <w:tcBorders>
              <w:top w:val="single" w:sz="4" w:space="0" w:color="auto"/>
              <w:bottom w:val="single" w:sz="4" w:space="0" w:color="auto"/>
            </w:tcBorders>
            <w:shd w:val="clear" w:color="auto" w:fill="auto"/>
          </w:tcPr>
          <w:p w14:paraId="2025B81D" w14:textId="77777777" w:rsidR="002627D2" w:rsidRPr="00283296" w:rsidRDefault="002627D2" w:rsidP="002627D2">
            <w:pPr>
              <w:widowControl w:val="0"/>
              <w:suppressAutoHyphens/>
              <w:spacing w:after="0" w:line="276" w:lineRule="auto"/>
              <w:jc w:val="right"/>
              <w:textAlignment w:val="baseline"/>
              <w:rPr>
                <w:rFonts w:ascii="Arial" w:eastAsia="NSimSun" w:hAnsi="Arial" w:cs="Arial"/>
                <w:color w:val="000000"/>
                <w:kern w:val="2"/>
                <w:sz w:val="19"/>
                <w:szCs w:val="19"/>
                <w:highlight w:val="yellow"/>
                <w:lang w:val="es-ES" w:eastAsia="zh-CN"/>
              </w:rPr>
            </w:pPr>
          </w:p>
        </w:tc>
      </w:tr>
      <w:tr w:rsidR="002627D2" w:rsidRPr="00283296" w14:paraId="4881D0A8" w14:textId="77777777" w:rsidTr="00271465">
        <w:trPr>
          <w:jc w:val="center"/>
        </w:trPr>
        <w:tc>
          <w:tcPr>
            <w:tcW w:w="6722" w:type="dxa"/>
            <w:tcBorders>
              <w:top w:val="single" w:sz="4" w:space="0" w:color="auto"/>
              <w:bottom w:val="single" w:sz="4" w:space="0" w:color="auto"/>
            </w:tcBorders>
            <w:shd w:val="clear" w:color="auto" w:fill="9D2235"/>
          </w:tcPr>
          <w:p w14:paraId="5A86EA34" w14:textId="77777777" w:rsidR="002627D2" w:rsidRPr="00283296" w:rsidRDefault="002627D2" w:rsidP="002627D2">
            <w:pPr>
              <w:widowControl w:val="0"/>
              <w:tabs>
                <w:tab w:val="right" w:pos="7965"/>
              </w:tabs>
              <w:suppressAutoHyphens/>
              <w:spacing w:after="0" w:line="276" w:lineRule="auto"/>
              <w:jc w:val="both"/>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 xml:space="preserve">RESULTAT PRESSUPOSTARI AJUSTAT </w:t>
            </w:r>
          </w:p>
        </w:tc>
        <w:tc>
          <w:tcPr>
            <w:tcW w:w="1783" w:type="dxa"/>
            <w:tcBorders>
              <w:top w:val="single" w:sz="4" w:space="0" w:color="auto"/>
              <w:bottom w:val="single" w:sz="4" w:space="0" w:color="auto"/>
            </w:tcBorders>
            <w:shd w:val="clear" w:color="auto" w:fill="9D2235"/>
          </w:tcPr>
          <w:p w14:paraId="04D3B2DF" w14:textId="77777777" w:rsidR="002627D2" w:rsidRPr="00283296" w:rsidRDefault="002627D2" w:rsidP="002627D2">
            <w:pPr>
              <w:widowControl w:val="0"/>
              <w:tabs>
                <w:tab w:val="right" w:pos="7965"/>
              </w:tabs>
              <w:suppressAutoHyphens/>
              <w:spacing w:after="0" w:line="276" w:lineRule="auto"/>
              <w:jc w:val="right"/>
              <w:textAlignment w:val="baseline"/>
              <w:rPr>
                <w:rFonts w:ascii="Arial" w:eastAsia="NSimSun" w:hAnsi="Arial" w:cs="Arial"/>
                <w:b/>
                <w:bCs/>
                <w:color w:val="FFFFFF"/>
                <w:kern w:val="2"/>
                <w:sz w:val="19"/>
                <w:szCs w:val="19"/>
                <w:highlight w:val="yellow"/>
                <w:lang w:val="es-ES" w:eastAsia="zh-CN"/>
              </w:rPr>
            </w:pPr>
            <w:r w:rsidRPr="00283296">
              <w:rPr>
                <w:rFonts w:ascii="Arial" w:eastAsia="NSimSun" w:hAnsi="Arial" w:cs="MillerText-Roman"/>
                <w:b/>
                <w:bCs/>
                <w:color w:val="FFFFFF"/>
                <w:kern w:val="2"/>
                <w:sz w:val="19"/>
                <w:szCs w:val="19"/>
                <w:lang w:val="es-ES" w:eastAsia="zh-CN"/>
              </w:rPr>
              <w:t>1.395.473,95 €</w:t>
            </w:r>
          </w:p>
        </w:tc>
      </w:tr>
    </w:tbl>
    <w:p w14:paraId="5593952E" w14:textId="19CEF2E2" w:rsidR="00DC250D" w:rsidRDefault="00DC250D" w:rsidP="00343C17">
      <w:pPr>
        <w:spacing w:after="240" w:line="276" w:lineRule="auto"/>
        <w:jc w:val="both"/>
        <w:rPr>
          <w:rFonts w:ascii="Arial" w:eastAsia="Droid Sans Fallback" w:hAnsi="Arial" w:cs="Arial"/>
          <w:kern w:val="3"/>
          <w:sz w:val="21"/>
          <w:szCs w:val="21"/>
          <w:lang w:eastAsia="zh-CN" w:bidi="hi-IN"/>
        </w:rPr>
      </w:pPr>
    </w:p>
    <w:p w14:paraId="4016C960" w14:textId="77777777" w:rsidR="002627D2" w:rsidRPr="002627D2" w:rsidRDefault="002627D2" w:rsidP="002627D2">
      <w:pPr>
        <w:spacing w:after="240" w:line="276" w:lineRule="auto"/>
        <w:jc w:val="both"/>
        <w:rPr>
          <w:rFonts w:ascii="Arial" w:eastAsia="Droid Sans Fallback" w:hAnsi="Arial" w:cs="Arial"/>
          <w:kern w:val="3"/>
          <w:sz w:val="21"/>
          <w:szCs w:val="21"/>
          <w:lang w:val="es-ES" w:eastAsia="zh-CN" w:bidi="hi-IN"/>
        </w:rPr>
      </w:pPr>
      <w:r w:rsidRPr="002627D2">
        <w:rPr>
          <w:rFonts w:ascii="Arial" w:eastAsia="Droid Sans Fallback" w:hAnsi="Arial" w:cs="Arial"/>
          <w:kern w:val="3"/>
          <w:sz w:val="21"/>
          <w:szCs w:val="21"/>
          <w:lang w:val="ca" w:eastAsia="zh-CN" w:bidi="hi-IN"/>
        </w:rPr>
        <w:t xml:space="preserve">Els </w:t>
      </w:r>
      <w:r w:rsidRPr="002627D2">
        <w:rPr>
          <w:rFonts w:ascii="Arial" w:eastAsia="Droid Sans Fallback" w:hAnsi="Arial" w:cs="Arial"/>
          <w:b/>
          <w:bCs/>
          <w:kern w:val="3"/>
          <w:sz w:val="21"/>
          <w:szCs w:val="21"/>
          <w:lang w:val="ca" w:eastAsia="zh-CN" w:bidi="hi-IN"/>
        </w:rPr>
        <w:t xml:space="preserve">fons de l'Agència </w:t>
      </w:r>
      <w:r w:rsidRPr="002627D2">
        <w:rPr>
          <w:rFonts w:ascii="Arial" w:eastAsia="Droid Sans Fallback" w:hAnsi="Arial" w:cs="Arial"/>
          <w:kern w:val="3"/>
          <w:sz w:val="21"/>
          <w:szCs w:val="21"/>
          <w:lang w:val="ca" w:eastAsia="zh-CN" w:bidi="hi-IN"/>
        </w:rPr>
        <w:t xml:space="preserve">es troben dipositats en una única entitat bancària: Caixabank, SA (CIF: A08663619) i la seua disposició es regeix pel sistema de signatura mancomunada del director i de les persones que ocupen els llocs de treball de cap/a de l'àrea d'Administració, Recursos Humans i Gestió Econòmica i de cap/a de la Unitat de Gestió Econòmica. </w:t>
      </w:r>
    </w:p>
    <w:p w14:paraId="182FD2D2" w14:textId="77777777" w:rsidR="002627D2" w:rsidRPr="002627D2" w:rsidRDefault="002627D2" w:rsidP="002627D2">
      <w:pPr>
        <w:spacing w:after="240" w:line="276" w:lineRule="auto"/>
        <w:jc w:val="both"/>
        <w:rPr>
          <w:rFonts w:ascii="Arial" w:eastAsia="Droid Sans Fallback" w:hAnsi="Arial" w:cs="Arial"/>
          <w:kern w:val="3"/>
          <w:sz w:val="21"/>
          <w:szCs w:val="21"/>
          <w:lang w:val="es-ES" w:eastAsia="zh-CN" w:bidi="hi-IN"/>
        </w:rPr>
      </w:pPr>
      <w:r w:rsidRPr="002627D2">
        <w:rPr>
          <w:rFonts w:ascii="Arial" w:eastAsia="Droid Sans Fallback" w:hAnsi="Arial" w:cs="Arial"/>
          <w:kern w:val="3"/>
          <w:sz w:val="21"/>
          <w:szCs w:val="21"/>
          <w:lang w:val="ca" w:eastAsia="zh-CN" w:bidi="hi-IN"/>
        </w:rPr>
        <w:t>Des de l'inici del funcionament d'aquesta Agència, les ordres de disposició de fons requereixen la concurrència de dues de les tres firmes mancomunades, una de les quals és sempre la del director de l'Agència.</w:t>
      </w:r>
    </w:p>
    <w:p w14:paraId="33489488" w14:textId="0276E360" w:rsidR="00DC250D" w:rsidRPr="002627D2" w:rsidRDefault="00DC250D" w:rsidP="00343C17">
      <w:pPr>
        <w:spacing w:after="240" w:line="276" w:lineRule="auto"/>
        <w:jc w:val="both"/>
        <w:rPr>
          <w:rFonts w:ascii="Arial" w:eastAsia="Droid Sans Fallback" w:hAnsi="Arial" w:cs="Arial"/>
          <w:kern w:val="3"/>
          <w:sz w:val="21"/>
          <w:szCs w:val="21"/>
          <w:lang w:val="es-ES" w:eastAsia="zh-CN" w:bidi="hi-IN"/>
        </w:rPr>
      </w:pPr>
    </w:p>
    <w:p w14:paraId="69D6271B" w14:textId="1A30B9C9" w:rsidR="002627D2" w:rsidRPr="002627D2" w:rsidRDefault="002627D2" w:rsidP="002627D2">
      <w:pPr>
        <w:pStyle w:val="Descripcin"/>
        <w:keepNext/>
        <w:jc w:val="center"/>
        <w:rPr>
          <w:rFonts w:ascii="Arial" w:hAnsi="Arial" w:cs="Arial"/>
          <w:smallCaps w:val="0"/>
          <w:sz w:val="18"/>
          <w:szCs w:val="18"/>
        </w:rPr>
      </w:pPr>
      <w:bookmarkStart w:id="504" w:name="_Toc99110885"/>
      <w:r w:rsidRPr="002627D2">
        <w:rPr>
          <w:rFonts w:ascii="Arial" w:hAnsi="Arial" w:cs="Arial"/>
          <w:smallCaps w:val="0"/>
          <w:color w:val="9D2235" w:themeColor="accent1"/>
          <w:sz w:val="18"/>
          <w:szCs w:val="18"/>
        </w:rPr>
        <w:t xml:space="preserve">Taula </w:t>
      </w:r>
      <w:r w:rsidRPr="002627D2">
        <w:rPr>
          <w:rFonts w:ascii="Arial" w:hAnsi="Arial" w:cs="Arial"/>
          <w:smallCaps w:val="0"/>
          <w:color w:val="9D2235" w:themeColor="accent1"/>
          <w:sz w:val="18"/>
          <w:szCs w:val="18"/>
        </w:rPr>
        <w:fldChar w:fldCharType="begin" w:fldLock="1"/>
      </w:r>
      <w:r w:rsidRPr="002627D2">
        <w:rPr>
          <w:rFonts w:ascii="Arial" w:hAnsi="Arial" w:cs="Arial"/>
          <w:smallCaps w:val="0"/>
          <w:color w:val="9D2235" w:themeColor="accent1"/>
          <w:sz w:val="18"/>
          <w:szCs w:val="18"/>
        </w:rPr>
        <w:instrText xml:space="preserve"> SEQ Taula \* ARABIC </w:instrText>
      </w:r>
      <w:r w:rsidRPr="002627D2">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40</w:t>
      </w:r>
      <w:r w:rsidRPr="002627D2">
        <w:rPr>
          <w:rFonts w:ascii="Arial" w:hAnsi="Arial" w:cs="Arial"/>
          <w:smallCaps w:val="0"/>
          <w:color w:val="9D2235" w:themeColor="accent1"/>
          <w:sz w:val="18"/>
          <w:szCs w:val="18"/>
        </w:rPr>
        <w:fldChar w:fldCharType="end"/>
      </w:r>
      <w:r w:rsidRPr="002627D2">
        <w:rPr>
          <w:rFonts w:ascii="Arial" w:hAnsi="Arial" w:cs="Arial"/>
          <w:smallCaps w:val="0"/>
          <w:color w:val="9D2235" w:themeColor="accent1"/>
          <w:sz w:val="18"/>
          <w:szCs w:val="18"/>
        </w:rPr>
        <w:t xml:space="preserve">. </w:t>
      </w:r>
      <w:r w:rsidRPr="002627D2">
        <w:rPr>
          <w:rFonts w:ascii="Arial" w:hAnsi="Arial" w:cs="Arial"/>
          <w:smallCaps w:val="0"/>
          <w:sz w:val="18"/>
          <w:szCs w:val="18"/>
        </w:rPr>
        <w:t>Situació i evolució dels fons del compte corrent</w:t>
      </w:r>
      <w:bookmarkEnd w:id="504"/>
    </w:p>
    <w:tbl>
      <w:tblPr>
        <w:tblW w:w="7427" w:type="dxa"/>
        <w:jc w:val="center"/>
        <w:tblCellMar>
          <w:top w:w="55" w:type="dxa"/>
          <w:left w:w="55" w:type="dxa"/>
          <w:bottom w:w="55" w:type="dxa"/>
          <w:right w:w="55" w:type="dxa"/>
        </w:tblCellMar>
        <w:tblLook w:val="0000" w:firstRow="0" w:lastRow="0" w:firstColumn="0" w:lastColumn="0" w:noHBand="0" w:noVBand="0"/>
      </w:tblPr>
      <w:tblGrid>
        <w:gridCol w:w="1857"/>
        <w:gridCol w:w="1857"/>
        <w:gridCol w:w="1856"/>
        <w:gridCol w:w="1857"/>
      </w:tblGrid>
      <w:tr w:rsidR="002627D2" w:rsidRPr="00283296" w14:paraId="3B01FA79" w14:textId="77777777" w:rsidTr="00271465">
        <w:trPr>
          <w:tblHeader/>
          <w:jc w:val="center"/>
        </w:trPr>
        <w:tc>
          <w:tcPr>
            <w:tcW w:w="1857" w:type="dxa"/>
            <w:tcBorders>
              <w:top w:val="single" w:sz="2" w:space="0" w:color="000000"/>
              <w:left w:val="single" w:sz="2" w:space="0" w:color="000000"/>
              <w:bottom w:val="single" w:sz="2" w:space="0" w:color="000000"/>
            </w:tcBorders>
            <w:shd w:val="clear" w:color="auto" w:fill="9D2235"/>
            <w:vAlign w:val="center"/>
          </w:tcPr>
          <w:p w14:paraId="7C9CC4FA" w14:textId="77777777" w:rsidR="002627D2" w:rsidRPr="00283296" w:rsidRDefault="002627D2" w:rsidP="002627D2">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Saldo inicial</w:t>
            </w:r>
          </w:p>
          <w:p w14:paraId="253DA4E1" w14:textId="77777777" w:rsidR="002627D2" w:rsidRPr="00283296" w:rsidRDefault="002627D2" w:rsidP="002627D2">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01/01/2021</w:t>
            </w:r>
          </w:p>
        </w:tc>
        <w:tc>
          <w:tcPr>
            <w:tcW w:w="1857" w:type="dxa"/>
            <w:tcBorders>
              <w:top w:val="single" w:sz="2" w:space="0" w:color="000000"/>
              <w:left w:val="single" w:sz="2" w:space="0" w:color="000000"/>
              <w:bottom w:val="single" w:sz="2" w:space="0" w:color="000000"/>
            </w:tcBorders>
            <w:shd w:val="clear" w:color="auto" w:fill="9D2235"/>
            <w:vAlign w:val="center"/>
          </w:tcPr>
          <w:p w14:paraId="48EB2188" w14:textId="77777777" w:rsidR="002627D2" w:rsidRPr="00283296" w:rsidRDefault="002627D2" w:rsidP="002627D2">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Ingressos</w:t>
            </w:r>
          </w:p>
        </w:tc>
        <w:tc>
          <w:tcPr>
            <w:tcW w:w="1856" w:type="dxa"/>
            <w:tcBorders>
              <w:top w:val="single" w:sz="2" w:space="0" w:color="000000"/>
              <w:left w:val="single" w:sz="2" w:space="0" w:color="000000"/>
              <w:bottom w:val="single" w:sz="2" w:space="0" w:color="000000"/>
            </w:tcBorders>
            <w:shd w:val="clear" w:color="auto" w:fill="9D2235"/>
            <w:vAlign w:val="center"/>
          </w:tcPr>
          <w:p w14:paraId="7F72376B" w14:textId="77777777" w:rsidR="002627D2" w:rsidRPr="00283296" w:rsidRDefault="002627D2" w:rsidP="002627D2">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Pagaments</w:t>
            </w:r>
          </w:p>
        </w:tc>
        <w:tc>
          <w:tcPr>
            <w:tcW w:w="1857" w:type="dxa"/>
            <w:tcBorders>
              <w:top w:val="single" w:sz="2" w:space="0" w:color="000000"/>
              <w:left w:val="single" w:sz="2" w:space="0" w:color="000000"/>
              <w:bottom w:val="single" w:sz="2" w:space="0" w:color="000000"/>
              <w:right w:val="single" w:sz="2" w:space="0" w:color="000000"/>
            </w:tcBorders>
            <w:shd w:val="clear" w:color="auto" w:fill="9D2235"/>
            <w:vAlign w:val="center"/>
          </w:tcPr>
          <w:p w14:paraId="5BC4FBFB" w14:textId="77777777" w:rsidR="002627D2" w:rsidRPr="00283296" w:rsidRDefault="002627D2" w:rsidP="002627D2">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Saldo final</w:t>
            </w:r>
          </w:p>
          <w:p w14:paraId="2F03AC9E" w14:textId="77777777" w:rsidR="002627D2" w:rsidRPr="00283296" w:rsidRDefault="002627D2" w:rsidP="002627D2">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31/12/2021</w:t>
            </w:r>
          </w:p>
        </w:tc>
      </w:tr>
      <w:tr w:rsidR="002627D2" w:rsidRPr="00283296" w14:paraId="12532C6D" w14:textId="77777777" w:rsidTr="00271465">
        <w:trPr>
          <w:jc w:val="center"/>
        </w:trPr>
        <w:tc>
          <w:tcPr>
            <w:tcW w:w="1857" w:type="dxa"/>
            <w:tcBorders>
              <w:top w:val="single" w:sz="2" w:space="0" w:color="000000"/>
              <w:bottom w:val="single" w:sz="4" w:space="0" w:color="993333"/>
            </w:tcBorders>
            <w:shd w:val="clear" w:color="auto" w:fill="auto"/>
          </w:tcPr>
          <w:p w14:paraId="55F2BBF6" w14:textId="77777777" w:rsidR="002627D2" w:rsidRPr="00283296" w:rsidRDefault="002627D2" w:rsidP="002627D2">
            <w:pPr>
              <w:widowControl w:val="0"/>
              <w:suppressAutoHyphens/>
              <w:spacing w:after="0" w:line="276" w:lineRule="auto"/>
              <w:jc w:val="center"/>
              <w:textAlignment w:val="baseline"/>
              <w:rPr>
                <w:rFonts w:ascii="Arial" w:eastAsia="NSimSun" w:hAnsi="Arial" w:cs="Arial"/>
                <w:b/>
                <w:bCs/>
                <w:color w:val="000000"/>
                <w:kern w:val="2"/>
                <w:sz w:val="19"/>
                <w:szCs w:val="19"/>
                <w:lang w:val="es-ES" w:eastAsia="zh-CN"/>
              </w:rPr>
            </w:pPr>
            <w:r w:rsidRPr="00283296">
              <w:rPr>
                <w:rFonts w:ascii="Arial" w:eastAsia="NSimSun" w:hAnsi="Arial" w:cs="Arial"/>
                <w:b/>
                <w:bCs/>
                <w:color w:val="000000"/>
                <w:kern w:val="2"/>
                <w:sz w:val="19"/>
                <w:szCs w:val="19"/>
                <w:lang w:val="ca" w:eastAsia="zh-CN"/>
              </w:rPr>
              <w:t>1.237.529,58</w:t>
            </w:r>
          </w:p>
        </w:tc>
        <w:tc>
          <w:tcPr>
            <w:tcW w:w="1857" w:type="dxa"/>
            <w:tcBorders>
              <w:top w:val="single" w:sz="2" w:space="0" w:color="000000"/>
              <w:bottom w:val="single" w:sz="4" w:space="0" w:color="993333"/>
            </w:tcBorders>
            <w:shd w:val="clear" w:color="auto" w:fill="auto"/>
          </w:tcPr>
          <w:p w14:paraId="5C21BB8F" w14:textId="77777777" w:rsidR="002627D2" w:rsidRPr="00283296" w:rsidRDefault="002627D2" w:rsidP="002627D2">
            <w:pPr>
              <w:widowControl w:val="0"/>
              <w:suppressAutoHyphens/>
              <w:spacing w:after="0" w:line="276" w:lineRule="auto"/>
              <w:jc w:val="right"/>
              <w:textAlignment w:val="baseline"/>
              <w:rPr>
                <w:rFonts w:ascii="Arial" w:eastAsia="NSimSun" w:hAnsi="Arial" w:cs="Arial"/>
                <w:b/>
                <w:bCs/>
                <w:color w:val="000000"/>
                <w:kern w:val="2"/>
                <w:sz w:val="19"/>
                <w:szCs w:val="19"/>
                <w:lang w:val="es-ES" w:eastAsia="zh-CN"/>
              </w:rPr>
            </w:pPr>
            <w:r w:rsidRPr="00283296">
              <w:rPr>
                <w:rFonts w:ascii="Arial" w:eastAsia="NSimSun" w:hAnsi="Arial" w:cs="Arial"/>
                <w:b/>
                <w:bCs/>
                <w:color w:val="000000"/>
                <w:kern w:val="2"/>
                <w:sz w:val="19"/>
                <w:szCs w:val="19"/>
                <w:lang w:val="ca" w:eastAsia="zh-CN"/>
              </w:rPr>
              <w:t>7.249.486,33</w:t>
            </w:r>
          </w:p>
        </w:tc>
        <w:tc>
          <w:tcPr>
            <w:tcW w:w="1856" w:type="dxa"/>
            <w:tcBorders>
              <w:top w:val="single" w:sz="2" w:space="0" w:color="000000"/>
              <w:bottom w:val="single" w:sz="4" w:space="0" w:color="993333"/>
            </w:tcBorders>
            <w:shd w:val="clear" w:color="auto" w:fill="auto"/>
          </w:tcPr>
          <w:p w14:paraId="15254C12" w14:textId="77777777" w:rsidR="002627D2" w:rsidRPr="00283296" w:rsidRDefault="002627D2" w:rsidP="002627D2">
            <w:pPr>
              <w:widowControl w:val="0"/>
              <w:suppressAutoHyphens/>
              <w:spacing w:after="0" w:line="276" w:lineRule="auto"/>
              <w:jc w:val="right"/>
              <w:textAlignment w:val="baseline"/>
              <w:rPr>
                <w:rFonts w:ascii="Arial" w:eastAsia="NSimSun" w:hAnsi="Arial" w:cs="Arial"/>
                <w:b/>
                <w:bCs/>
                <w:color w:val="000000"/>
                <w:kern w:val="2"/>
                <w:sz w:val="19"/>
                <w:szCs w:val="19"/>
                <w:lang w:val="es-ES" w:eastAsia="zh-CN"/>
              </w:rPr>
            </w:pPr>
            <w:r w:rsidRPr="00283296">
              <w:rPr>
                <w:rFonts w:ascii="Arial" w:eastAsia="NSimSun" w:hAnsi="Arial" w:cs="Arial"/>
                <w:b/>
                <w:bCs/>
                <w:color w:val="000000"/>
                <w:kern w:val="2"/>
                <w:sz w:val="19"/>
                <w:szCs w:val="19"/>
                <w:lang w:val="ca" w:eastAsia="zh-CN"/>
              </w:rPr>
              <w:t>6.876.287,79</w:t>
            </w:r>
          </w:p>
        </w:tc>
        <w:tc>
          <w:tcPr>
            <w:tcW w:w="1857" w:type="dxa"/>
            <w:tcBorders>
              <w:top w:val="single" w:sz="2" w:space="0" w:color="000000"/>
              <w:bottom w:val="single" w:sz="4" w:space="0" w:color="993333"/>
            </w:tcBorders>
            <w:shd w:val="clear" w:color="auto" w:fill="auto"/>
          </w:tcPr>
          <w:p w14:paraId="52E41053" w14:textId="77777777" w:rsidR="002627D2" w:rsidRPr="00283296" w:rsidRDefault="002627D2" w:rsidP="002627D2">
            <w:pPr>
              <w:widowControl w:val="0"/>
              <w:suppressAutoHyphens/>
              <w:spacing w:after="0" w:line="276" w:lineRule="auto"/>
              <w:jc w:val="right"/>
              <w:textAlignment w:val="baseline"/>
              <w:rPr>
                <w:rFonts w:ascii="Arial" w:eastAsia="NSimSun" w:hAnsi="Arial" w:cs="Arial"/>
                <w:b/>
                <w:bCs/>
                <w:kern w:val="2"/>
                <w:sz w:val="19"/>
                <w:szCs w:val="19"/>
                <w:lang w:val="es-ES" w:eastAsia="zh-CN"/>
              </w:rPr>
            </w:pPr>
            <w:r w:rsidRPr="00283296">
              <w:rPr>
                <w:rFonts w:ascii="Arial" w:eastAsia="NSimSun" w:hAnsi="Arial" w:cs="Arial"/>
                <w:b/>
                <w:bCs/>
                <w:kern w:val="2"/>
                <w:sz w:val="19"/>
                <w:szCs w:val="19"/>
                <w:lang w:val="ca" w:eastAsia="zh-CN"/>
              </w:rPr>
              <w:t>1.610.728,12</w:t>
            </w:r>
          </w:p>
        </w:tc>
      </w:tr>
    </w:tbl>
    <w:p w14:paraId="25FD95AB" w14:textId="0C639905" w:rsidR="00DC250D" w:rsidRDefault="00DC250D" w:rsidP="00343C17">
      <w:pPr>
        <w:spacing w:after="240" w:line="276" w:lineRule="auto"/>
        <w:jc w:val="both"/>
        <w:rPr>
          <w:rFonts w:ascii="Arial" w:eastAsia="Droid Sans Fallback" w:hAnsi="Arial" w:cs="Arial"/>
          <w:kern w:val="3"/>
          <w:sz w:val="21"/>
          <w:szCs w:val="21"/>
          <w:lang w:eastAsia="zh-CN" w:bidi="hi-IN"/>
        </w:rPr>
      </w:pPr>
    </w:p>
    <w:p w14:paraId="63F1FB67" w14:textId="55468D29" w:rsidR="00DC250D" w:rsidRDefault="00DC250D" w:rsidP="00343C17">
      <w:pPr>
        <w:spacing w:after="240" w:line="276" w:lineRule="auto"/>
        <w:jc w:val="both"/>
        <w:rPr>
          <w:rFonts w:ascii="Arial" w:eastAsia="Droid Sans Fallback" w:hAnsi="Arial" w:cs="Arial"/>
          <w:kern w:val="3"/>
          <w:sz w:val="21"/>
          <w:szCs w:val="21"/>
          <w:lang w:eastAsia="zh-CN" w:bidi="hi-IN"/>
        </w:rPr>
      </w:pPr>
    </w:p>
    <w:p w14:paraId="48620E67" w14:textId="1F594D38" w:rsidR="00E215E8" w:rsidRDefault="00E215E8" w:rsidP="00E215E8">
      <w:pPr>
        <w:spacing w:after="240" w:line="276" w:lineRule="auto"/>
        <w:jc w:val="both"/>
        <w:rPr>
          <w:rFonts w:ascii="Arial" w:eastAsia="Droid Sans Fallback" w:hAnsi="Arial" w:cs="Arial"/>
          <w:kern w:val="3"/>
          <w:sz w:val="21"/>
          <w:szCs w:val="21"/>
          <w:lang w:val="ca" w:eastAsia="zh-CN" w:bidi="hi-IN"/>
        </w:rPr>
      </w:pPr>
      <w:r w:rsidRPr="00E215E8">
        <w:rPr>
          <w:rFonts w:ascii="Arial" w:eastAsia="Droid Sans Fallback" w:hAnsi="Arial" w:cs="Arial"/>
          <w:kern w:val="3"/>
          <w:sz w:val="21"/>
          <w:szCs w:val="21"/>
          <w:lang w:val="ca" w:eastAsia="zh-CN" w:bidi="hi-IN"/>
        </w:rPr>
        <w:t xml:space="preserve">El </w:t>
      </w:r>
      <w:r w:rsidRPr="00E215E8">
        <w:rPr>
          <w:rFonts w:ascii="Arial" w:eastAsia="Droid Sans Fallback" w:hAnsi="Arial" w:cs="Arial"/>
          <w:b/>
          <w:bCs/>
          <w:kern w:val="3"/>
          <w:sz w:val="21"/>
          <w:szCs w:val="21"/>
          <w:lang w:val="ca" w:eastAsia="zh-CN" w:bidi="hi-IN"/>
        </w:rPr>
        <w:t>romanent de tresoreria</w:t>
      </w:r>
      <w:r w:rsidRPr="00E215E8">
        <w:rPr>
          <w:rFonts w:ascii="Arial" w:eastAsia="Droid Sans Fallback" w:hAnsi="Arial" w:cs="Arial"/>
          <w:kern w:val="3"/>
          <w:sz w:val="21"/>
          <w:szCs w:val="21"/>
          <w:lang w:val="ca" w:eastAsia="zh-CN" w:bidi="hi-IN"/>
        </w:rPr>
        <w:t xml:space="preserve"> de l'Agència presenta la situació que es mostra a continuació</w:t>
      </w:r>
      <w:bookmarkStart w:id="505" w:name="Marcador_49"/>
      <w:bookmarkEnd w:id="505"/>
      <w:r w:rsidRPr="00E215E8">
        <w:rPr>
          <w:rFonts w:ascii="Arial" w:eastAsia="Droid Sans Fallback" w:hAnsi="Arial" w:cs="Arial"/>
          <w:kern w:val="3"/>
          <w:sz w:val="21"/>
          <w:szCs w:val="21"/>
          <w:lang w:val="ca" w:eastAsia="zh-CN" w:bidi="hi-IN"/>
        </w:rPr>
        <w:t xml:space="preserve"> a 31 de desembre de 2021.</w:t>
      </w:r>
    </w:p>
    <w:p w14:paraId="3FF42281" w14:textId="77777777" w:rsidR="00E215E8" w:rsidRPr="00E215E8" w:rsidRDefault="00E215E8" w:rsidP="00E215E8">
      <w:pPr>
        <w:spacing w:after="240" w:line="276" w:lineRule="auto"/>
        <w:jc w:val="both"/>
        <w:rPr>
          <w:rFonts w:ascii="Arial" w:eastAsia="Droid Sans Fallback" w:hAnsi="Arial" w:cs="Arial"/>
          <w:kern w:val="3"/>
          <w:sz w:val="21"/>
          <w:szCs w:val="21"/>
          <w:lang w:val="es-ES" w:eastAsia="zh-CN" w:bidi="hi-IN"/>
        </w:rPr>
      </w:pPr>
    </w:p>
    <w:p w14:paraId="762FB96C" w14:textId="01B48334" w:rsidR="00E215E8" w:rsidRPr="00E215E8" w:rsidRDefault="00E215E8" w:rsidP="00E215E8">
      <w:pPr>
        <w:pStyle w:val="Descripcin"/>
        <w:keepNext/>
        <w:jc w:val="center"/>
        <w:rPr>
          <w:rFonts w:ascii="Arial" w:hAnsi="Arial" w:cs="Arial"/>
          <w:smallCaps w:val="0"/>
          <w:sz w:val="18"/>
          <w:szCs w:val="18"/>
        </w:rPr>
      </w:pPr>
      <w:bookmarkStart w:id="506" w:name="_Toc99110886"/>
      <w:r w:rsidRPr="00E215E8">
        <w:rPr>
          <w:rFonts w:ascii="Arial" w:hAnsi="Arial" w:cs="Arial"/>
          <w:smallCaps w:val="0"/>
          <w:color w:val="9D2235" w:themeColor="accent1"/>
          <w:sz w:val="18"/>
          <w:szCs w:val="18"/>
        </w:rPr>
        <w:t xml:space="preserve">Taula </w:t>
      </w:r>
      <w:r w:rsidRPr="00E215E8">
        <w:rPr>
          <w:rFonts w:ascii="Arial" w:hAnsi="Arial" w:cs="Arial"/>
          <w:smallCaps w:val="0"/>
          <w:color w:val="9D2235" w:themeColor="accent1"/>
          <w:sz w:val="18"/>
          <w:szCs w:val="18"/>
        </w:rPr>
        <w:fldChar w:fldCharType="begin" w:fldLock="1"/>
      </w:r>
      <w:r w:rsidRPr="00E215E8">
        <w:rPr>
          <w:rFonts w:ascii="Arial" w:hAnsi="Arial" w:cs="Arial"/>
          <w:smallCaps w:val="0"/>
          <w:color w:val="9D2235" w:themeColor="accent1"/>
          <w:sz w:val="18"/>
          <w:szCs w:val="18"/>
        </w:rPr>
        <w:instrText xml:space="preserve"> SEQ Taula \* ARABIC </w:instrText>
      </w:r>
      <w:r w:rsidRPr="00E215E8">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41</w:t>
      </w:r>
      <w:r w:rsidRPr="00E215E8">
        <w:rPr>
          <w:rFonts w:ascii="Arial" w:hAnsi="Arial" w:cs="Arial"/>
          <w:smallCaps w:val="0"/>
          <w:color w:val="9D2235" w:themeColor="accent1"/>
          <w:sz w:val="18"/>
          <w:szCs w:val="18"/>
        </w:rPr>
        <w:fldChar w:fldCharType="end"/>
      </w:r>
      <w:r w:rsidRPr="00E215E8">
        <w:rPr>
          <w:rFonts w:ascii="Arial" w:hAnsi="Arial" w:cs="Arial"/>
          <w:smallCaps w:val="0"/>
          <w:color w:val="9D2235" w:themeColor="accent1"/>
          <w:sz w:val="18"/>
          <w:szCs w:val="18"/>
        </w:rPr>
        <w:t xml:space="preserve">. </w:t>
      </w:r>
      <w:r w:rsidRPr="00E215E8">
        <w:rPr>
          <w:rFonts w:ascii="Arial" w:hAnsi="Arial" w:cs="Arial"/>
          <w:smallCaps w:val="0"/>
          <w:sz w:val="18"/>
          <w:szCs w:val="18"/>
        </w:rPr>
        <w:t>Estat del romanent de tresoreria</w:t>
      </w:r>
      <w:bookmarkEnd w:id="506"/>
    </w:p>
    <w:tbl>
      <w:tblPr>
        <w:tblW w:w="8503" w:type="dxa"/>
        <w:jc w:val="center"/>
        <w:tblCellMar>
          <w:top w:w="55" w:type="dxa"/>
          <w:left w:w="55" w:type="dxa"/>
          <w:bottom w:w="55" w:type="dxa"/>
          <w:right w:w="55" w:type="dxa"/>
        </w:tblCellMar>
        <w:tblLook w:val="0000" w:firstRow="0" w:lastRow="0" w:firstColumn="0" w:lastColumn="0" w:noHBand="0" w:noVBand="0"/>
      </w:tblPr>
      <w:tblGrid>
        <w:gridCol w:w="3827"/>
        <w:gridCol w:w="1139"/>
        <w:gridCol w:w="1161"/>
        <w:gridCol w:w="1186"/>
        <w:gridCol w:w="1190"/>
      </w:tblGrid>
      <w:tr w:rsidR="00E215E8" w:rsidRPr="00E215E8" w14:paraId="40A85028"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9D2235"/>
            <w:vAlign w:val="center"/>
          </w:tcPr>
          <w:p w14:paraId="50FBF48E" w14:textId="77777777" w:rsidR="00E215E8" w:rsidRPr="00E215E8" w:rsidRDefault="00E215E8" w:rsidP="00E215E8">
            <w:pPr>
              <w:spacing w:line="276" w:lineRule="auto"/>
              <w:jc w:val="center"/>
              <w:rPr>
                <w:rFonts w:ascii="Arial" w:eastAsia="Times New Roman" w:hAnsi="Arial" w:cs="Arial"/>
                <w:b/>
                <w:bCs/>
                <w:color w:val="FFFFFF"/>
                <w:sz w:val="18"/>
                <w:szCs w:val="18"/>
                <w:lang w:val="es-ES"/>
              </w:rPr>
            </w:pPr>
            <w:r w:rsidRPr="00E215E8">
              <w:rPr>
                <w:rFonts w:ascii="Arial" w:eastAsia="Times New Roman" w:hAnsi="Arial" w:cs="Arial"/>
                <w:b/>
                <w:bCs/>
                <w:color w:val="FFFFFF"/>
                <w:sz w:val="18"/>
                <w:szCs w:val="18"/>
                <w:lang w:val="ca"/>
              </w:rPr>
              <w:t>CONCEPTES</w:t>
            </w:r>
          </w:p>
        </w:tc>
        <w:tc>
          <w:tcPr>
            <w:tcW w:w="2300" w:type="dxa"/>
            <w:gridSpan w:val="2"/>
            <w:tcBorders>
              <w:top w:val="single" w:sz="4" w:space="0" w:color="000000"/>
              <w:left w:val="single" w:sz="4" w:space="0" w:color="000000"/>
              <w:bottom w:val="single" w:sz="4" w:space="0" w:color="000000"/>
              <w:right w:val="single" w:sz="4" w:space="0" w:color="000000"/>
            </w:tcBorders>
            <w:shd w:val="clear" w:color="auto" w:fill="9D2235"/>
            <w:vAlign w:val="center"/>
          </w:tcPr>
          <w:p w14:paraId="6CE1CC3E" w14:textId="77777777" w:rsidR="00E215E8" w:rsidRPr="00E215E8" w:rsidRDefault="00E215E8" w:rsidP="00E215E8">
            <w:pPr>
              <w:spacing w:line="276" w:lineRule="auto"/>
              <w:jc w:val="center"/>
              <w:rPr>
                <w:rFonts w:ascii="Arial" w:eastAsia="Times New Roman" w:hAnsi="Arial" w:cs="Arial"/>
                <w:b/>
                <w:bCs/>
                <w:color w:val="FFFFFF"/>
                <w:sz w:val="18"/>
                <w:szCs w:val="18"/>
                <w:lang w:val="es-ES"/>
              </w:rPr>
            </w:pPr>
            <w:r w:rsidRPr="00E215E8">
              <w:rPr>
                <w:rFonts w:ascii="Arial" w:eastAsia="Times New Roman" w:hAnsi="Arial" w:cs="Arial"/>
                <w:b/>
                <w:bCs/>
                <w:color w:val="FFFFFF"/>
                <w:sz w:val="18"/>
                <w:szCs w:val="18"/>
                <w:lang w:val="ca"/>
              </w:rPr>
              <w:t>IMPORTS</w:t>
            </w:r>
          </w:p>
          <w:p w14:paraId="2D654C81" w14:textId="77777777" w:rsidR="00E215E8" w:rsidRPr="00E215E8" w:rsidRDefault="00E215E8" w:rsidP="00E215E8">
            <w:pPr>
              <w:spacing w:line="276" w:lineRule="auto"/>
              <w:jc w:val="center"/>
              <w:rPr>
                <w:rFonts w:ascii="Arial" w:eastAsia="Times New Roman" w:hAnsi="Arial" w:cs="Arial"/>
                <w:b/>
                <w:bCs/>
                <w:color w:val="FFFFFF"/>
                <w:sz w:val="18"/>
                <w:szCs w:val="18"/>
                <w:lang w:val="es-ES"/>
              </w:rPr>
            </w:pPr>
            <w:r w:rsidRPr="00E215E8">
              <w:rPr>
                <w:rFonts w:ascii="Arial" w:eastAsia="Times New Roman" w:hAnsi="Arial" w:cs="Arial"/>
                <w:b/>
                <w:bCs/>
                <w:color w:val="FFFFFF"/>
                <w:sz w:val="18"/>
                <w:szCs w:val="18"/>
                <w:lang w:val="ca"/>
              </w:rPr>
              <w:t>2021</w:t>
            </w:r>
          </w:p>
        </w:tc>
        <w:tc>
          <w:tcPr>
            <w:tcW w:w="2376" w:type="dxa"/>
            <w:gridSpan w:val="2"/>
            <w:tcBorders>
              <w:top w:val="single" w:sz="4" w:space="0" w:color="000000"/>
              <w:left w:val="single" w:sz="4" w:space="0" w:color="000000"/>
              <w:bottom w:val="single" w:sz="4" w:space="0" w:color="000000"/>
              <w:right w:val="single" w:sz="4" w:space="0" w:color="000000"/>
            </w:tcBorders>
            <w:shd w:val="clear" w:color="auto" w:fill="9D2235"/>
            <w:vAlign w:val="center"/>
          </w:tcPr>
          <w:p w14:paraId="2234AC95" w14:textId="77777777" w:rsidR="00E215E8" w:rsidRPr="00E215E8" w:rsidRDefault="00E215E8" w:rsidP="00E215E8">
            <w:pPr>
              <w:spacing w:line="276" w:lineRule="auto"/>
              <w:jc w:val="center"/>
              <w:rPr>
                <w:rFonts w:ascii="Arial" w:eastAsia="Times New Roman" w:hAnsi="Arial" w:cs="Arial"/>
                <w:b/>
                <w:bCs/>
                <w:color w:val="FFFFFF"/>
                <w:sz w:val="18"/>
                <w:szCs w:val="18"/>
                <w:lang w:val="es-ES"/>
              </w:rPr>
            </w:pPr>
            <w:r w:rsidRPr="00E215E8">
              <w:rPr>
                <w:rFonts w:ascii="Arial" w:eastAsia="Times New Roman" w:hAnsi="Arial" w:cs="Arial"/>
                <w:b/>
                <w:bCs/>
                <w:color w:val="FFFFFF"/>
                <w:sz w:val="18"/>
                <w:szCs w:val="18"/>
                <w:lang w:val="ca"/>
              </w:rPr>
              <w:t>IMPORTS</w:t>
            </w:r>
          </w:p>
          <w:p w14:paraId="59CDA10D" w14:textId="77777777" w:rsidR="00E215E8" w:rsidRPr="00E215E8" w:rsidRDefault="00E215E8" w:rsidP="00E215E8">
            <w:pPr>
              <w:spacing w:line="276" w:lineRule="auto"/>
              <w:jc w:val="center"/>
              <w:rPr>
                <w:rFonts w:ascii="Arial" w:eastAsia="Times New Roman" w:hAnsi="Arial" w:cs="Arial"/>
                <w:b/>
                <w:bCs/>
                <w:color w:val="FFFFFF"/>
                <w:sz w:val="18"/>
                <w:szCs w:val="18"/>
                <w:lang w:val="es-ES"/>
              </w:rPr>
            </w:pPr>
            <w:r w:rsidRPr="00E215E8">
              <w:rPr>
                <w:rFonts w:ascii="Arial" w:eastAsia="Times New Roman" w:hAnsi="Arial" w:cs="Arial"/>
                <w:b/>
                <w:bCs/>
                <w:color w:val="FFFFFF"/>
                <w:sz w:val="18"/>
                <w:szCs w:val="18"/>
                <w:lang w:val="ca"/>
              </w:rPr>
              <w:t>ANY ANTERIOR (2020)</w:t>
            </w:r>
          </w:p>
        </w:tc>
      </w:tr>
      <w:tr w:rsidR="00E215E8" w:rsidRPr="00E215E8" w14:paraId="7EF944E6"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DDDDDD"/>
          </w:tcPr>
          <w:p w14:paraId="1417DF9B"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b/>
                <w:bCs/>
                <w:sz w:val="18"/>
                <w:szCs w:val="18"/>
                <w:lang w:val="ca"/>
              </w:rPr>
              <w:t>1.- (+) FONS LÍQUIDS A LA TRESORERIA</w:t>
            </w:r>
          </w:p>
        </w:tc>
        <w:tc>
          <w:tcPr>
            <w:tcW w:w="1139"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72EA0550"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16DABD42" w14:textId="77777777" w:rsidR="00E215E8" w:rsidRPr="00E215E8" w:rsidRDefault="00E215E8" w:rsidP="00E215E8">
            <w:pPr>
              <w:spacing w:line="276" w:lineRule="auto"/>
              <w:jc w:val="center"/>
              <w:rPr>
                <w:rFonts w:ascii="Arial" w:eastAsia="Times New Roman" w:hAnsi="Arial" w:cs="Arial"/>
                <w:b/>
                <w:bCs/>
                <w:sz w:val="18"/>
                <w:szCs w:val="18"/>
                <w:lang w:val="es-ES"/>
              </w:rPr>
            </w:pPr>
            <w:r w:rsidRPr="00E215E8">
              <w:rPr>
                <w:rFonts w:ascii="Arial" w:eastAsia="Times New Roman" w:hAnsi="Arial" w:cs="Arial"/>
                <w:b/>
                <w:bCs/>
                <w:sz w:val="18"/>
                <w:szCs w:val="18"/>
                <w:lang w:val="ca"/>
              </w:rPr>
              <w:t>1.610.728,12</w:t>
            </w: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609B55BB"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4234CF16" w14:textId="77777777" w:rsidR="00E215E8" w:rsidRPr="00E215E8" w:rsidRDefault="00E215E8" w:rsidP="00E215E8">
            <w:pPr>
              <w:spacing w:line="276" w:lineRule="auto"/>
              <w:jc w:val="right"/>
              <w:rPr>
                <w:rFonts w:ascii="Arial" w:eastAsia="Times New Roman" w:hAnsi="Arial" w:cs="Arial"/>
                <w:sz w:val="18"/>
                <w:szCs w:val="18"/>
                <w:lang w:val="es-ES"/>
              </w:rPr>
            </w:pPr>
            <w:r w:rsidRPr="00E215E8">
              <w:rPr>
                <w:rFonts w:ascii="Arial" w:eastAsia="Times New Roman" w:hAnsi="Arial" w:cs="Arial"/>
                <w:b/>
                <w:bCs/>
                <w:sz w:val="18"/>
                <w:szCs w:val="18"/>
                <w:lang w:val="ca"/>
              </w:rPr>
              <w:t>1.237.529,58</w:t>
            </w:r>
          </w:p>
        </w:tc>
      </w:tr>
      <w:tr w:rsidR="00E215E8" w:rsidRPr="00E215E8" w14:paraId="05FFEFBF"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DDDDDD"/>
          </w:tcPr>
          <w:p w14:paraId="3BD51774"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b/>
                <w:bCs/>
                <w:sz w:val="18"/>
                <w:szCs w:val="18"/>
                <w:lang w:val="ca"/>
              </w:rPr>
              <w:t xml:space="preserve">2.- (+) DEUTORS PENDENTS DE COBRAMENT  </w:t>
            </w:r>
          </w:p>
        </w:tc>
        <w:tc>
          <w:tcPr>
            <w:tcW w:w="1139"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78F18631"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64B609D3" w14:textId="77777777" w:rsidR="00E215E8" w:rsidRPr="00E215E8" w:rsidRDefault="00E215E8" w:rsidP="00E215E8">
            <w:pPr>
              <w:spacing w:line="276" w:lineRule="auto"/>
              <w:jc w:val="right"/>
              <w:rPr>
                <w:rFonts w:ascii="Arial" w:eastAsia="Times New Roman" w:hAnsi="Arial" w:cs="Arial"/>
                <w:b/>
                <w:bCs/>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36A3BF97"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42F9D8D3" w14:textId="77777777" w:rsidR="00E215E8" w:rsidRPr="00E215E8" w:rsidRDefault="00E215E8" w:rsidP="00E215E8">
            <w:pPr>
              <w:spacing w:line="276" w:lineRule="auto"/>
              <w:jc w:val="right"/>
              <w:rPr>
                <w:rFonts w:ascii="Arial" w:eastAsia="Times New Roman" w:hAnsi="Arial" w:cs="Arial"/>
                <w:b/>
                <w:bCs/>
                <w:sz w:val="18"/>
                <w:szCs w:val="18"/>
                <w:lang w:val="es-ES"/>
              </w:rPr>
            </w:pPr>
            <w:r w:rsidRPr="00E215E8">
              <w:rPr>
                <w:rFonts w:ascii="Arial" w:eastAsia="Times New Roman" w:hAnsi="Arial" w:cs="Arial"/>
                <w:b/>
                <w:bCs/>
                <w:sz w:val="18"/>
                <w:szCs w:val="18"/>
                <w:lang w:val="ca"/>
              </w:rPr>
              <w:t>2.818.288,68</w:t>
            </w:r>
          </w:p>
        </w:tc>
      </w:tr>
      <w:tr w:rsidR="00E215E8" w:rsidRPr="00E215E8" w14:paraId="3FDE6302"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469D24BD"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sz w:val="18"/>
                <w:szCs w:val="18"/>
                <w:lang w:val="ca"/>
              </w:rPr>
              <w:t xml:space="preserve">      (+) De Pressupost d' ingressos. Corrents            </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9742E6"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EE3C08"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81EDE0" w14:textId="77777777" w:rsidR="00E215E8" w:rsidRPr="00E215E8" w:rsidRDefault="00E215E8" w:rsidP="00E215E8">
            <w:pPr>
              <w:spacing w:line="276" w:lineRule="auto"/>
              <w:jc w:val="right"/>
              <w:rPr>
                <w:rFonts w:ascii="Arial" w:eastAsia="Times New Roman" w:hAnsi="Arial" w:cs="Arial"/>
                <w:sz w:val="18"/>
                <w:szCs w:val="18"/>
                <w:lang w:val="es-ES"/>
              </w:rPr>
            </w:pPr>
            <w:r w:rsidRPr="00E215E8">
              <w:rPr>
                <w:rFonts w:ascii="Arial" w:eastAsia="Times New Roman" w:hAnsi="Arial" w:cs="Arial"/>
                <w:sz w:val="18"/>
                <w:szCs w:val="18"/>
                <w:lang w:val="ca"/>
              </w:rPr>
              <w:t>2.818.288,68</w:t>
            </w: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8F8496" w14:textId="77777777" w:rsidR="00E215E8" w:rsidRPr="00E215E8" w:rsidRDefault="00E215E8" w:rsidP="00E215E8">
            <w:pPr>
              <w:spacing w:line="276" w:lineRule="auto"/>
              <w:jc w:val="right"/>
              <w:rPr>
                <w:rFonts w:ascii="Arial" w:eastAsia="Times New Roman" w:hAnsi="Arial" w:cs="Arial"/>
                <w:sz w:val="18"/>
                <w:szCs w:val="18"/>
                <w:lang w:val="es-ES"/>
              </w:rPr>
            </w:pPr>
          </w:p>
        </w:tc>
      </w:tr>
      <w:tr w:rsidR="00E215E8" w:rsidRPr="00E215E8" w14:paraId="44B7A271"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EEEEEE"/>
          </w:tcPr>
          <w:p w14:paraId="51890896"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sz w:val="18"/>
                <w:szCs w:val="18"/>
                <w:lang w:val="ca"/>
              </w:rPr>
              <w:t xml:space="preserve">      (+) De Pressupost d' ingressos. Tancats          </w:t>
            </w:r>
          </w:p>
        </w:tc>
        <w:tc>
          <w:tcPr>
            <w:tcW w:w="1139"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111B3990"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5C7BFF56"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1BFF5EA9" w14:textId="77777777" w:rsidR="00E215E8" w:rsidRPr="00E215E8" w:rsidRDefault="00E215E8" w:rsidP="00E215E8">
            <w:pPr>
              <w:spacing w:line="276" w:lineRule="auto"/>
              <w:jc w:val="right"/>
              <w:rPr>
                <w:rFonts w:ascii="Arial" w:eastAsia="Times New Roman" w:hAnsi="Arial" w:cs="Arial"/>
                <w:sz w:val="18"/>
                <w:szCs w:val="18"/>
                <w:lang w:val="es-ES"/>
              </w:rPr>
            </w:pPr>
            <w:r w:rsidRPr="00E215E8">
              <w:rPr>
                <w:rFonts w:ascii="Arial" w:eastAsia="Times New Roman" w:hAnsi="Arial" w:cs="Arial"/>
                <w:sz w:val="18"/>
                <w:szCs w:val="18"/>
                <w:lang w:val="ca"/>
              </w:rPr>
              <w:t>0,00</w:t>
            </w:r>
          </w:p>
        </w:tc>
        <w:tc>
          <w:tcPr>
            <w:tcW w:w="1190"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2EDF39C2" w14:textId="77777777" w:rsidR="00E215E8" w:rsidRPr="00E215E8" w:rsidRDefault="00E215E8" w:rsidP="00E215E8">
            <w:pPr>
              <w:spacing w:line="276" w:lineRule="auto"/>
              <w:jc w:val="right"/>
              <w:rPr>
                <w:rFonts w:ascii="Arial" w:eastAsia="Times New Roman" w:hAnsi="Arial" w:cs="Arial"/>
                <w:sz w:val="18"/>
                <w:szCs w:val="18"/>
                <w:lang w:val="es-ES"/>
              </w:rPr>
            </w:pPr>
          </w:p>
        </w:tc>
      </w:tr>
      <w:tr w:rsidR="00E215E8" w:rsidRPr="00E215E8" w14:paraId="261FDB79"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53DF9028"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sz w:val="18"/>
                <w:szCs w:val="18"/>
                <w:lang w:val="ca"/>
              </w:rPr>
              <w:t xml:space="preserve">      (+) D' Operacions no pressupostàries               </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AA36D5"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065D3A"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33375C" w14:textId="77777777" w:rsidR="00E215E8" w:rsidRPr="00E215E8" w:rsidRDefault="00E215E8" w:rsidP="00E215E8">
            <w:pPr>
              <w:spacing w:line="276" w:lineRule="auto"/>
              <w:jc w:val="right"/>
              <w:rPr>
                <w:rFonts w:ascii="Arial" w:eastAsia="Times New Roman" w:hAnsi="Arial" w:cs="Arial"/>
                <w:sz w:val="18"/>
                <w:szCs w:val="18"/>
                <w:lang w:val="es-ES"/>
              </w:rPr>
            </w:pPr>
            <w:r w:rsidRPr="00E215E8">
              <w:rPr>
                <w:rFonts w:ascii="Arial" w:eastAsia="Times New Roman" w:hAnsi="Arial" w:cs="Arial"/>
                <w:sz w:val="18"/>
                <w:szCs w:val="18"/>
                <w:lang w:val="ca"/>
              </w:rPr>
              <w:t>0,00</w:t>
            </w: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DFB497" w14:textId="77777777" w:rsidR="00E215E8" w:rsidRPr="00E215E8" w:rsidRDefault="00E215E8" w:rsidP="00E215E8">
            <w:pPr>
              <w:spacing w:line="276" w:lineRule="auto"/>
              <w:jc w:val="right"/>
              <w:rPr>
                <w:rFonts w:ascii="Arial" w:eastAsia="Times New Roman" w:hAnsi="Arial" w:cs="Arial"/>
                <w:sz w:val="18"/>
                <w:szCs w:val="18"/>
                <w:lang w:val="es-ES"/>
              </w:rPr>
            </w:pPr>
          </w:p>
        </w:tc>
      </w:tr>
      <w:tr w:rsidR="00E215E8" w:rsidRPr="00E215E8" w14:paraId="27DE20FD"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DDDDDD"/>
          </w:tcPr>
          <w:p w14:paraId="2F3389E6" w14:textId="77777777" w:rsidR="00E215E8" w:rsidRPr="00E215E8" w:rsidRDefault="00E215E8" w:rsidP="00E215E8">
            <w:pPr>
              <w:spacing w:line="276" w:lineRule="auto"/>
              <w:jc w:val="both"/>
              <w:rPr>
                <w:rFonts w:ascii="Arial" w:eastAsia="Times New Roman" w:hAnsi="Arial" w:cs="Arial"/>
                <w:b/>
                <w:bCs/>
                <w:sz w:val="18"/>
                <w:szCs w:val="18"/>
                <w:lang w:val="es-ES"/>
              </w:rPr>
            </w:pPr>
            <w:r w:rsidRPr="00E215E8">
              <w:rPr>
                <w:rFonts w:ascii="Arial" w:eastAsia="Times New Roman" w:hAnsi="Arial" w:cs="Arial"/>
                <w:b/>
                <w:bCs/>
                <w:sz w:val="18"/>
                <w:szCs w:val="18"/>
                <w:lang w:val="ca"/>
              </w:rPr>
              <w:t xml:space="preserve">3.- (-) OBLIGACIONS PENDENTS DE PAGAMENT                                 </w:t>
            </w:r>
          </w:p>
        </w:tc>
        <w:tc>
          <w:tcPr>
            <w:tcW w:w="1139"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673E0755"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51AC2C5B" w14:textId="77777777" w:rsidR="00E215E8" w:rsidRPr="00E215E8" w:rsidRDefault="00E215E8" w:rsidP="00E215E8">
            <w:pPr>
              <w:spacing w:line="276" w:lineRule="auto"/>
              <w:jc w:val="center"/>
              <w:rPr>
                <w:rFonts w:ascii="Arial" w:eastAsia="Times New Roman" w:hAnsi="Arial" w:cs="Arial"/>
                <w:b/>
                <w:bCs/>
                <w:sz w:val="18"/>
                <w:szCs w:val="18"/>
                <w:lang w:val="es-ES"/>
              </w:rPr>
            </w:pPr>
            <w:r w:rsidRPr="00E215E8">
              <w:rPr>
                <w:rFonts w:ascii="Arial" w:eastAsia="Times New Roman" w:hAnsi="Arial" w:cs="Arial"/>
                <w:b/>
                <w:bCs/>
                <w:sz w:val="18"/>
                <w:szCs w:val="18"/>
                <w:lang w:val="ca"/>
              </w:rPr>
              <w:t>214.694,06</w:t>
            </w: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552E8F26"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76369AD0" w14:textId="77777777" w:rsidR="00E215E8" w:rsidRPr="00E215E8" w:rsidRDefault="00E215E8" w:rsidP="00E215E8">
            <w:pPr>
              <w:spacing w:line="276" w:lineRule="auto"/>
              <w:jc w:val="right"/>
              <w:rPr>
                <w:rFonts w:ascii="Arial" w:eastAsia="Times New Roman" w:hAnsi="Arial" w:cs="Arial"/>
                <w:sz w:val="18"/>
                <w:szCs w:val="18"/>
                <w:lang w:val="es-ES"/>
              </w:rPr>
            </w:pPr>
            <w:bookmarkStart w:id="507" w:name="_Hlk65501111"/>
            <w:r w:rsidRPr="00E215E8">
              <w:rPr>
                <w:rFonts w:ascii="Arial" w:eastAsia="Times New Roman" w:hAnsi="Arial" w:cs="Arial"/>
                <w:b/>
                <w:bCs/>
                <w:sz w:val="18"/>
                <w:szCs w:val="18"/>
                <w:lang w:val="ca"/>
              </w:rPr>
              <w:t>267.465,00</w:t>
            </w:r>
            <w:bookmarkEnd w:id="507"/>
          </w:p>
        </w:tc>
      </w:tr>
      <w:tr w:rsidR="00E215E8" w:rsidRPr="00E215E8" w14:paraId="6CCFFCD7"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0FA45478"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sz w:val="18"/>
                <w:szCs w:val="18"/>
                <w:lang w:val="ca"/>
              </w:rPr>
              <w:t xml:space="preserve">      De Pressupostos de despeses. Corrents             </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4928CE" w14:textId="77777777" w:rsidR="00E215E8" w:rsidRPr="00E215E8" w:rsidRDefault="00E215E8" w:rsidP="00E215E8">
            <w:pPr>
              <w:spacing w:line="276" w:lineRule="auto"/>
              <w:jc w:val="right"/>
              <w:rPr>
                <w:rFonts w:ascii="Arial" w:eastAsia="Times New Roman" w:hAnsi="Arial" w:cs="Arial"/>
                <w:sz w:val="18"/>
                <w:szCs w:val="18"/>
                <w:lang w:val="es-ES"/>
              </w:rPr>
            </w:pPr>
            <w:r w:rsidRPr="00E215E8">
              <w:rPr>
                <w:rFonts w:ascii="Arial" w:eastAsia="Times New Roman" w:hAnsi="Arial" w:cs="Arial"/>
                <w:sz w:val="18"/>
                <w:szCs w:val="18"/>
                <w:lang w:val="ca"/>
              </w:rPr>
              <w:t>17.539,53</w:t>
            </w: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AF3CEE"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C144FD" w14:textId="77777777" w:rsidR="00E215E8" w:rsidRPr="00E215E8" w:rsidRDefault="00E215E8" w:rsidP="00E215E8">
            <w:pPr>
              <w:spacing w:line="276" w:lineRule="auto"/>
              <w:jc w:val="right"/>
              <w:rPr>
                <w:rFonts w:ascii="Arial" w:eastAsia="Times New Roman" w:hAnsi="Arial" w:cs="Arial"/>
                <w:sz w:val="18"/>
                <w:szCs w:val="18"/>
                <w:lang w:val="es-ES"/>
              </w:rPr>
            </w:pPr>
            <w:r w:rsidRPr="00E215E8">
              <w:rPr>
                <w:rFonts w:ascii="Arial" w:eastAsia="Times New Roman" w:hAnsi="Arial" w:cs="Arial"/>
                <w:sz w:val="18"/>
                <w:szCs w:val="18"/>
                <w:lang w:val="ca"/>
              </w:rPr>
              <w:t>59.319,35</w:t>
            </w: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805F2D" w14:textId="77777777" w:rsidR="00E215E8" w:rsidRPr="00E215E8" w:rsidRDefault="00E215E8" w:rsidP="00E215E8">
            <w:pPr>
              <w:spacing w:line="276" w:lineRule="auto"/>
              <w:jc w:val="right"/>
              <w:rPr>
                <w:rFonts w:ascii="Arial" w:eastAsia="Times New Roman" w:hAnsi="Arial" w:cs="Arial"/>
                <w:sz w:val="18"/>
                <w:szCs w:val="18"/>
                <w:lang w:val="es-ES"/>
              </w:rPr>
            </w:pPr>
          </w:p>
        </w:tc>
      </w:tr>
      <w:tr w:rsidR="00E215E8" w:rsidRPr="00E215E8" w14:paraId="4F7044EC"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EEEEEE"/>
          </w:tcPr>
          <w:p w14:paraId="0223A67E"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sz w:val="18"/>
                <w:szCs w:val="18"/>
                <w:lang w:val="ca"/>
              </w:rPr>
              <w:t xml:space="preserve">      De Pressupostos de despeses. Tancats                      </w:t>
            </w:r>
          </w:p>
        </w:tc>
        <w:tc>
          <w:tcPr>
            <w:tcW w:w="1139"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2CB6CFEB"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7C534149"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20FC9957"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15934FFC" w14:textId="77777777" w:rsidR="00E215E8" w:rsidRPr="00E215E8" w:rsidRDefault="00E215E8" w:rsidP="00E215E8">
            <w:pPr>
              <w:spacing w:line="276" w:lineRule="auto"/>
              <w:jc w:val="right"/>
              <w:rPr>
                <w:rFonts w:ascii="Arial" w:eastAsia="Times New Roman" w:hAnsi="Arial" w:cs="Arial"/>
                <w:sz w:val="18"/>
                <w:szCs w:val="18"/>
                <w:lang w:val="es-ES"/>
              </w:rPr>
            </w:pPr>
          </w:p>
        </w:tc>
      </w:tr>
      <w:tr w:rsidR="00E215E8" w:rsidRPr="00E215E8" w14:paraId="47237A48"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2110EB6D"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sz w:val="18"/>
                <w:szCs w:val="18"/>
                <w:lang w:val="ca"/>
              </w:rPr>
              <w:t xml:space="preserve">      D' Operacions no pressupostàries                </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247856" w14:textId="77777777" w:rsidR="00E215E8" w:rsidRPr="00E215E8" w:rsidRDefault="00E215E8" w:rsidP="00E215E8">
            <w:pPr>
              <w:spacing w:line="276" w:lineRule="auto"/>
              <w:jc w:val="right"/>
              <w:rPr>
                <w:rFonts w:ascii="Arial" w:eastAsia="Times New Roman" w:hAnsi="Arial" w:cs="Arial"/>
                <w:sz w:val="18"/>
                <w:szCs w:val="18"/>
                <w:lang w:val="es-ES"/>
              </w:rPr>
            </w:pPr>
            <w:r w:rsidRPr="00E215E8">
              <w:rPr>
                <w:rFonts w:ascii="Arial" w:eastAsia="Times New Roman" w:hAnsi="Arial" w:cs="Arial"/>
                <w:sz w:val="18"/>
                <w:szCs w:val="18"/>
                <w:lang w:val="ca"/>
              </w:rPr>
              <w:t>197.154,53</w:t>
            </w: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293684"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1D0D11" w14:textId="77777777" w:rsidR="00E215E8" w:rsidRPr="00E215E8" w:rsidRDefault="00E215E8" w:rsidP="00E215E8">
            <w:pPr>
              <w:spacing w:line="276" w:lineRule="auto"/>
              <w:jc w:val="right"/>
              <w:rPr>
                <w:rFonts w:ascii="Arial" w:eastAsia="Times New Roman" w:hAnsi="Arial" w:cs="Arial"/>
                <w:sz w:val="18"/>
                <w:szCs w:val="18"/>
                <w:lang w:val="es-ES"/>
              </w:rPr>
            </w:pPr>
            <w:bookmarkStart w:id="508" w:name="_Hlk65501173"/>
            <w:r w:rsidRPr="00E215E8">
              <w:rPr>
                <w:rFonts w:ascii="Arial" w:eastAsia="Times New Roman" w:hAnsi="Arial" w:cs="Arial"/>
                <w:sz w:val="18"/>
                <w:szCs w:val="18"/>
                <w:lang w:val="ca"/>
              </w:rPr>
              <w:t>208.145,65</w:t>
            </w:r>
            <w:bookmarkEnd w:id="508"/>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8B17F8" w14:textId="77777777" w:rsidR="00E215E8" w:rsidRPr="00E215E8" w:rsidRDefault="00E215E8" w:rsidP="00E215E8">
            <w:pPr>
              <w:spacing w:line="276" w:lineRule="auto"/>
              <w:jc w:val="right"/>
              <w:rPr>
                <w:rFonts w:ascii="Arial" w:eastAsia="Times New Roman" w:hAnsi="Arial" w:cs="Arial"/>
                <w:sz w:val="18"/>
                <w:szCs w:val="18"/>
                <w:lang w:val="es-ES"/>
              </w:rPr>
            </w:pPr>
          </w:p>
        </w:tc>
      </w:tr>
      <w:tr w:rsidR="00E215E8" w:rsidRPr="00E215E8" w14:paraId="1E2A8CF8"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DDDDDD"/>
          </w:tcPr>
          <w:p w14:paraId="3716F94B"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b/>
                <w:bCs/>
                <w:sz w:val="18"/>
                <w:szCs w:val="18"/>
                <w:lang w:val="ca"/>
              </w:rPr>
              <w:t xml:space="preserve">4.- PARTIDES PENDENTS D' APLICACIÓ </w:t>
            </w:r>
          </w:p>
        </w:tc>
        <w:tc>
          <w:tcPr>
            <w:tcW w:w="1139"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0766839F"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02D42848" w14:textId="77777777" w:rsidR="00E215E8" w:rsidRPr="00E215E8" w:rsidRDefault="00E215E8" w:rsidP="00E215E8">
            <w:pPr>
              <w:spacing w:line="276" w:lineRule="auto"/>
              <w:jc w:val="right"/>
              <w:rPr>
                <w:rFonts w:ascii="Arial" w:eastAsia="Times New Roman" w:hAnsi="Arial" w:cs="Arial"/>
                <w:b/>
                <w:bCs/>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201A0A81"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2211C11F" w14:textId="77777777" w:rsidR="00E215E8" w:rsidRPr="00E215E8" w:rsidRDefault="00E215E8" w:rsidP="00E215E8">
            <w:pPr>
              <w:spacing w:line="276" w:lineRule="auto"/>
              <w:jc w:val="right"/>
              <w:rPr>
                <w:rFonts w:ascii="Arial" w:eastAsia="Times New Roman" w:hAnsi="Arial" w:cs="Arial"/>
                <w:b/>
                <w:bCs/>
                <w:sz w:val="18"/>
                <w:szCs w:val="18"/>
                <w:lang w:val="es-ES"/>
              </w:rPr>
            </w:pPr>
            <w:r w:rsidRPr="00E215E8">
              <w:rPr>
                <w:rFonts w:ascii="Arial" w:eastAsia="Times New Roman" w:hAnsi="Arial" w:cs="Arial"/>
                <w:b/>
                <w:bCs/>
                <w:sz w:val="18"/>
                <w:szCs w:val="18"/>
                <w:lang w:val="ca"/>
              </w:rPr>
              <w:t>0,00</w:t>
            </w:r>
          </w:p>
        </w:tc>
      </w:tr>
      <w:tr w:rsidR="00E215E8" w:rsidRPr="00E215E8" w14:paraId="4C837B3C"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616EBD3D"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sz w:val="18"/>
                <w:szCs w:val="18"/>
                <w:lang w:val="ca"/>
              </w:rPr>
              <w:t xml:space="preserve">      (-) Cobraments realitzats pendents d' aplicació definitiva</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5EC15F"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2D4F25"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42458A" w14:textId="77777777" w:rsidR="00E215E8" w:rsidRPr="00E215E8" w:rsidRDefault="00E215E8" w:rsidP="00E215E8">
            <w:pPr>
              <w:spacing w:line="276" w:lineRule="auto"/>
              <w:jc w:val="right"/>
              <w:rPr>
                <w:rFonts w:ascii="Arial" w:eastAsia="Times New Roman" w:hAnsi="Arial" w:cs="Arial"/>
                <w:sz w:val="18"/>
                <w:szCs w:val="18"/>
                <w:lang w:val="es-ES"/>
              </w:rPr>
            </w:pPr>
            <w:r w:rsidRPr="00E215E8">
              <w:rPr>
                <w:rFonts w:ascii="Arial" w:eastAsia="Times New Roman" w:hAnsi="Arial" w:cs="Arial"/>
                <w:sz w:val="18"/>
                <w:szCs w:val="18"/>
                <w:lang w:val="ca"/>
              </w:rPr>
              <w:t>0,00</w:t>
            </w: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7285CB" w14:textId="77777777" w:rsidR="00E215E8" w:rsidRPr="00E215E8" w:rsidRDefault="00E215E8" w:rsidP="00E215E8">
            <w:pPr>
              <w:spacing w:line="276" w:lineRule="auto"/>
              <w:jc w:val="right"/>
              <w:rPr>
                <w:rFonts w:ascii="Arial" w:eastAsia="Times New Roman" w:hAnsi="Arial" w:cs="Arial"/>
                <w:sz w:val="18"/>
                <w:szCs w:val="18"/>
                <w:lang w:val="es-ES"/>
              </w:rPr>
            </w:pPr>
          </w:p>
        </w:tc>
      </w:tr>
      <w:tr w:rsidR="00E215E8" w:rsidRPr="00E215E8" w14:paraId="565EA484" w14:textId="77777777" w:rsidTr="00E215E8">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EEEEEE"/>
          </w:tcPr>
          <w:p w14:paraId="6B1B995E"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sz w:val="18"/>
                <w:szCs w:val="18"/>
                <w:lang w:val="ca"/>
              </w:rPr>
              <w:t xml:space="preserve">      (+) Pagaments realitzats pendents d' aplicació definitiva</w:t>
            </w:r>
          </w:p>
        </w:tc>
        <w:tc>
          <w:tcPr>
            <w:tcW w:w="1139"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1CD78C8F"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61"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14380286"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43C5877A"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0BEB2106" w14:textId="77777777" w:rsidR="00E215E8" w:rsidRPr="00E215E8" w:rsidRDefault="00E215E8" w:rsidP="00E215E8">
            <w:pPr>
              <w:spacing w:line="276" w:lineRule="auto"/>
              <w:jc w:val="right"/>
              <w:rPr>
                <w:rFonts w:ascii="Arial" w:eastAsia="Times New Roman" w:hAnsi="Arial" w:cs="Arial"/>
                <w:sz w:val="18"/>
                <w:szCs w:val="18"/>
                <w:lang w:val="es-ES"/>
              </w:rPr>
            </w:pPr>
          </w:p>
        </w:tc>
      </w:tr>
      <w:tr w:rsidR="00E215E8" w:rsidRPr="00E215E8" w14:paraId="29A7283B" w14:textId="77777777" w:rsidTr="00E215E8">
        <w:trPr>
          <w:trHeight w:val="20"/>
          <w:jc w:val="center"/>
        </w:trPr>
        <w:tc>
          <w:tcPr>
            <w:tcW w:w="4966" w:type="dxa"/>
            <w:gridSpan w:val="2"/>
            <w:tcBorders>
              <w:top w:val="single" w:sz="4" w:space="0" w:color="000000"/>
              <w:left w:val="single" w:sz="4" w:space="0" w:color="000000"/>
              <w:bottom w:val="single" w:sz="4" w:space="0" w:color="000000"/>
              <w:right w:val="single" w:sz="4" w:space="0" w:color="000000"/>
            </w:tcBorders>
            <w:shd w:val="clear" w:color="auto" w:fill="FFFFFF"/>
          </w:tcPr>
          <w:p w14:paraId="07DA44C8" w14:textId="77777777" w:rsidR="00E215E8" w:rsidRPr="00E215E8" w:rsidRDefault="00E215E8" w:rsidP="00E215E8">
            <w:pPr>
              <w:spacing w:line="276" w:lineRule="auto"/>
              <w:jc w:val="both"/>
              <w:rPr>
                <w:rFonts w:ascii="Arial" w:eastAsia="Times New Roman" w:hAnsi="Arial" w:cs="Arial"/>
                <w:b/>
                <w:bCs/>
                <w:sz w:val="18"/>
                <w:szCs w:val="18"/>
                <w:lang w:val="es-ES"/>
              </w:rPr>
            </w:pPr>
            <w:r w:rsidRPr="00E215E8">
              <w:rPr>
                <w:rFonts w:ascii="Arial" w:eastAsia="Times New Roman" w:hAnsi="Arial" w:cs="Arial"/>
                <w:b/>
                <w:bCs/>
                <w:sz w:val="18"/>
                <w:szCs w:val="18"/>
                <w:lang w:val="ca"/>
              </w:rPr>
              <w:t>I. ROMANENT DE TRESORERIA TOTAL (1 +2+3+4)</w:t>
            </w: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8D648D" w14:textId="77777777" w:rsidR="00E215E8" w:rsidRPr="00E215E8" w:rsidRDefault="00E215E8" w:rsidP="00E215E8">
            <w:pPr>
              <w:spacing w:line="276" w:lineRule="auto"/>
              <w:jc w:val="right"/>
              <w:rPr>
                <w:rFonts w:ascii="Arial" w:eastAsia="Times New Roman" w:hAnsi="Arial" w:cs="Arial"/>
                <w:b/>
                <w:bCs/>
                <w:sz w:val="18"/>
                <w:szCs w:val="18"/>
                <w:lang w:val="es-ES"/>
              </w:rPr>
            </w:pPr>
            <w:r w:rsidRPr="00E215E8">
              <w:rPr>
                <w:rFonts w:ascii="Arial" w:eastAsia="Times New Roman" w:hAnsi="Arial" w:cs="Arial"/>
                <w:b/>
                <w:bCs/>
                <w:sz w:val="18"/>
                <w:szCs w:val="18"/>
                <w:lang w:val="ca"/>
              </w:rPr>
              <w:t>1.396.034,06</w:t>
            </w: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576264" w14:textId="77777777" w:rsidR="00E215E8" w:rsidRPr="00E215E8" w:rsidRDefault="00E215E8" w:rsidP="00E215E8">
            <w:pPr>
              <w:spacing w:line="276" w:lineRule="auto"/>
              <w:jc w:val="right"/>
              <w:rPr>
                <w:rFonts w:ascii="Arial" w:eastAsia="Times New Roman" w:hAnsi="Arial" w:cs="Arial"/>
                <w:b/>
                <w:bCs/>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66891E" w14:textId="77777777" w:rsidR="00E215E8" w:rsidRPr="00E215E8" w:rsidRDefault="00E215E8" w:rsidP="00E215E8">
            <w:pPr>
              <w:spacing w:line="276" w:lineRule="auto"/>
              <w:jc w:val="right"/>
              <w:rPr>
                <w:rFonts w:ascii="Arial" w:eastAsia="Times New Roman" w:hAnsi="Arial" w:cs="Arial"/>
                <w:b/>
                <w:bCs/>
                <w:sz w:val="18"/>
                <w:szCs w:val="18"/>
                <w:lang w:val="es-ES"/>
              </w:rPr>
            </w:pPr>
            <w:r w:rsidRPr="00E215E8">
              <w:rPr>
                <w:rFonts w:ascii="Arial" w:eastAsia="Times New Roman" w:hAnsi="Arial" w:cs="Arial"/>
                <w:b/>
                <w:bCs/>
                <w:sz w:val="18"/>
                <w:szCs w:val="18"/>
                <w:lang w:val="ca"/>
              </w:rPr>
              <w:t>3.788.353,26</w:t>
            </w:r>
          </w:p>
        </w:tc>
      </w:tr>
      <w:tr w:rsidR="00E215E8" w:rsidRPr="00E215E8" w14:paraId="724BDFE0" w14:textId="77777777" w:rsidTr="00E215E8">
        <w:trPr>
          <w:trHeight w:val="20"/>
          <w:jc w:val="center"/>
        </w:trPr>
        <w:tc>
          <w:tcPr>
            <w:tcW w:w="4966" w:type="dxa"/>
            <w:gridSpan w:val="2"/>
            <w:tcBorders>
              <w:top w:val="single" w:sz="4" w:space="0" w:color="000000"/>
              <w:left w:val="single" w:sz="4" w:space="0" w:color="000000"/>
              <w:bottom w:val="single" w:sz="4" w:space="0" w:color="000000"/>
              <w:right w:val="single" w:sz="4" w:space="0" w:color="000000"/>
            </w:tcBorders>
            <w:shd w:val="clear" w:color="auto" w:fill="DDDDDD"/>
          </w:tcPr>
          <w:p w14:paraId="0CBF1B3B"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b/>
                <w:bCs/>
                <w:sz w:val="18"/>
                <w:szCs w:val="18"/>
                <w:lang w:val="ca"/>
              </w:rPr>
              <w:t xml:space="preserve">II. SALDOS DE DUBTÓS COBRAMENT </w:t>
            </w: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1A8457F7"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622F54AD"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4CD068A8" w14:textId="77777777" w:rsidR="00E215E8" w:rsidRPr="00E215E8" w:rsidRDefault="00E215E8" w:rsidP="00E215E8">
            <w:pPr>
              <w:spacing w:line="276" w:lineRule="auto"/>
              <w:jc w:val="right"/>
              <w:rPr>
                <w:rFonts w:ascii="Arial" w:eastAsia="Times New Roman" w:hAnsi="Arial" w:cs="Arial"/>
                <w:b/>
                <w:bCs/>
                <w:sz w:val="18"/>
                <w:szCs w:val="18"/>
                <w:lang w:val="es-ES"/>
              </w:rPr>
            </w:pPr>
          </w:p>
        </w:tc>
      </w:tr>
      <w:tr w:rsidR="00E215E8" w:rsidRPr="00E215E8" w14:paraId="4A01E16B" w14:textId="77777777" w:rsidTr="00E215E8">
        <w:trPr>
          <w:trHeight w:val="20"/>
          <w:jc w:val="center"/>
        </w:trPr>
        <w:tc>
          <w:tcPr>
            <w:tcW w:w="4966" w:type="dxa"/>
            <w:gridSpan w:val="2"/>
            <w:tcBorders>
              <w:top w:val="single" w:sz="4" w:space="0" w:color="000000"/>
              <w:left w:val="single" w:sz="4" w:space="0" w:color="000000"/>
              <w:bottom w:val="single" w:sz="4" w:space="0" w:color="000000"/>
              <w:right w:val="single" w:sz="4" w:space="0" w:color="000000"/>
            </w:tcBorders>
            <w:shd w:val="clear" w:color="auto" w:fill="FFFFFF"/>
          </w:tcPr>
          <w:p w14:paraId="63D89553"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b/>
                <w:bCs/>
                <w:sz w:val="18"/>
                <w:szCs w:val="18"/>
                <w:lang w:val="ca"/>
              </w:rPr>
              <w:t xml:space="preserve">III. EXCÉS DE FINANÇAMENT AFECTAT  </w:t>
            </w: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E58239"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C17BDB" w14:textId="77777777" w:rsidR="00E215E8" w:rsidRPr="00E215E8" w:rsidRDefault="00E215E8" w:rsidP="00E215E8">
            <w:pPr>
              <w:spacing w:line="276" w:lineRule="auto"/>
              <w:jc w:val="right"/>
              <w:rPr>
                <w:rFonts w:ascii="Arial" w:eastAsia="Times New Roman" w:hAnsi="Arial" w:cs="Arial"/>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B94E68" w14:textId="77777777" w:rsidR="00E215E8" w:rsidRPr="00E215E8" w:rsidRDefault="00E215E8" w:rsidP="00E215E8">
            <w:pPr>
              <w:spacing w:line="276" w:lineRule="auto"/>
              <w:jc w:val="right"/>
              <w:rPr>
                <w:rFonts w:ascii="Arial" w:eastAsia="Times New Roman" w:hAnsi="Arial" w:cs="Arial"/>
                <w:b/>
                <w:bCs/>
                <w:sz w:val="18"/>
                <w:szCs w:val="18"/>
                <w:lang w:val="es-ES"/>
              </w:rPr>
            </w:pPr>
          </w:p>
        </w:tc>
      </w:tr>
      <w:tr w:rsidR="00E215E8" w:rsidRPr="00E215E8" w14:paraId="58A7523B" w14:textId="77777777" w:rsidTr="00E215E8">
        <w:trPr>
          <w:trHeight w:val="20"/>
          <w:jc w:val="center"/>
        </w:trPr>
        <w:tc>
          <w:tcPr>
            <w:tcW w:w="4966" w:type="dxa"/>
            <w:gridSpan w:val="2"/>
            <w:tcBorders>
              <w:top w:val="single" w:sz="4" w:space="0" w:color="000000"/>
              <w:left w:val="single" w:sz="4" w:space="0" w:color="000000"/>
              <w:bottom w:val="single" w:sz="4" w:space="0" w:color="000000"/>
              <w:right w:val="single" w:sz="4" w:space="0" w:color="000000"/>
            </w:tcBorders>
            <w:shd w:val="clear" w:color="auto" w:fill="DDDDDD"/>
          </w:tcPr>
          <w:p w14:paraId="4531A69B" w14:textId="77777777" w:rsidR="00E215E8" w:rsidRPr="00E215E8" w:rsidRDefault="00E215E8" w:rsidP="00E215E8">
            <w:pPr>
              <w:spacing w:line="276" w:lineRule="auto"/>
              <w:jc w:val="both"/>
              <w:rPr>
                <w:rFonts w:ascii="Arial" w:eastAsia="Times New Roman" w:hAnsi="Arial" w:cs="Arial"/>
                <w:sz w:val="18"/>
                <w:szCs w:val="18"/>
                <w:lang w:val="es-ES"/>
              </w:rPr>
            </w:pPr>
            <w:r w:rsidRPr="00E215E8">
              <w:rPr>
                <w:rFonts w:ascii="Arial" w:eastAsia="Times New Roman" w:hAnsi="Arial" w:cs="Arial"/>
                <w:b/>
                <w:bCs/>
                <w:sz w:val="18"/>
                <w:szCs w:val="18"/>
                <w:lang w:val="ca"/>
              </w:rPr>
              <w:t xml:space="preserve">IV. </w:t>
            </w:r>
            <w:r w:rsidRPr="00E215E8">
              <w:rPr>
                <w:rFonts w:ascii="Arial" w:eastAsia="Times New Roman" w:hAnsi="Arial" w:cs="Arial"/>
                <w:b/>
                <w:bCs/>
                <w:spacing w:val="-4"/>
                <w:sz w:val="18"/>
                <w:szCs w:val="18"/>
                <w:lang w:val="ca"/>
              </w:rPr>
              <w:t xml:space="preserve">ROMANENT DE TRESORERIA PER A DESPESES GENERALS (I- II -III) </w:t>
            </w: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1CD14EE5" w14:textId="77777777" w:rsidR="00E215E8" w:rsidRPr="00E215E8" w:rsidRDefault="00E215E8" w:rsidP="00E215E8">
            <w:pPr>
              <w:spacing w:line="276" w:lineRule="auto"/>
              <w:jc w:val="right"/>
              <w:rPr>
                <w:rFonts w:ascii="Arial" w:eastAsia="Times New Roman" w:hAnsi="Arial" w:cs="Arial"/>
                <w:b/>
                <w:bCs/>
                <w:sz w:val="18"/>
                <w:szCs w:val="18"/>
                <w:lang w:val="es-ES"/>
              </w:rPr>
            </w:pPr>
            <w:r w:rsidRPr="00E215E8">
              <w:rPr>
                <w:rFonts w:ascii="Arial" w:eastAsia="Times New Roman" w:hAnsi="Arial" w:cs="Arial"/>
                <w:b/>
                <w:bCs/>
                <w:sz w:val="18"/>
                <w:szCs w:val="18"/>
                <w:lang w:val="ca"/>
              </w:rPr>
              <w:t>1.396.034,06</w:t>
            </w: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24CC5EB7" w14:textId="77777777" w:rsidR="00E215E8" w:rsidRPr="00E215E8" w:rsidRDefault="00E215E8" w:rsidP="00E215E8">
            <w:pPr>
              <w:spacing w:line="276" w:lineRule="auto"/>
              <w:jc w:val="right"/>
              <w:rPr>
                <w:rFonts w:ascii="Arial" w:eastAsia="Times New Roman" w:hAnsi="Arial" w:cs="Arial"/>
                <w:b/>
                <w:bCs/>
                <w:sz w:val="18"/>
                <w:szCs w:val="18"/>
                <w:lang w:val="es-ES"/>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4F5A5CCF" w14:textId="77777777" w:rsidR="00E215E8" w:rsidRPr="00E215E8" w:rsidRDefault="00E215E8" w:rsidP="00E215E8">
            <w:pPr>
              <w:spacing w:line="276" w:lineRule="auto"/>
              <w:jc w:val="right"/>
              <w:rPr>
                <w:rFonts w:ascii="Arial" w:eastAsia="Times New Roman" w:hAnsi="Arial" w:cs="Arial"/>
                <w:b/>
                <w:bCs/>
                <w:sz w:val="18"/>
                <w:szCs w:val="18"/>
                <w:lang w:val="es-ES"/>
              </w:rPr>
            </w:pPr>
            <w:r w:rsidRPr="00E215E8">
              <w:rPr>
                <w:rFonts w:ascii="Arial" w:eastAsia="Times New Roman" w:hAnsi="Arial" w:cs="Arial"/>
                <w:b/>
                <w:bCs/>
                <w:sz w:val="18"/>
                <w:szCs w:val="18"/>
                <w:lang w:val="ca"/>
              </w:rPr>
              <w:t>3.788.353,26</w:t>
            </w:r>
          </w:p>
        </w:tc>
      </w:tr>
    </w:tbl>
    <w:p w14:paraId="5D128D76" w14:textId="2BC9C289" w:rsidR="00DC250D" w:rsidRDefault="00DC250D" w:rsidP="00343C17">
      <w:pPr>
        <w:spacing w:after="240" w:line="276" w:lineRule="auto"/>
        <w:jc w:val="both"/>
        <w:rPr>
          <w:rFonts w:ascii="Arial" w:eastAsia="Droid Sans Fallback" w:hAnsi="Arial" w:cs="Arial"/>
          <w:kern w:val="3"/>
          <w:sz w:val="21"/>
          <w:szCs w:val="21"/>
          <w:lang w:eastAsia="zh-CN" w:bidi="hi-IN"/>
        </w:rPr>
      </w:pPr>
    </w:p>
    <w:p w14:paraId="7638C401" w14:textId="77777777" w:rsidR="00DC250D" w:rsidRDefault="00DC250D" w:rsidP="00343C17">
      <w:pPr>
        <w:spacing w:after="240" w:line="276" w:lineRule="auto"/>
        <w:jc w:val="both"/>
        <w:rPr>
          <w:rFonts w:ascii="Arial" w:eastAsia="Droid Sans Fallback" w:hAnsi="Arial" w:cs="Arial"/>
          <w:kern w:val="3"/>
          <w:sz w:val="21"/>
          <w:szCs w:val="21"/>
          <w:lang w:eastAsia="zh-CN" w:bidi="hi-IN"/>
        </w:rPr>
      </w:pPr>
    </w:p>
    <w:p w14:paraId="0696E15C" w14:textId="77777777" w:rsidR="00986810" w:rsidRPr="002D3252" w:rsidRDefault="00986810" w:rsidP="00343C17">
      <w:pPr>
        <w:spacing w:after="240" w:line="276" w:lineRule="auto"/>
        <w:jc w:val="both"/>
        <w:rPr>
          <w:rFonts w:ascii="Arial" w:eastAsia="Droid Sans Fallback" w:hAnsi="Arial" w:cs="Arial"/>
          <w:kern w:val="3"/>
          <w:sz w:val="21"/>
          <w:szCs w:val="21"/>
          <w:lang w:eastAsia="zh-CN" w:bidi="hi-IN"/>
        </w:rPr>
      </w:pPr>
    </w:p>
    <w:p w14:paraId="53137F42" w14:textId="77777777" w:rsidR="00E215E8" w:rsidRPr="00E215E8" w:rsidRDefault="00E215E8" w:rsidP="00E215E8">
      <w:pPr>
        <w:widowControl w:val="0"/>
        <w:suppressAutoHyphens/>
        <w:spacing w:after="240" w:line="276" w:lineRule="auto"/>
        <w:jc w:val="both"/>
        <w:textAlignment w:val="baseline"/>
        <w:rPr>
          <w:rFonts w:ascii="Arial" w:eastAsia="NSimSun" w:hAnsi="Arial" w:cs="Arial"/>
          <w:b/>
          <w:bCs/>
          <w:kern w:val="2"/>
          <w:sz w:val="21"/>
          <w:szCs w:val="21"/>
          <w:lang w:val="es-ES" w:eastAsia="zh-CN"/>
        </w:rPr>
      </w:pPr>
      <w:r w:rsidRPr="00E215E8">
        <w:rPr>
          <w:rFonts w:ascii="Arial" w:eastAsia="NSimSun" w:hAnsi="Arial" w:cs="Arial"/>
          <w:b/>
          <w:bCs/>
          <w:kern w:val="2"/>
          <w:sz w:val="21"/>
          <w:szCs w:val="21"/>
          <w:lang w:val="ca" w:eastAsia="zh-CN"/>
        </w:rPr>
        <w:t>Període mitjà de pagament:</w:t>
      </w:r>
    </w:p>
    <w:p w14:paraId="315AF170" w14:textId="44971911" w:rsidR="00E215E8" w:rsidRDefault="00E215E8" w:rsidP="00E215E8">
      <w:pPr>
        <w:widowControl w:val="0"/>
        <w:suppressAutoHyphens/>
        <w:spacing w:after="240" w:line="276" w:lineRule="auto"/>
        <w:jc w:val="both"/>
        <w:textAlignment w:val="baseline"/>
        <w:rPr>
          <w:rFonts w:ascii="Arial" w:eastAsia="NSimSun" w:hAnsi="Arial" w:cs="Arial"/>
          <w:color w:val="000000"/>
          <w:kern w:val="2"/>
          <w:sz w:val="21"/>
          <w:szCs w:val="21"/>
          <w:lang w:val="ca" w:eastAsia="zh-CN"/>
        </w:rPr>
      </w:pPr>
      <w:r w:rsidRPr="00E215E8">
        <w:rPr>
          <w:rFonts w:ascii="Arial" w:eastAsia="NSimSun" w:hAnsi="Arial" w:cs="Arial"/>
          <w:color w:val="000000"/>
          <w:kern w:val="2"/>
          <w:sz w:val="21"/>
          <w:szCs w:val="21"/>
          <w:lang w:val="ca" w:eastAsia="zh-CN"/>
        </w:rPr>
        <w:t>L'Agència ha complit amb els períodes legals de pagament a creditors amb ràtios que compleixen àmpliament amb les exigències mínimes</w:t>
      </w:r>
      <w:r w:rsidRPr="00E215E8">
        <w:rPr>
          <w:rFonts w:ascii="Arial" w:eastAsia="NSimSun" w:hAnsi="Arial" w:cs="Arial"/>
          <w:kern w:val="2"/>
          <w:sz w:val="21"/>
          <w:szCs w:val="21"/>
          <w:lang w:val="ca" w:eastAsia="zh-CN"/>
        </w:rPr>
        <w:t xml:space="preserve"> </w:t>
      </w:r>
      <w:r w:rsidRPr="00E215E8">
        <w:rPr>
          <w:rFonts w:ascii="Arial" w:eastAsia="NSimSun" w:hAnsi="Arial" w:cs="Arial"/>
          <w:color w:val="000000"/>
          <w:kern w:val="2"/>
          <w:sz w:val="21"/>
          <w:szCs w:val="21"/>
          <w:lang w:val="ca" w:eastAsia="zh-CN"/>
        </w:rPr>
        <w:t>establides.</w:t>
      </w:r>
      <w:r>
        <w:rPr>
          <w:rFonts w:ascii="Arial" w:eastAsia="NSimSun" w:hAnsi="Arial" w:cs="Arial"/>
          <w:color w:val="000000"/>
          <w:kern w:val="2"/>
          <w:sz w:val="21"/>
          <w:szCs w:val="21"/>
          <w:lang w:val="ca" w:eastAsia="zh-CN"/>
        </w:rPr>
        <w:t xml:space="preserve"> </w:t>
      </w:r>
      <w:r w:rsidRPr="00E215E8">
        <w:rPr>
          <w:rFonts w:ascii="Arial" w:eastAsia="NSimSun" w:hAnsi="Arial" w:cs="Arial"/>
          <w:color w:val="000000"/>
          <w:kern w:val="2"/>
          <w:sz w:val="21"/>
          <w:szCs w:val="21"/>
          <w:lang w:val="ca" w:eastAsia="zh-CN"/>
        </w:rPr>
        <w:t>El període mitjà de pagament s'ha determinat amb subjecció a la metodologia contemplada pel</w:t>
      </w:r>
      <w:r w:rsidRPr="00E215E8">
        <w:rPr>
          <w:rFonts w:ascii="Arial" w:eastAsia="NSimSun" w:hAnsi="Arial" w:cs="Arial"/>
          <w:kern w:val="2"/>
          <w:sz w:val="21"/>
          <w:szCs w:val="21"/>
          <w:lang w:val="ca" w:eastAsia="zh-CN"/>
        </w:rPr>
        <w:t xml:space="preserve"> </w:t>
      </w:r>
      <w:r w:rsidRPr="00E215E8">
        <w:rPr>
          <w:rFonts w:ascii="Arial" w:eastAsia="NSimSun" w:hAnsi="Arial" w:cs="Arial"/>
          <w:color w:val="000000"/>
          <w:kern w:val="2"/>
          <w:sz w:val="21"/>
          <w:szCs w:val="21"/>
          <w:lang w:val="ca" w:eastAsia="zh-CN"/>
        </w:rPr>
        <w:t>Real Decret 1040/2017, de 22 de desembre (BOE</w:t>
      </w:r>
      <w:r w:rsidRPr="00E215E8">
        <w:rPr>
          <w:rFonts w:ascii="Arial" w:eastAsia="NSimSun" w:hAnsi="Arial" w:cs="Arial"/>
          <w:kern w:val="2"/>
          <w:sz w:val="21"/>
          <w:szCs w:val="21"/>
          <w:lang w:val="ca" w:eastAsia="zh-CN"/>
        </w:rPr>
        <w:t xml:space="preserve"> </w:t>
      </w:r>
      <w:r w:rsidRPr="00E215E8">
        <w:rPr>
          <w:rFonts w:ascii="Arial" w:eastAsia="NSimSun" w:hAnsi="Arial" w:cs="Arial"/>
          <w:color w:val="000000"/>
          <w:kern w:val="2"/>
          <w:sz w:val="21"/>
          <w:szCs w:val="21"/>
          <w:lang w:val="ca" w:eastAsia="zh-CN"/>
        </w:rPr>
        <w:t>núm.</w:t>
      </w:r>
      <w:r w:rsidRPr="00E215E8">
        <w:rPr>
          <w:rFonts w:ascii="Arial" w:eastAsia="NSimSun" w:hAnsi="Arial" w:cs="Arial"/>
          <w:kern w:val="2"/>
          <w:sz w:val="21"/>
          <w:szCs w:val="21"/>
          <w:lang w:val="ca" w:eastAsia="zh-CN"/>
        </w:rPr>
        <w:t xml:space="preserve"> </w:t>
      </w:r>
      <w:r w:rsidRPr="00E215E8">
        <w:rPr>
          <w:rFonts w:ascii="Arial" w:eastAsia="NSimSun" w:hAnsi="Arial" w:cs="Arial"/>
          <w:color w:val="000000"/>
          <w:kern w:val="2"/>
          <w:sz w:val="21"/>
          <w:szCs w:val="21"/>
          <w:lang w:val="ca" w:eastAsia="zh-CN"/>
        </w:rPr>
        <w:t xml:space="preserve"> 311, de 23 de desembre de 2017).</w:t>
      </w:r>
    </w:p>
    <w:p w14:paraId="73A98547" w14:textId="77777777" w:rsidR="008635A6" w:rsidRPr="00E215E8" w:rsidRDefault="008635A6" w:rsidP="00E215E8">
      <w:pPr>
        <w:widowControl w:val="0"/>
        <w:suppressAutoHyphens/>
        <w:spacing w:after="240" w:line="276" w:lineRule="auto"/>
        <w:jc w:val="both"/>
        <w:textAlignment w:val="baseline"/>
        <w:rPr>
          <w:rFonts w:ascii="Arial" w:eastAsia="NSimSun" w:hAnsi="Arial" w:cs="Arial"/>
          <w:color w:val="000000"/>
          <w:kern w:val="2"/>
          <w:sz w:val="21"/>
          <w:szCs w:val="21"/>
          <w:lang w:val="es-ES" w:eastAsia="zh-CN"/>
        </w:rPr>
      </w:pPr>
    </w:p>
    <w:p w14:paraId="4E95C61E" w14:textId="4A508157" w:rsidR="00E215E8" w:rsidRPr="009C1014" w:rsidRDefault="00E215E8" w:rsidP="00E215E8">
      <w:pPr>
        <w:pStyle w:val="Descripcin"/>
        <w:keepNext/>
        <w:rPr>
          <w:rFonts w:ascii="Arial" w:hAnsi="Arial" w:cs="Arial"/>
          <w:smallCaps w:val="0"/>
          <w:sz w:val="18"/>
          <w:szCs w:val="18"/>
        </w:rPr>
      </w:pPr>
      <w:bookmarkStart w:id="509" w:name="_Toc99110887"/>
      <w:r w:rsidRPr="009C1014">
        <w:rPr>
          <w:rFonts w:ascii="Arial" w:hAnsi="Arial" w:cs="Arial"/>
          <w:smallCaps w:val="0"/>
          <w:color w:val="9D2235" w:themeColor="accent1"/>
          <w:sz w:val="18"/>
          <w:szCs w:val="18"/>
        </w:rPr>
        <w:t xml:space="preserve">Taula </w:t>
      </w:r>
      <w:r w:rsidRPr="009C1014">
        <w:rPr>
          <w:rFonts w:ascii="Arial" w:hAnsi="Arial" w:cs="Arial"/>
          <w:smallCaps w:val="0"/>
          <w:color w:val="9D2235" w:themeColor="accent1"/>
          <w:sz w:val="18"/>
          <w:szCs w:val="18"/>
        </w:rPr>
        <w:fldChar w:fldCharType="begin" w:fldLock="1"/>
      </w:r>
      <w:r w:rsidRPr="009C1014">
        <w:rPr>
          <w:rFonts w:ascii="Arial" w:hAnsi="Arial" w:cs="Arial"/>
          <w:smallCaps w:val="0"/>
          <w:color w:val="9D2235" w:themeColor="accent1"/>
          <w:sz w:val="18"/>
          <w:szCs w:val="18"/>
        </w:rPr>
        <w:instrText xml:space="preserve"> SEQ Taula \* ARABIC </w:instrText>
      </w:r>
      <w:r w:rsidRPr="009C1014">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42</w:t>
      </w:r>
      <w:r w:rsidRPr="009C1014">
        <w:rPr>
          <w:rFonts w:ascii="Arial" w:hAnsi="Arial" w:cs="Arial"/>
          <w:smallCaps w:val="0"/>
          <w:color w:val="9D2235" w:themeColor="accent1"/>
          <w:sz w:val="18"/>
          <w:szCs w:val="18"/>
        </w:rPr>
        <w:fldChar w:fldCharType="end"/>
      </w:r>
      <w:r w:rsidRPr="009C1014">
        <w:rPr>
          <w:rFonts w:ascii="Arial" w:hAnsi="Arial" w:cs="Arial"/>
          <w:smallCaps w:val="0"/>
          <w:color w:val="9D2235" w:themeColor="accent1"/>
          <w:sz w:val="18"/>
          <w:szCs w:val="18"/>
        </w:rPr>
        <w:t xml:space="preserve">. </w:t>
      </w:r>
      <w:r w:rsidRPr="009C1014">
        <w:rPr>
          <w:rFonts w:ascii="Arial" w:hAnsi="Arial" w:cs="Arial"/>
          <w:smallCaps w:val="0"/>
          <w:sz w:val="18"/>
          <w:szCs w:val="18"/>
        </w:rPr>
        <w:t>Període mitjà de pagament 2021</w:t>
      </w:r>
      <w:bookmarkEnd w:id="509"/>
    </w:p>
    <w:tbl>
      <w:tblPr>
        <w:tblW w:w="9142" w:type="dxa"/>
        <w:jc w:val="center"/>
        <w:tblCellMar>
          <w:top w:w="55" w:type="dxa"/>
          <w:left w:w="55" w:type="dxa"/>
          <w:bottom w:w="55" w:type="dxa"/>
          <w:right w:w="55" w:type="dxa"/>
        </w:tblCellMar>
        <w:tblLook w:val="0000" w:firstRow="0" w:lastRow="0" w:firstColumn="0" w:lastColumn="0" w:noHBand="0" w:noVBand="0"/>
      </w:tblPr>
      <w:tblGrid>
        <w:gridCol w:w="1254"/>
        <w:gridCol w:w="1082"/>
        <w:gridCol w:w="1300"/>
        <w:gridCol w:w="1367"/>
        <w:gridCol w:w="1382"/>
        <w:gridCol w:w="1383"/>
        <w:gridCol w:w="1374"/>
      </w:tblGrid>
      <w:tr w:rsidR="00E215E8" w:rsidRPr="00283296" w14:paraId="50EAE618" w14:textId="77777777" w:rsidTr="009C1014">
        <w:trPr>
          <w:jc w:val="center"/>
        </w:trPr>
        <w:tc>
          <w:tcPr>
            <w:tcW w:w="9142" w:type="dxa"/>
            <w:gridSpan w:val="7"/>
            <w:tcBorders>
              <w:top w:val="single" w:sz="2" w:space="0" w:color="000000"/>
              <w:left w:val="single" w:sz="2" w:space="0" w:color="000000"/>
              <w:bottom w:val="single" w:sz="2" w:space="0" w:color="FFFFFF"/>
              <w:right w:val="single" w:sz="2" w:space="0" w:color="000000"/>
            </w:tcBorders>
            <w:shd w:val="clear" w:color="auto" w:fill="9D2235"/>
          </w:tcPr>
          <w:p w14:paraId="40106B23"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PERÍODE MITJÀ DE PAGAMENT A PROVEÏDORS</w:t>
            </w:r>
          </w:p>
        </w:tc>
      </w:tr>
      <w:tr w:rsidR="00E215E8" w:rsidRPr="00283296" w14:paraId="2F21F535" w14:textId="77777777" w:rsidTr="009C1014">
        <w:trPr>
          <w:trHeight w:val="1001"/>
          <w:jc w:val="center"/>
        </w:trPr>
        <w:tc>
          <w:tcPr>
            <w:tcW w:w="1254" w:type="dxa"/>
            <w:tcBorders>
              <w:left w:val="single" w:sz="2" w:space="0" w:color="000000"/>
              <w:bottom w:val="single" w:sz="4" w:space="0" w:color="auto"/>
            </w:tcBorders>
            <w:shd w:val="clear" w:color="auto" w:fill="9D2235"/>
            <w:vAlign w:val="center"/>
          </w:tcPr>
          <w:p w14:paraId="5E8A1264"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Exercici</w:t>
            </w:r>
          </w:p>
        </w:tc>
        <w:tc>
          <w:tcPr>
            <w:tcW w:w="1082" w:type="dxa"/>
            <w:tcBorders>
              <w:left w:val="single" w:sz="2" w:space="0" w:color="000000"/>
              <w:bottom w:val="single" w:sz="4" w:space="0" w:color="auto"/>
            </w:tcBorders>
            <w:shd w:val="clear" w:color="auto" w:fill="9D2235"/>
            <w:vAlign w:val="center"/>
          </w:tcPr>
          <w:p w14:paraId="71F060D7"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Trimestre</w:t>
            </w:r>
          </w:p>
        </w:tc>
        <w:tc>
          <w:tcPr>
            <w:tcW w:w="1300" w:type="dxa"/>
            <w:tcBorders>
              <w:left w:val="single" w:sz="2" w:space="0" w:color="000000"/>
              <w:bottom w:val="single" w:sz="4" w:space="0" w:color="auto"/>
            </w:tcBorders>
            <w:shd w:val="clear" w:color="auto" w:fill="9D2235"/>
            <w:vAlign w:val="center"/>
          </w:tcPr>
          <w:p w14:paraId="2DC00221"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Ràtio d' operacions pagades</w:t>
            </w:r>
          </w:p>
        </w:tc>
        <w:tc>
          <w:tcPr>
            <w:tcW w:w="1367" w:type="dxa"/>
            <w:tcBorders>
              <w:left w:val="single" w:sz="2" w:space="0" w:color="000000"/>
              <w:bottom w:val="single" w:sz="4" w:space="0" w:color="auto"/>
            </w:tcBorders>
            <w:shd w:val="clear" w:color="auto" w:fill="9D2235"/>
            <w:vAlign w:val="center"/>
          </w:tcPr>
          <w:p w14:paraId="3A1E86BA"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Ràtio d' operacions pendents de pagament</w:t>
            </w:r>
          </w:p>
        </w:tc>
        <w:tc>
          <w:tcPr>
            <w:tcW w:w="1382" w:type="dxa"/>
            <w:tcBorders>
              <w:left w:val="single" w:sz="2" w:space="0" w:color="000000"/>
              <w:bottom w:val="single" w:sz="4" w:space="0" w:color="auto"/>
            </w:tcBorders>
            <w:shd w:val="clear" w:color="auto" w:fill="9D2235"/>
            <w:vAlign w:val="center"/>
          </w:tcPr>
          <w:p w14:paraId="40236623"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Import d' operacions pagades</w:t>
            </w:r>
          </w:p>
        </w:tc>
        <w:tc>
          <w:tcPr>
            <w:tcW w:w="1383" w:type="dxa"/>
            <w:tcBorders>
              <w:left w:val="single" w:sz="2" w:space="0" w:color="000000"/>
              <w:bottom w:val="single" w:sz="4" w:space="0" w:color="auto"/>
            </w:tcBorders>
            <w:shd w:val="clear" w:color="auto" w:fill="9D2235"/>
            <w:vAlign w:val="center"/>
          </w:tcPr>
          <w:p w14:paraId="29121B04"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Import d' operacions pendents de pagament</w:t>
            </w:r>
          </w:p>
        </w:tc>
        <w:tc>
          <w:tcPr>
            <w:tcW w:w="1374" w:type="dxa"/>
            <w:tcBorders>
              <w:left w:val="single" w:sz="2" w:space="0" w:color="000000"/>
              <w:bottom w:val="single" w:sz="4" w:space="0" w:color="auto"/>
              <w:right w:val="single" w:sz="2" w:space="0" w:color="000000"/>
            </w:tcBorders>
            <w:shd w:val="clear" w:color="auto" w:fill="9D2235"/>
            <w:vAlign w:val="center"/>
          </w:tcPr>
          <w:p w14:paraId="36A33B2D"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b/>
                <w:bCs/>
                <w:color w:val="FFFFFF"/>
                <w:kern w:val="2"/>
                <w:sz w:val="19"/>
                <w:szCs w:val="19"/>
                <w:lang w:val="es-ES" w:eastAsia="zh-CN"/>
              </w:rPr>
            </w:pPr>
            <w:r w:rsidRPr="00283296">
              <w:rPr>
                <w:rFonts w:ascii="Arial" w:eastAsia="NSimSun" w:hAnsi="Arial" w:cs="Arial"/>
                <w:b/>
                <w:bCs/>
                <w:color w:val="FFFFFF"/>
                <w:kern w:val="2"/>
                <w:sz w:val="19"/>
                <w:szCs w:val="19"/>
                <w:lang w:val="ca" w:eastAsia="zh-CN"/>
              </w:rPr>
              <w:t>Període mitjà de pagament trimestral</w:t>
            </w:r>
          </w:p>
        </w:tc>
      </w:tr>
      <w:tr w:rsidR="00E215E8" w:rsidRPr="00283296" w14:paraId="4466AA56" w14:textId="77777777" w:rsidTr="009C1014">
        <w:trPr>
          <w:jc w:val="center"/>
        </w:trPr>
        <w:tc>
          <w:tcPr>
            <w:tcW w:w="1254" w:type="dxa"/>
            <w:tcBorders>
              <w:top w:val="single" w:sz="4" w:space="0" w:color="auto"/>
              <w:left w:val="single" w:sz="4" w:space="0" w:color="auto"/>
              <w:bottom w:val="single" w:sz="4" w:space="0" w:color="auto"/>
              <w:right w:val="single" w:sz="4" w:space="0" w:color="auto"/>
            </w:tcBorders>
            <w:shd w:val="clear" w:color="auto" w:fill="FFFAFA"/>
            <w:vAlign w:val="center"/>
          </w:tcPr>
          <w:p w14:paraId="44C8AD26"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2021</w:t>
            </w:r>
          </w:p>
        </w:tc>
        <w:tc>
          <w:tcPr>
            <w:tcW w:w="1082" w:type="dxa"/>
            <w:tcBorders>
              <w:top w:val="single" w:sz="4" w:space="0" w:color="auto"/>
              <w:left w:val="single" w:sz="4" w:space="0" w:color="auto"/>
              <w:bottom w:val="single" w:sz="4" w:space="0" w:color="auto"/>
              <w:right w:val="single" w:sz="4" w:space="0" w:color="auto"/>
            </w:tcBorders>
            <w:shd w:val="clear" w:color="auto" w:fill="FFFAFA"/>
            <w:vAlign w:val="center"/>
          </w:tcPr>
          <w:p w14:paraId="61A75BCD"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4T</w:t>
            </w:r>
          </w:p>
        </w:tc>
        <w:tc>
          <w:tcPr>
            <w:tcW w:w="1300" w:type="dxa"/>
            <w:tcBorders>
              <w:top w:val="single" w:sz="4" w:space="0" w:color="auto"/>
              <w:left w:val="single" w:sz="4" w:space="0" w:color="auto"/>
              <w:bottom w:val="single" w:sz="4" w:space="0" w:color="auto"/>
              <w:right w:val="single" w:sz="4" w:space="0" w:color="auto"/>
            </w:tcBorders>
            <w:shd w:val="clear" w:color="auto" w:fill="FFFAFA"/>
            <w:vAlign w:val="center"/>
          </w:tcPr>
          <w:p w14:paraId="6C79AEDF"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23,31</w:t>
            </w:r>
          </w:p>
        </w:tc>
        <w:tc>
          <w:tcPr>
            <w:tcW w:w="1367" w:type="dxa"/>
            <w:tcBorders>
              <w:top w:val="single" w:sz="4" w:space="0" w:color="auto"/>
              <w:left w:val="single" w:sz="4" w:space="0" w:color="auto"/>
              <w:bottom w:val="single" w:sz="4" w:space="0" w:color="auto"/>
              <w:right w:val="single" w:sz="4" w:space="0" w:color="auto"/>
            </w:tcBorders>
            <w:shd w:val="clear" w:color="auto" w:fill="FFFAFA"/>
            <w:vAlign w:val="center"/>
          </w:tcPr>
          <w:p w14:paraId="13369454"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23,27</w:t>
            </w:r>
          </w:p>
        </w:tc>
        <w:tc>
          <w:tcPr>
            <w:tcW w:w="1382" w:type="dxa"/>
            <w:tcBorders>
              <w:top w:val="single" w:sz="4" w:space="0" w:color="auto"/>
              <w:left w:val="single" w:sz="4" w:space="0" w:color="auto"/>
              <w:bottom w:val="single" w:sz="4" w:space="0" w:color="auto"/>
              <w:right w:val="single" w:sz="4" w:space="0" w:color="auto"/>
            </w:tcBorders>
            <w:shd w:val="clear" w:color="auto" w:fill="FFFAFA"/>
            <w:vAlign w:val="center"/>
          </w:tcPr>
          <w:p w14:paraId="2FE522F9"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107.218,94</w:t>
            </w:r>
          </w:p>
        </w:tc>
        <w:tc>
          <w:tcPr>
            <w:tcW w:w="1383" w:type="dxa"/>
            <w:tcBorders>
              <w:top w:val="single" w:sz="4" w:space="0" w:color="auto"/>
              <w:left w:val="single" w:sz="4" w:space="0" w:color="auto"/>
              <w:bottom w:val="single" w:sz="4" w:space="0" w:color="auto"/>
              <w:right w:val="single" w:sz="4" w:space="0" w:color="auto"/>
            </w:tcBorders>
            <w:shd w:val="clear" w:color="auto" w:fill="FFFAFA"/>
            <w:vAlign w:val="center"/>
          </w:tcPr>
          <w:p w14:paraId="047B76BD"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31.344,01</w:t>
            </w:r>
          </w:p>
        </w:tc>
        <w:tc>
          <w:tcPr>
            <w:tcW w:w="1374" w:type="dxa"/>
            <w:tcBorders>
              <w:top w:val="single" w:sz="4" w:space="0" w:color="auto"/>
              <w:left w:val="single" w:sz="4" w:space="0" w:color="auto"/>
              <w:bottom w:val="single" w:sz="4" w:space="0" w:color="auto"/>
              <w:right w:val="single" w:sz="4" w:space="0" w:color="auto"/>
            </w:tcBorders>
            <w:shd w:val="clear" w:color="auto" w:fill="FFFAFA"/>
            <w:vAlign w:val="center"/>
          </w:tcPr>
          <w:p w14:paraId="0F86E0B1"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23,30</w:t>
            </w:r>
          </w:p>
        </w:tc>
      </w:tr>
      <w:tr w:rsidR="00E215E8" w:rsidRPr="00283296" w14:paraId="1BB2C3F9" w14:textId="77777777" w:rsidTr="009C1014">
        <w:trPr>
          <w:jc w:val="center"/>
        </w:trPr>
        <w:tc>
          <w:tcPr>
            <w:tcW w:w="1254" w:type="dxa"/>
            <w:tcBorders>
              <w:top w:val="single" w:sz="4" w:space="0" w:color="auto"/>
              <w:left w:val="single" w:sz="4" w:space="0" w:color="auto"/>
              <w:bottom w:val="single" w:sz="4" w:space="0" w:color="auto"/>
              <w:right w:val="single" w:sz="4" w:space="0" w:color="auto"/>
            </w:tcBorders>
            <w:shd w:val="clear" w:color="auto" w:fill="FFFAFA"/>
          </w:tcPr>
          <w:p w14:paraId="31A17C63"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kern w:val="2"/>
                <w:sz w:val="19"/>
                <w:szCs w:val="19"/>
                <w:lang w:val="ca" w:eastAsia="zh-CN"/>
              </w:rPr>
              <w:t>2021</w:t>
            </w:r>
          </w:p>
        </w:tc>
        <w:tc>
          <w:tcPr>
            <w:tcW w:w="1082" w:type="dxa"/>
            <w:tcBorders>
              <w:top w:val="single" w:sz="4" w:space="0" w:color="auto"/>
              <w:left w:val="single" w:sz="4" w:space="0" w:color="auto"/>
              <w:bottom w:val="single" w:sz="4" w:space="0" w:color="auto"/>
              <w:right w:val="single" w:sz="4" w:space="0" w:color="auto"/>
            </w:tcBorders>
            <w:shd w:val="clear" w:color="auto" w:fill="FFFAFA"/>
            <w:vAlign w:val="center"/>
          </w:tcPr>
          <w:p w14:paraId="1B2D9EF6"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3T</w:t>
            </w:r>
          </w:p>
        </w:tc>
        <w:tc>
          <w:tcPr>
            <w:tcW w:w="1300" w:type="dxa"/>
            <w:tcBorders>
              <w:top w:val="single" w:sz="4" w:space="0" w:color="auto"/>
              <w:left w:val="single" w:sz="4" w:space="0" w:color="auto"/>
              <w:bottom w:val="single" w:sz="4" w:space="0" w:color="auto"/>
              <w:right w:val="single" w:sz="4" w:space="0" w:color="auto"/>
            </w:tcBorders>
            <w:shd w:val="clear" w:color="auto" w:fill="FFFAFA"/>
            <w:vAlign w:val="center"/>
          </w:tcPr>
          <w:p w14:paraId="4037F14C"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25,20</w:t>
            </w:r>
          </w:p>
        </w:tc>
        <w:tc>
          <w:tcPr>
            <w:tcW w:w="1367" w:type="dxa"/>
            <w:tcBorders>
              <w:top w:val="single" w:sz="4" w:space="0" w:color="auto"/>
              <w:left w:val="single" w:sz="4" w:space="0" w:color="auto"/>
              <w:bottom w:val="single" w:sz="4" w:space="0" w:color="auto"/>
              <w:right w:val="single" w:sz="4" w:space="0" w:color="auto"/>
            </w:tcBorders>
            <w:shd w:val="clear" w:color="auto" w:fill="FFFAFA"/>
            <w:vAlign w:val="center"/>
          </w:tcPr>
          <w:p w14:paraId="3D30D7B6"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30,69</w:t>
            </w:r>
          </w:p>
        </w:tc>
        <w:tc>
          <w:tcPr>
            <w:tcW w:w="1382" w:type="dxa"/>
            <w:tcBorders>
              <w:top w:val="single" w:sz="4" w:space="0" w:color="auto"/>
              <w:left w:val="single" w:sz="4" w:space="0" w:color="auto"/>
              <w:bottom w:val="single" w:sz="4" w:space="0" w:color="auto"/>
              <w:right w:val="single" w:sz="4" w:space="0" w:color="auto"/>
            </w:tcBorders>
            <w:shd w:val="clear" w:color="auto" w:fill="FFFAFA"/>
            <w:vAlign w:val="center"/>
          </w:tcPr>
          <w:p w14:paraId="15D03890"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107.057,27</w:t>
            </w:r>
          </w:p>
        </w:tc>
        <w:tc>
          <w:tcPr>
            <w:tcW w:w="1383" w:type="dxa"/>
            <w:tcBorders>
              <w:top w:val="single" w:sz="4" w:space="0" w:color="auto"/>
              <w:left w:val="single" w:sz="4" w:space="0" w:color="auto"/>
              <w:bottom w:val="single" w:sz="4" w:space="0" w:color="auto"/>
              <w:right w:val="single" w:sz="4" w:space="0" w:color="auto"/>
            </w:tcBorders>
            <w:shd w:val="clear" w:color="auto" w:fill="FFFAFA"/>
            <w:vAlign w:val="center"/>
          </w:tcPr>
          <w:p w14:paraId="70169ED0"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13.791,10</w:t>
            </w:r>
          </w:p>
        </w:tc>
        <w:tc>
          <w:tcPr>
            <w:tcW w:w="1374" w:type="dxa"/>
            <w:tcBorders>
              <w:top w:val="single" w:sz="4" w:space="0" w:color="auto"/>
              <w:left w:val="single" w:sz="4" w:space="0" w:color="auto"/>
              <w:bottom w:val="single" w:sz="4" w:space="0" w:color="auto"/>
              <w:right w:val="single" w:sz="4" w:space="0" w:color="auto"/>
            </w:tcBorders>
            <w:shd w:val="clear" w:color="auto" w:fill="FFFAFA"/>
            <w:vAlign w:val="center"/>
          </w:tcPr>
          <w:p w14:paraId="2ED77BBD"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25,83</w:t>
            </w:r>
          </w:p>
        </w:tc>
      </w:tr>
      <w:tr w:rsidR="00E215E8" w:rsidRPr="00283296" w14:paraId="3395439C" w14:textId="77777777" w:rsidTr="009C1014">
        <w:trPr>
          <w:jc w:val="center"/>
        </w:trPr>
        <w:tc>
          <w:tcPr>
            <w:tcW w:w="1254" w:type="dxa"/>
            <w:tcBorders>
              <w:top w:val="single" w:sz="4" w:space="0" w:color="auto"/>
              <w:left w:val="single" w:sz="4" w:space="0" w:color="auto"/>
              <w:bottom w:val="single" w:sz="4" w:space="0" w:color="auto"/>
              <w:right w:val="single" w:sz="4" w:space="0" w:color="auto"/>
            </w:tcBorders>
            <w:shd w:val="clear" w:color="auto" w:fill="FFFAFA"/>
          </w:tcPr>
          <w:p w14:paraId="3414F7C8"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kern w:val="2"/>
                <w:sz w:val="19"/>
                <w:szCs w:val="19"/>
                <w:lang w:val="ca" w:eastAsia="zh-CN"/>
              </w:rPr>
              <w:t>2021</w:t>
            </w:r>
          </w:p>
        </w:tc>
        <w:tc>
          <w:tcPr>
            <w:tcW w:w="1082" w:type="dxa"/>
            <w:tcBorders>
              <w:top w:val="single" w:sz="4" w:space="0" w:color="auto"/>
              <w:left w:val="single" w:sz="4" w:space="0" w:color="auto"/>
              <w:bottom w:val="single" w:sz="4" w:space="0" w:color="auto"/>
              <w:right w:val="single" w:sz="4" w:space="0" w:color="auto"/>
            </w:tcBorders>
            <w:shd w:val="clear" w:color="auto" w:fill="FFFAFA"/>
            <w:vAlign w:val="center"/>
          </w:tcPr>
          <w:p w14:paraId="237282B5"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2T</w:t>
            </w:r>
          </w:p>
        </w:tc>
        <w:tc>
          <w:tcPr>
            <w:tcW w:w="1300" w:type="dxa"/>
            <w:tcBorders>
              <w:top w:val="single" w:sz="4" w:space="0" w:color="auto"/>
              <w:left w:val="single" w:sz="4" w:space="0" w:color="auto"/>
              <w:bottom w:val="single" w:sz="4" w:space="0" w:color="auto"/>
              <w:right w:val="single" w:sz="4" w:space="0" w:color="auto"/>
            </w:tcBorders>
            <w:shd w:val="clear" w:color="auto" w:fill="FFFAFA"/>
            <w:vAlign w:val="center"/>
          </w:tcPr>
          <w:p w14:paraId="7B0D256E"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19,46</w:t>
            </w:r>
          </w:p>
        </w:tc>
        <w:tc>
          <w:tcPr>
            <w:tcW w:w="1367" w:type="dxa"/>
            <w:tcBorders>
              <w:top w:val="single" w:sz="4" w:space="0" w:color="auto"/>
              <w:left w:val="single" w:sz="4" w:space="0" w:color="auto"/>
              <w:bottom w:val="single" w:sz="4" w:space="0" w:color="auto"/>
              <w:right w:val="single" w:sz="4" w:space="0" w:color="auto"/>
            </w:tcBorders>
            <w:shd w:val="clear" w:color="auto" w:fill="FFFAFA"/>
            <w:vAlign w:val="center"/>
          </w:tcPr>
          <w:p w14:paraId="4261D855"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41,06</w:t>
            </w:r>
          </w:p>
        </w:tc>
        <w:tc>
          <w:tcPr>
            <w:tcW w:w="1382" w:type="dxa"/>
            <w:tcBorders>
              <w:top w:val="single" w:sz="4" w:space="0" w:color="auto"/>
              <w:left w:val="single" w:sz="4" w:space="0" w:color="auto"/>
              <w:bottom w:val="single" w:sz="4" w:space="0" w:color="auto"/>
              <w:right w:val="single" w:sz="4" w:space="0" w:color="auto"/>
            </w:tcBorders>
            <w:shd w:val="clear" w:color="auto" w:fill="FFFAFA"/>
            <w:vAlign w:val="center"/>
          </w:tcPr>
          <w:p w14:paraId="3EB519F5"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68.247,69</w:t>
            </w:r>
          </w:p>
        </w:tc>
        <w:tc>
          <w:tcPr>
            <w:tcW w:w="1383" w:type="dxa"/>
            <w:tcBorders>
              <w:top w:val="single" w:sz="4" w:space="0" w:color="auto"/>
              <w:left w:val="single" w:sz="4" w:space="0" w:color="auto"/>
              <w:bottom w:val="single" w:sz="4" w:space="0" w:color="auto"/>
              <w:right w:val="single" w:sz="4" w:space="0" w:color="auto"/>
            </w:tcBorders>
            <w:shd w:val="clear" w:color="auto" w:fill="FFFAFA"/>
            <w:vAlign w:val="center"/>
          </w:tcPr>
          <w:p w14:paraId="44B1A71E"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14.530,20</w:t>
            </w:r>
          </w:p>
        </w:tc>
        <w:tc>
          <w:tcPr>
            <w:tcW w:w="1374" w:type="dxa"/>
            <w:tcBorders>
              <w:top w:val="single" w:sz="4" w:space="0" w:color="auto"/>
              <w:left w:val="single" w:sz="4" w:space="0" w:color="auto"/>
              <w:bottom w:val="single" w:sz="4" w:space="0" w:color="auto"/>
              <w:right w:val="single" w:sz="4" w:space="0" w:color="auto"/>
            </w:tcBorders>
            <w:shd w:val="clear" w:color="auto" w:fill="FFFAFA"/>
            <w:vAlign w:val="center"/>
          </w:tcPr>
          <w:p w14:paraId="6E64FEF1"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23,25</w:t>
            </w:r>
          </w:p>
        </w:tc>
      </w:tr>
      <w:tr w:rsidR="00E215E8" w:rsidRPr="00283296" w14:paraId="22ED0145" w14:textId="77777777" w:rsidTr="009C1014">
        <w:trPr>
          <w:jc w:val="center"/>
        </w:trPr>
        <w:tc>
          <w:tcPr>
            <w:tcW w:w="1254" w:type="dxa"/>
            <w:tcBorders>
              <w:top w:val="single" w:sz="4" w:space="0" w:color="auto"/>
              <w:left w:val="single" w:sz="4" w:space="0" w:color="auto"/>
              <w:bottom w:val="single" w:sz="4" w:space="0" w:color="auto"/>
              <w:right w:val="single" w:sz="4" w:space="0" w:color="auto"/>
            </w:tcBorders>
            <w:shd w:val="clear" w:color="auto" w:fill="FFFAFA"/>
          </w:tcPr>
          <w:p w14:paraId="004F8C6C"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kern w:val="2"/>
                <w:sz w:val="19"/>
                <w:szCs w:val="19"/>
                <w:lang w:val="ca" w:eastAsia="zh-CN"/>
              </w:rPr>
              <w:t>2021</w:t>
            </w:r>
          </w:p>
        </w:tc>
        <w:tc>
          <w:tcPr>
            <w:tcW w:w="1082" w:type="dxa"/>
            <w:tcBorders>
              <w:top w:val="single" w:sz="4" w:space="0" w:color="auto"/>
              <w:left w:val="single" w:sz="4" w:space="0" w:color="auto"/>
              <w:bottom w:val="single" w:sz="4" w:space="0" w:color="auto"/>
              <w:right w:val="single" w:sz="4" w:space="0" w:color="auto"/>
            </w:tcBorders>
            <w:shd w:val="clear" w:color="auto" w:fill="FFFAFA"/>
            <w:vAlign w:val="center"/>
          </w:tcPr>
          <w:p w14:paraId="06CAA90F"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1T</w:t>
            </w:r>
          </w:p>
        </w:tc>
        <w:tc>
          <w:tcPr>
            <w:tcW w:w="1300" w:type="dxa"/>
            <w:tcBorders>
              <w:top w:val="single" w:sz="4" w:space="0" w:color="auto"/>
              <w:left w:val="single" w:sz="4" w:space="0" w:color="auto"/>
              <w:bottom w:val="single" w:sz="4" w:space="0" w:color="auto"/>
              <w:right w:val="single" w:sz="4" w:space="0" w:color="auto"/>
            </w:tcBorders>
            <w:shd w:val="clear" w:color="auto" w:fill="FFFAFA"/>
            <w:vAlign w:val="center"/>
          </w:tcPr>
          <w:p w14:paraId="27C4632B"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22,73</w:t>
            </w:r>
          </w:p>
        </w:tc>
        <w:tc>
          <w:tcPr>
            <w:tcW w:w="1367" w:type="dxa"/>
            <w:tcBorders>
              <w:top w:val="single" w:sz="4" w:space="0" w:color="auto"/>
              <w:left w:val="single" w:sz="4" w:space="0" w:color="auto"/>
              <w:bottom w:val="single" w:sz="4" w:space="0" w:color="auto"/>
              <w:right w:val="single" w:sz="4" w:space="0" w:color="auto"/>
            </w:tcBorders>
            <w:shd w:val="clear" w:color="auto" w:fill="FFFAFA"/>
            <w:vAlign w:val="center"/>
          </w:tcPr>
          <w:p w14:paraId="341D2BC0"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5,38</w:t>
            </w:r>
          </w:p>
        </w:tc>
        <w:tc>
          <w:tcPr>
            <w:tcW w:w="1382" w:type="dxa"/>
            <w:tcBorders>
              <w:top w:val="single" w:sz="4" w:space="0" w:color="auto"/>
              <w:left w:val="single" w:sz="4" w:space="0" w:color="auto"/>
              <w:bottom w:val="single" w:sz="4" w:space="0" w:color="auto"/>
              <w:right w:val="single" w:sz="4" w:space="0" w:color="auto"/>
            </w:tcBorders>
            <w:shd w:val="clear" w:color="auto" w:fill="FFFAFA"/>
            <w:vAlign w:val="center"/>
          </w:tcPr>
          <w:p w14:paraId="5E2425C0"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139.148,65</w:t>
            </w:r>
          </w:p>
        </w:tc>
        <w:tc>
          <w:tcPr>
            <w:tcW w:w="1383" w:type="dxa"/>
            <w:tcBorders>
              <w:top w:val="single" w:sz="4" w:space="0" w:color="auto"/>
              <w:left w:val="single" w:sz="4" w:space="0" w:color="auto"/>
              <w:bottom w:val="single" w:sz="4" w:space="0" w:color="auto"/>
              <w:right w:val="single" w:sz="4" w:space="0" w:color="auto"/>
            </w:tcBorders>
            <w:shd w:val="clear" w:color="auto" w:fill="FFFAFA"/>
            <w:vAlign w:val="center"/>
          </w:tcPr>
          <w:p w14:paraId="2BC91367"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kern w:val="2"/>
                <w:sz w:val="19"/>
                <w:szCs w:val="19"/>
                <w:lang w:val="ca" w:eastAsia="zh-CN"/>
              </w:rPr>
              <w:t>7.252,04</w:t>
            </w:r>
          </w:p>
        </w:tc>
        <w:tc>
          <w:tcPr>
            <w:tcW w:w="1374" w:type="dxa"/>
            <w:tcBorders>
              <w:top w:val="single" w:sz="4" w:space="0" w:color="auto"/>
              <w:left w:val="single" w:sz="4" w:space="0" w:color="auto"/>
              <w:bottom w:val="single" w:sz="4" w:space="0" w:color="auto"/>
              <w:right w:val="single" w:sz="4" w:space="0" w:color="auto"/>
            </w:tcBorders>
            <w:shd w:val="clear" w:color="auto" w:fill="FFFAFA"/>
            <w:vAlign w:val="center"/>
          </w:tcPr>
          <w:p w14:paraId="5BFA0DB7" w14:textId="77777777" w:rsidR="00E215E8" w:rsidRPr="00283296" w:rsidRDefault="00E215E8" w:rsidP="00E215E8">
            <w:pPr>
              <w:widowControl w:val="0"/>
              <w:suppressAutoHyphens/>
              <w:spacing w:after="0" w:line="276" w:lineRule="auto"/>
              <w:jc w:val="center"/>
              <w:textAlignment w:val="baseline"/>
              <w:rPr>
                <w:rFonts w:ascii="Arial" w:eastAsia="NSimSun" w:hAnsi="Arial" w:cs="Arial"/>
                <w:kern w:val="2"/>
                <w:sz w:val="19"/>
                <w:szCs w:val="19"/>
                <w:lang w:val="es-ES" w:eastAsia="zh-CN"/>
              </w:rPr>
            </w:pPr>
            <w:r w:rsidRPr="00283296">
              <w:rPr>
                <w:rFonts w:ascii="Arial" w:eastAsia="NSimSun" w:hAnsi="Arial" w:cs="Arial"/>
                <w:color w:val="0C0C0C"/>
                <w:kern w:val="2"/>
                <w:sz w:val="19"/>
                <w:szCs w:val="19"/>
                <w:lang w:val="ca" w:eastAsia="zh-CN"/>
              </w:rPr>
              <w:t>21,87</w:t>
            </w:r>
          </w:p>
        </w:tc>
      </w:tr>
    </w:tbl>
    <w:p w14:paraId="61380D60" w14:textId="13DC7B71" w:rsidR="00831F73" w:rsidRDefault="00831F73" w:rsidP="00831F73">
      <w:pPr>
        <w:jc w:val="both"/>
        <w:rPr>
          <w:rFonts w:ascii="Arial" w:eastAsia="Droid Sans Fallback" w:hAnsi="Arial" w:cs="Arial"/>
          <w:kern w:val="3"/>
          <w:sz w:val="21"/>
          <w:szCs w:val="21"/>
          <w:lang w:eastAsia="zh-CN" w:bidi="hi-IN"/>
        </w:rPr>
      </w:pPr>
    </w:p>
    <w:p w14:paraId="3F1A5590" w14:textId="5306FABC" w:rsidR="009C1014" w:rsidRPr="009C1014" w:rsidRDefault="009C1014" w:rsidP="009C1014">
      <w:pPr>
        <w:pStyle w:val="Ttulo3"/>
        <w:numPr>
          <w:ilvl w:val="2"/>
          <w:numId w:val="20"/>
        </w:numPr>
        <w:spacing w:before="360" w:after="240" w:line="276" w:lineRule="auto"/>
        <w:ind w:left="1134" w:hanging="1134"/>
        <w:rPr>
          <w:rFonts w:ascii="Arial" w:hAnsi="Arial" w:cs="Arial"/>
          <w:b/>
          <w:bCs/>
          <w:color w:val="9D2235" w:themeColor="accent1"/>
        </w:rPr>
      </w:pPr>
      <w:bookmarkStart w:id="510" w:name="Marcador_471"/>
      <w:bookmarkStart w:id="511" w:name="_Toc99110838"/>
      <w:r w:rsidRPr="009C1014">
        <w:rPr>
          <w:rFonts w:ascii="Arial" w:hAnsi="Arial" w:cs="Arial"/>
          <w:b/>
          <w:bCs/>
          <w:color w:val="9D2235" w:themeColor="accent1"/>
        </w:rPr>
        <w:t>Contractació</w:t>
      </w:r>
      <w:bookmarkEnd w:id="510"/>
      <w:bookmarkEnd w:id="511"/>
    </w:p>
    <w:p w14:paraId="7C3C26FB" w14:textId="77777777" w:rsidR="009C1014" w:rsidRPr="009C1014" w:rsidRDefault="009C1014" w:rsidP="00C07C7B">
      <w:pPr>
        <w:spacing w:after="240" w:line="276" w:lineRule="auto"/>
        <w:jc w:val="both"/>
        <w:rPr>
          <w:rFonts w:ascii="Arial" w:eastAsia="Droid Sans Fallback" w:hAnsi="Arial" w:cs="Arial"/>
          <w:kern w:val="3"/>
          <w:sz w:val="21"/>
          <w:szCs w:val="21"/>
          <w:lang w:val="es-ES" w:eastAsia="zh-CN" w:bidi="hi-IN"/>
        </w:rPr>
      </w:pPr>
      <w:r w:rsidRPr="009C1014">
        <w:rPr>
          <w:rFonts w:ascii="Arial" w:eastAsia="Droid Sans Fallback" w:hAnsi="Arial" w:cs="Arial"/>
          <w:kern w:val="3"/>
          <w:sz w:val="21"/>
          <w:szCs w:val="21"/>
          <w:lang w:val="ca" w:eastAsia="zh-CN" w:bidi="hi-IN"/>
        </w:rPr>
        <w:t>La disposició addicional única de la Llei 11/2016 estableix que la contractació de l'AVAF s'ha d'ajustar a la legislació sobre contractes del sector públic.</w:t>
      </w:r>
    </w:p>
    <w:p w14:paraId="4C231193" w14:textId="77777777" w:rsidR="009C1014" w:rsidRPr="009C1014" w:rsidRDefault="009C1014" w:rsidP="00C07C7B">
      <w:pPr>
        <w:spacing w:after="240" w:line="276" w:lineRule="auto"/>
        <w:jc w:val="both"/>
        <w:rPr>
          <w:rFonts w:ascii="Arial" w:eastAsia="Droid Sans Fallback" w:hAnsi="Arial" w:cs="Arial"/>
          <w:kern w:val="3"/>
          <w:sz w:val="21"/>
          <w:szCs w:val="21"/>
          <w:lang w:val="es-ES" w:eastAsia="zh-CN" w:bidi="hi-IN"/>
        </w:rPr>
      </w:pPr>
      <w:r w:rsidRPr="009C1014">
        <w:rPr>
          <w:rFonts w:ascii="Arial" w:eastAsia="Droid Sans Fallback" w:hAnsi="Arial" w:cs="Arial"/>
          <w:kern w:val="3"/>
          <w:sz w:val="21"/>
          <w:szCs w:val="21"/>
          <w:lang w:val="ca" w:eastAsia="zh-CN" w:bidi="hi-IN"/>
        </w:rPr>
        <w:t>Conforme al que disposa l'article 80.2 del Reglament de funcionament i règim interior, la persona titular de la Direcció de l'AVAF és l'òrgan de contractació d’aquesta. D'acord amb què preveu aquest precepte, la contractació de l'Agència s'articula sobre la contractació centralitzada, i es formalitzen els contractes derivats corresponents, i la contractació pròpia.</w:t>
      </w:r>
    </w:p>
    <w:p w14:paraId="7F59C563" w14:textId="77777777" w:rsidR="009C1014" w:rsidRPr="009C1014" w:rsidRDefault="009C1014" w:rsidP="00C07C7B">
      <w:pPr>
        <w:spacing w:after="240" w:line="276" w:lineRule="auto"/>
        <w:jc w:val="both"/>
        <w:rPr>
          <w:rFonts w:ascii="Arial" w:eastAsia="Droid Sans Fallback" w:hAnsi="Arial" w:cs="Arial"/>
          <w:kern w:val="3"/>
          <w:sz w:val="21"/>
          <w:szCs w:val="21"/>
          <w:lang w:val="es-ES" w:eastAsia="zh-CN" w:bidi="hi-IN"/>
        </w:rPr>
      </w:pPr>
      <w:r w:rsidRPr="009C1014">
        <w:rPr>
          <w:rFonts w:ascii="Arial" w:eastAsia="Droid Sans Fallback" w:hAnsi="Arial" w:cs="Arial"/>
          <w:kern w:val="3"/>
          <w:sz w:val="21"/>
          <w:szCs w:val="21"/>
          <w:lang w:val="ca" w:eastAsia="zh-CN" w:bidi="hi-IN"/>
        </w:rPr>
        <w:t>En les següents taules i gràfiques s'exposa resumidament l'activitat contractual de l'Agència l'any 2021.</w:t>
      </w:r>
    </w:p>
    <w:p w14:paraId="0C7869F5" w14:textId="56EBD6D4" w:rsidR="00E215E8" w:rsidRDefault="009C1014" w:rsidP="00C07C7B">
      <w:pPr>
        <w:spacing w:after="240" w:line="276" w:lineRule="auto"/>
        <w:jc w:val="both"/>
        <w:rPr>
          <w:rFonts w:ascii="Arial" w:eastAsia="Droid Sans Fallback" w:hAnsi="Arial" w:cs="Arial"/>
          <w:kern w:val="3"/>
          <w:sz w:val="21"/>
          <w:szCs w:val="21"/>
          <w:lang w:eastAsia="zh-CN" w:bidi="hi-IN"/>
        </w:rPr>
      </w:pPr>
      <w:r w:rsidRPr="009C1014">
        <w:rPr>
          <w:rFonts w:ascii="Arial" w:eastAsia="Droid Sans Fallback" w:hAnsi="Arial" w:cs="Arial"/>
          <w:kern w:val="3"/>
          <w:sz w:val="21"/>
          <w:szCs w:val="21"/>
          <w:lang w:val="ca" w:eastAsia="zh-CN" w:bidi="hi-IN"/>
        </w:rPr>
        <w:t xml:space="preserve">La relació completa de les contractacions es pot obtindre a la pàgina web de l'Agència, a través del seu Portal de Transparència </w:t>
      </w:r>
      <w:hyperlink r:id="rId551" w:history="1">
        <w:r w:rsidRPr="009C1014">
          <w:rPr>
            <w:rStyle w:val="Hipervnculo"/>
            <w:rFonts w:ascii="Arial" w:eastAsia="Droid Sans Fallback" w:hAnsi="Arial" w:cs="Arial"/>
            <w:kern w:val="3"/>
            <w:sz w:val="21"/>
            <w:szCs w:val="21"/>
            <w:lang w:val="es-ES" w:eastAsia="zh-CN" w:bidi="hi-IN"/>
          </w:rPr>
          <w:t>https://www.antifraucv.es/va/contractacio/</w:t>
        </w:r>
      </w:hyperlink>
      <w:r w:rsidRPr="009C1014">
        <w:rPr>
          <w:rFonts w:ascii="Arial" w:eastAsia="Droid Sans Fallback" w:hAnsi="Arial" w:cs="Arial"/>
          <w:kern w:val="3"/>
          <w:sz w:val="21"/>
          <w:szCs w:val="21"/>
          <w:lang w:val="ca" w:eastAsia="zh-CN" w:bidi="hi-IN"/>
        </w:rPr>
        <w:t>.</w:t>
      </w:r>
    </w:p>
    <w:p w14:paraId="58E1133A" w14:textId="496AE868" w:rsidR="00E215E8" w:rsidRDefault="00E215E8" w:rsidP="00831F73">
      <w:pPr>
        <w:jc w:val="both"/>
        <w:rPr>
          <w:rFonts w:ascii="Arial" w:eastAsia="Droid Sans Fallback" w:hAnsi="Arial" w:cs="Arial"/>
          <w:kern w:val="3"/>
          <w:sz w:val="21"/>
          <w:szCs w:val="21"/>
          <w:lang w:eastAsia="zh-CN" w:bidi="hi-IN"/>
        </w:rPr>
      </w:pPr>
    </w:p>
    <w:p w14:paraId="2562C21D" w14:textId="58BD8E54" w:rsidR="008635A6" w:rsidRDefault="008635A6" w:rsidP="00831F73">
      <w:pPr>
        <w:jc w:val="both"/>
        <w:rPr>
          <w:rFonts w:ascii="Arial" w:eastAsia="Droid Sans Fallback" w:hAnsi="Arial" w:cs="Arial"/>
          <w:kern w:val="3"/>
          <w:sz w:val="21"/>
          <w:szCs w:val="21"/>
          <w:lang w:eastAsia="zh-CN" w:bidi="hi-IN"/>
        </w:rPr>
      </w:pPr>
    </w:p>
    <w:p w14:paraId="7B0A0467" w14:textId="4A57E618" w:rsidR="008635A6" w:rsidRDefault="008635A6" w:rsidP="00831F73">
      <w:pPr>
        <w:jc w:val="both"/>
        <w:rPr>
          <w:rFonts w:ascii="Arial" w:eastAsia="Droid Sans Fallback" w:hAnsi="Arial" w:cs="Arial"/>
          <w:kern w:val="3"/>
          <w:sz w:val="21"/>
          <w:szCs w:val="21"/>
          <w:lang w:eastAsia="zh-CN" w:bidi="hi-IN"/>
        </w:rPr>
      </w:pPr>
    </w:p>
    <w:p w14:paraId="2922F82B" w14:textId="3D974E1B" w:rsidR="008635A6" w:rsidRDefault="008635A6" w:rsidP="00831F73">
      <w:pPr>
        <w:jc w:val="both"/>
        <w:rPr>
          <w:rFonts w:ascii="Arial" w:eastAsia="Droid Sans Fallback" w:hAnsi="Arial" w:cs="Arial"/>
          <w:kern w:val="3"/>
          <w:sz w:val="21"/>
          <w:szCs w:val="21"/>
          <w:lang w:eastAsia="zh-CN" w:bidi="hi-IN"/>
        </w:rPr>
      </w:pPr>
    </w:p>
    <w:p w14:paraId="709C3C65" w14:textId="77777777" w:rsidR="008635A6" w:rsidRDefault="008635A6" w:rsidP="00831F73">
      <w:pPr>
        <w:jc w:val="both"/>
        <w:rPr>
          <w:rFonts w:ascii="Arial" w:eastAsia="Droid Sans Fallback" w:hAnsi="Arial" w:cs="Arial"/>
          <w:kern w:val="3"/>
          <w:sz w:val="21"/>
          <w:szCs w:val="21"/>
          <w:lang w:eastAsia="zh-CN" w:bidi="hi-IN"/>
        </w:rPr>
      </w:pPr>
    </w:p>
    <w:p w14:paraId="2AA137DF" w14:textId="4058CBC1" w:rsidR="008635A6" w:rsidRPr="008635A6" w:rsidRDefault="008635A6" w:rsidP="008635A6">
      <w:pPr>
        <w:pStyle w:val="Descripcin"/>
        <w:keepNext/>
        <w:jc w:val="center"/>
        <w:rPr>
          <w:rFonts w:ascii="Arial" w:hAnsi="Arial" w:cs="Arial"/>
          <w:smallCaps w:val="0"/>
          <w:sz w:val="18"/>
          <w:szCs w:val="18"/>
        </w:rPr>
      </w:pPr>
      <w:bookmarkStart w:id="512" w:name="_Toc99110888"/>
      <w:r w:rsidRPr="008635A6">
        <w:rPr>
          <w:rFonts w:ascii="Arial" w:hAnsi="Arial" w:cs="Arial"/>
          <w:smallCaps w:val="0"/>
          <w:color w:val="9D2235" w:themeColor="accent1"/>
          <w:sz w:val="18"/>
          <w:szCs w:val="18"/>
        </w:rPr>
        <w:t xml:space="preserve">Taula </w:t>
      </w:r>
      <w:r w:rsidRPr="008635A6">
        <w:rPr>
          <w:rFonts w:ascii="Arial" w:hAnsi="Arial" w:cs="Arial"/>
          <w:smallCaps w:val="0"/>
          <w:color w:val="9D2235" w:themeColor="accent1"/>
          <w:sz w:val="18"/>
          <w:szCs w:val="18"/>
        </w:rPr>
        <w:fldChar w:fldCharType="begin" w:fldLock="1"/>
      </w:r>
      <w:r w:rsidRPr="008635A6">
        <w:rPr>
          <w:rFonts w:ascii="Arial" w:hAnsi="Arial" w:cs="Arial"/>
          <w:smallCaps w:val="0"/>
          <w:color w:val="9D2235" w:themeColor="accent1"/>
          <w:sz w:val="18"/>
          <w:szCs w:val="18"/>
        </w:rPr>
        <w:instrText xml:space="preserve"> SEQ Taula \* ARABIC </w:instrText>
      </w:r>
      <w:r w:rsidRPr="008635A6">
        <w:rPr>
          <w:rFonts w:ascii="Arial" w:hAnsi="Arial" w:cs="Arial"/>
          <w:smallCaps w:val="0"/>
          <w:color w:val="9D2235" w:themeColor="accent1"/>
          <w:sz w:val="18"/>
          <w:szCs w:val="18"/>
        </w:rPr>
        <w:fldChar w:fldCharType="separate"/>
      </w:r>
      <w:r w:rsidR="00A81D4F">
        <w:rPr>
          <w:rFonts w:ascii="Arial" w:hAnsi="Arial" w:cs="Arial"/>
          <w:smallCaps w:val="0"/>
          <w:noProof/>
          <w:color w:val="9D2235" w:themeColor="accent1"/>
          <w:sz w:val="18"/>
          <w:szCs w:val="18"/>
        </w:rPr>
        <w:t>43</w:t>
      </w:r>
      <w:r w:rsidRPr="008635A6">
        <w:rPr>
          <w:rFonts w:ascii="Arial" w:hAnsi="Arial" w:cs="Arial"/>
          <w:smallCaps w:val="0"/>
          <w:color w:val="9D2235" w:themeColor="accent1"/>
          <w:sz w:val="18"/>
          <w:szCs w:val="18"/>
        </w:rPr>
        <w:fldChar w:fldCharType="end"/>
      </w:r>
      <w:r w:rsidRPr="008635A6">
        <w:rPr>
          <w:rFonts w:ascii="Arial" w:hAnsi="Arial" w:cs="Arial"/>
          <w:smallCaps w:val="0"/>
          <w:color w:val="9D2235" w:themeColor="accent1"/>
          <w:sz w:val="18"/>
          <w:szCs w:val="18"/>
        </w:rPr>
        <w:t xml:space="preserve">. </w:t>
      </w:r>
      <w:r w:rsidRPr="008635A6">
        <w:rPr>
          <w:rFonts w:ascii="Arial" w:hAnsi="Arial" w:cs="Arial"/>
          <w:smallCaps w:val="0"/>
          <w:sz w:val="18"/>
          <w:szCs w:val="18"/>
        </w:rPr>
        <w:t>Resum de l'activitat contractual per tipus de contracte</w:t>
      </w:r>
      <w:bookmarkEnd w:id="512"/>
    </w:p>
    <w:tbl>
      <w:tblPr>
        <w:tblW w:w="6857" w:type="dxa"/>
        <w:jc w:val="center"/>
        <w:tblCellMar>
          <w:left w:w="70" w:type="dxa"/>
          <w:right w:w="70" w:type="dxa"/>
        </w:tblCellMar>
        <w:tblLook w:val="04A0" w:firstRow="1" w:lastRow="0" w:firstColumn="1" w:lastColumn="0" w:noHBand="0" w:noVBand="1"/>
      </w:tblPr>
      <w:tblGrid>
        <w:gridCol w:w="1741"/>
        <w:gridCol w:w="2289"/>
        <w:gridCol w:w="1520"/>
        <w:gridCol w:w="1307"/>
      </w:tblGrid>
      <w:tr w:rsidR="008635A6" w:rsidRPr="005B018A" w14:paraId="3DF5446F" w14:textId="77777777" w:rsidTr="008635A6">
        <w:trPr>
          <w:jc w:val="center"/>
        </w:trPr>
        <w:tc>
          <w:tcPr>
            <w:tcW w:w="1741" w:type="dxa"/>
            <w:tcBorders>
              <w:top w:val="single" w:sz="4" w:space="0" w:color="666666"/>
              <w:left w:val="single" w:sz="4" w:space="0" w:color="666666"/>
              <w:bottom w:val="single" w:sz="4" w:space="0" w:color="666666"/>
              <w:right w:val="nil"/>
            </w:tcBorders>
            <w:shd w:val="clear" w:color="9D2235" w:fill="9D2235"/>
            <w:vAlign w:val="center"/>
            <w:hideMark/>
          </w:tcPr>
          <w:p w14:paraId="17A07F0D"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Tipus de contracte</w:t>
            </w:r>
          </w:p>
        </w:tc>
        <w:tc>
          <w:tcPr>
            <w:tcW w:w="2289" w:type="dxa"/>
            <w:tcBorders>
              <w:top w:val="single" w:sz="4" w:space="0" w:color="666666"/>
              <w:left w:val="nil"/>
              <w:bottom w:val="single" w:sz="4" w:space="0" w:color="666666"/>
              <w:right w:val="nil"/>
            </w:tcBorders>
            <w:shd w:val="clear" w:color="9D2235" w:fill="9D2235"/>
            <w:vAlign w:val="center"/>
            <w:hideMark/>
          </w:tcPr>
          <w:p w14:paraId="0336E53A"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Procediment d' adjudicació</w:t>
            </w:r>
          </w:p>
        </w:tc>
        <w:tc>
          <w:tcPr>
            <w:tcW w:w="1520" w:type="dxa"/>
            <w:tcBorders>
              <w:top w:val="single" w:sz="4" w:space="0" w:color="666666"/>
              <w:left w:val="nil"/>
              <w:bottom w:val="single" w:sz="4" w:space="0" w:color="666666"/>
              <w:right w:val="nil"/>
            </w:tcBorders>
            <w:shd w:val="clear" w:color="9D2235" w:fill="9D2235"/>
            <w:vAlign w:val="center"/>
            <w:hideMark/>
          </w:tcPr>
          <w:p w14:paraId="6C048AD4"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 xml:space="preserve">Núm. Contractes </w:t>
            </w:r>
            <w:r w:rsidRPr="005B018A">
              <w:rPr>
                <w:rFonts w:ascii="Arial" w:eastAsia="Times New Roman" w:hAnsi="Arial" w:cs="Arial"/>
                <w:color w:val="000000"/>
                <w:sz w:val="18"/>
                <w:szCs w:val="18"/>
                <w:lang w:val="ca" w:eastAsia="es-ES"/>
              </w:rPr>
              <w:t>(1)</w:t>
            </w:r>
          </w:p>
        </w:tc>
        <w:tc>
          <w:tcPr>
            <w:tcW w:w="1307" w:type="dxa"/>
            <w:tcBorders>
              <w:top w:val="single" w:sz="4" w:space="0" w:color="666666"/>
              <w:left w:val="nil"/>
              <w:bottom w:val="single" w:sz="4" w:space="0" w:color="666666"/>
              <w:right w:val="single" w:sz="4" w:space="0" w:color="666666"/>
            </w:tcBorders>
            <w:shd w:val="clear" w:color="9D2235" w:fill="9D2235"/>
            <w:vAlign w:val="center"/>
            <w:hideMark/>
          </w:tcPr>
          <w:p w14:paraId="054EE008"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Import adjudicació( sense IVA)</w:t>
            </w:r>
          </w:p>
        </w:tc>
      </w:tr>
      <w:tr w:rsidR="008635A6" w:rsidRPr="005B018A" w14:paraId="37574A3D" w14:textId="77777777" w:rsidTr="008635A6">
        <w:trPr>
          <w:trHeight w:val="330"/>
          <w:jc w:val="center"/>
        </w:trPr>
        <w:tc>
          <w:tcPr>
            <w:tcW w:w="1741" w:type="dxa"/>
            <w:vMerge w:val="restart"/>
            <w:tcBorders>
              <w:top w:val="nil"/>
              <w:left w:val="single" w:sz="4" w:space="0" w:color="9D2235"/>
              <w:bottom w:val="single" w:sz="4" w:space="0" w:color="9D2235"/>
              <w:right w:val="nil"/>
            </w:tcBorders>
            <w:shd w:val="clear" w:color="FFFFFF" w:fill="FFFFFF"/>
            <w:noWrap/>
            <w:vAlign w:val="center"/>
            <w:hideMark/>
          </w:tcPr>
          <w:p w14:paraId="054F32A4"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Serveis</w:t>
            </w:r>
          </w:p>
        </w:tc>
        <w:tc>
          <w:tcPr>
            <w:tcW w:w="2289" w:type="dxa"/>
            <w:tcBorders>
              <w:top w:val="nil"/>
              <w:left w:val="nil"/>
              <w:bottom w:val="single" w:sz="4" w:space="0" w:color="9D2235"/>
              <w:right w:val="nil"/>
            </w:tcBorders>
            <w:shd w:val="clear" w:color="FFFFFF" w:fill="FFFFFF"/>
            <w:noWrap/>
            <w:vAlign w:val="center"/>
            <w:hideMark/>
          </w:tcPr>
          <w:p w14:paraId="4A5668A9"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Menor</w:t>
            </w:r>
          </w:p>
        </w:tc>
        <w:tc>
          <w:tcPr>
            <w:tcW w:w="1520" w:type="dxa"/>
            <w:tcBorders>
              <w:top w:val="nil"/>
              <w:left w:val="nil"/>
              <w:bottom w:val="single" w:sz="4" w:space="0" w:color="9D2235"/>
              <w:right w:val="nil"/>
            </w:tcBorders>
            <w:shd w:val="clear" w:color="auto" w:fill="auto"/>
            <w:noWrap/>
            <w:vAlign w:val="bottom"/>
            <w:hideMark/>
          </w:tcPr>
          <w:p w14:paraId="6FFA063D"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32</w:t>
            </w:r>
          </w:p>
        </w:tc>
        <w:tc>
          <w:tcPr>
            <w:tcW w:w="1307" w:type="dxa"/>
            <w:tcBorders>
              <w:top w:val="nil"/>
              <w:left w:val="nil"/>
              <w:bottom w:val="single" w:sz="4" w:space="0" w:color="9D2235"/>
              <w:right w:val="single" w:sz="4" w:space="0" w:color="9D2235"/>
            </w:tcBorders>
            <w:shd w:val="clear" w:color="auto" w:fill="auto"/>
            <w:noWrap/>
            <w:vAlign w:val="center"/>
            <w:hideMark/>
          </w:tcPr>
          <w:p w14:paraId="65CE531C"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68.516,38</w:t>
            </w:r>
          </w:p>
        </w:tc>
      </w:tr>
      <w:tr w:rsidR="008635A6" w:rsidRPr="005B018A" w14:paraId="3D6B67C7"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2AC7E3AC"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51760B56"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Obert</w:t>
            </w:r>
          </w:p>
        </w:tc>
        <w:tc>
          <w:tcPr>
            <w:tcW w:w="1520" w:type="dxa"/>
            <w:tcBorders>
              <w:top w:val="nil"/>
              <w:left w:val="nil"/>
              <w:bottom w:val="single" w:sz="4" w:space="0" w:color="9D2235"/>
              <w:right w:val="nil"/>
            </w:tcBorders>
            <w:shd w:val="clear" w:color="auto" w:fill="auto"/>
            <w:noWrap/>
            <w:vAlign w:val="bottom"/>
            <w:hideMark/>
          </w:tcPr>
          <w:p w14:paraId="389DB184"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w:t>
            </w:r>
          </w:p>
        </w:tc>
        <w:tc>
          <w:tcPr>
            <w:tcW w:w="1307" w:type="dxa"/>
            <w:tcBorders>
              <w:top w:val="nil"/>
              <w:left w:val="nil"/>
              <w:bottom w:val="single" w:sz="4" w:space="0" w:color="9D2235"/>
              <w:right w:val="single" w:sz="4" w:space="0" w:color="9D2235"/>
            </w:tcBorders>
            <w:shd w:val="clear" w:color="auto" w:fill="auto"/>
            <w:noWrap/>
            <w:vAlign w:val="center"/>
            <w:hideMark/>
          </w:tcPr>
          <w:p w14:paraId="14AFF58A"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9.962,40</w:t>
            </w:r>
          </w:p>
        </w:tc>
      </w:tr>
      <w:tr w:rsidR="008635A6" w:rsidRPr="005B018A" w14:paraId="3BC8D7F9"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5C79236B"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2E50AFD1"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Obert/Modificacions</w:t>
            </w:r>
          </w:p>
        </w:tc>
        <w:tc>
          <w:tcPr>
            <w:tcW w:w="1520" w:type="dxa"/>
            <w:tcBorders>
              <w:top w:val="nil"/>
              <w:left w:val="nil"/>
              <w:bottom w:val="single" w:sz="4" w:space="0" w:color="9D2235"/>
              <w:right w:val="nil"/>
            </w:tcBorders>
            <w:shd w:val="clear" w:color="auto" w:fill="auto"/>
            <w:noWrap/>
            <w:vAlign w:val="bottom"/>
            <w:hideMark/>
          </w:tcPr>
          <w:p w14:paraId="6875A6A3"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w:t>
            </w:r>
          </w:p>
        </w:tc>
        <w:tc>
          <w:tcPr>
            <w:tcW w:w="1307" w:type="dxa"/>
            <w:tcBorders>
              <w:top w:val="nil"/>
              <w:left w:val="nil"/>
              <w:bottom w:val="single" w:sz="4" w:space="0" w:color="9D2235"/>
              <w:right w:val="single" w:sz="4" w:space="0" w:color="9D2235"/>
            </w:tcBorders>
            <w:shd w:val="clear" w:color="auto" w:fill="auto"/>
            <w:noWrap/>
            <w:vAlign w:val="center"/>
            <w:hideMark/>
          </w:tcPr>
          <w:p w14:paraId="0486A086"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1.796,77</w:t>
            </w:r>
          </w:p>
        </w:tc>
      </w:tr>
      <w:tr w:rsidR="008635A6" w:rsidRPr="005B018A" w14:paraId="1DBFCE3F"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23123424"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0C6703E6"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Basat en Acord Marc</w:t>
            </w:r>
          </w:p>
        </w:tc>
        <w:tc>
          <w:tcPr>
            <w:tcW w:w="1520" w:type="dxa"/>
            <w:tcBorders>
              <w:top w:val="nil"/>
              <w:left w:val="nil"/>
              <w:bottom w:val="single" w:sz="4" w:space="0" w:color="9D2235"/>
              <w:right w:val="nil"/>
            </w:tcBorders>
            <w:shd w:val="clear" w:color="auto" w:fill="auto"/>
            <w:noWrap/>
            <w:vAlign w:val="bottom"/>
            <w:hideMark/>
          </w:tcPr>
          <w:p w14:paraId="670D5895"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w:t>
            </w:r>
          </w:p>
        </w:tc>
        <w:tc>
          <w:tcPr>
            <w:tcW w:w="1307" w:type="dxa"/>
            <w:tcBorders>
              <w:top w:val="nil"/>
              <w:left w:val="nil"/>
              <w:bottom w:val="single" w:sz="4" w:space="0" w:color="9D2235"/>
              <w:right w:val="single" w:sz="4" w:space="0" w:color="9D2235"/>
            </w:tcBorders>
            <w:shd w:val="clear" w:color="auto" w:fill="auto"/>
            <w:noWrap/>
            <w:vAlign w:val="center"/>
            <w:hideMark/>
          </w:tcPr>
          <w:p w14:paraId="060C37A8"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12.953,37</w:t>
            </w:r>
          </w:p>
        </w:tc>
      </w:tr>
      <w:tr w:rsidR="008635A6" w:rsidRPr="005B018A" w14:paraId="72D561EA"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625812CA"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67D5A94B"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Subtotal contractes de servei</w:t>
            </w:r>
          </w:p>
        </w:tc>
        <w:tc>
          <w:tcPr>
            <w:tcW w:w="1520" w:type="dxa"/>
            <w:tcBorders>
              <w:top w:val="nil"/>
              <w:left w:val="nil"/>
              <w:bottom w:val="single" w:sz="4" w:space="0" w:color="9D2235"/>
              <w:right w:val="nil"/>
            </w:tcBorders>
            <w:shd w:val="clear" w:color="auto" w:fill="auto"/>
            <w:noWrap/>
            <w:vAlign w:val="bottom"/>
            <w:hideMark/>
          </w:tcPr>
          <w:p w14:paraId="0ACCA141" w14:textId="77777777" w:rsidR="008635A6" w:rsidRPr="005B018A" w:rsidRDefault="008635A6" w:rsidP="008635A6">
            <w:pPr>
              <w:jc w:val="center"/>
              <w:rPr>
                <w:rFonts w:ascii="Arial" w:eastAsia="Times New Roman" w:hAnsi="Arial" w:cs="Arial"/>
                <w:b/>
                <w:bCs/>
                <w:color w:val="000000"/>
                <w:sz w:val="18"/>
                <w:szCs w:val="18"/>
                <w:lang w:val="es-ES" w:eastAsia="es-ES"/>
              </w:rPr>
            </w:pPr>
            <w:r w:rsidRPr="005B018A">
              <w:rPr>
                <w:rFonts w:ascii="Arial" w:eastAsia="Times New Roman" w:hAnsi="Arial" w:cs="Arial"/>
                <w:b/>
                <w:bCs/>
                <w:color w:val="000000"/>
                <w:sz w:val="18"/>
                <w:szCs w:val="18"/>
                <w:lang w:val="ca" w:eastAsia="es-ES"/>
              </w:rPr>
              <w:t>35</w:t>
            </w:r>
          </w:p>
        </w:tc>
        <w:tc>
          <w:tcPr>
            <w:tcW w:w="1307" w:type="dxa"/>
            <w:tcBorders>
              <w:top w:val="nil"/>
              <w:left w:val="nil"/>
              <w:bottom w:val="single" w:sz="4" w:space="0" w:color="9D2235"/>
              <w:right w:val="single" w:sz="4" w:space="0" w:color="9D2235"/>
            </w:tcBorders>
            <w:shd w:val="clear" w:color="auto" w:fill="auto"/>
            <w:noWrap/>
            <w:vAlign w:val="center"/>
            <w:hideMark/>
          </w:tcPr>
          <w:p w14:paraId="6752E984" w14:textId="77777777" w:rsidR="008635A6" w:rsidRPr="005B018A" w:rsidRDefault="008635A6" w:rsidP="008635A6">
            <w:pPr>
              <w:jc w:val="right"/>
              <w:rPr>
                <w:rFonts w:ascii="Arial" w:eastAsia="Times New Roman" w:hAnsi="Arial" w:cs="Arial"/>
                <w:b/>
                <w:bCs/>
                <w:color w:val="000000"/>
                <w:sz w:val="18"/>
                <w:szCs w:val="18"/>
                <w:lang w:val="es-ES" w:eastAsia="es-ES"/>
              </w:rPr>
            </w:pPr>
            <w:r w:rsidRPr="005B018A">
              <w:rPr>
                <w:rFonts w:ascii="Arial" w:eastAsia="Times New Roman" w:hAnsi="Arial" w:cs="Arial"/>
                <w:b/>
                <w:bCs/>
                <w:color w:val="000000"/>
                <w:sz w:val="18"/>
                <w:szCs w:val="18"/>
                <w:lang w:val="ca" w:eastAsia="es-ES"/>
              </w:rPr>
              <w:t>93.228,92</w:t>
            </w:r>
          </w:p>
        </w:tc>
      </w:tr>
      <w:tr w:rsidR="008635A6" w:rsidRPr="005B018A" w14:paraId="44A698F6" w14:textId="77777777" w:rsidTr="008635A6">
        <w:trPr>
          <w:trHeight w:val="330"/>
          <w:jc w:val="center"/>
        </w:trPr>
        <w:tc>
          <w:tcPr>
            <w:tcW w:w="1741" w:type="dxa"/>
            <w:vMerge w:val="restart"/>
            <w:tcBorders>
              <w:top w:val="nil"/>
              <w:left w:val="single" w:sz="4" w:space="0" w:color="9D2235"/>
              <w:bottom w:val="single" w:sz="4" w:space="0" w:color="9D2235"/>
              <w:right w:val="nil"/>
            </w:tcBorders>
            <w:shd w:val="clear" w:color="FFFFFF" w:fill="FFFFFF"/>
            <w:noWrap/>
            <w:vAlign w:val="center"/>
            <w:hideMark/>
          </w:tcPr>
          <w:p w14:paraId="7F1A3C99"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Subministraments</w:t>
            </w:r>
          </w:p>
        </w:tc>
        <w:tc>
          <w:tcPr>
            <w:tcW w:w="2289" w:type="dxa"/>
            <w:tcBorders>
              <w:top w:val="nil"/>
              <w:left w:val="nil"/>
              <w:bottom w:val="single" w:sz="4" w:space="0" w:color="9D2235"/>
              <w:right w:val="nil"/>
            </w:tcBorders>
            <w:shd w:val="clear" w:color="FFFFFF" w:fill="FFFFFF"/>
            <w:noWrap/>
            <w:vAlign w:val="center"/>
            <w:hideMark/>
          </w:tcPr>
          <w:p w14:paraId="2C93BDAF"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Menor</w:t>
            </w:r>
          </w:p>
        </w:tc>
        <w:tc>
          <w:tcPr>
            <w:tcW w:w="1520" w:type="dxa"/>
            <w:tcBorders>
              <w:top w:val="nil"/>
              <w:left w:val="nil"/>
              <w:bottom w:val="single" w:sz="4" w:space="0" w:color="9D2235"/>
              <w:right w:val="nil"/>
            </w:tcBorders>
            <w:shd w:val="clear" w:color="auto" w:fill="auto"/>
            <w:noWrap/>
            <w:vAlign w:val="bottom"/>
            <w:hideMark/>
          </w:tcPr>
          <w:p w14:paraId="3AE09F0B"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19</w:t>
            </w:r>
          </w:p>
        </w:tc>
        <w:tc>
          <w:tcPr>
            <w:tcW w:w="1307" w:type="dxa"/>
            <w:tcBorders>
              <w:top w:val="nil"/>
              <w:left w:val="nil"/>
              <w:bottom w:val="single" w:sz="4" w:space="0" w:color="9D2235"/>
              <w:right w:val="single" w:sz="4" w:space="0" w:color="9D2235"/>
            </w:tcBorders>
            <w:shd w:val="clear" w:color="auto" w:fill="auto"/>
            <w:noWrap/>
            <w:vAlign w:val="center"/>
            <w:hideMark/>
          </w:tcPr>
          <w:p w14:paraId="564232E0"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31.148,73</w:t>
            </w:r>
          </w:p>
        </w:tc>
      </w:tr>
      <w:tr w:rsidR="008635A6" w:rsidRPr="005B018A" w14:paraId="47838E3F"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4646EA30"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2992FE98"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Obert</w:t>
            </w:r>
          </w:p>
        </w:tc>
        <w:tc>
          <w:tcPr>
            <w:tcW w:w="1520" w:type="dxa"/>
            <w:tcBorders>
              <w:top w:val="nil"/>
              <w:left w:val="nil"/>
              <w:bottom w:val="single" w:sz="4" w:space="0" w:color="9D2235"/>
              <w:right w:val="nil"/>
            </w:tcBorders>
            <w:shd w:val="clear" w:color="auto" w:fill="auto"/>
            <w:noWrap/>
            <w:vAlign w:val="bottom"/>
            <w:hideMark/>
          </w:tcPr>
          <w:p w14:paraId="073DC7D1"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4</w:t>
            </w:r>
          </w:p>
        </w:tc>
        <w:tc>
          <w:tcPr>
            <w:tcW w:w="1307" w:type="dxa"/>
            <w:tcBorders>
              <w:top w:val="nil"/>
              <w:left w:val="nil"/>
              <w:bottom w:val="single" w:sz="4" w:space="0" w:color="9D2235"/>
              <w:right w:val="single" w:sz="4" w:space="0" w:color="9D2235"/>
            </w:tcBorders>
            <w:shd w:val="clear" w:color="auto" w:fill="auto"/>
            <w:noWrap/>
            <w:vAlign w:val="center"/>
            <w:hideMark/>
          </w:tcPr>
          <w:p w14:paraId="6827520C"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23.974,92</w:t>
            </w:r>
          </w:p>
        </w:tc>
      </w:tr>
      <w:tr w:rsidR="008635A6" w:rsidRPr="005B018A" w14:paraId="364BF5A6"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1CF4D258"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77362A12"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Obert/Modificacions</w:t>
            </w:r>
          </w:p>
        </w:tc>
        <w:tc>
          <w:tcPr>
            <w:tcW w:w="1520" w:type="dxa"/>
            <w:tcBorders>
              <w:top w:val="nil"/>
              <w:left w:val="nil"/>
              <w:bottom w:val="single" w:sz="4" w:space="0" w:color="9D2235"/>
              <w:right w:val="nil"/>
            </w:tcBorders>
            <w:shd w:val="clear" w:color="auto" w:fill="auto"/>
            <w:noWrap/>
            <w:vAlign w:val="bottom"/>
            <w:hideMark/>
          </w:tcPr>
          <w:p w14:paraId="73F8E5E7"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w:t>
            </w:r>
          </w:p>
        </w:tc>
        <w:tc>
          <w:tcPr>
            <w:tcW w:w="1307" w:type="dxa"/>
            <w:tcBorders>
              <w:top w:val="nil"/>
              <w:left w:val="nil"/>
              <w:bottom w:val="single" w:sz="4" w:space="0" w:color="9D2235"/>
              <w:right w:val="single" w:sz="4" w:space="0" w:color="9D2235"/>
            </w:tcBorders>
            <w:shd w:val="clear" w:color="auto" w:fill="auto"/>
            <w:noWrap/>
            <w:vAlign w:val="center"/>
            <w:hideMark/>
          </w:tcPr>
          <w:p w14:paraId="2E98C861"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0,00</w:t>
            </w:r>
          </w:p>
        </w:tc>
      </w:tr>
      <w:tr w:rsidR="008635A6" w:rsidRPr="005B018A" w14:paraId="333E2748"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1B1BB4ED"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10F8B6DA"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Basat en Acord Marc</w:t>
            </w:r>
          </w:p>
        </w:tc>
        <w:tc>
          <w:tcPr>
            <w:tcW w:w="1520" w:type="dxa"/>
            <w:tcBorders>
              <w:top w:val="nil"/>
              <w:left w:val="nil"/>
              <w:bottom w:val="single" w:sz="4" w:space="0" w:color="9D2235"/>
              <w:right w:val="nil"/>
            </w:tcBorders>
            <w:shd w:val="clear" w:color="auto" w:fill="auto"/>
            <w:noWrap/>
            <w:vAlign w:val="bottom"/>
            <w:hideMark/>
          </w:tcPr>
          <w:p w14:paraId="308B7900"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w:t>
            </w:r>
          </w:p>
        </w:tc>
        <w:tc>
          <w:tcPr>
            <w:tcW w:w="1307" w:type="dxa"/>
            <w:tcBorders>
              <w:top w:val="nil"/>
              <w:left w:val="nil"/>
              <w:bottom w:val="single" w:sz="4" w:space="0" w:color="9D2235"/>
              <w:right w:val="single" w:sz="4" w:space="0" w:color="9D2235"/>
            </w:tcBorders>
            <w:shd w:val="clear" w:color="auto" w:fill="auto"/>
            <w:noWrap/>
            <w:vAlign w:val="center"/>
            <w:hideMark/>
          </w:tcPr>
          <w:p w14:paraId="71ADCA7E"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0,00</w:t>
            </w:r>
          </w:p>
        </w:tc>
      </w:tr>
      <w:tr w:rsidR="008635A6" w:rsidRPr="005B018A" w14:paraId="41673611"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7275B105"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2815120A"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Subtotal contractes de subministrament</w:t>
            </w:r>
          </w:p>
        </w:tc>
        <w:tc>
          <w:tcPr>
            <w:tcW w:w="1520" w:type="dxa"/>
            <w:tcBorders>
              <w:top w:val="nil"/>
              <w:left w:val="nil"/>
              <w:bottom w:val="single" w:sz="4" w:space="0" w:color="9D2235"/>
              <w:right w:val="nil"/>
            </w:tcBorders>
            <w:shd w:val="clear" w:color="auto" w:fill="auto"/>
            <w:noWrap/>
            <w:vAlign w:val="bottom"/>
            <w:hideMark/>
          </w:tcPr>
          <w:p w14:paraId="4B61E1F9" w14:textId="77777777" w:rsidR="008635A6" w:rsidRPr="005B018A" w:rsidRDefault="008635A6" w:rsidP="008635A6">
            <w:pPr>
              <w:jc w:val="center"/>
              <w:rPr>
                <w:rFonts w:ascii="Arial" w:eastAsia="Times New Roman" w:hAnsi="Arial" w:cs="Arial"/>
                <w:b/>
                <w:bCs/>
                <w:color w:val="000000"/>
                <w:sz w:val="18"/>
                <w:szCs w:val="18"/>
                <w:lang w:val="es-ES" w:eastAsia="es-ES"/>
              </w:rPr>
            </w:pPr>
            <w:r w:rsidRPr="005B018A">
              <w:rPr>
                <w:rFonts w:ascii="Arial" w:eastAsia="Times New Roman" w:hAnsi="Arial" w:cs="Arial"/>
                <w:b/>
                <w:bCs/>
                <w:color w:val="000000"/>
                <w:sz w:val="18"/>
                <w:szCs w:val="18"/>
                <w:lang w:val="ca" w:eastAsia="es-ES"/>
              </w:rPr>
              <w:t>23</w:t>
            </w:r>
          </w:p>
        </w:tc>
        <w:tc>
          <w:tcPr>
            <w:tcW w:w="1307" w:type="dxa"/>
            <w:tcBorders>
              <w:top w:val="nil"/>
              <w:left w:val="nil"/>
              <w:bottom w:val="single" w:sz="4" w:space="0" w:color="9D2235"/>
              <w:right w:val="single" w:sz="4" w:space="0" w:color="9D2235"/>
            </w:tcBorders>
            <w:shd w:val="clear" w:color="auto" w:fill="auto"/>
            <w:noWrap/>
            <w:vAlign w:val="center"/>
            <w:hideMark/>
          </w:tcPr>
          <w:p w14:paraId="0526ED38" w14:textId="77777777" w:rsidR="008635A6" w:rsidRPr="005B018A" w:rsidRDefault="008635A6" w:rsidP="008635A6">
            <w:pPr>
              <w:jc w:val="right"/>
              <w:rPr>
                <w:rFonts w:ascii="Arial" w:eastAsia="Times New Roman" w:hAnsi="Arial" w:cs="Arial"/>
                <w:b/>
                <w:bCs/>
                <w:color w:val="000000"/>
                <w:sz w:val="18"/>
                <w:szCs w:val="18"/>
                <w:lang w:val="es-ES" w:eastAsia="es-ES"/>
              </w:rPr>
            </w:pPr>
            <w:r w:rsidRPr="005B018A">
              <w:rPr>
                <w:rFonts w:ascii="Arial" w:eastAsia="Times New Roman" w:hAnsi="Arial" w:cs="Arial"/>
                <w:b/>
                <w:bCs/>
                <w:color w:val="000000"/>
                <w:sz w:val="18"/>
                <w:szCs w:val="18"/>
                <w:lang w:val="ca" w:eastAsia="es-ES"/>
              </w:rPr>
              <w:t>55.123,65</w:t>
            </w:r>
          </w:p>
        </w:tc>
      </w:tr>
      <w:tr w:rsidR="008635A6" w:rsidRPr="005B018A" w14:paraId="4357F791" w14:textId="77777777" w:rsidTr="008635A6">
        <w:trPr>
          <w:trHeight w:val="330"/>
          <w:jc w:val="center"/>
        </w:trPr>
        <w:tc>
          <w:tcPr>
            <w:tcW w:w="1741" w:type="dxa"/>
            <w:vMerge w:val="restart"/>
            <w:tcBorders>
              <w:top w:val="nil"/>
              <w:left w:val="single" w:sz="4" w:space="0" w:color="9D2235"/>
              <w:bottom w:val="single" w:sz="4" w:space="0" w:color="9D2235"/>
              <w:right w:val="nil"/>
            </w:tcBorders>
            <w:shd w:val="clear" w:color="FFFFFF" w:fill="FFFFFF"/>
            <w:vAlign w:val="center"/>
            <w:hideMark/>
          </w:tcPr>
          <w:p w14:paraId="2F91F0E9"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Mixtos:</w:t>
            </w:r>
          </w:p>
          <w:p w14:paraId="0CD3E01B"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servei-subministrament</w:t>
            </w:r>
          </w:p>
        </w:tc>
        <w:tc>
          <w:tcPr>
            <w:tcW w:w="2289" w:type="dxa"/>
            <w:tcBorders>
              <w:top w:val="nil"/>
              <w:left w:val="nil"/>
              <w:bottom w:val="single" w:sz="4" w:space="0" w:color="9D2235"/>
              <w:right w:val="nil"/>
            </w:tcBorders>
            <w:shd w:val="clear" w:color="FFFFFF" w:fill="FFFFFF"/>
            <w:noWrap/>
            <w:vAlign w:val="center"/>
            <w:hideMark/>
          </w:tcPr>
          <w:p w14:paraId="37492DE5"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Menor</w:t>
            </w:r>
          </w:p>
        </w:tc>
        <w:tc>
          <w:tcPr>
            <w:tcW w:w="1520" w:type="dxa"/>
            <w:tcBorders>
              <w:top w:val="nil"/>
              <w:left w:val="nil"/>
              <w:bottom w:val="single" w:sz="4" w:space="0" w:color="9D2235"/>
              <w:right w:val="nil"/>
            </w:tcBorders>
            <w:shd w:val="clear" w:color="auto" w:fill="auto"/>
            <w:noWrap/>
            <w:vAlign w:val="bottom"/>
            <w:hideMark/>
          </w:tcPr>
          <w:p w14:paraId="0D728BFA"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w:t>
            </w:r>
          </w:p>
        </w:tc>
        <w:tc>
          <w:tcPr>
            <w:tcW w:w="1307" w:type="dxa"/>
            <w:tcBorders>
              <w:top w:val="nil"/>
              <w:left w:val="nil"/>
              <w:bottom w:val="single" w:sz="4" w:space="0" w:color="9D2235"/>
              <w:right w:val="single" w:sz="4" w:space="0" w:color="9D2235"/>
            </w:tcBorders>
            <w:shd w:val="clear" w:color="auto" w:fill="auto"/>
            <w:noWrap/>
            <w:vAlign w:val="center"/>
            <w:hideMark/>
          </w:tcPr>
          <w:p w14:paraId="7E70AADE"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0,00</w:t>
            </w:r>
          </w:p>
        </w:tc>
      </w:tr>
      <w:tr w:rsidR="008635A6" w:rsidRPr="005B018A" w14:paraId="3231EB48"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20C14554"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318D5E37"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Obert</w:t>
            </w:r>
          </w:p>
        </w:tc>
        <w:tc>
          <w:tcPr>
            <w:tcW w:w="1520" w:type="dxa"/>
            <w:tcBorders>
              <w:top w:val="nil"/>
              <w:left w:val="nil"/>
              <w:bottom w:val="single" w:sz="4" w:space="0" w:color="9D2235"/>
              <w:right w:val="nil"/>
            </w:tcBorders>
            <w:shd w:val="clear" w:color="auto" w:fill="auto"/>
            <w:noWrap/>
            <w:vAlign w:val="bottom"/>
            <w:hideMark/>
          </w:tcPr>
          <w:p w14:paraId="17642E63"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w:t>
            </w:r>
          </w:p>
        </w:tc>
        <w:tc>
          <w:tcPr>
            <w:tcW w:w="1307" w:type="dxa"/>
            <w:tcBorders>
              <w:top w:val="nil"/>
              <w:left w:val="nil"/>
              <w:bottom w:val="single" w:sz="4" w:space="0" w:color="9D2235"/>
              <w:right w:val="single" w:sz="4" w:space="0" w:color="9D2235"/>
            </w:tcBorders>
            <w:shd w:val="clear" w:color="auto" w:fill="auto"/>
            <w:noWrap/>
            <w:vAlign w:val="center"/>
            <w:hideMark/>
          </w:tcPr>
          <w:p w14:paraId="79544D99"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22.762,45</w:t>
            </w:r>
          </w:p>
        </w:tc>
      </w:tr>
      <w:tr w:rsidR="008635A6" w:rsidRPr="005B018A" w14:paraId="5F40BED7"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401BF702"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0BDFD701"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Obert/Modificacions</w:t>
            </w:r>
          </w:p>
        </w:tc>
        <w:tc>
          <w:tcPr>
            <w:tcW w:w="1520" w:type="dxa"/>
            <w:tcBorders>
              <w:top w:val="nil"/>
              <w:left w:val="nil"/>
              <w:bottom w:val="single" w:sz="4" w:space="0" w:color="9D2235"/>
              <w:right w:val="nil"/>
            </w:tcBorders>
            <w:shd w:val="clear" w:color="auto" w:fill="auto"/>
            <w:noWrap/>
            <w:vAlign w:val="bottom"/>
            <w:hideMark/>
          </w:tcPr>
          <w:p w14:paraId="2547FB96"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w:t>
            </w:r>
          </w:p>
        </w:tc>
        <w:tc>
          <w:tcPr>
            <w:tcW w:w="1307" w:type="dxa"/>
            <w:tcBorders>
              <w:top w:val="nil"/>
              <w:left w:val="nil"/>
              <w:bottom w:val="single" w:sz="4" w:space="0" w:color="9D2235"/>
              <w:right w:val="single" w:sz="4" w:space="0" w:color="9D2235"/>
            </w:tcBorders>
            <w:shd w:val="clear" w:color="auto" w:fill="auto"/>
            <w:noWrap/>
            <w:vAlign w:val="center"/>
            <w:hideMark/>
          </w:tcPr>
          <w:p w14:paraId="558B6223"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0,00</w:t>
            </w:r>
          </w:p>
        </w:tc>
      </w:tr>
      <w:tr w:rsidR="008635A6" w:rsidRPr="005B018A" w14:paraId="5B68671F"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51E62E0C"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06816A70"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Basat en Acord Marc</w:t>
            </w:r>
          </w:p>
        </w:tc>
        <w:tc>
          <w:tcPr>
            <w:tcW w:w="1520" w:type="dxa"/>
            <w:tcBorders>
              <w:top w:val="nil"/>
              <w:left w:val="nil"/>
              <w:bottom w:val="single" w:sz="4" w:space="0" w:color="9D2235"/>
              <w:right w:val="nil"/>
            </w:tcBorders>
            <w:shd w:val="clear" w:color="auto" w:fill="auto"/>
            <w:noWrap/>
            <w:vAlign w:val="bottom"/>
            <w:hideMark/>
          </w:tcPr>
          <w:p w14:paraId="2DDD09A1"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w:t>
            </w:r>
          </w:p>
        </w:tc>
        <w:tc>
          <w:tcPr>
            <w:tcW w:w="1307" w:type="dxa"/>
            <w:tcBorders>
              <w:top w:val="nil"/>
              <w:left w:val="nil"/>
              <w:bottom w:val="single" w:sz="4" w:space="0" w:color="9D2235"/>
              <w:right w:val="single" w:sz="4" w:space="0" w:color="9D2235"/>
            </w:tcBorders>
            <w:shd w:val="clear" w:color="auto" w:fill="auto"/>
            <w:noWrap/>
            <w:vAlign w:val="center"/>
            <w:hideMark/>
          </w:tcPr>
          <w:p w14:paraId="13C72F25"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0,00</w:t>
            </w:r>
          </w:p>
        </w:tc>
      </w:tr>
      <w:tr w:rsidR="008635A6" w:rsidRPr="005B018A" w14:paraId="7ADE5615" w14:textId="77777777" w:rsidTr="008635A6">
        <w:trPr>
          <w:trHeight w:val="330"/>
          <w:jc w:val="center"/>
        </w:trPr>
        <w:tc>
          <w:tcPr>
            <w:tcW w:w="1741" w:type="dxa"/>
            <w:vMerge/>
            <w:tcBorders>
              <w:top w:val="nil"/>
              <w:left w:val="single" w:sz="4" w:space="0" w:color="9D2235"/>
              <w:bottom w:val="single" w:sz="4" w:space="0" w:color="9D2235"/>
              <w:right w:val="nil"/>
            </w:tcBorders>
            <w:vAlign w:val="center"/>
            <w:hideMark/>
          </w:tcPr>
          <w:p w14:paraId="4F48F171" w14:textId="77777777" w:rsidR="008635A6" w:rsidRPr="005B018A" w:rsidRDefault="008635A6" w:rsidP="008635A6">
            <w:pPr>
              <w:rPr>
                <w:rFonts w:ascii="Arial" w:eastAsia="Times New Roman" w:hAnsi="Arial" w:cs="Arial"/>
                <w:color w:val="000000"/>
                <w:sz w:val="18"/>
                <w:szCs w:val="18"/>
                <w:lang w:val="es-ES" w:eastAsia="es-ES"/>
              </w:rPr>
            </w:pPr>
          </w:p>
        </w:tc>
        <w:tc>
          <w:tcPr>
            <w:tcW w:w="2289" w:type="dxa"/>
            <w:tcBorders>
              <w:top w:val="nil"/>
              <w:left w:val="nil"/>
              <w:bottom w:val="single" w:sz="4" w:space="0" w:color="9D2235"/>
              <w:right w:val="nil"/>
            </w:tcBorders>
            <w:shd w:val="clear" w:color="FFFFFF" w:fill="FFFFFF"/>
            <w:noWrap/>
            <w:vAlign w:val="center"/>
            <w:hideMark/>
          </w:tcPr>
          <w:p w14:paraId="3C636C72"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Subtotal contractes mixtos: ser-sum</w:t>
            </w:r>
          </w:p>
        </w:tc>
        <w:tc>
          <w:tcPr>
            <w:tcW w:w="1520" w:type="dxa"/>
            <w:tcBorders>
              <w:top w:val="nil"/>
              <w:left w:val="nil"/>
              <w:bottom w:val="single" w:sz="4" w:space="0" w:color="9D2235"/>
              <w:right w:val="nil"/>
            </w:tcBorders>
            <w:shd w:val="clear" w:color="auto" w:fill="auto"/>
            <w:noWrap/>
            <w:vAlign w:val="bottom"/>
            <w:hideMark/>
          </w:tcPr>
          <w:p w14:paraId="4D441693" w14:textId="77777777" w:rsidR="008635A6" w:rsidRPr="005B018A" w:rsidRDefault="008635A6" w:rsidP="008635A6">
            <w:pPr>
              <w:jc w:val="center"/>
              <w:rPr>
                <w:rFonts w:ascii="Arial" w:eastAsia="Times New Roman" w:hAnsi="Arial" w:cs="Arial"/>
                <w:b/>
                <w:bCs/>
                <w:color w:val="000000"/>
                <w:sz w:val="18"/>
                <w:szCs w:val="18"/>
                <w:lang w:val="es-ES" w:eastAsia="es-ES"/>
              </w:rPr>
            </w:pPr>
            <w:r w:rsidRPr="005B018A">
              <w:rPr>
                <w:rFonts w:ascii="Arial" w:eastAsia="Times New Roman" w:hAnsi="Arial" w:cs="Arial"/>
                <w:b/>
                <w:bCs/>
                <w:color w:val="000000"/>
                <w:sz w:val="18"/>
                <w:szCs w:val="18"/>
                <w:lang w:val="ca" w:eastAsia="es-ES"/>
              </w:rPr>
              <w:t>1</w:t>
            </w:r>
          </w:p>
        </w:tc>
        <w:tc>
          <w:tcPr>
            <w:tcW w:w="1307" w:type="dxa"/>
            <w:tcBorders>
              <w:top w:val="nil"/>
              <w:left w:val="nil"/>
              <w:bottom w:val="single" w:sz="4" w:space="0" w:color="9D2235"/>
              <w:right w:val="single" w:sz="4" w:space="0" w:color="9D2235"/>
            </w:tcBorders>
            <w:shd w:val="clear" w:color="auto" w:fill="auto"/>
            <w:noWrap/>
            <w:vAlign w:val="center"/>
            <w:hideMark/>
          </w:tcPr>
          <w:p w14:paraId="4822D1FB" w14:textId="77777777" w:rsidR="008635A6" w:rsidRPr="005B018A" w:rsidRDefault="008635A6" w:rsidP="008635A6">
            <w:pPr>
              <w:jc w:val="right"/>
              <w:rPr>
                <w:rFonts w:ascii="Arial" w:eastAsia="Times New Roman" w:hAnsi="Arial" w:cs="Arial"/>
                <w:b/>
                <w:bCs/>
                <w:color w:val="000000"/>
                <w:sz w:val="18"/>
                <w:szCs w:val="18"/>
                <w:lang w:val="es-ES" w:eastAsia="es-ES"/>
              </w:rPr>
            </w:pPr>
            <w:r w:rsidRPr="005B018A">
              <w:rPr>
                <w:rFonts w:ascii="Arial" w:eastAsia="Times New Roman" w:hAnsi="Arial" w:cs="Arial"/>
                <w:b/>
                <w:bCs/>
                <w:color w:val="000000"/>
                <w:sz w:val="18"/>
                <w:szCs w:val="18"/>
                <w:lang w:val="ca" w:eastAsia="es-ES"/>
              </w:rPr>
              <w:t>22.762,45</w:t>
            </w:r>
          </w:p>
        </w:tc>
      </w:tr>
      <w:tr w:rsidR="008635A6" w:rsidRPr="005B018A" w14:paraId="2D05E6F7" w14:textId="77777777" w:rsidTr="008635A6">
        <w:trPr>
          <w:trHeight w:val="330"/>
          <w:jc w:val="center"/>
        </w:trPr>
        <w:tc>
          <w:tcPr>
            <w:tcW w:w="4030" w:type="dxa"/>
            <w:gridSpan w:val="2"/>
            <w:tcBorders>
              <w:top w:val="single" w:sz="4" w:space="0" w:color="666666"/>
              <w:left w:val="single" w:sz="4" w:space="0" w:color="666666"/>
              <w:bottom w:val="single" w:sz="4" w:space="0" w:color="666666"/>
              <w:right w:val="nil"/>
            </w:tcBorders>
            <w:shd w:val="clear" w:color="9D2235" w:fill="9D2235"/>
            <w:noWrap/>
            <w:vAlign w:val="center"/>
            <w:hideMark/>
          </w:tcPr>
          <w:p w14:paraId="3E9963E8"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TOTAL</w:t>
            </w:r>
          </w:p>
        </w:tc>
        <w:tc>
          <w:tcPr>
            <w:tcW w:w="1520" w:type="dxa"/>
            <w:tcBorders>
              <w:top w:val="single" w:sz="4" w:space="0" w:color="666666"/>
              <w:left w:val="nil"/>
              <w:bottom w:val="single" w:sz="4" w:space="0" w:color="666666"/>
              <w:right w:val="nil"/>
            </w:tcBorders>
            <w:shd w:val="clear" w:color="9D2235" w:fill="9D2235"/>
            <w:noWrap/>
            <w:vAlign w:val="bottom"/>
            <w:hideMark/>
          </w:tcPr>
          <w:p w14:paraId="1D9A93ED"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59</w:t>
            </w:r>
          </w:p>
        </w:tc>
        <w:tc>
          <w:tcPr>
            <w:tcW w:w="1307" w:type="dxa"/>
            <w:tcBorders>
              <w:top w:val="single" w:sz="4" w:space="0" w:color="666666"/>
              <w:left w:val="nil"/>
              <w:bottom w:val="single" w:sz="4" w:space="0" w:color="666666"/>
              <w:right w:val="single" w:sz="4" w:space="0" w:color="666666"/>
            </w:tcBorders>
            <w:shd w:val="clear" w:color="9D2235" w:fill="9D2235"/>
            <w:noWrap/>
            <w:vAlign w:val="center"/>
            <w:hideMark/>
          </w:tcPr>
          <w:p w14:paraId="4E299A01" w14:textId="77777777" w:rsidR="008635A6" w:rsidRPr="005B018A" w:rsidRDefault="008635A6" w:rsidP="008635A6">
            <w:pPr>
              <w:jc w:val="right"/>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171.115,02</w:t>
            </w:r>
          </w:p>
        </w:tc>
      </w:tr>
    </w:tbl>
    <w:p w14:paraId="448E8835" w14:textId="4B4E596B" w:rsidR="00E215E8" w:rsidRDefault="00E215E8" w:rsidP="00831F73">
      <w:pPr>
        <w:jc w:val="both"/>
        <w:rPr>
          <w:rFonts w:ascii="Arial" w:eastAsia="Droid Sans Fallback" w:hAnsi="Arial" w:cs="Arial"/>
          <w:kern w:val="3"/>
          <w:sz w:val="21"/>
          <w:szCs w:val="21"/>
          <w:lang w:eastAsia="zh-CN" w:bidi="hi-IN"/>
        </w:rPr>
      </w:pPr>
    </w:p>
    <w:p w14:paraId="3423CC7A" w14:textId="33F7D5AD" w:rsidR="00A81D4F" w:rsidRPr="00A81D4F" w:rsidRDefault="00A81D4F" w:rsidP="00A81D4F">
      <w:pPr>
        <w:pStyle w:val="Descripcin"/>
        <w:keepNext/>
        <w:jc w:val="center"/>
        <w:rPr>
          <w:rFonts w:ascii="Arial" w:hAnsi="Arial" w:cs="Arial"/>
          <w:smallCaps w:val="0"/>
          <w:sz w:val="18"/>
          <w:szCs w:val="18"/>
        </w:rPr>
      </w:pPr>
      <w:bookmarkStart w:id="513" w:name="_Toc99110889"/>
      <w:r w:rsidRPr="00A81D4F">
        <w:rPr>
          <w:rFonts w:ascii="Arial" w:hAnsi="Arial" w:cs="Arial"/>
          <w:smallCaps w:val="0"/>
          <w:color w:val="9D2235" w:themeColor="accent1"/>
          <w:sz w:val="18"/>
          <w:szCs w:val="18"/>
        </w:rPr>
        <w:t xml:space="preserve">Taula </w:t>
      </w:r>
      <w:r w:rsidRPr="00A81D4F">
        <w:rPr>
          <w:rFonts w:ascii="Arial" w:hAnsi="Arial" w:cs="Arial"/>
          <w:smallCaps w:val="0"/>
          <w:color w:val="9D2235" w:themeColor="accent1"/>
          <w:sz w:val="18"/>
          <w:szCs w:val="18"/>
        </w:rPr>
        <w:fldChar w:fldCharType="begin" w:fldLock="1"/>
      </w:r>
      <w:r w:rsidRPr="00A81D4F">
        <w:rPr>
          <w:rFonts w:ascii="Arial" w:hAnsi="Arial" w:cs="Arial"/>
          <w:smallCaps w:val="0"/>
          <w:color w:val="9D2235" w:themeColor="accent1"/>
          <w:sz w:val="18"/>
          <w:szCs w:val="18"/>
        </w:rPr>
        <w:instrText xml:space="preserve"> SEQ Taula \* ARABIC </w:instrText>
      </w:r>
      <w:r w:rsidRPr="00A81D4F">
        <w:rPr>
          <w:rFonts w:ascii="Arial" w:hAnsi="Arial" w:cs="Arial"/>
          <w:smallCaps w:val="0"/>
          <w:color w:val="9D2235" w:themeColor="accent1"/>
          <w:sz w:val="18"/>
          <w:szCs w:val="18"/>
        </w:rPr>
        <w:fldChar w:fldCharType="separate"/>
      </w:r>
      <w:r w:rsidRPr="00A81D4F">
        <w:rPr>
          <w:rFonts w:ascii="Arial" w:hAnsi="Arial" w:cs="Arial"/>
          <w:smallCaps w:val="0"/>
          <w:noProof/>
          <w:color w:val="9D2235" w:themeColor="accent1"/>
          <w:sz w:val="18"/>
          <w:szCs w:val="18"/>
        </w:rPr>
        <w:t>44</w:t>
      </w:r>
      <w:r w:rsidRPr="00A81D4F">
        <w:rPr>
          <w:rFonts w:ascii="Arial" w:hAnsi="Arial" w:cs="Arial"/>
          <w:smallCaps w:val="0"/>
          <w:color w:val="9D2235" w:themeColor="accent1"/>
          <w:sz w:val="18"/>
          <w:szCs w:val="18"/>
        </w:rPr>
        <w:fldChar w:fldCharType="end"/>
      </w:r>
      <w:r w:rsidRPr="00A81D4F">
        <w:rPr>
          <w:rFonts w:ascii="Arial" w:hAnsi="Arial" w:cs="Arial"/>
          <w:smallCaps w:val="0"/>
          <w:color w:val="9D2235" w:themeColor="accent1"/>
          <w:sz w:val="18"/>
          <w:szCs w:val="18"/>
        </w:rPr>
        <w:t xml:space="preserve">. </w:t>
      </w:r>
      <w:r w:rsidRPr="00A81D4F">
        <w:rPr>
          <w:rFonts w:ascii="Arial" w:hAnsi="Arial" w:cs="Arial"/>
          <w:smallCaps w:val="0"/>
          <w:sz w:val="18"/>
          <w:szCs w:val="18"/>
        </w:rPr>
        <w:t>Resum de l'activitat contractual per procediment d'adjudicació</w:t>
      </w:r>
      <w:bookmarkEnd w:id="513"/>
    </w:p>
    <w:tbl>
      <w:tblPr>
        <w:tblW w:w="11164" w:type="dxa"/>
        <w:jc w:val="center"/>
        <w:tblCellMar>
          <w:left w:w="70" w:type="dxa"/>
          <w:right w:w="70" w:type="dxa"/>
        </w:tblCellMar>
        <w:tblLook w:val="04A0" w:firstRow="1" w:lastRow="0" w:firstColumn="1" w:lastColumn="0" w:noHBand="0" w:noVBand="1"/>
      </w:tblPr>
      <w:tblGrid>
        <w:gridCol w:w="3225"/>
        <w:gridCol w:w="1529"/>
        <w:gridCol w:w="1563"/>
        <w:gridCol w:w="1738"/>
        <w:gridCol w:w="1484"/>
        <w:gridCol w:w="1479"/>
        <w:gridCol w:w="146"/>
      </w:tblGrid>
      <w:tr w:rsidR="008635A6" w:rsidRPr="005B018A" w14:paraId="49D847E4" w14:textId="77777777" w:rsidTr="00A81D4F">
        <w:trPr>
          <w:gridAfter w:val="1"/>
          <w:trHeight w:val="510"/>
          <w:jc w:val="center"/>
        </w:trPr>
        <w:tc>
          <w:tcPr>
            <w:tcW w:w="0" w:type="auto"/>
            <w:gridSpan w:val="6"/>
            <w:tcBorders>
              <w:top w:val="single" w:sz="4" w:space="0" w:color="666666"/>
              <w:left w:val="single" w:sz="4" w:space="0" w:color="666666"/>
              <w:bottom w:val="single" w:sz="4" w:space="0" w:color="666666"/>
              <w:right w:val="single" w:sz="4" w:space="0" w:color="666666"/>
            </w:tcBorders>
            <w:shd w:val="clear" w:color="9D2235" w:fill="9D2235"/>
            <w:vAlign w:val="center"/>
            <w:hideMark/>
          </w:tcPr>
          <w:p w14:paraId="354F9A1E"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PERCENTATGE DE VOLUM PRESSUPOSTARI DE CONTRACTES A TRAVÉS DELS PROCEDIMENTS D' ADJUDICACIÓ</w:t>
            </w:r>
          </w:p>
        </w:tc>
      </w:tr>
      <w:tr w:rsidR="008635A6" w:rsidRPr="005B018A" w14:paraId="15640C6D" w14:textId="77777777" w:rsidTr="00A81D4F">
        <w:trPr>
          <w:gridAfter w:val="1"/>
          <w:trHeight w:val="330"/>
          <w:jc w:val="center"/>
        </w:trPr>
        <w:tc>
          <w:tcPr>
            <w:tcW w:w="0" w:type="auto"/>
            <w:gridSpan w:val="6"/>
            <w:tcBorders>
              <w:top w:val="single" w:sz="4" w:space="0" w:color="666666"/>
              <w:left w:val="single" w:sz="4" w:space="0" w:color="666666"/>
              <w:bottom w:val="single" w:sz="4" w:space="0" w:color="666666"/>
              <w:right w:val="single" w:sz="4" w:space="0" w:color="666666"/>
            </w:tcBorders>
            <w:shd w:val="clear" w:color="9D2235" w:fill="9D2235"/>
            <w:noWrap/>
            <w:vAlign w:val="bottom"/>
            <w:hideMark/>
          </w:tcPr>
          <w:p w14:paraId="094ACB40"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es-ES" w:eastAsia="es-ES"/>
              </w:rPr>
              <w:t> </w:t>
            </w:r>
          </w:p>
        </w:tc>
      </w:tr>
      <w:tr w:rsidR="008635A6" w:rsidRPr="005B018A" w14:paraId="1F0C20F9" w14:textId="77777777" w:rsidTr="00A81D4F">
        <w:trPr>
          <w:gridAfter w:val="1"/>
          <w:trHeight w:val="330"/>
          <w:jc w:val="center"/>
        </w:trPr>
        <w:tc>
          <w:tcPr>
            <w:tcW w:w="3225" w:type="dxa"/>
            <w:vMerge w:val="restart"/>
            <w:tcBorders>
              <w:top w:val="nil"/>
              <w:left w:val="single" w:sz="4" w:space="0" w:color="666666"/>
              <w:bottom w:val="single" w:sz="4" w:space="0" w:color="666666"/>
              <w:right w:val="nil"/>
            </w:tcBorders>
            <w:shd w:val="clear" w:color="9D2235" w:fill="9D2235"/>
            <w:vAlign w:val="center"/>
            <w:hideMark/>
          </w:tcPr>
          <w:p w14:paraId="3A3D7196"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PROCEDIMENTS</w:t>
            </w:r>
          </w:p>
        </w:tc>
        <w:tc>
          <w:tcPr>
            <w:tcW w:w="1529" w:type="dxa"/>
            <w:vMerge w:val="restart"/>
            <w:tcBorders>
              <w:top w:val="nil"/>
              <w:left w:val="single" w:sz="4" w:space="0" w:color="666666"/>
              <w:bottom w:val="single" w:sz="4" w:space="0" w:color="666666"/>
              <w:right w:val="nil"/>
            </w:tcBorders>
            <w:shd w:val="clear" w:color="9D2235" w:fill="9D2235"/>
            <w:vAlign w:val="center"/>
            <w:hideMark/>
          </w:tcPr>
          <w:p w14:paraId="623B65FA"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NÚM. DE CONTRACTES</w:t>
            </w:r>
          </w:p>
        </w:tc>
        <w:tc>
          <w:tcPr>
            <w:tcW w:w="0" w:type="auto"/>
            <w:vMerge w:val="restart"/>
            <w:tcBorders>
              <w:top w:val="nil"/>
              <w:left w:val="nil"/>
              <w:bottom w:val="single" w:sz="4" w:space="0" w:color="666666"/>
              <w:right w:val="nil"/>
            </w:tcBorders>
            <w:shd w:val="clear" w:color="9D2235" w:fill="9D2235"/>
            <w:vAlign w:val="center"/>
            <w:hideMark/>
          </w:tcPr>
          <w:p w14:paraId="1BC40389"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PRESSUPOST LICITACIÓ sense IVA (2)</w:t>
            </w:r>
          </w:p>
        </w:tc>
        <w:tc>
          <w:tcPr>
            <w:tcW w:w="0" w:type="auto"/>
            <w:vMerge w:val="restart"/>
            <w:tcBorders>
              <w:top w:val="nil"/>
              <w:left w:val="nil"/>
              <w:bottom w:val="single" w:sz="4" w:space="0" w:color="666666"/>
              <w:right w:val="nil"/>
            </w:tcBorders>
            <w:shd w:val="clear" w:color="9D2235" w:fill="9D2235"/>
            <w:vAlign w:val="center"/>
            <w:hideMark/>
          </w:tcPr>
          <w:p w14:paraId="49C85ED5"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IMPORT D'ADJUDICACIÓ sense IVA (2)</w:t>
            </w:r>
          </w:p>
        </w:tc>
        <w:tc>
          <w:tcPr>
            <w:tcW w:w="0" w:type="auto"/>
            <w:gridSpan w:val="2"/>
            <w:tcBorders>
              <w:top w:val="single" w:sz="4" w:space="0" w:color="666666"/>
              <w:left w:val="nil"/>
              <w:bottom w:val="single" w:sz="4" w:space="0" w:color="666666"/>
              <w:right w:val="single" w:sz="4" w:space="0" w:color="666666"/>
            </w:tcBorders>
            <w:shd w:val="clear" w:color="9D2235" w:fill="9D2235"/>
            <w:vAlign w:val="center"/>
            <w:hideMark/>
          </w:tcPr>
          <w:p w14:paraId="26EAF6D5"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PERCENTATGE SOBRE</w:t>
            </w:r>
          </w:p>
        </w:tc>
      </w:tr>
      <w:tr w:rsidR="008635A6" w:rsidRPr="005B018A" w14:paraId="6CF7154E" w14:textId="77777777" w:rsidTr="00A81D4F">
        <w:trPr>
          <w:gridAfter w:val="1"/>
          <w:trHeight w:val="450"/>
          <w:jc w:val="center"/>
        </w:trPr>
        <w:tc>
          <w:tcPr>
            <w:tcW w:w="3225" w:type="dxa"/>
            <w:vMerge/>
            <w:tcBorders>
              <w:top w:val="nil"/>
              <w:left w:val="single" w:sz="4" w:space="0" w:color="666666"/>
              <w:bottom w:val="single" w:sz="4" w:space="0" w:color="666666"/>
              <w:right w:val="nil"/>
            </w:tcBorders>
            <w:vAlign w:val="center"/>
            <w:hideMark/>
          </w:tcPr>
          <w:p w14:paraId="2F59B0E6" w14:textId="77777777" w:rsidR="008635A6" w:rsidRPr="005B018A" w:rsidRDefault="008635A6" w:rsidP="008635A6">
            <w:pPr>
              <w:rPr>
                <w:rFonts w:ascii="Arial" w:eastAsia="Times New Roman" w:hAnsi="Arial" w:cs="Arial"/>
                <w:b/>
                <w:bCs/>
                <w:color w:val="FFFFFF"/>
                <w:sz w:val="18"/>
                <w:szCs w:val="18"/>
                <w:lang w:val="es-ES" w:eastAsia="es-ES"/>
              </w:rPr>
            </w:pPr>
          </w:p>
        </w:tc>
        <w:tc>
          <w:tcPr>
            <w:tcW w:w="1529" w:type="dxa"/>
            <w:vMerge/>
            <w:tcBorders>
              <w:top w:val="nil"/>
              <w:left w:val="single" w:sz="4" w:space="0" w:color="666666"/>
              <w:bottom w:val="single" w:sz="4" w:space="0" w:color="666666"/>
              <w:right w:val="nil"/>
            </w:tcBorders>
            <w:vAlign w:val="center"/>
            <w:hideMark/>
          </w:tcPr>
          <w:p w14:paraId="1EE42320" w14:textId="77777777" w:rsidR="008635A6" w:rsidRPr="005B018A" w:rsidRDefault="008635A6" w:rsidP="008635A6">
            <w:pPr>
              <w:rPr>
                <w:rFonts w:ascii="Arial" w:eastAsia="Times New Roman" w:hAnsi="Arial" w:cs="Arial"/>
                <w:b/>
                <w:bCs/>
                <w:color w:val="FFFFFF"/>
                <w:sz w:val="18"/>
                <w:szCs w:val="18"/>
                <w:lang w:val="es-ES" w:eastAsia="es-ES"/>
              </w:rPr>
            </w:pPr>
          </w:p>
        </w:tc>
        <w:tc>
          <w:tcPr>
            <w:tcW w:w="0" w:type="auto"/>
            <w:vMerge/>
            <w:tcBorders>
              <w:top w:val="nil"/>
              <w:left w:val="nil"/>
              <w:bottom w:val="single" w:sz="4" w:space="0" w:color="666666"/>
              <w:right w:val="nil"/>
            </w:tcBorders>
            <w:vAlign w:val="center"/>
            <w:hideMark/>
          </w:tcPr>
          <w:p w14:paraId="3124459D" w14:textId="77777777" w:rsidR="008635A6" w:rsidRPr="005B018A" w:rsidRDefault="008635A6" w:rsidP="008635A6">
            <w:pPr>
              <w:rPr>
                <w:rFonts w:ascii="Arial" w:eastAsia="Times New Roman" w:hAnsi="Arial" w:cs="Arial"/>
                <w:b/>
                <w:bCs/>
                <w:color w:val="FFFFFF"/>
                <w:sz w:val="18"/>
                <w:szCs w:val="18"/>
                <w:lang w:val="es-ES" w:eastAsia="es-ES"/>
              </w:rPr>
            </w:pPr>
          </w:p>
        </w:tc>
        <w:tc>
          <w:tcPr>
            <w:tcW w:w="0" w:type="auto"/>
            <w:vMerge/>
            <w:tcBorders>
              <w:top w:val="nil"/>
              <w:left w:val="nil"/>
              <w:bottom w:val="single" w:sz="4" w:space="0" w:color="666666"/>
              <w:right w:val="nil"/>
            </w:tcBorders>
            <w:vAlign w:val="center"/>
            <w:hideMark/>
          </w:tcPr>
          <w:p w14:paraId="578F5A58" w14:textId="77777777" w:rsidR="008635A6" w:rsidRPr="005B018A" w:rsidRDefault="008635A6" w:rsidP="008635A6">
            <w:pPr>
              <w:rPr>
                <w:rFonts w:ascii="Arial" w:eastAsia="Times New Roman" w:hAnsi="Arial" w:cs="Arial"/>
                <w:b/>
                <w:bCs/>
                <w:color w:val="FFFFFF"/>
                <w:sz w:val="18"/>
                <w:szCs w:val="18"/>
                <w:lang w:val="es-ES" w:eastAsia="es-ES"/>
              </w:rPr>
            </w:pPr>
          </w:p>
        </w:tc>
        <w:tc>
          <w:tcPr>
            <w:tcW w:w="0" w:type="auto"/>
            <w:vMerge w:val="restart"/>
            <w:tcBorders>
              <w:top w:val="nil"/>
              <w:left w:val="nil"/>
              <w:bottom w:val="single" w:sz="4" w:space="0" w:color="666666"/>
              <w:right w:val="nil"/>
            </w:tcBorders>
            <w:shd w:val="clear" w:color="9D2235" w:fill="9D2235"/>
            <w:vAlign w:val="center"/>
            <w:hideMark/>
          </w:tcPr>
          <w:p w14:paraId="3189D8A8"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PRESSUPOST DE LICITACIÓ</w:t>
            </w:r>
          </w:p>
        </w:tc>
        <w:tc>
          <w:tcPr>
            <w:tcW w:w="0" w:type="auto"/>
            <w:vMerge w:val="restart"/>
            <w:tcBorders>
              <w:top w:val="nil"/>
              <w:left w:val="nil"/>
              <w:bottom w:val="single" w:sz="4" w:space="0" w:color="666666"/>
              <w:right w:val="single" w:sz="4" w:space="0" w:color="666666"/>
            </w:tcBorders>
            <w:shd w:val="clear" w:color="9D2235" w:fill="9D2235"/>
            <w:vAlign w:val="center"/>
            <w:hideMark/>
          </w:tcPr>
          <w:p w14:paraId="10497415"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IMPORT D' ADJUDICACIÓ</w:t>
            </w:r>
          </w:p>
        </w:tc>
      </w:tr>
      <w:tr w:rsidR="008635A6" w:rsidRPr="005B018A" w14:paraId="482F255A" w14:textId="77777777" w:rsidTr="00A81D4F">
        <w:trPr>
          <w:trHeight w:val="330"/>
          <w:jc w:val="center"/>
        </w:trPr>
        <w:tc>
          <w:tcPr>
            <w:tcW w:w="3225" w:type="dxa"/>
            <w:vMerge/>
            <w:tcBorders>
              <w:top w:val="nil"/>
              <w:left w:val="single" w:sz="4" w:space="0" w:color="666666"/>
              <w:bottom w:val="single" w:sz="4" w:space="0" w:color="666666"/>
              <w:right w:val="nil"/>
            </w:tcBorders>
            <w:vAlign w:val="center"/>
            <w:hideMark/>
          </w:tcPr>
          <w:p w14:paraId="5DF93CB5" w14:textId="77777777" w:rsidR="008635A6" w:rsidRPr="005B018A" w:rsidRDefault="008635A6" w:rsidP="008635A6">
            <w:pPr>
              <w:rPr>
                <w:rFonts w:ascii="Arial" w:eastAsia="Times New Roman" w:hAnsi="Arial" w:cs="Arial"/>
                <w:b/>
                <w:bCs/>
                <w:color w:val="FFFFFF"/>
                <w:sz w:val="18"/>
                <w:szCs w:val="18"/>
                <w:lang w:val="es-ES" w:eastAsia="es-ES"/>
              </w:rPr>
            </w:pPr>
          </w:p>
        </w:tc>
        <w:tc>
          <w:tcPr>
            <w:tcW w:w="1529" w:type="dxa"/>
            <w:vMerge/>
            <w:tcBorders>
              <w:top w:val="nil"/>
              <w:left w:val="single" w:sz="4" w:space="0" w:color="666666"/>
              <w:bottom w:val="single" w:sz="4" w:space="0" w:color="666666"/>
              <w:right w:val="nil"/>
            </w:tcBorders>
            <w:vAlign w:val="center"/>
            <w:hideMark/>
          </w:tcPr>
          <w:p w14:paraId="3D9AD0D5" w14:textId="77777777" w:rsidR="008635A6" w:rsidRPr="005B018A" w:rsidRDefault="008635A6" w:rsidP="008635A6">
            <w:pPr>
              <w:rPr>
                <w:rFonts w:ascii="Arial" w:eastAsia="Times New Roman" w:hAnsi="Arial" w:cs="Arial"/>
                <w:b/>
                <w:bCs/>
                <w:color w:val="FFFFFF"/>
                <w:sz w:val="18"/>
                <w:szCs w:val="18"/>
                <w:lang w:val="es-ES" w:eastAsia="es-ES"/>
              </w:rPr>
            </w:pPr>
          </w:p>
        </w:tc>
        <w:tc>
          <w:tcPr>
            <w:tcW w:w="0" w:type="auto"/>
            <w:vMerge/>
            <w:tcBorders>
              <w:top w:val="nil"/>
              <w:left w:val="nil"/>
              <w:bottom w:val="single" w:sz="4" w:space="0" w:color="666666"/>
              <w:right w:val="nil"/>
            </w:tcBorders>
            <w:vAlign w:val="center"/>
            <w:hideMark/>
          </w:tcPr>
          <w:p w14:paraId="774A567D" w14:textId="77777777" w:rsidR="008635A6" w:rsidRPr="005B018A" w:rsidRDefault="008635A6" w:rsidP="008635A6">
            <w:pPr>
              <w:rPr>
                <w:rFonts w:ascii="Arial" w:eastAsia="Times New Roman" w:hAnsi="Arial" w:cs="Arial"/>
                <w:b/>
                <w:bCs/>
                <w:color w:val="FFFFFF"/>
                <w:sz w:val="18"/>
                <w:szCs w:val="18"/>
                <w:lang w:val="es-ES" w:eastAsia="es-ES"/>
              </w:rPr>
            </w:pPr>
          </w:p>
        </w:tc>
        <w:tc>
          <w:tcPr>
            <w:tcW w:w="0" w:type="auto"/>
            <w:vMerge/>
            <w:tcBorders>
              <w:top w:val="nil"/>
              <w:left w:val="nil"/>
              <w:bottom w:val="single" w:sz="4" w:space="0" w:color="666666"/>
              <w:right w:val="nil"/>
            </w:tcBorders>
            <w:vAlign w:val="center"/>
            <w:hideMark/>
          </w:tcPr>
          <w:p w14:paraId="79E4F4D0" w14:textId="77777777" w:rsidR="008635A6" w:rsidRPr="005B018A" w:rsidRDefault="008635A6" w:rsidP="008635A6">
            <w:pPr>
              <w:rPr>
                <w:rFonts w:ascii="Arial" w:eastAsia="Times New Roman" w:hAnsi="Arial" w:cs="Arial"/>
                <w:b/>
                <w:bCs/>
                <w:color w:val="FFFFFF"/>
                <w:sz w:val="18"/>
                <w:szCs w:val="18"/>
                <w:lang w:val="es-ES" w:eastAsia="es-ES"/>
              </w:rPr>
            </w:pPr>
          </w:p>
        </w:tc>
        <w:tc>
          <w:tcPr>
            <w:tcW w:w="0" w:type="auto"/>
            <w:vMerge/>
            <w:tcBorders>
              <w:top w:val="nil"/>
              <w:left w:val="nil"/>
              <w:bottom w:val="single" w:sz="4" w:space="0" w:color="666666"/>
              <w:right w:val="nil"/>
            </w:tcBorders>
            <w:vAlign w:val="center"/>
            <w:hideMark/>
          </w:tcPr>
          <w:p w14:paraId="5F90D60F" w14:textId="77777777" w:rsidR="008635A6" w:rsidRPr="005B018A" w:rsidRDefault="008635A6" w:rsidP="008635A6">
            <w:pPr>
              <w:rPr>
                <w:rFonts w:ascii="Arial" w:eastAsia="Times New Roman" w:hAnsi="Arial" w:cs="Arial"/>
                <w:b/>
                <w:bCs/>
                <w:color w:val="FFFFFF"/>
                <w:sz w:val="18"/>
                <w:szCs w:val="18"/>
                <w:lang w:val="es-ES" w:eastAsia="es-ES"/>
              </w:rPr>
            </w:pPr>
          </w:p>
        </w:tc>
        <w:tc>
          <w:tcPr>
            <w:tcW w:w="0" w:type="auto"/>
            <w:vMerge/>
            <w:tcBorders>
              <w:top w:val="nil"/>
              <w:left w:val="nil"/>
              <w:bottom w:val="single" w:sz="4" w:space="0" w:color="666666"/>
              <w:right w:val="single" w:sz="4" w:space="0" w:color="666666"/>
            </w:tcBorders>
            <w:vAlign w:val="center"/>
            <w:hideMark/>
          </w:tcPr>
          <w:p w14:paraId="5270D916" w14:textId="77777777" w:rsidR="008635A6" w:rsidRPr="005B018A" w:rsidRDefault="008635A6" w:rsidP="008635A6">
            <w:pPr>
              <w:rPr>
                <w:rFonts w:ascii="Arial" w:eastAsia="Times New Roman" w:hAnsi="Arial" w:cs="Arial"/>
                <w:b/>
                <w:bCs/>
                <w:color w:val="FFFFFF"/>
                <w:sz w:val="18"/>
                <w:szCs w:val="18"/>
                <w:lang w:val="es-ES" w:eastAsia="es-ES"/>
              </w:rPr>
            </w:pPr>
          </w:p>
        </w:tc>
        <w:tc>
          <w:tcPr>
            <w:tcW w:w="0" w:type="auto"/>
            <w:tcBorders>
              <w:top w:val="nil"/>
              <w:left w:val="nil"/>
              <w:bottom w:val="nil"/>
              <w:right w:val="nil"/>
            </w:tcBorders>
            <w:shd w:val="clear" w:color="auto" w:fill="auto"/>
            <w:noWrap/>
            <w:vAlign w:val="bottom"/>
            <w:hideMark/>
          </w:tcPr>
          <w:p w14:paraId="4E450073" w14:textId="77777777" w:rsidR="008635A6" w:rsidRPr="005B018A" w:rsidRDefault="008635A6" w:rsidP="008635A6">
            <w:pPr>
              <w:jc w:val="center"/>
              <w:rPr>
                <w:rFonts w:ascii="Arial" w:eastAsia="Times New Roman" w:hAnsi="Arial" w:cs="Arial"/>
                <w:b/>
                <w:bCs/>
                <w:color w:val="FFFFFF"/>
                <w:sz w:val="18"/>
                <w:szCs w:val="18"/>
                <w:lang w:val="es-ES" w:eastAsia="es-ES"/>
              </w:rPr>
            </w:pPr>
          </w:p>
        </w:tc>
      </w:tr>
      <w:tr w:rsidR="008635A6" w:rsidRPr="005B018A" w14:paraId="409AED18" w14:textId="77777777" w:rsidTr="00A81D4F">
        <w:trPr>
          <w:trHeight w:val="330"/>
          <w:jc w:val="center"/>
        </w:trPr>
        <w:tc>
          <w:tcPr>
            <w:tcW w:w="3225" w:type="dxa"/>
            <w:tcBorders>
              <w:top w:val="single" w:sz="4" w:space="0" w:color="9D2235"/>
              <w:left w:val="single" w:sz="4" w:space="0" w:color="9D2235"/>
              <w:bottom w:val="single" w:sz="4" w:space="0" w:color="9D2235"/>
              <w:right w:val="nil"/>
            </w:tcBorders>
            <w:shd w:val="clear" w:color="FFFFFF" w:fill="FFFFFF"/>
            <w:noWrap/>
            <w:vAlign w:val="bottom"/>
            <w:hideMark/>
          </w:tcPr>
          <w:p w14:paraId="53B8C4E9"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MENOR</w:t>
            </w:r>
          </w:p>
        </w:tc>
        <w:tc>
          <w:tcPr>
            <w:tcW w:w="1529" w:type="dxa"/>
            <w:tcBorders>
              <w:top w:val="single" w:sz="4" w:space="0" w:color="9D2235"/>
              <w:left w:val="nil"/>
              <w:bottom w:val="single" w:sz="4" w:space="0" w:color="9D2235"/>
              <w:right w:val="nil"/>
            </w:tcBorders>
            <w:shd w:val="clear" w:color="FFFFFF" w:fill="FFFFFF"/>
            <w:noWrap/>
            <w:vAlign w:val="bottom"/>
            <w:hideMark/>
          </w:tcPr>
          <w:p w14:paraId="726708F7"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51</w:t>
            </w:r>
          </w:p>
        </w:tc>
        <w:tc>
          <w:tcPr>
            <w:tcW w:w="0" w:type="auto"/>
            <w:tcBorders>
              <w:top w:val="single" w:sz="4" w:space="0" w:color="9D2235"/>
              <w:left w:val="nil"/>
              <w:bottom w:val="single" w:sz="4" w:space="0" w:color="9D2235"/>
              <w:right w:val="nil"/>
            </w:tcBorders>
            <w:shd w:val="clear" w:color="FFFFFF" w:fill="FFFFFF"/>
            <w:noWrap/>
            <w:vAlign w:val="bottom"/>
            <w:hideMark/>
          </w:tcPr>
          <w:p w14:paraId="75CFE244"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102.228,23</w:t>
            </w:r>
          </w:p>
        </w:tc>
        <w:tc>
          <w:tcPr>
            <w:tcW w:w="0" w:type="auto"/>
            <w:tcBorders>
              <w:top w:val="single" w:sz="4" w:space="0" w:color="9D2235"/>
              <w:left w:val="nil"/>
              <w:bottom w:val="single" w:sz="4" w:space="0" w:color="9D2235"/>
              <w:right w:val="nil"/>
            </w:tcBorders>
            <w:shd w:val="clear" w:color="FFFFFF" w:fill="FFFFFF"/>
            <w:noWrap/>
            <w:vAlign w:val="bottom"/>
            <w:hideMark/>
          </w:tcPr>
          <w:p w14:paraId="43283254"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99.665,11</w:t>
            </w:r>
          </w:p>
        </w:tc>
        <w:tc>
          <w:tcPr>
            <w:tcW w:w="0" w:type="auto"/>
            <w:tcBorders>
              <w:top w:val="single" w:sz="4" w:space="0" w:color="9D2235"/>
              <w:left w:val="nil"/>
              <w:bottom w:val="single" w:sz="4" w:space="0" w:color="9D2235"/>
              <w:right w:val="nil"/>
            </w:tcBorders>
            <w:shd w:val="clear" w:color="FFFFFF" w:fill="FFFFFF"/>
            <w:noWrap/>
            <w:vAlign w:val="bottom"/>
            <w:hideMark/>
          </w:tcPr>
          <w:p w14:paraId="781FA272"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52,92 %</w:t>
            </w:r>
          </w:p>
        </w:tc>
        <w:tc>
          <w:tcPr>
            <w:tcW w:w="0" w:type="auto"/>
            <w:tcBorders>
              <w:top w:val="single" w:sz="4" w:space="0" w:color="9D2235"/>
              <w:left w:val="nil"/>
              <w:bottom w:val="single" w:sz="4" w:space="0" w:color="9D2235"/>
              <w:right w:val="single" w:sz="4" w:space="0" w:color="9D2235"/>
            </w:tcBorders>
            <w:shd w:val="clear" w:color="FFFFFF" w:fill="FFFFFF"/>
            <w:noWrap/>
            <w:vAlign w:val="bottom"/>
            <w:hideMark/>
          </w:tcPr>
          <w:p w14:paraId="70A7D8C3"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58,24 %</w:t>
            </w:r>
          </w:p>
        </w:tc>
        <w:tc>
          <w:tcPr>
            <w:tcW w:w="0" w:type="auto"/>
            <w:vAlign w:val="center"/>
            <w:hideMark/>
          </w:tcPr>
          <w:p w14:paraId="723399A9" w14:textId="77777777" w:rsidR="008635A6" w:rsidRPr="005B018A" w:rsidRDefault="008635A6" w:rsidP="008635A6">
            <w:pPr>
              <w:rPr>
                <w:rFonts w:ascii="Arial" w:eastAsia="Times New Roman" w:hAnsi="Arial" w:cs="Arial"/>
                <w:sz w:val="18"/>
                <w:szCs w:val="18"/>
                <w:lang w:val="es-ES" w:eastAsia="es-ES"/>
              </w:rPr>
            </w:pPr>
          </w:p>
        </w:tc>
      </w:tr>
      <w:tr w:rsidR="008635A6" w:rsidRPr="005B018A" w14:paraId="17051755" w14:textId="77777777" w:rsidTr="00A81D4F">
        <w:trPr>
          <w:trHeight w:val="330"/>
          <w:jc w:val="center"/>
        </w:trPr>
        <w:tc>
          <w:tcPr>
            <w:tcW w:w="3225" w:type="dxa"/>
            <w:tcBorders>
              <w:top w:val="nil"/>
              <w:left w:val="single" w:sz="4" w:space="0" w:color="9D2235"/>
              <w:bottom w:val="single" w:sz="4" w:space="0" w:color="9D2235"/>
              <w:right w:val="nil"/>
            </w:tcBorders>
            <w:shd w:val="clear" w:color="FFFFFF" w:fill="FFFFFF"/>
            <w:noWrap/>
            <w:vAlign w:val="bottom"/>
            <w:hideMark/>
          </w:tcPr>
          <w:p w14:paraId="12867F93"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OBERT</w:t>
            </w:r>
          </w:p>
        </w:tc>
        <w:tc>
          <w:tcPr>
            <w:tcW w:w="1529" w:type="dxa"/>
            <w:tcBorders>
              <w:top w:val="nil"/>
              <w:left w:val="nil"/>
              <w:bottom w:val="single" w:sz="4" w:space="0" w:color="9D2235"/>
              <w:right w:val="nil"/>
            </w:tcBorders>
            <w:shd w:val="clear" w:color="FFFFFF" w:fill="FFFFFF"/>
            <w:noWrap/>
            <w:vAlign w:val="bottom"/>
            <w:hideMark/>
          </w:tcPr>
          <w:p w14:paraId="4CD8D350"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6</w:t>
            </w:r>
          </w:p>
        </w:tc>
        <w:tc>
          <w:tcPr>
            <w:tcW w:w="0" w:type="auto"/>
            <w:tcBorders>
              <w:top w:val="nil"/>
              <w:left w:val="nil"/>
              <w:bottom w:val="single" w:sz="4" w:space="0" w:color="9D2235"/>
              <w:right w:val="nil"/>
            </w:tcBorders>
            <w:shd w:val="clear" w:color="FFFFFF" w:fill="FFFFFF"/>
            <w:noWrap/>
            <w:vAlign w:val="bottom"/>
            <w:hideMark/>
          </w:tcPr>
          <w:p w14:paraId="352F84A5"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74.109,32</w:t>
            </w:r>
          </w:p>
        </w:tc>
        <w:tc>
          <w:tcPr>
            <w:tcW w:w="0" w:type="auto"/>
            <w:tcBorders>
              <w:top w:val="nil"/>
              <w:left w:val="nil"/>
              <w:bottom w:val="single" w:sz="4" w:space="0" w:color="9D2235"/>
              <w:right w:val="nil"/>
            </w:tcBorders>
            <w:shd w:val="clear" w:color="FFFFFF" w:fill="FFFFFF"/>
            <w:noWrap/>
            <w:vAlign w:val="bottom"/>
            <w:hideMark/>
          </w:tcPr>
          <w:p w14:paraId="7B008CF2"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56.699,77</w:t>
            </w:r>
          </w:p>
        </w:tc>
        <w:tc>
          <w:tcPr>
            <w:tcW w:w="0" w:type="auto"/>
            <w:tcBorders>
              <w:top w:val="nil"/>
              <w:left w:val="nil"/>
              <w:bottom w:val="single" w:sz="4" w:space="0" w:color="9D2235"/>
              <w:right w:val="nil"/>
            </w:tcBorders>
            <w:shd w:val="clear" w:color="FFFFFF" w:fill="FFFFFF"/>
            <w:noWrap/>
            <w:vAlign w:val="bottom"/>
            <w:hideMark/>
          </w:tcPr>
          <w:p w14:paraId="5F2C2C67"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38,36 %</w:t>
            </w:r>
          </w:p>
        </w:tc>
        <w:tc>
          <w:tcPr>
            <w:tcW w:w="0" w:type="auto"/>
            <w:tcBorders>
              <w:top w:val="nil"/>
              <w:left w:val="nil"/>
              <w:bottom w:val="single" w:sz="4" w:space="0" w:color="9D2235"/>
              <w:right w:val="single" w:sz="4" w:space="0" w:color="9D2235"/>
            </w:tcBorders>
            <w:shd w:val="clear" w:color="FFFFFF" w:fill="FFFFFF"/>
            <w:noWrap/>
            <w:vAlign w:val="bottom"/>
            <w:hideMark/>
          </w:tcPr>
          <w:p w14:paraId="3CB05B70"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33,14 %</w:t>
            </w:r>
          </w:p>
        </w:tc>
        <w:tc>
          <w:tcPr>
            <w:tcW w:w="0" w:type="auto"/>
            <w:vAlign w:val="center"/>
            <w:hideMark/>
          </w:tcPr>
          <w:p w14:paraId="54B0A05E" w14:textId="77777777" w:rsidR="008635A6" w:rsidRPr="005B018A" w:rsidRDefault="008635A6" w:rsidP="008635A6">
            <w:pPr>
              <w:rPr>
                <w:rFonts w:ascii="Arial" w:eastAsia="Times New Roman" w:hAnsi="Arial" w:cs="Arial"/>
                <w:sz w:val="18"/>
                <w:szCs w:val="18"/>
                <w:lang w:val="es-ES" w:eastAsia="es-ES"/>
              </w:rPr>
            </w:pPr>
          </w:p>
        </w:tc>
      </w:tr>
      <w:tr w:rsidR="008635A6" w:rsidRPr="005B018A" w14:paraId="333C42BA" w14:textId="77777777" w:rsidTr="00A81D4F">
        <w:trPr>
          <w:trHeight w:val="330"/>
          <w:jc w:val="center"/>
        </w:trPr>
        <w:tc>
          <w:tcPr>
            <w:tcW w:w="3225" w:type="dxa"/>
            <w:tcBorders>
              <w:top w:val="nil"/>
              <w:left w:val="single" w:sz="4" w:space="0" w:color="9D2235"/>
              <w:bottom w:val="single" w:sz="4" w:space="0" w:color="9D2235"/>
              <w:right w:val="nil"/>
            </w:tcBorders>
            <w:shd w:val="clear" w:color="FFFFFF" w:fill="FFFFFF"/>
            <w:noWrap/>
            <w:vAlign w:val="bottom"/>
            <w:hideMark/>
          </w:tcPr>
          <w:p w14:paraId="395CE1E9"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OBERT/MODIFICACIONS</w:t>
            </w:r>
          </w:p>
        </w:tc>
        <w:tc>
          <w:tcPr>
            <w:tcW w:w="1529" w:type="dxa"/>
            <w:tcBorders>
              <w:top w:val="nil"/>
              <w:left w:val="nil"/>
              <w:bottom w:val="single" w:sz="4" w:space="0" w:color="9D2235"/>
              <w:right w:val="nil"/>
            </w:tcBorders>
            <w:shd w:val="clear" w:color="FFFFFF" w:fill="FFFFFF"/>
            <w:noWrap/>
            <w:vAlign w:val="bottom"/>
            <w:hideMark/>
          </w:tcPr>
          <w:p w14:paraId="3B536CCE"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w:t>
            </w:r>
          </w:p>
        </w:tc>
        <w:tc>
          <w:tcPr>
            <w:tcW w:w="0" w:type="auto"/>
            <w:tcBorders>
              <w:top w:val="nil"/>
              <w:left w:val="nil"/>
              <w:bottom w:val="single" w:sz="4" w:space="0" w:color="9D2235"/>
              <w:right w:val="nil"/>
            </w:tcBorders>
            <w:shd w:val="clear" w:color="FFFFFF" w:fill="FFFFFF"/>
            <w:noWrap/>
            <w:vAlign w:val="bottom"/>
            <w:hideMark/>
          </w:tcPr>
          <w:p w14:paraId="0A81E76B"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1.796,77</w:t>
            </w:r>
          </w:p>
        </w:tc>
        <w:tc>
          <w:tcPr>
            <w:tcW w:w="0" w:type="auto"/>
            <w:tcBorders>
              <w:top w:val="nil"/>
              <w:left w:val="nil"/>
              <w:bottom w:val="single" w:sz="4" w:space="0" w:color="9D2235"/>
              <w:right w:val="nil"/>
            </w:tcBorders>
            <w:shd w:val="clear" w:color="FFFFFF" w:fill="FFFFFF"/>
            <w:noWrap/>
            <w:vAlign w:val="bottom"/>
            <w:hideMark/>
          </w:tcPr>
          <w:p w14:paraId="34979969"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1.796,77</w:t>
            </w:r>
          </w:p>
        </w:tc>
        <w:tc>
          <w:tcPr>
            <w:tcW w:w="0" w:type="auto"/>
            <w:tcBorders>
              <w:top w:val="nil"/>
              <w:left w:val="nil"/>
              <w:bottom w:val="single" w:sz="4" w:space="0" w:color="9D2235"/>
              <w:right w:val="nil"/>
            </w:tcBorders>
            <w:shd w:val="clear" w:color="FFFFFF" w:fill="FFFFFF"/>
            <w:noWrap/>
            <w:vAlign w:val="bottom"/>
            <w:hideMark/>
          </w:tcPr>
          <w:p w14:paraId="36E52B0F"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0,93 %</w:t>
            </w:r>
          </w:p>
        </w:tc>
        <w:tc>
          <w:tcPr>
            <w:tcW w:w="0" w:type="auto"/>
            <w:tcBorders>
              <w:top w:val="nil"/>
              <w:left w:val="nil"/>
              <w:bottom w:val="single" w:sz="4" w:space="0" w:color="9D2235"/>
              <w:right w:val="single" w:sz="4" w:space="0" w:color="9D2235"/>
            </w:tcBorders>
            <w:shd w:val="clear" w:color="FFFFFF" w:fill="FFFFFF"/>
            <w:noWrap/>
            <w:vAlign w:val="bottom"/>
            <w:hideMark/>
          </w:tcPr>
          <w:p w14:paraId="10B1B718"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1,05 %</w:t>
            </w:r>
          </w:p>
        </w:tc>
        <w:tc>
          <w:tcPr>
            <w:tcW w:w="0" w:type="auto"/>
            <w:vAlign w:val="center"/>
            <w:hideMark/>
          </w:tcPr>
          <w:p w14:paraId="0CC9C2A1" w14:textId="77777777" w:rsidR="008635A6" w:rsidRPr="005B018A" w:rsidRDefault="008635A6" w:rsidP="008635A6">
            <w:pPr>
              <w:rPr>
                <w:rFonts w:ascii="Arial" w:eastAsia="Times New Roman" w:hAnsi="Arial" w:cs="Arial"/>
                <w:sz w:val="18"/>
                <w:szCs w:val="18"/>
                <w:lang w:val="es-ES" w:eastAsia="es-ES"/>
              </w:rPr>
            </w:pPr>
          </w:p>
        </w:tc>
      </w:tr>
      <w:tr w:rsidR="008635A6" w:rsidRPr="005B018A" w14:paraId="53723DD4" w14:textId="77777777" w:rsidTr="00A81D4F">
        <w:trPr>
          <w:trHeight w:val="330"/>
          <w:jc w:val="center"/>
        </w:trPr>
        <w:tc>
          <w:tcPr>
            <w:tcW w:w="3225" w:type="dxa"/>
            <w:tcBorders>
              <w:top w:val="nil"/>
              <w:left w:val="single" w:sz="4" w:space="0" w:color="9D2235"/>
              <w:bottom w:val="single" w:sz="4" w:space="0" w:color="9D2235"/>
              <w:right w:val="nil"/>
            </w:tcBorders>
            <w:shd w:val="clear" w:color="FFFFFF" w:fill="FFFFFF"/>
            <w:noWrap/>
            <w:vAlign w:val="bottom"/>
            <w:hideMark/>
          </w:tcPr>
          <w:p w14:paraId="29D8A1CE" w14:textId="77777777" w:rsidR="008635A6" w:rsidRPr="005B018A" w:rsidRDefault="008635A6" w:rsidP="008635A6">
            <w:pP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BASAT EN ACORD MARC</w:t>
            </w:r>
          </w:p>
        </w:tc>
        <w:tc>
          <w:tcPr>
            <w:tcW w:w="1529" w:type="dxa"/>
            <w:tcBorders>
              <w:top w:val="nil"/>
              <w:left w:val="nil"/>
              <w:bottom w:val="single" w:sz="4" w:space="0" w:color="9D2235"/>
              <w:right w:val="nil"/>
            </w:tcBorders>
            <w:shd w:val="clear" w:color="FFFFFF" w:fill="FFFFFF"/>
            <w:noWrap/>
            <w:vAlign w:val="bottom"/>
            <w:hideMark/>
          </w:tcPr>
          <w:p w14:paraId="76C41334" w14:textId="77777777" w:rsidR="008635A6" w:rsidRPr="005B018A" w:rsidRDefault="008635A6" w:rsidP="008635A6">
            <w:pPr>
              <w:jc w:val="center"/>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w:t>
            </w:r>
          </w:p>
        </w:tc>
        <w:tc>
          <w:tcPr>
            <w:tcW w:w="0" w:type="auto"/>
            <w:tcBorders>
              <w:top w:val="nil"/>
              <w:left w:val="nil"/>
              <w:bottom w:val="single" w:sz="4" w:space="0" w:color="9D2235"/>
              <w:right w:val="nil"/>
            </w:tcBorders>
            <w:shd w:val="clear" w:color="FFFFFF" w:fill="FFFFFF"/>
            <w:noWrap/>
            <w:vAlign w:val="bottom"/>
            <w:hideMark/>
          </w:tcPr>
          <w:p w14:paraId="5B21BB02"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15.058,18</w:t>
            </w:r>
          </w:p>
        </w:tc>
        <w:tc>
          <w:tcPr>
            <w:tcW w:w="0" w:type="auto"/>
            <w:tcBorders>
              <w:top w:val="nil"/>
              <w:left w:val="nil"/>
              <w:bottom w:val="single" w:sz="4" w:space="0" w:color="9D2235"/>
              <w:right w:val="nil"/>
            </w:tcBorders>
            <w:shd w:val="clear" w:color="FFFFFF" w:fill="FFFFFF"/>
            <w:noWrap/>
            <w:vAlign w:val="bottom"/>
            <w:hideMark/>
          </w:tcPr>
          <w:p w14:paraId="38102527"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12.953,37</w:t>
            </w:r>
          </w:p>
        </w:tc>
        <w:tc>
          <w:tcPr>
            <w:tcW w:w="0" w:type="auto"/>
            <w:tcBorders>
              <w:top w:val="nil"/>
              <w:left w:val="nil"/>
              <w:bottom w:val="single" w:sz="4" w:space="0" w:color="9D2235"/>
              <w:right w:val="nil"/>
            </w:tcBorders>
            <w:shd w:val="clear" w:color="FFFFFF" w:fill="FFFFFF"/>
            <w:noWrap/>
            <w:vAlign w:val="bottom"/>
            <w:hideMark/>
          </w:tcPr>
          <w:p w14:paraId="5E6E1272"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7,79 %</w:t>
            </w:r>
          </w:p>
        </w:tc>
        <w:tc>
          <w:tcPr>
            <w:tcW w:w="0" w:type="auto"/>
            <w:tcBorders>
              <w:top w:val="nil"/>
              <w:left w:val="nil"/>
              <w:bottom w:val="single" w:sz="4" w:space="0" w:color="9D2235"/>
              <w:right w:val="single" w:sz="4" w:space="0" w:color="9D2235"/>
            </w:tcBorders>
            <w:shd w:val="clear" w:color="FFFFFF" w:fill="FFFFFF"/>
            <w:noWrap/>
            <w:vAlign w:val="bottom"/>
            <w:hideMark/>
          </w:tcPr>
          <w:p w14:paraId="3FC691FB" w14:textId="77777777" w:rsidR="008635A6" w:rsidRPr="005B018A" w:rsidRDefault="008635A6" w:rsidP="008635A6">
            <w:pPr>
              <w:jc w:val="right"/>
              <w:rPr>
                <w:rFonts w:ascii="Arial" w:eastAsia="Times New Roman" w:hAnsi="Arial" w:cs="Arial"/>
                <w:color w:val="000000"/>
                <w:sz w:val="18"/>
                <w:szCs w:val="18"/>
                <w:lang w:val="es-ES" w:eastAsia="es-ES"/>
              </w:rPr>
            </w:pPr>
            <w:r w:rsidRPr="005B018A">
              <w:rPr>
                <w:rFonts w:ascii="Arial" w:eastAsia="Times New Roman" w:hAnsi="Arial" w:cs="Arial"/>
                <w:color w:val="000000"/>
                <w:sz w:val="18"/>
                <w:szCs w:val="18"/>
                <w:lang w:val="ca" w:eastAsia="es-ES"/>
              </w:rPr>
              <w:t>7,57 %</w:t>
            </w:r>
          </w:p>
        </w:tc>
        <w:tc>
          <w:tcPr>
            <w:tcW w:w="0" w:type="auto"/>
            <w:vAlign w:val="center"/>
            <w:hideMark/>
          </w:tcPr>
          <w:p w14:paraId="3FDB199C" w14:textId="77777777" w:rsidR="008635A6" w:rsidRPr="005B018A" w:rsidRDefault="008635A6" w:rsidP="008635A6">
            <w:pPr>
              <w:rPr>
                <w:rFonts w:ascii="Arial" w:eastAsia="Times New Roman" w:hAnsi="Arial" w:cs="Arial"/>
                <w:sz w:val="18"/>
                <w:szCs w:val="18"/>
                <w:lang w:val="es-ES" w:eastAsia="es-ES"/>
              </w:rPr>
            </w:pPr>
          </w:p>
        </w:tc>
      </w:tr>
      <w:tr w:rsidR="008635A6" w:rsidRPr="005B018A" w14:paraId="67EC7585" w14:textId="77777777" w:rsidTr="00A81D4F">
        <w:trPr>
          <w:trHeight w:val="330"/>
          <w:jc w:val="center"/>
        </w:trPr>
        <w:tc>
          <w:tcPr>
            <w:tcW w:w="3225" w:type="dxa"/>
            <w:tcBorders>
              <w:top w:val="single" w:sz="4" w:space="0" w:color="666666"/>
              <w:left w:val="single" w:sz="4" w:space="0" w:color="666666"/>
              <w:bottom w:val="single" w:sz="4" w:space="0" w:color="666666"/>
              <w:right w:val="nil"/>
            </w:tcBorders>
            <w:shd w:val="clear" w:color="9D2235" w:fill="9D2235"/>
            <w:noWrap/>
            <w:vAlign w:val="center"/>
            <w:hideMark/>
          </w:tcPr>
          <w:p w14:paraId="60BAC4C8"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TOTAL</w:t>
            </w:r>
          </w:p>
        </w:tc>
        <w:tc>
          <w:tcPr>
            <w:tcW w:w="1529" w:type="dxa"/>
            <w:tcBorders>
              <w:top w:val="single" w:sz="4" w:space="0" w:color="666666"/>
              <w:left w:val="nil"/>
              <w:bottom w:val="single" w:sz="4" w:space="0" w:color="666666"/>
              <w:right w:val="nil"/>
            </w:tcBorders>
            <w:shd w:val="clear" w:color="9D2235" w:fill="9D2235"/>
            <w:noWrap/>
            <w:vAlign w:val="center"/>
            <w:hideMark/>
          </w:tcPr>
          <w:p w14:paraId="781C1388" w14:textId="77777777" w:rsidR="008635A6" w:rsidRPr="005B018A" w:rsidRDefault="008635A6" w:rsidP="008635A6">
            <w:pPr>
              <w:jc w:val="center"/>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59</w:t>
            </w:r>
          </w:p>
        </w:tc>
        <w:tc>
          <w:tcPr>
            <w:tcW w:w="0" w:type="auto"/>
            <w:tcBorders>
              <w:top w:val="single" w:sz="4" w:space="0" w:color="666666"/>
              <w:left w:val="nil"/>
              <w:bottom w:val="single" w:sz="4" w:space="0" w:color="666666"/>
              <w:right w:val="nil"/>
            </w:tcBorders>
            <w:shd w:val="clear" w:color="9D2235" w:fill="9D2235"/>
            <w:noWrap/>
            <w:vAlign w:val="center"/>
            <w:hideMark/>
          </w:tcPr>
          <w:p w14:paraId="6826314E" w14:textId="77777777" w:rsidR="008635A6" w:rsidRPr="005B018A" w:rsidRDefault="008635A6" w:rsidP="008635A6">
            <w:pPr>
              <w:jc w:val="right"/>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193.192,50</w:t>
            </w:r>
          </w:p>
        </w:tc>
        <w:tc>
          <w:tcPr>
            <w:tcW w:w="0" w:type="auto"/>
            <w:tcBorders>
              <w:top w:val="single" w:sz="4" w:space="0" w:color="666666"/>
              <w:left w:val="nil"/>
              <w:bottom w:val="single" w:sz="4" w:space="0" w:color="666666"/>
              <w:right w:val="nil"/>
            </w:tcBorders>
            <w:shd w:val="clear" w:color="9D2235" w:fill="9D2235"/>
            <w:noWrap/>
            <w:vAlign w:val="center"/>
            <w:hideMark/>
          </w:tcPr>
          <w:p w14:paraId="1C3E6291" w14:textId="77777777" w:rsidR="008635A6" w:rsidRPr="005B018A" w:rsidRDefault="008635A6" w:rsidP="008635A6">
            <w:pPr>
              <w:jc w:val="right"/>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171.115,02</w:t>
            </w:r>
          </w:p>
        </w:tc>
        <w:tc>
          <w:tcPr>
            <w:tcW w:w="0" w:type="auto"/>
            <w:tcBorders>
              <w:top w:val="single" w:sz="4" w:space="0" w:color="666666"/>
              <w:left w:val="nil"/>
              <w:bottom w:val="single" w:sz="4" w:space="0" w:color="666666"/>
              <w:right w:val="nil"/>
            </w:tcBorders>
            <w:shd w:val="clear" w:color="9D2235" w:fill="9D2235"/>
            <w:noWrap/>
            <w:vAlign w:val="center"/>
            <w:hideMark/>
          </w:tcPr>
          <w:p w14:paraId="2058175D" w14:textId="77777777" w:rsidR="008635A6" w:rsidRPr="005B018A" w:rsidRDefault="008635A6" w:rsidP="008635A6">
            <w:pPr>
              <w:jc w:val="right"/>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100,00 %</w:t>
            </w:r>
          </w:p>
        </w:tc>
        <w:tc>
          <w:tcPr>
            <w:tcW w:w="0" w:type="auto"/>
            <w:tcBorders>
              <w:top w:val="single" w:sz="4" w:space="0" w:color="666666"/>
              <w:left w:val="nil"/>
              <w:bottom w:val="single" w:sz="4" w:space="0" w:color="666666"/>
              <w:right w:val="single" w:sz="4" w:space="0" w:color="666666"/>
            </w:tcBorders>
            <w:shd w:val="clear" w:color="9D2235" w:fill="9D2235"/>
            <w:noWrap/>
            <w:vAlign w:val="center"/>
            <w:hideMark/>
          </w:tcPr>
          <w:p w14:paraId="6E851796" w14:textId="77777777" w:rsidR="008635A6" w:rsidRPr="005B018A" w:rsidRDefault="008635A6" w:rsidP="008635A6">
            <w:pPr>
              <w:jc w:val="right"/>
              <w:rPr>
                <w:rFonts w:ascii="Arial" w:eastAsia="Times New Roman" w:hAnsi="Arial" w:cs="Arial"/>
                <w:b/>
                <w:bCs/>
                <w:color w:val="FFFFFF"/>
                <w:sz w:val="18"/>
                <w:szCs w:val="18"/>
                <w:lang w:val="es-ES" w:eastAsia="es-ES"/>
              </w:rPr>
            </w:pPr>
            <w:r w:rsidRPr="005B018A">
              <w:rPr>
                <w:rFonts w:ascii="Arial" w:eastAsia="Times New Roman" w:hAnsi="Arial" w:cs="Arial"/>
                <w:b/>
                <w:bCs/>
                <w:color w:val="FFFFFF"/>
                <w:sz w:val="18"/>
                <w:szCs w:val="18"/>
                <w:lang w:val="ca" w:eastAsia="es-ES"/>
              </w:rPr>
              <w:t>100,00 %</w:t>
            </w:r>
          </w:p>
        </w:tc>
        <w:tc>
          <w:tcPr>
            <w:tcW w:w="0" w:type="auto"/>
            <w:vAlign w:val="center"/>
            <w:hideMark/>
          </w:tcPr>
          <w:p w14:paraId="02E6B64E" w14:textId="77777777" w:rsidR="008635A6" w:rsidRPr="005B018A" w:rsidRDefault="008635A6" w:rsidP="008635A6">
            <w:pPr>
              <w:rPr>
                <w:rFonts w:ascii="Arial" w:eastAsia="Times New Roman" w:hAnsi="Arial" w:cs="Arial"/>
                <w:sz w:val="18"/>
                <w:szCs w:val="18"/>
                <w:lang w:val="es-ES" w:eastAsia="es-ES"/>
              </w:rPr>
            </w:pPr>
          </w:p>
        </w:tc>
      </w:tr>
    </w:tbl>
    <w:p w14:paraId="0FD15D38" w14:textId="6DF1E9A9" w:rsidR="00E215E8" w:rsidRDefault="00E215E8" w:rsidP="00831F73">
      <w:pPr>
        <w:jc w:val="both"/>
        <w:rPr>
          <w:rFonts w:ascii="Arial" w:eastAsia="Droid Sans Fallback" w:hAnsi="Arial" w:cs="Arial"/>
          <w:kern w:val="3"/>
          <w:sz w:val="21"/>
          <w:szCs w:val="21"/>
          <w:lang w:eastAsia="zh-CN" w:bidi="hi-IN"/>
        </w:rPr>
      </w:pPr>
    </w:p>
    <w:p w14:paraId="1C8FBAE5" w14:textId="6472791D" w:rsidR="00A81D4F" w:rsidRPr="00A81D4F" w:rsidRDefault="00A81D4F" w:rsidP="00A81D4F">
      <w:pPr>
        <w:spacing w:after="240" w:line="276" w:lineRule="auto"/>
        <w:jc w:val="both"/>
        <w:rPr>
          <w:rFonts w:ascii="Arial" w:eastAsia="Droid Sans Fallback" w:hAnsi="Arial" w:cs="Arial"/>
          <w:kern w:val="3"/>
          <w:sz w:val="21"/>
          <w:szCs w:val="21"/>
          <w:lang w:eastAsia="zh-CN" w:bidi="hi-IN"/>
        </w:rPr>
      </w:pPr>
      <w:r w:rsidRPr="00A81D4F">
        <w:rPr>
          <w:rFonts w:ascii="Arial" w:eastAsia="Droid Sans Fallback" w:hAnsi="Arial" w:cs="Arial"/>
          <w:kern w:val="3"/>
          <w:sz w:val="21"/>
          <w:szCs w:val="21"/>
          <w:lang w:eastAsia="zh-CN" w:bidi="hi-IN"/>
        </w:rPr>
        <w:t>En relació als contractes menors, cal ressaltar que més de la meitat dels mateixos no supera la quantia de 1.000 euros, i tan sols quatre assoleixen els 10.000 euros, per la qual cosa la seua importància econòmica en molt limitada. En tot cas, s'ha garantit la màxima concurrència competitiva, s'han realitzat les declaracions responsables sobre inexistència de conflicte d'interés i s'han seguit els tràmits previstos a la Llei.</w:t>
      </w:r>
    </w:p>
    <w:p w14:paraId="49C398D4" w14:textId="77777777" w:rsidR="00A81D4F" w:rsidRPr="00A81D4F" w:rsidRDefault="00A81D4F" w:rsidP="00A81D4F">
      <w:pPr>
        <w:spacing w:after="240" w:line="276" w:lineRule="auto"/>
        <w:jc w:val="both"/>
        <w:rPr>
          <w:rFonts w:ascii="Arial" w:eastAsia="Droid Sans Fallback" w:hAnsi="Arial" w:cs="Arial"/>
          <w:kern w:val="3"/>
          <w:sz w:val="21"/>
          <w:szCs w:val="21"/>
          <w:lang w:val="es-ES" w:eastAsia="zh-CN" w:bidi="hi-IN"/>
        </w:rPr>
      </w:pPr>
      <w:r w:rsidRPr="00A81D4F">
        <w:rPr>
          <w:rFonts w:ascii="Arial" w:eastAsia="Droid Sans Fallback" w:hAnsi="Arial" w:cs="Arial"/>
          <w:kern w:val="3"/>
          <w:sz w:val="21"/>
          <w:szCs w:val="21"/>
          <w:lang w:eastAsia="zh-CN" w:bidi="hi-IN"/>
        </w:rPr>
        <w:t>Per últim, s'indica que, no havent-se proporcionat fins al moment ni per les Corts ni per la Conselleria d'Hisenda immoble que puga albergar la seu d'aquesta Agència, durant l'últim trimestre de 2021, es va iniciar la tramitació del corresponent contracte de lloguer, prèvies les pertinents consultes al mercat. A tal efecte, es va publicar en la Plataforma de Contractació del Sector Públic la licitació del contracte privat d'arrendament, el qual es troba a data de redacció d'aquesta Memòria en període de valoració d'ofertes</w:t>
      </w:r>
      <w:r w:rsidRPr="00A81D4F">
        <w:rPr>
          <w:rFonts w:ascii="Arial" w:eastAsia="Droid Sans Fallback" w:hAnsi="Arial" w:cs="Arial"/>
          <w:kern w:val="3"/>
          <w:sz w:val="21"/>
          <w:szCs w:val="21"/>
          <w:lang w:val="ca" w:eastAsia="zh-CN" w:bidi="hi-IN"/>
        </w:rPr>
        <w:t>.</w:t>
      </w:r>
    </w:p>
    <w:p w14:paraId="749DDAB3" w14:textId="66DBEADA" w:rsidR="00E215E8" w:rsidRPr="00A81D4F" w:rsidRDefault="00E215E8" w:rsidP="00831F73">
      <w:pPr>
        <w:jc w:val="both"/>
        <w:rPr>
          <w:rFonts w:ascii="Arial" w:eastAsia="Droid Sans Fallback" w:hAnsi="Arial" w:cs="Arial"/>
          <w:kern w:val="3"/>
          <w:sz w:val="21"/>
          <w:szCs w:val="21"/>
          <w:lang w:val="es-ES" w:eastAsia="zh-CN" w:bidi="hi-IN"/>
        </w:rPr>
      </w:pPr>
    </w:p>
    <w:p w14:paraId="1DCDA7B5" w14:textId="75A77D8D" w:rsidR="00E215E8" w:rsidRDefault="00E215E8" w:rsidP="00831F73">
      <w:pPr>
        <w:jc w:val="both"/>
        <w:rPr>
          <w:rFonts w:ascii="Arial" w:eastAsia="Droid Sans Fallback" w:hAnsi="Arial" w:cs="Arial"/>
          <w:kern w:val="3"/>
          <w:sz w:val="21"/>
          <w:szCs w:val="21"/>
          <w:lang w:eastAsia="zh-CN" w:bidi="hi-IN"/>
        </w:rPr>
      </w:pPr>
    </w:p>
    <w:p w14:paraId="35889045" w14:textId="77777777" w:rsidR="00E215E8" w:rsidRPr="002D3252" w:rsidRDefault="00E215E8" w:rsidP="00831F73">
      <w:pPr>
        <w:jc w:val="both"/>
        <w:rPr>
          <w:rFonts w:ascii="Arial" w:eastAsia="Droid Sans Fallback" w:hAnsi="Arial" w:cs="Arial"/>
          <w:kern w:val="3"/>
          <w:sz w:val="21"/>
          <w:szCs w:val="21"/>
          <w:lang w:eastAsia="zh-CN" w:bidi="hi-IN"/>
        </w:rPr>
      </w:pPr>
    </w:p>
    <w:p w14:paraId="7EB17F19" w14:textId="77777777" w:rsidR="00831F73" w:rsidRPr="002D3252" w:rsidRDefault="00831F73" w:rsidP="00831F73">
      <w:pPr>
        <w:jc w:val="both"/>
        <w:rPr>
          <w:rFonts w:ascii="Arial" w:eastAsia="Droid Sans Fallback" w:hAnsi="Arial" w:cs="Arial"/>
          <w:kern w:val="3"/>
          <w:sz w:val="21"/>
          <w:szCs w:val="21"/>
          <w:lang w:eastAsia="zh-CN" w:bidi="hi-IN"/>
        </w:rPr>
      </w:pPr>
    </w:p>
    <w:p w14:paraId="0B086AFC" w14:textId="77777777" w:rsidR="00831F73" w:rsidRPr="002D3252" w:rsidRDefault="00831F73" w:rsidP="00E215E8">
      <w:pPr>
        <w:pStyle w:val="Standard"/>
        <w:spacing w:line="276" w:lineRule="auto"/>
        <w:jc w:val="both"/>
        <w:rPr>
          <w:rFonts w:ascii="Arial" w:hAnsi="Arial"/>
          <w:sz w:val="21"/>
          <w:highlight w:val="yellow"/>
          <w:lang w:val="ca-ES-valencia"/>
        </w:rPr>
      </w:pPr>
    </w:p>
    <w:p w14:paraId="048A9F27" w14:textId="77777777" w:rsidR="00831F73" w:rsidRPr="002D3252" w:rsidRDefault="00831F73">
      <w:pPr>
        <w:rPr>
          <w:rFonts w:ascii="Arial" w:eastAsia="Times New Roman" w:hAnsi="Arial" w:cs="Arial"/>
          <w:sz w:val="21"/>
          <w:szCs w:val="21"/>
          <w:lang w:eastAsia="es-ES"/>
        </w:rPr>
      </w:pPr>
      <w:r w:rsidRPr="002D3252">
        <w:rPr>
          <w:rFonts w:ascii="Arial" w:eastAsia="Times New Roman" w:hAnsi="Arial" w:cs="Arial"/>
          <w:sz w:val="21"/>
          <w:szCs w:val="21"/>
          <w:lang w:eastAsia="es-ES"/>
        </w:rPr>
        <w:br w:type="page"/>
      </w:r>
    </w:p>
    <w:p w14:paraId="7AD54BCD" w14:textId="11EC25B6" w:rsidR="00F918B8" w:rsidRPr="002D3252" w:rsidRDefault="00F918B8" w:rsidP="00422D40">
      <w:pPr>
        <w:spacing w:after="0"/>
        <w:rPr>
          <w:rFonts w:ascii="Arial" w:hAnsi="Arial" w:cs="Arial"/>
          <w:color w:val="4E111A" w:themeColor="accent1" w:themeShade="80"/>
          <w:sz w:val="20"/>
          <w:szCs w:val="20"/>
        </w:rPr>
      </w:pPr>
      <w:bookmarkStart w:id="514" w:name="_Toc66874383"/>
    </w:p>
    <w:p w14:paraId="2B6F6E1E" w14:textId="50EBCA19" w:rsidR="00422D40" w:rsidRPr="002D3252" w:rsidRDefault="00422D40" w:rsidP="00422D40">
      <w:pPr>
        <w:spacing w:after="0"/>
        <w:rPr>
          <w:rFonts w:ascii="Arial" w:hAnsi="Arial" w:cs="Arial"/>
          <w:color w:val="4E111A" w:themeColor="accent1" w:themeShade="80"/>
          <w:sz w:val="20"/>
          <w:szCs w:val="20"/>
        </w:rPr>
      </w:pPr>
    </w:p>
    <w:p w14:paraId="00B50737" w14:textId="77777777" w:rsidR="00422D40" w:rsidRPr="002D3252" w:rsidRDefault="00422D40" w:rsidP="00422D40">
      <w:pPr>
        <w:spacing w:after="0"/>
        <w:rPr>
          <w:rFonts w:ascii="Arial" w:hAnsi="Arial" w:cs="Arial"/>
          <w:color w:val="4E111A" w:themeColor="accent1" w:themeShade="80"/>
          <w:sz w:val="20"/>
          <w:szCs w:val="20"/>
        </w:rPr>
      </w:pPr>
    </w:p>
    <w:p w14:paraId="597F865E" w14:textId="44EFD029" w:rsidR="00DA2827" w:rsidRPr="002D3252" w:rsidRDefault="00831F73" w:rsidP="00EB4ECF">
      <w:pPr>
        <w:pStyle w:val="Ttulo1"/>
        <w:numPr>
          <w:ilvl w:val="0"/>
          <w:numId w:val="21"/>
        </w:numPr>
        <w:spacing w:before="360" w:after="240" w:line="276" w:lineRule="auto"/>
        <w:ind w:left="0" w:firstLine="0"/>
        <w:contextualSpacing/>
        <w:rPr>
          <w:rFonts w:ascii="Arial" w:hAnsi="Arial" w:cs="Arial"/>
          <w:sz w:val="80"/>
          <w:szCs w:val="80"/>
        </w:rPr>
      </w:pPr>
      <w:bookmarkStart w:id="515" w:name="_Hlk96504443"/>
      <w:r w:rsidRPr="002D3252">
        <w:rPr>
          <w:rFonts w:ascii="Arial" w:hAnsi="Arial" w:cs="Arial"/>
          <w:b/>
          <w:bCs/>
          <w:smallCaps/>
          <w:color w:val="9D2235" w:themeColor="accent1"/>
          <w:spacing w:val="-14"/>
          <w:sz w:val="200"/>
          <w:szCs w:val="200"/>
        </w:rPr>
        <w:br/>
      </w:r>
      <w:bookmarkStart w:id="516" w:name="_Toc99110839"/>
      <w:bookmarkEnd w:id="515"/>
      <w:r w:rsidRPr="00A85CB8">
        <w:rPr>
          <w:rFonts w:ascii="Arial" w:hAnsi="Arial" w:cs="Arial"/>
          <w:b/>
          <w:bCs/>
          <w:color w:val="9D2235" w:themeColor="accent1"/>
          <w:spacing w:val="-14"/>
          <w:sz w:val="80"/>
          <w:szCs w:val="80"/>
        </w:rPr>
        <w:t>Conclusions</w:t>
      </w:r>
      <w:r w:rsidRPr="002D3252">
        <w:rPr>
          <w:rFonts w:ascii="Arial" w:hAnsi="Arial" w:cs="Arial"/>
          <w:b/>
          <w:bCs/>
          <w:color w:val="9D2235" w:themeColor="accent1"/>
          <w:spacing w:val="-14"/>
          <w:sz w:val="80"/>
          <w:szCs w:val="80"/>
        </w:rPr>
        <w:t xml:space="preserve"> </w:t>
      </w:r>
      <w:r w:rsidR="007A4EAA" w:rsidRPr="002D3252">
        <w:rPr>
          <w:rFonts w:ascii="Arial" w:hAnsi="Arial" w:cs="Arial"/>
          <w:b/>
          <w:bCs/>
          <w:color w:val="9D2235" w:themeColor="accent1"/>
          <w:spacing w:val="-14"/>
          <w:sz w:val="80"/>
          <w:szCs w:val="80"/>
        </w:rPr>
        <w:t>i</w:t>
      </w:r>
      <w:r w:rsidRPr="002D3252">
        <w:rPr>
          <w:rFonts w:ascii="Arial" w:hAnsi="Arial" w:cs="Arial"/>
          <w:b/>
          <w:bCs/>
          <w:color w:val="9D2235" w:themeColor="accent1"/>
          <w:spacing w:val="-14"/>
          <w:sz w:val="80"/>
          <w:szCs w:val="80"/>
        </w:rPr>
        <w:t xml:space="preserve"> </w:t>
      </w:r>
      <w:bookmarkEnd w:id="514"/>
      <w:r w:rsidR="005A6F38" w:rsidRPr="002D3252">
        <w:rPr>
          <w:rFonts w:ascii="Arial" w:hAnsi="Arial" w:cs="Arial"/>
          <w:b/>
          <w:bCs/>
          <w:color w:val="9D2235" w:themeColor="accent1"/>
          <w:spacing w:val="-14"/>
          <w:sz w:val="80"/>
          <w:szCs w:val="80"/>
        </w:rPr>
        <w:t>recomanacions</w:t>
      </w:r>
      <w:bookmarkEnd w:id="516"/>
      <w:r w:rsidR="00F918B8" w:rsidRPr="002D3252">
        <w:rPr>
          <w:rFonts w:ascii="Arial" w:hAnsi="Arial" w:cs="Arial"/>
          <w:b/>
          <w:bCs/>
          <w:color w:val="9D2235" w:themeColor="accent1"/>
          <w:spacing w:val="-14"/>
          <w:sz w:val="80"/>
          <w:szCs w:val="80"/>
        </w:rPr>
        <w:br/>
      </w:r>
    </w:p>
    <w:p w14:paraId="781F651F" w14:textId="4F4F00A8" w:rsidR="00A85CB8" w:rsidRDefault="00A85CB8" w:rsidP="003D0F32">
      <w:pPr>
        <w:spacing w:after="240" w:line="276" w:lineRule="auto"/>
        <w:jc w:val="both"/>
        <w:rPr>
          <w:rFonts w:ascii="Arial" w:hAnsi="Arial" w:cs="Arial"/>
          <w:sz w:val="21"/>
          <w:szCs w:val="21"/>
        </w:rPr>
      </w:pPr>
      <w:r w:rsidRPr="00A85CB8">
        <w:rPr>
          <w:rFonts w:ascii="Arial" w:hAnsi="Arial" w:cs="Arial"/>
          <w:sz w:val="21"/>
          <w:szCs w:val="21"/>
        </w:rPr>
        <w:t>Una de les funcions pròpies d'aquesta Agència és l'assessorament i la formulació de propostes i recomanacions, en matèria de prevenció i lluita contra la corrupció i d'integritat i ètica pública, dirigides a les Corts Valencianes, al Consell de la Generalitat i al conjunt de les administracions públiques i entitats que es troben en el seu àmbit d'actuació. Després del treball realitzat durant l'any passat 2021, es recullen a continuació algunes de les conclusions i recomanacions que volem exposar</w:t>
      </w:r>
    </w:p>
    <w:p w14:paraId="1C5796D7" w14:textId="61FCE581" w:rsidR="00511E10" w:rsidRPr="002D3252" w:rsidRDefault="001F5B31" w:rsidP="00EB4ECF">
      <w:pPr>
        <w:pStyle w:val="Ttulo2"/>
        <w:numPr>
          <w:ilvl w:val="1"/>
          <w:numId w:val="22"/>
        </w:numPr>
        <w:spacing w:before="360" w:after="240" w:line="276" w:lineRule="auto"/>
        <w:ind w:left="851" w:hanging="851"/>
        <w:rPr>
          <w:rFonts w:ascii="Arial" w:hAnsi="Arial" w:cs="Arial"/>
          <w:b/>
          <w:bCs/>
          <w:color w:val="9D2235" w:themeColor="accent1"/>
        </w:rPr>
      </w:pPr>
      <w:bookmarkStart w:id="517" w:name="_Toc99110840"/>
      <w:r w:rsidRPr="002D3252">
        <w:rPr>
          <w:rFonts w:ascii="Arial" w:hAnsi="Arial" w:cs="Arial"/>
          <w:b/>
          <w:bCs/>
          <w:color w:val="9D2235" w:themeColor="accent1"/>
        </w:rPr>
        <w:t>Sobre l'elusió dels principis rectors aplicables als processos de selecció i provisió dels empleats públics</w:t>
      </w:r>
      <w:bookmarkEnd w:id="517"/>
    </w:p>
    <w:p w14:paraId="2785CB93" w14:textId="5CCBF0E6"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 xml:space="preserve">L'any 2021 el nombre de denúncies presentades davant l'Agència de Prevenció i Lluita Contra el Frau i la Corrupció de la Comunitat Valenciana, relatives als recursos humans de les administracions públiques, ha representat el 45% del total. Respecte d'aquestes denúncies, les referides a suposades irregularitats en processos selectius, d'accés a la funció pública i de provisió de llocs de treball, han suposat el 35% de totes elles, la qual cosa ha provocat que les mateixes </w:t>
      </w:r>
      <w:r w:rsidR="00A14A21" w:rsidRPr="005D5A15">
        <w:rPr>
          <w:rFonts w:ascii="Arial" w:hAnsi="Arial" w:cs="Arial"/>
          <w:sz w:val="21"/>
          <w:szCs w:val="21"/>
        </w:rPr>
        <w:t>constitueixen</w:t>
      </w:r>
      <w:r w:rsidRPr="005D5A15">
        <w:rPr>
          <w:rFonts w:ascii="Arial" w:hAnsi="Arial" w:cs="Arial"/>
          <w:sz w:val="21"/>
          <w:szCs w:val="21"/>
        </w:rPr>
        <w:t xml:space="preserve"> gairebé 4 de cada 10 denúncies.</w:t>
      </w:r>
    </w:p>
    <w:p w14:paraId="65E70538" w14:textId="77777777"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Per això, una vegada més, ens sembla oportú, insistir en el contingut d'una de les conclusions i recomanacions que ja van ser formulades en la nostra Memòria de l'any 2019: Sobre l'efectiva aplicació dels principis inspiradors i rectors de l'accés a l'ocupació pública.</w:t>
      </w:r>
    </w:p>
    <w:p w14:paraId="66A89D82" w14:textId="77777777"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Igualtat, mèrit, capacitat, transparència, publicitat, imparcialitat, independència i professionalitat són, entre altres, els principis rectors d'accés a l'ocupació pública que es recullen en la Constitució i en el text refós de la Llei de l'Estatut Bàsic de l'Empleat públic; principis coneguts tant pels que treballem al servei del públic com per la ciutadania.</w:t>
      </w:r>
    </w:p>
    <w:p w14:paraId="008F6C1D" w14:textId="70EE34C2" w:rsidR="005D5A15" w:rsidRPr="005D5A15" w:rsidRDefault="00A14A21" w:rsidP="005D5A15">
      <w:pPr>
        <w:spacing w:after="240" w:line="276" w:lineRule="auto"/>
        <w:jc w:val="both"/>
        <w:rPr>
          <w:rFonts w:ascii="Arial" w:hAnsi="Arial" w:cs="Arial"/>
          <w:sz w:val="21"/>
          <w:szCs w:val="21"/>
        </w:rPr>
      </w:pPr>
      <w:r>
        <w:rPr>
          <w:rFonts w:ascii="Arial" w:hAnsi="Arial" w:cs="Arial"/>
          <w:sz w:val="21"/>
          <w:szCs w:val="21"/>
        </w:rPr>
        <w:t>¿</w:t>
      </w:r>
      <w:r w:rsidR="005D5A15" w:rsidRPr="005D5A15">
        <w:rPr>
          <w:rFonts w:ascii="Arial" w:hAnsi="Arial" w:cs="Arial"/>
          <w:sz w:val="21"/>
          <w:szCs w:val="21"/>
        </w:rPr>
        <w:t xml:space="preserve">Però, el coneixement teòric d'aquests principis implica la seua interiorització i aplicació en el moment de participar en un procés selectiu o de provisió d'un lloc, ja siga com a aspirant o com a membre d'un òrgan tècnic de selecció? </w:t>
      </w:r>
    </w:p>
    <w:p w14:paraId="5D984132" w14:textId="77777777"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La vulneració del principi d'igualtat es produeix, per exemple, en casos en els quals no es garanteix l'anonimat en la realització i correcció de les proves realitzades, perquè l'anonimització, sempre que puga realitzar-se, és obligatòria. La falta d'anonimització conforma una irregularitat administrativa que pot implicar la nul·litat de ple de dret del procés, sent especialment rellevant en les proves en les quals l'òrgan tècnic de selecció gaudeix d'un espai d'apreciació discrecional, i en aquest cas la garantia de l'anonimat és, en paraules del Tribunal Suprem</w:t>
      </w:r>
      <w:r w:rsidRPr="005D5A15">
        <w:rPr>
          <w:rFonts w:ascii="Arial" w:hAnsi="Arial" w:cs="Arial"/>
          <w:sz w:val="21"/>
          <w:szCs w:val="21"/>
          <w:vertAlign w:val="superscript"/>
        </w:rPr>
        <w:footnoteReference w:id="8"/>
      </w:r>
      <w:r w:rsidRPr="005D5A15">
        <w:rPr>
          <w:rFonts w:ascii="Arial" w:hAnsi="Arial" w:cs="Arial"/>
          <w:sz w:val="21"/>
          <w:szCs w:val="21"/>
        </w:rPr>
        <w:t xml:space="preserve"> , “una eina al servei d'aconseguir en la major mesura possible l'eficàcia del principi constitucional d'igualtat en l'accés en l'accés a la funció pública”.</w:t>
      </w:r>
    </w:p>
    <w:p w14:paraId="5B88B7CE" w14:textId="77777777"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La vulneració del principi d'igualtat, juntament amb els de mèrit i capacitat, també es fa patent en processos selectius en els quals s'utilitzen les entrevistes personals per a seleccionar a la persona candidata més idònia. No és que no es puguen realitzar entrevistes, no es tracta d'això, de fet la normativa les permet per a “completar” la resta de les proves del procés de selecció i poden ser una bona eina sempre que es realitze un ús adequat d'aquelles. Cosa diferent és la seua utilització fraudulenta quan són determinants per a l'adopció de la decisió final per l'òrgan de selecció, per la ponderació que es dona a les mateixes en el procés selectiu o per la falta d'establiment previ a la seua realització d'uns criteris, el més objectius possible, a tenir en compte per a la valoració dels candidats; també, per la falta d'arxiu en suport audiovisual del seu desenvolupament per a una posterior comprovació o per la falta de reflex en les actes de l'avaluació efectuades pels membres del tribunal després de la seua realització.</w:t>
      </w:r>
    </w:p>
    <w:p w14:paraId="5209D4A2" w14:textId="77777777"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 xml:space="preserve">D'altra banda, l'atac frontal a tots els principis rectors d'accés a l'ocupació pública, que recull el text refós de la Llei de l'Estatut Bàsic de l'Empleat públic i la Constitució Espanyola, es dona en els casos en els quals es produeix una filtració de les proves en favor d'alguna de les persones aspirants. En aquest moment, aquests principis passen a ser una mera declaració retòrica a la qual se li ha desproveït de tota la càrrega ètica i moral que el compliment d'aquells comporta. Tant els empleats públics que accedeixen al seu lloc de treball amb aquesta mena de pràctiques com els empleats públics que formen part dels òrgans tècnics de selecció que les permeten, fomenten la creació o permanència d'un pervers clientelisme en les administracions públiques i en estructures al servei de l'autoritat i de qui la representa, i no de l'interès general, estructures que faciliten, en no poques ocasions, la corrupció política i funcionarial. </w:t>
      </w:r>
    </w:p>
    <w:p w14:paraId="53D2D2A0" w14:textId="77777777"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Aquest clientelisme és per si mateix, en paraules de Carles Ramió</w:t>
      </w:r>
      <w:r w:rsidRPr="005D5A15">
        <w:rPr>
          <w:rFonts w:ascii="Arial" w:hAnsi="Arial" w:cs="Arial"/>
          <w:sz w:val="21"/>
          <w:szCs w:val="21"/>
          <w:vertAlign w:val="superscript"/>
        </w:rPr>
        <w:footnoteReference w:id="9"/>
      </w:r>
      <w:r w:rsidRPr="005D5A15">
        <w:rPr>
          <w:rFonts w:ascii="Arial" w:hAnsi="Arial" w:cs="Arial"/>
          <w:sz w:val="21"/>
          <w:szCs w:val="21"/>
        </w:rPr>
        <w:t>, “un vector de corrupció, que a més obri la porta a altres dinàmiques corruptes com la falta d'apoderament d'uns empleats públics davant uns càrrecs polítics als quals els “deuen” el privilegi de treballar en el confort d'una Administració pública, lluny del fred de les crisis de desocupació que abracen les empreses privades”. El citat autor posa de manifest que “la politització de facte dels empleats públics i les seues pors per perdre els seus llocs per motius polítics o discrecionals assegura als càrrecs polítics una lleialtat sense fissures que traspassa amb facilitat les barreres de la professionalitat i de l'ètica dels servidors públics”.</w:t>
      </w:r>
    </w:p>
    <w:p w14:paraId="1213A2CD" w14:textId="77777777"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Que aquestes situacions es donen en els processos selectius de tots els nivells i categories professionals d'empleats públics és molt greu, i això es fa especialment visible quan ocorre en llocs de responsabilitat del funcionariat. Es tracta d'aquests empleats que han de treballar braç a braç amb els representants institucionals, que han d'assessorar-los perquè les seues decisions, independentment del signe polític i ideologia que representen, serveixen a l'interès públic i no a fins individuals o de grups de poder que busquen un lucre concret, moltes vegades a més al marge de la legalitat vigent.</w:t>
      </w:r>
    </w:p>
    <w:p w14:paraId="7D8C2287" w14:textId="77777777" w:rsidR="005D5A15" w:rsidRPr="005D5A15" w:rsidRDefault="005D5A15" w:rsidP="005D5A15">
      <w:pPr>
        <w:spacing w:after="240" w:line="276" w:lineRule="auto"/>
        <w:jc w:val="both"/>
        <w:rPr>
          <w:rFonts w:ascii="Arial" w:hAnsi="Arial" w:cs="Arial"/>
          <w:sz w:val="21"/>
          <w:szCs w:val="21"/>
        </w:rPr>
      </w:pPr>
      <w:r w:rsidRPr="005D5A15">
        <w:rPr>
          <w:rFonts w:ascii="Arial" w:hAnsi="Arial" w:cs="Arial"/>
          <w:sz w:val="21"/>
          <w:szCs w:val="21"/>
        </w:rPr>
        <w:t xml:space="preserve">Des de l'Agència entenem que una administració pública que selecciona adequadament a les seues funcionàries i funcionaris resisteix als canvis polítics i no està a la mercè d'aquests, respon amb professionalitat i rigor als reptes i situacions que es presenten, i garanteix l'objectivitat en el desenvolupament del seu treball per a la realització de polítiques públiques prèviament definides. </w:t>
      </w:r>
    </w:p>
    <w:p w14:paraId="49A133EE" w14:textId="77777777" w:rsidR="005D5A15" w:rsidRPr="005D5A15" w:rsidRDefault="005D5A15" w:rsidP="005D5A15">
      <w:pPr>
        <w:spacing w:after="240" w:line="276" w:lineRule="auto"/>
        <w:jc w:val="both"/>
        <w:rPr>
          <w:rFonts w:ascii="Arial" w:hAnsi="Arial" w:cs="Arial"/>
          <w:b/>
          <w:bCs/>
          <w:sz w:val="21"/>
          <w:szCs w:val="21"/>
        </w:rPr>
      </w:pPr>
      <w:r w:rsidRPr="005D5A15">
        <w:rPr>
          <w:rFonts w:ascii="Arial" w:hAnsi="Arial" w:cs="Arial"/>
          <w:sz w:val="21"/>
          <w:szCs w:val="21"/>
        </w:rPr>
        <w:t>La selecció del personal empleat públic amb base als principis rectors aquí exposats ha de ser un objectiu de cada nou equip de govern en totes les nostres administracions, devent el seu incompliment ser rebutjat per la ciutadania i ser objecte d'exigència de les corresponents responsabilitats penals o administratives. En el supòsit d'absència d'il·lícit penal, la instrucció d'expedients disciplinaris, de manera eficaç i eficient, contra els que van cometre aquests greus fets ha de servir d'exemple i tindre efecte dissuasiu en previsió que aquestes conductes no tornen a succeir.</w:t>
      </w:r>
    </w:p>
    <w:p w14:paraId="2A6D122E" w14:textId="54B2D93D" w:rsidR="00C2596F" w:rsidRPr="002D3252" w:rsidRDefault="00C2596F" w:rsidP="00EB4ECF">
      <w:pPr>
        <w:pStyle w:val="Ttulo2"/>
        <w:numPr>
          <w:ilvl w:val="1"/>
          <w:numId w:val="22"/>
        </w:numPr>
        <w:spacing w:before="360" w:after="240" w:line="276" w:lineRule="auto"/>
        <w:ind w:left="851" w:hanging="851"/>
        <w:jc w:val="both"/>
        <w:rPr>
          <w:rFonts w:ascii="Arial" w:hAnsi="Arial" w:cs="Arial"/>
          <w:b/>
          <w:bCs/>
          <w:color w:val="9D2235" w:themeColor="accent1"/>
        </w:rPr>
      </w:pPr>
      <w:bookmarkStart w:id="518" w:name="_Toc99110841"/>
      <w:r w:rsidRPr="002D3252">
        <w:rPr>
          <w:rFonts w:ascii="Arial" w:hAnsi="Arial" w:cs="Arial"/>
          <w:b/>
          <w:bCs/>
          <w:color w:val="9D2235" w:themeColor="accent1"/>
        </w:rPr>
        <w:t>Sobre l'increment de la contractació d'emergència i el necessari control d'aquest mecanisme excepcional</w:t>
      </w:r>
      <w:bookmarkEnd w:id="518"/>
    </w:p>
    <w:p w14:paraId="0B74A0A1" w14:textId="77777777" w:rsidR="00454C19"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Tal com subratllem en la nostra Memòria anual de 2020, i que va ser així mateix objecte d'una de les recomanacions generals de l’AVAF, la gestió de la crisi ocasionada per la pandèmia internacional COVID-19, ha posat en joc elevades quantitats de fons públics a repartir via subvencions o ben destinats a satisfer ràpidament les necessitats de contractació de béns i serveis mitjançant les contractacions d'emergència.</w:t>
      </w:r>
    </w:p>
    <w:p w14:paraId="1442FEE8" w14:textId="77777777" w:rsidR="00454C19"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Des de l'AVAF continuem comprovant com les citades mesures “d'emergència” s'han anat “normalitzant” i incrementant també durant l'exercici 2021, posant en dubte els principis de bona administració pública (legalitat, eficàcia, eficiència, entre altres), en llevar recursos públics del seu destí natural: la satisfacció dels interessos generals. En efecte, el manteniment prolongat de contractacions d'emergència ha generalitzat adjudicacions directes més enllà de l'estrictament requerit i justificat i, sovint, pagant preus molt superiors als de mercat perquè no existira concurrència competitiva.</w:t>
      </w:r>
    </w:p>
    <w:p w14:paraId="6939C985" w14:textId="77777777" w:rsidR="00454C19"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 xml:space="preserve">La regulació actual de la contractació d'emergència s'estableix en l'article 120 de la Llei 9/2017, de 8 de novembre, de Contractes del Sector Públic, per la qual es transposen a l'ordenament jurídic espanyol les Directives del Parlament Europeu i del Consell 2014/23/UE i 2014/24/UE, de 26 de febrer de 2014 (LCSP). Aquesta norma assenyala que s'aplicarà el règim excepcional de la tramitació d'emergència “Quan l'Administració haja d'actuar de manera immediata a causa d'esdeveniments catastròfics, de situacions que suposen greu perill o de necessitats que afecten la defensa nacional”. D'aquest precepte es desprén el caràcter excepcional de l'ús d'aquesta figura. </w:t>
      </w:r>
    </w:p>
    <w:p w14:paraId="68F4D8D8" w14:textId="77777777" w:rsidR="00454C19"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El precepte citat eximeix, quan concórrega alguna de les circumstàncies taxades i així es justifique, de les obligacions de tramitar un expedient de contractació, publicar l'anunci de licitació, o de la prèvia existència de crèdit suficient. En definitiva, acudint a aquesta via excepcional es prescindeix dels requisits formals previstos en la normativa de contractació per a la tramitació de caràcter ordinari.</w:t>
      </w:r>
    </w:p>
    <w:p w14:paraId="142FB508" w14:textId="77777777" w:rsidR="00454C19"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No obstant això, la situació de crisi sanitària (i d'altres ordres), ocasionada per la COVID-19, ha suposat el context propici per a “l'ús abusiu” de la tramitació d'emergència. En efecte, el Reial decret llei 7/2020 i la seua modificació introduïda pel Reial decret llei 9/2020 (en l'àmbit estatal), i la Disposició Addicional 2a del Decret llei 1/2020, de 27 de març, del Consell (en l'àmbit autonòmic), van legitimar el recurs a aquesta contractació excepcional.</w:t>
      </w:r>
    </w:p>
    <w:p w14:paraId="0540B03A" w14:textId="77777777" w:rsidR="00454C19"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Però aquest tipus de contractació, unit a la substitució de la fiscalització prèvia de la funció interventora pel control financer posterior ha generat, a vegades, un escenari favorable per a la corrupció i les males pràctiques en l'àmbit contractual. Els mitjans de comunicació han publicat casos de suborns, malversació de fons, subministrament de material sanitari per preus superiors als del mercat, fraus, retards injustificats, comissionistes, subministraments defectuosos, falta de comprovacions en l'habilitació professional, classificació i solvència del licitador, no realització d'un estudi de mercat previ dels productes a adquirir, omissió de la sol·licitud d'ofertes a diferents empreses, entre altres, tots ells amb el denominador comú de l'aplicació de la contractació d'emergència.</w:t>
      </w:r>
    </w:p>
    <w:p w14:paraId="1DB55D04" w14:textId="77777777" w:rsidR="00454C19"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Centrant l'anàlisi de la qüestió en l'àmbit de la nostra Comunitat Valenciana, s'observa un notable increment en l'ús d'aquest procediment, arran de la declaració de l'estat d'alarma en l'àmbit nacional. Així, de l'informe especial de supervisió dels contractes tramitats per la via d'emergència de març de 2021, elaborat per l'Oficina Independent de Regulació i Supervisió de la Contractació (OIReSCON), [</w:t>
      </w:r>
      <w:hyperlink r:id="rId552" w:tgtFrame="_top">
        <w:r w:rsidRPr="002D3252">
          <w:rPr>
            <w:rStyle w:val="Hipervnculo"/>
            <w:rFonts w:ascii="Arial" w:hAnsi="Arial" w:cs="Arial"/>
            <w:sz w:val="21"/>
            <w:szCs w:val="21"/>
          </w:rPr>
          <w:t>https://www.hacienda.gob.es/RSC/OIReScon/COVID-19/ies-emergencias-2021/IES-emergencias-2021.pdf</w:t>
        </w:r>
      </w:hyperlink>
      <w:r w:rsidRPr="002D3252">
        <w:rPr>
          <w:rFonts w:ascii="Arial" w:hAnsi="Arial" w:cs="Arial"/>
          <w:sz w:val="21"/>
          <w:szCs w:val="21"/>
        </w:rPr>
        <w:t>],  s'evidencia aquest increment en la utilització de la contractació d'emergència:</w:t>
      </w:r>
    </w:p>
    <w:p w14:paraId="51BE21EB" w14:textId="77777777" w:rsidR="00454C19"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En els exercicis 2018 i 2019 es van formalitzar 38 contractes d'emergència dels quals només es van publicar 2 preses de raó al Consell. La despesa en la contractació d'emergència (IVA generalment exclòs) va ascendir a la quantia de 7.292.959,01 €.</w:t>
      </w:r>
    </w:p>
    <w:p w14:paraId="06280872" w14:textId="77777777" w:rsidR="00454C19" w:rsidRPr="002D3252" w:rsidRDefault="00454C19" w:rsidP="00EB4ECF">
      <w:pPr>
        <w:numPr>
          <w:ilvl w:val="0"/>
          <w:numId w:val="24"/>
        </w:numPr>
        <w:spacing w:after="80" w:line="276" w:lineRule="auto"/>
        <w:ind w:left="709" w:hanging="357"/>
        <w:jc w:val="both"/>
        <w:rPr>
          <w:rFonts w:ascii="Arial" w:hAnsi="Arial" w:cs="Arial"/>
          <w:sz w:val="21"/>
          <w:szCs w:val="21"/>
        </w:rPr>
      </w:pPr>
      <w:r w:rsidRPr="002D3252">
        <w:rPr>
          <w:rFonts w:ascii="Arial" w:hAnsi="Arial" w:cs="Arial"/>
          <w:sz w:val="21"/>
          <w:szCs w:val="21"/>
        </w:rPr>
        <w:t>Mentre que, en el període de març a desembre de 2020, es van tramitar per la via d'emergència 983 contractes, dels quals es van publicar 231 preses de raó al Consell. La despesa en aquesta contractació va ascendir a 441.315.722,73 €. (En aquesta dada s'inclouen acords marc celebrats a l'agost i setembre, que encara no s'han materialitzat).</w:t>
      </w:r>
    </w:p>
    <w:p w14:paraId="48D8A93F" w14:textId="77777777" w:rsidR="00454C19" w:rsidRPr="002D3252" w:rsidRDefault="00454C19" w:rsidP="00EB4ECF">
      <w:pPr>
        <w:numPr>
          <w:ilvl w:val="0"/>
          <w:numId w:val="24"/>
        </w:numPr>
        <w:spacing w:after="80" w:line="276" w:lineRule="auto"/>
        <w:ind w:left="709" w:hanging="357"/>
        <w:jc w:val="both"/>
        <w:rPr>
          <w:rFonts w:ascii="Arial" w:hAnsi="Arial" w:cs="Arial"/>
          <w:sz w:val="21"/>
          <w:szCs w:val="21"/>
        </w:rPr>
      </w:pPr>
      <w:r w:rsidRPr="002D3252">
        <w:rPr>
          <w:rFonts w:ascii="Arial" w:hAnsi="Arial" w:cs="Arial"/>
          <w:sz w:val="21"/>
          <w:szCs w:val="21"/>
        </w:rPr>
        <w:t>La tendència a l'ús de la contractació d'emergència s'albira en augment, donada la seua posada en pràctica durant el període de gestió i execució dels projectes vinculats al Pla de Recuperació, Transformació i Resiliència finançats amb fons de la Unió Europea Next Generation. Referent a això, s'aconsella la lectura de les Instruccions donades per la Junta Consultiva de Contractació Pública de l'Estat (JCCE) d'11 de març de 2021, sobre la tramitació d'urgència dels procediments de licitació dels contractes que es financen amb fons procedents del Pla de Recuperació, Transformació i Resiliència (PRTR) [</w:t>
      </w:r>
      <w:hyperlink r:id="rId553" w:tgtFrame="_top">
        <w:r w:rsidRPr="002D3252">
          <w:rPr>
            <w:rStyle w:val="Hipervnculo"/>
            <w:rFonts w:ascii="Arial" w:hAnsi="Arial" w:cs="Arial"/>
            <w:sz w:val="21"/>
            <w:szCs w:val="21"/>
          </w:rPr>
          <w:t>https://www.hacienda.gob.es/Documentacion/Publico/D.G.%20PATRIMONIO/Junta%20Consultiva/informes/Informes2021/instruccionJCCPEurgenciaPRTR.pdf</w:t>
        </w:r>
      </w:hyperlink>
      <w:r w:rsidRPr="002D3252">
        <w:rPr>
          <w:rFonts w:ascii="Arial" w:hAnsi="Arial" w:cs="Arial"/>
          <w:sz w:val="21"/>
          <w:szCs w:val="21"/>
        </w:rPr>
        <w:t>] i de 23 de desembre de 2021, sobre aspectes a incorporar en els expedients i en els plecs rectors dels contractes que es vagen a finançar amb fons procedents del PRTR [</w:t>
      </w:r>
      <w:hyperlink r:id="rId554" w:tgtFrame="_top">
        <w:r w:rsidRPr="002D3252">
          <w:rPr>
            <w:rStyle w:val="Hipervnculo"/>
            <w:rFonts w:ascii="Arial" w:hAnsi="Arial" w:cs="Arial"/>
            <w:sz w:val="21"/>
            <w:szCs w:val="21"/>
          </w:rPr>
          <w:t>https://www.hacienda.gob.es/Documentacion/Publico/D.G.%20PATRIMONIO/Junta%20Consultiva/informes/Informes2021/2021-075instruccionPRTR.pdf</w:t>
        </w:r>
      </w:hyperlink>
      <w:r w:rsidRPr="002D3252">
        <w:rPr>
          <w:rFonts w:ascii="Arial" w:hAnsi="Arial" w:cs="Arial"/>
          <w:sz w:val="21"/>
          <w:szCs w:val="21"/>
        </w:rPr>
        <w:t>].</w:t>
      </w:r>
    </w:p>
    <w:p w14:paraId="3AE1B9B1" w14:textId="77777777" w:rsidR="00454C19" w:rsidRPr="002D3252" w:rsidRDefault="00454C19" w:rsidP="009040EF">
      <w:pPr>
        <w:numPr>
          <w:ilvl w:val="0"/>
          <w:numId w:val="24"/>
        </w:numPr>
        <w:spacing w:after="120" w:line="276" w:lineRule="auto"/>
        <w:ind w:left="709" w:hanging="357"/>
        <w:jc w:val="both"/>
        <w:rPr>
          <w:rFonts w:ascii="Arial" w:hAnsi="Arial" w:cs="Arial"/>
          <w:sz w:val="21"/>
          <w:szCs w:val="21"/>
        </w:rPr>
      </w:pPr>
      <w:r w:rsidRPr="002D3252">
        <w:rPr>
          <w:rFonts w:ascii="Arial" w:hAnsi="Arial" w:cs="Arial"/>
          <w:sz w:val="21"/>
          <w:szCs w:val="21"/>
        </w:rPr>
        <w:t>Per tot l'anterior, des de l’AVAF recomanem no abaixar la guàrdia en l'ús a les contractacions d'emergència, aplicant els següents mecanismes:</w:t>
      </w:r>
    </w:p>
    <w:p w14:paraId="009D930C" w14:textId="77777777" w:rsidR="00454C19" w:rsidRPr="002D3252" w:rsidRDefault="00454C19" w:rsidP="009040EF">
      <w:pPr>
        <w:numPr>
          <w:ilvl w:val="1"/>
          <w:numId w:val="24"/>
        </w:numPr>
        <w:spacing w:after="80" w:line="276" w:lineRule="auto"/>
        <w:ind w:left="993" w:hanging="284"/>
        <w:jc w:val="both"/>
        <w:rPr>
          <w:rFonts w:ascii="Arial" w:hAnsi="Arial" w:cs="Arial"/>
          <w:sz w:val="21"/>
          <w:szCs w:val="21"/>
        </w:rPr>
      </w:pPr>
      <w:r w:rsidRPr="002D3252">
        <w:rPr>
          <w:rFonts w:ascii="Arial" w:hAnsi="Arial" w:cs="Arial"/>
          <w:sz w:val="21"/>
          <w:szCs w:val="21"/>
        </w:rPr>
        <w:t>Planificar les contractacions públiques;</w:t>
      </w:r>
    </w:p>
    <w:p w14:paraId="381EDB5F" w14:textId="77777777" w:rsidR="00454C19" w:rsidRPr="002D3252" w:rsidRDefault="00454C19" w:rsidP="009040EF">
      <w:pPr>
        <w:numPr>
          <w:ilvl w:val="1"/>
          <w:numId w:val="24"/>
        </w:numPr>
        <w:spacing w:after="80" w:line="276" w:lineRule="auto"/>
        <w:ind w:left="993" w:hanging="284"/>
        <w:jc w:val="both"/>
        <w:rPr>
          <w:rFonts w:ascii="Arial" w:hAnsi="Arial" w:cs="Arial"/>
          <w:sz w:val="21"/>
          <w:szCs w:val="21"/>
        </w:rPr>
      </w:pPr>
      <w:r w:rsidRPr="002D3252">
        <w:rPr>
          <w:rFonts w:ascii="Arial" w:hAnsi="Arial" w:cs="Arial"/>
          <w:sz w:val="21"/>
          <w:szCs w:val="21"/>
        </w:rPr>
        <w:t>Justificar amb claredat la causa legal que empare la contractació per via d'emergència. En aquest sentit, OIReSCON recomana publicar els informes tècnics o memòries que avalen la concurrència de les circumstàncies contemplades en l'article 120 de la LCSP, habilitants per a la tramitació d'emergència;</w:t>
      </w:r>
    </w:p>
    <w:p w14:paraId="12D2A535" w14:textId="77777777" w:rsidR="00454C19" w:rsidRPr="002D3252" w:rsidRDefault="00454C19" w:rsidP="009040EF">
      <w:pPr>
        <w:numPr>
          <w:ilvl w:val="1"/>
          <w:numId w:val="24"/>
        </w:numPr>
        <w:spacing w:after="80" w:line="276" w:lineRule="auto"/>
        <w:ind w:left="993" w:hanging="284"/>
        <w:jc w:val="both"/>
        <w:rPr>
          <w:rFonts w:ascii="Arial" w:hAnsi="Arial" w:cs="Arial"/>
          <w:sz w:val="21"/>
          <w:szCs w:val="21"/>
        </w:rPr>
      </w:pPr>
      <w:r w:rsidRPr="002D3252">
        <w:rPr>
          <w:rFonts w:ascii="Arial" w:hAnsi="Arial" w:cs="Arial"/>
          <w:sz w:val="21"/>
          <w:szCs w:val="21"/>
        </w:rPr>
        <w:t>Donades les causes taxades que permeten acudir a la tramitació d'emergència i la seua naturalesa excepcional per no respectar determinats principis generals de la contractació pública ni de bona administració, és aconsellable reflexionar sobre la possibilitat d'optar per una altra mena de tramitació que permeta la ràpida cobertura de les necessitats públiques. En aquest sentit, OIReSCON apunta la tramitació amb caràcter d'urgència, conforme a l'article 119 de la LCSP, o fins i tot l'adjudicació mitjançant el procediment negociat per raó d'imperiosa urgència, donant-se les circumstàncies recollides en l'article 168.b) de la LCSP, ja que totes dues opcions, especialment aquesta última, poden proporcionar l'agilitat necessària en la tramitació sense que es vegen minvats els principis de publicitat, transparència i concurrència, així com la resta de garanties procedimentals i controls;</w:t>
      </w:r>
    </w:p>
    <w:p w14:paraId="36188B17" w14:textId="77777777" w:rsidR="00454C19" w:rsidRPr="002D3252" w:rsidRDefault="00454C19" w:rsidP="009040EF">
      <w:pPr>
        <w:numPr>
          <w:ilvl w:val="1"/>
          <w:numId w:val="24"/>
        </w:numPr>
        <w:spacing w:after="80" w:line="276" w:lineRule="auto"/>
        <w:ind w:left="993" w:hanging="284"/>
        <w:jc w:val="both"/>
        <w:rPr>
          <w:rFonts w:ascii="Arial" w:hAnsi="Arial" w:cs="Arial"/>
          <w:sz w:val="21"/>
          <w:szCs w:val="21"/>
        </w:rPr>
      </w:pPr>
      <w:r w:rsidRPr="002D3252">
        <w:rPr>
          <w:rFonts w:ascii="Arial" w:hAnsi="Arial" w:cs="Arial"/>
          <w:sz w:val="21"/>
          <w:szCs w:val="21"/>
        </w:rPr>
        <w:t>Adoptar decisions públiques i transparents també en exercici de poders excepcionals, publicant cada detall que informe sobre aquest tipus de contractes d'emergència, allunyant tota ombra de favoritisme i/o corrupció, i permetent així que es puga controlar la seua justificació i compliment de la legalitat;</w:t>
      </w:r>
    </w:p>
    <w:p w14:paraId="669CCAF8" w14:textId="77777777" w:rsidR="00454C19" w:rsidRPr="002D3252" w:rsidRDefault="00454C19" w:rsidP="009040EF">
      <w:pPr>
        <w:numPr>
          <w:ilvl w:val="1"/>
          <w:numId w:val="24"/>
        </w:numPr>
        <w:spacing w:after="80" w:line="276" w:lineRule="auto"/>
        <w:ind w:left="993" w:hanging="284"/>
        <w:jc w:val="both"/>
        <w:rPr>
          <w:rFonts w:ascii="Arial" w:hAnsi="Arial" w:cs="Arial"/>
          <w:sz w:val="21"/>
          <w:szCs w:val="21"/>
        </w:rPr>
      </w:pPr>
      <w:r w:rsidRPr="002D3252">
        <w:rPr>
          <w:rFonts w:ascii="Arial" w:hAnsi="Arial" w:cs="Arial"/>
          <w:sz w:val="21"/>
          <w:szCs w:val="21"/>
        </w:rPr>
        <w:t>No renunciar als controls interns de cada institució ni renunciar a la comprovació material de les inversions dels diners públics. L'Administració ha d'exigir el compliment del contracte durant la seua execució, amb independència de la supressió de tràmits en fase de licitació;</w:t>
      </w:r>
    </w:p>
    <w:p w14:paraId="28236F3A" w14:textId="77777777" w:rsidR="00454C19" w:rsidRPr="002D3252" w:rsidRDefault="00454C19" w:rsidP="009040EF">
      <w:pPr>
        <w:numPr>
          <w:ilvl w:val="1"/>
          <w:numId w:val="24"/>
        </w:numPr>
        <w:spacing w:after="240" w:line="276" w:lineRule="auto"/>
        <w:ind w:left="993" w:hanging="283"/>
        <w:jc w:val="both"/>
        <w:rPr>
          <w:rFonts w:ascii="Arial" w:hAnsi="Arial" w:cs="Arial"/>
          <w:sz w:val="21"/>
          <w:szCs w:val="21"/>
        </w:rPr>
      </w:pPr>
      <w:r w:rsidRPr="002D3252">
        <w:rPr>
          <w:rFonts w:ascii="Arial" w:hAnsi="Arial" w:cs="Arial"/>
          <w:sz w:val="21"/>
          <w:szCs w:val="21"/>
        </w:rPr>
        <w:t>Prendre les mesures i precaucions possibles en l'àmbit de la ciberseguretat.</w:t>
      </w:r>
    </w:p>
    <w:p w14:paraId="3CD1881D" w14:textId="726EC375" w:rsidR="001F5B31" w:rsidRPr="002D3252" w:rsidRDefault="00454C19" w:rsidP="00454C19">
      <w:pPr>
        <w:spacing w:after="240" w:line="276" w:lineRule="auto"/>
        <w:jc w:val="both"/>
        <w:rPr>
          <w:rFonts w:ascii="Arial" w:hAnsi="Arial" w:cs="Arial"/>
          <w:sz w:val="21"/>
          <w:szCs w:val="21"/>
        </w:rPr>
      </w:pPr>
      <w:r w:rsidRPr="002D3252">
        <w:rPr>
          <w:rFonts w:ascii="Arial" w:hAnsi="Arial" w:cs="Arial"/>
          <w:sz w:val="21"/>
          <w:szCs w:val="21"/>
        </w:rPr>
        <w:t>Des de l'AVAF desitgem que la pandèmia SARS-2 COVID-19 arribe a la seua fi i, amb ella, la crisi i les devastadores conseqüències provocades per aquesta. No obstant això, el sector públic valencià ha d'eixir reforçat i preparat per a possibles eventualitats futures, planificant la contractació de les seues respectives necessitats públiques amb antelació i de manera flexible, perquè només així comptarà amb capacitat d'anticipació i amb marge de maniobra suficient per a reassignar els recursos públics en cada context, minimitzant mesures excepcionals i reactives, com ara la contractació d'emergència.</w:t>
      </w:r>
    </w:p>
    <w:p w14:paraId="33ACAA56" w14:textId="318B2002" w:rsidR="001F5B31" w:rsidRPr="002D3252" w:rsidRDefault="00601034" w:rsidP="00EB4ECF">
      <w:pPr>
        <w:pStyle w:val="Ttulo2"/>
        <w:numPr>
          <w:ilvl w:val="1"/>
          <w:numId w:val="22"/>
        </w:numPr>
        <w:spacing w:before="360" w:after="240" w:line="276" w:lineRule="auto"/>
        <w:ind w:left="851" w:hanging="851"/>
        <w:jc w:val="both"/>
        <w:rPr>
          <w:rFonts w:ascii="Arial" w:hAnsi="Arial" w:cs="Arial"/>
          <w:b/>
          <w:bCs/>
          <w:color w:val="9D2235" w:themeColor="accent1"/>
        </w:rPr>
      </w:pPr>
      <w:bookmarkStart w:id="519" w:name="_Toc99110842"/>
      <w:r>
        <w:rPr>
          <w:rFonts w:ascii="Arial" w:hAnsi="Arial" w:cs="Arial"/>
          <w:b/>
          <w:bCs/>
          <w:color w:val="9D2235" w:themeColor="accent1"/>
        </w:rPr>
        <w:t>Sobre e</w:t>
      </w:r>
      <w:r w:rsidR="00CA475E" w:rsidRPr="002D3252">
        <w:rPr>
          <w:rFonts w:ascii="Arial" w:hAnsi="Arial" w:cs="Arial"/>
          <w:b/>
          <w:bCs/>
          <w:color w:val="9D2235" w:themeColor="accent1"/>
        </w:rPr>
        <w:t>l canvi de paradigma en la cultura de la gestió pública: cap a la integritat institucional</w:t>
      </w:r>
      <w:bookmarkEnd w:id="519"/>
    </w:p>
    <w:p w14:paraId="0ECFA655" w14:textId="77777777" w:rsidR="005F1755" w:rsidRPr="002D3252" w:rsidRDefault="005F1755" w:rsidP="005F1755">
      <w:pPr>
        <w:spacing w:after="240" w:line="276" w:lineRule="auto"/>
        <w:jc w:val="both"/>
        <w:rPr>
          <w:rFonts w:ascii="Arial" w:hAnsi="Arial" w:cs="Arial"/>
          <w:sz w:val="21"/>
          <w:szCs w:val="21"/>
        </w:rPr>
      </w:pPr>
      <w:r w:rsidRPr="002D3252">
        <w:rPr>
          <w:rFonts w:ascii="Arial" w:hAnsi="Arial" w:cs="Arial"/>
          <w:sz w:val="21"/>
          <w:szCs w:val="21"/>
        </w:rPr>
        <w:t>La integritat institucional ha vingut per a quedar-se. Des de l’AVAF els traslladem les nostres reflexions de les principals raons d'aquest canvi de paradigma en la cultura de les institucions valencianes:</w:t>
      </w:r>
    </w:p>
    <w:p w14:paraId="4F2CD2E2" w14:textId="00521E28" w:rsidR="005F1755" w:rsidRPr="000A6B1B" w:rsidRDefault="005F1755" w:rsidP="000A6B1B">
      <w:pPr>
        <w:spacing w:after="240" w:line="276" w:lineRule="auto"/>
        <w:jc w:val="both"/>
        <w:rPr>
          <w:rFonts w:ascii="Arial" w:hAnsi="Arial" w:cs="Arial"/>
          <w:b/>
          <w:bCs/>
          <w:i/>
          <w:iCs/>
          <w:color w:val="9D2235" w:themeColor="accent1"/>
          <w:sz w:val="21"/>
          <w:szCs w:val="21"/>
        </w:rPr>
      </w:pPr>
      <w:r w:rsidRPr="000A6B1B">
        <w:rPr>
          <w:rFonts w:ascii="Arial" w:hAnsi="Arial" w:cs="Arial"/>
          <w:b/>
          <w:bCs/>
          <w:i/>
          <w:iCs/>
          <w:color w:val="9D2235" w:themeColor="accent1"/>
          <w:sz w:val="21"/>
          <w:szCs w:val="21"/>
        </w:rPr>
        <w:t>Perquè és la manera més eficient de protegir la seua missió de servei públic</w:t>
      </w:r>
      <w:r w:rsidR="009240D3" w:rsidRPr="000A6B1B">
        <w:rPr>
          <w:rFonts w:ascii="Arial" w:hAnsi="Arial" w:cs="Arial"/>
          <w:b/>
          <w:bCs/>
          <w:i/>
          <w:iCs/>
          <w:color w:val="9D2235" w:themeColor="accent1"/>
          <w:sz w:val="21"/>
          <w:szCs w:val="21"/>
        </w:rPr>
        <w:t>.</w:t>
      </w:r>
    </w:p>
    <w:p w14:paraId="05A3174D" w14:textId="77777777" w:rsidR="005F1755" w:rsidRPr="002D3252" w:rsidRDefault="005F1755" w:rsidP="00EB4ECF">
      <w:pPr>
        <w:numPr>
          <w:ilvl w:val="0"/>
          <w:numId w:val="25"/>
        </w:numPr>
        <w:spacing w:after="80" w:line="276" w:lineRule="auto"/>
        <w:ind w:left="714" w:hanging="357"/>
        <w:jc w:val="both"/>
        <w:rPr>
          <w:rFonts w:ascii="Arial" w:hAnsi="Arial" w:cs="Arial"/>
          <w:sz w:val="21"/>
          <w:szCs w:val="21"/>
        </w:rPr>
      </w:pPr>
      <w:r w:rsidRPr="002D3252">
        <w:rPr>
          <w:rFonts w:ascii="Arial" w:hAnsi="Arial" w:cs="Arial"/>
          <w:sz w:val="21"/>
          <w:szCs w:val="21"/>
        </w:rPr>
        <w:t xml:space="preserve">La missió de servei públic de qualsevol entitat pública és perseguir els interessos generals en el seu concret àmbit competencial. </w:t>
      </w:r>
    </w:p>
    <w:p w14:paraId="5CC1875D" w14:textId="77777777" w:rsidR="005F1755" w:rsidRPr="002D3252" w:rsidRDefault="005F1755" w:rsidP="00EB4ECF">
      <w:pPr>
        <w:numPr>
          <w:ilvl w:val="0"/>
          <w:numId w:val="25"/>
        </w:numPr>
        <w:spacing w:after="80" w:line="276" w:lineRule="auto"/>
        <w:ind w:left="714" w:hanging="357"/>
        <w:jc w:val="both"/>
        <w:rPr>
          <w:rFonts w:ascii="Arial" w:hAnsi="Arial" w:cs="Arial"/>
          <w:sz w:val="21"/>
          <w:szCs w:val="21"/>
        </w:rPr>
      </w:pPr>
      <w:r w:rsidRPr="002D3252">
        <w:rPr>
          <w:rFonts w:ascii="Arial" w:hAnsi="Arial" w:cs="Arial"/>
          <w:sz w:val="21"/>
          <w:szCs w:val="21"/>
        </w:rPr>
        <w:t>Practicar la cultura de la integritat pública a tots els nivells de l'organització permet que cada decisió i gestió estiga alineada amb l'interés de la ciutadania, i no amb els interessos particulars de qui pren la decisió, la informa en l'exercici de les seues funcions o pretén influir en ella en el seu propi benefici.</w:t>
      </w:r>
    </w:p>
    <w:p w14:paraId="0772E2F0" w14:textId="77777777" w:rsidR="005F1755" w:rsidRPr="002D3252" w:rsidRDefault="005F1755" w:rsidP="00EB4ECF">
      <w:pPr>
        <w:numPr>
          <w:ilvl w:val="0"/>
          <w:numId w:val="25"/>
        </w:numPr>
        <w:spacing w:after="240" w:line="276" w:lineRule="auto"/>
        <w:jc w:val="both"/>
        <w:rPr>
          <w:rFonts w:ascii="Arial" w:hAnsi="Arial" w:cs="Arial"/>
          <w:sz w:val="21"/>
          <w:szCs w:val="21"/>
        </w:rPr>
      </w:pPr>
      <w:r w:rsidRPr="002D3252">
        <w:rPr>
          <w:rFonts w:ascii="Arial" w:hAnsi="Arial" w:cs="Arial"/>
          <w:sz w:val="21"/>
          <w:szCs w:val="21"/>
        </w:rPr>
        <w:t>D'ací l'extraordinària importància de posar en marxa el procés per a la seua implementació en el si de cada entitat pública, perquè els marcs d'integritat apropiats contribuiran a minimitzar els riscos i irregularitats (tant penals com administratius) que, derivats de pràctiques contràries a l'interés general, amenacen tota classe de fons públics, mitjançant la prevenció i detecció del frau, la corrupció i els conflictes d'interés.</w:t>
      </w:r>
    </w:p>
    <w:p w14:paraId="5D78D718" w14:textId="77777777" w:rsidR="005F1755" w:rsidRPr="000A6B1B" w:rsidRDefault="005F1755" w:rsidP="000A6B1B">
      <w:pPr>
        <w:spacing w:after="240" w:line="276" w:lineRule="auto"/>
        <w:jc w:val="both"/>
        <w:rPr>
          <w:rFonts w:ascii="Arial" w:hAnsi="Arial" w:cs="Arial"/>
          <w:b/>
          <w:bCs/>
          <w:i/>
          <w:iCs/>
          <w:color w:val="9D2235" w:themeColor="accent1"/>
          <w:sz w:val="21"/>
          <w:szCs w:val="21"/>
        </w:rPr>
      </w:pPr>
      <w:r w:rsidRPr="000A6B1B">
        <w:rPr>
          <w:rFonts w:ascii="Arial" w:hAnsi="Arial" w:cs="Arial"/>
          <w:b/>
          <w:bCs/>
          <w:i/>
          <w:iCs/>
          <w:color w:val="9D2235" w:themeColor="accent1"/>
          <w:sz w:val="21"/>
          <w:szCs w:val="21"/>
        </w:rPr>
        <w:t>Perquè amb integritat institucional és més fàcil complir els principis de bona administració.</w:t>
      </w:r>
    </w:p>
    <w:p w14:paraId="7FE09F9D" w14:textId="77777777" w:rsidR="005F1755" w:rsidRPr="002D3252" w:rsidRDefault="005F1755" w:rsidP="00EB4ECF">
      <w:pPr>
        <w:numPr>
          <w:ilvl w:val="0"/>
          <w:numId w:val="25"/>
        </w:numPr>
        <w:spacing w:after="80" w:line="276" w:lineRule="auto"/>
        <w:ind w:left="714" w:hanging="357"/>
        <w:jc w:val="both"/>
        <w:rPr>
          <w:rFonts w:ascii="Arial" w:hAnsi="Arial" w:cs="Arial"/>
          <w:sz w:val="21"/>
          <w:szCs w:val="21"/>
        </w:rPr>
      </w:pPr>
      <w:r w:rsidRPr="002D3252">
        <w:rPr>
          <w:rFonts w:ascii="Arial" w:hAnsi="Arial" w:cs="Arial"/>
          <w:sz w:val="21"/>
          <w:szCs w:val="21"/>
        </w:rPr>
        <w:t>Sense integritat pública s'obrin les portes a pràctiques subjectives, parcials, conflictes d'interessos no detectats ni controlats, abús de l'enriquiment injust en els seus encàrrecs al marge de la legalitat, encariment de costos per inadequat lideratge i/o gestió i/o control i, en tot cas, elevats costos reputacionals per a les nostres institucions públiques; pràctiques que poden basar les polítiques públiques i la seua gestió en interessos privats, xocant de pla amb els principis constitucionals de bona administració (objectivitat, imparcialitat, eficàcia, eficiència, legalitat, entre altres).</w:t>
      </w:r>
    </w:p>
    <w:p w14:paraId="67583974" w14:textId="77777777" w:rsidR="005F1755" w:rsidRPr="002D3252" w:rsidRDefault="005F1755" w:rsidP="00EB4ECF">
      <w:pPr>
        <w:numPr>
          <w:ilvl w:val="0"/>
          <w:numId w:val="25"/>
        </w:numPr>
        <w:spacing w:after="240" w:line="276" w:lineRule="auto"/>
        <w:jc w:val="both"/>
        <w:rPr>
          <w:rFonts w:ascii="Arial" w:hAnsi="Arial" w:cs="Arial"/>
          <w:sz w:val="21"/>
          <w:szCs w:val="21"/>
        </w:rPr>
      </w:pPr>
      <w:r w:rsidRPr="002D3252">
        <w:rPr>
          <w:rFonts w:ascii="Arial" w:hAnsi="Arial" w:cs="Arial"/>
          <w:sz w:val="21"/>
          <w:szCs w:val="21"/>
        </w:rPr>
        <w:t>En aquest sentit, des de l’AVAF recomanem l'aprovació de codis ètics que, com a instruments interns d'autoregulació, fomenten valors, principis i conductes i incloguen mecanismes de prevenció i abordatge dels conflictes d'interés; l'existència de canals d'alertes i el seu procediment de gestió; i l'assessorament i vigilància per un comité d'ètica, entre altres aspectes bàsics. Des del nostre punt de vista, l'aplicació de codis hauria de fer-se extensiva a la totalitat del personal al servei de les institucions (no sols als alts càrrecs, com és habitual).</w:t>
      </w:r>
    </w:p>
    <w:p w14:paraId="3EA0F4E0" w14:textId="77777777" w:rsidR="005F1755" w:rsidRPr="000A6B1B" w:rsidRDefault="005F1755" w:rsidP="000A6B1B">
      <w:pPr>
        <w:spacing w:after="240" w:line="276" w:lineRule="auto"/>
        <w:jc w:val="both"/>
        <w:rPr>
          <w:rFonts w:ascii="Arial" w:hAnsi="Arial" w:cs="Arial"/>
          <w:b/>
          <w:bCs/>
          <w:color w:val="9D2235" w:themeColor="accent1"/>
          <w:sz w:val="21"/>
          <w:szCs w:val="21"/>
        </w:rPr>
      </w:pPr>
      <w:r w:rsidRPr="000A6B1B">
        <w:rPr>
          <w:rFonts w:ascii="Arial" w:hAnsi="Arial" w:cs="Arial"/>
          <w:b/>
          <w:bCs/>
          <w:color w:val="9D2235" w:themeColor="accent1"/>
          <w:sz w:val="21"/>
          <w:szCs w:val="21"/>
        </w:rPr>
        <w:t>Perquè és una exigència internacional i de la Unió Europea que, per primera vegada, s'ha regulat en una norma nacional.</w:t>
      </w:r>
    </w:p>
    <w:p w14:paraId="3FDF1821" w14:textId="77777777" w:rsidR="005F1755" w:rsidRPr="002D3252" w:rsidRDefault="005F1755" w:rsidP="00EB4ECF">
      <w:pPr>
        <w:numPr>
          <w:ilvl w:val="0"/>
          <w:numId w:val="25"/>
        </w:numPr>
        <w:spacing w:after="240" w:line="276" w:lineRule="auto"/>
        <w:jc w:val="both"/>
        <w:rPr>
          <w:rFonts w:ascii="Arial" w:hAnsi="Arial" w:cs="Arial"/>
          <w:sz w:val="21"/>
          <w:szCs w:val="21"/>
        </w:rPr>
      </w:pPr>
      <w:r w:rsidRPr="002D3252">
        <w:rPr>
          <w:rFonts w:ascii="Arial" w:hAnsi="Arial" w:cs="Arial"/>
          <w:sz w:val="21"/>
          <w:szCs w:val="21"/>
        </w:rPr>
        <w:t>L'OCDE (Recomanació del Consell General de l'OCDE sobre Integritat Pública) defineix la integritat pública com “L'alineació consistent amb, i el compliment de, els valors, principis i normes ètics compartits, per a mantindre i donar prioritat als interessos públics, per damunt dels interessos privats, en el sector públic”.</w:t>
      </w:r>
    </w:p>
    <w:p w14:paraId="6CAD9343" w14:textId="77777777" w:rsidR="005F1755" w:rsidRPr="002D3252" w:rsidRDefault="005F1755" w:rsidP="009240D3">
      <w:pPr>
        <w:spacing w:after="80" w:line="276" w:lineRule="auto"/>
        <w:ind w:left="709"/>
        <w:jc w:val="both"/>
        <w:rPr>
          <w:rFonts w:ascii="Arial" w:hAnsi="Arial" w:cs="Arial"/>
          <w:sz w:val="21"/>
          <w:szCs w:val="21"/>
        </w:rPr>
      </w:pPr>
      <w:r w:rsidRPr="002D3252">
        <w:rPr>
          <w:rFonts w:ascii="Arial" w:hAnsi="Arial" w:cs="Arial"/>
          <w:sz w:val="21"/>
          <w:szCs w:val="21"/>
        </w:rPr>
        <w:t>La Convenció de Nacions Unides contra la Corrupció (Nova York, 31/10/2003), ratificada per l'Estat espanyol (BOE núm. 171, de 19 de juny de 2006), anima als Estats al fet que adopten mesures encaminades a previndre i combatre el frau, la corrupció, i a promoure la integritat. En aquest sentit, la Llei Anticorrupció italiana 190/2012, entre altres, configura com a obligatoris els plans d'integritat i prevenció.</w:t>
      </w:r>
    </w:p>
    <w:p w14:paraId="59F7530C" w14:textId="77777777" w:rsidR="005F1755" w:rsidRPr="002D3252" w:rsidRDefault="005F1755" w:rsidP="00EB4ECF">
      <w:pPr>
        <w:numPr>
          <w:ilvl w:val="0"/>
          <w:numId w:val="25"/>
        </w:numPr>
        <w:spacing w:after="80" w:line="276" w:lineRule="auto"/>
        <w:jc w:val="both"/>
        <w:rPr>
          <w:rFonts w:ascii="Arial" w:hAnsi="Arial" w:cs="Arial"/>
          <w:sz w:val="21"/>
          <w:szCs w:val="21"/>
        </w:rPr>
      </w:pPr>
      <w:r w:rsidRPr="002D3252">
        <w:rPr>
          <w:rFonts w:ascii="Arial" w:hAnsi="Arial" w:cs="Arial"/>
          <w:sz w:val="21"/>
          <w:szCs w:val="21"/>
        </w:rPr>
        <w:t>És constant i creixent la preocupació de la Unió Europea per la manera en què els Estats membres gestionen els fons del seu pressupost. Per primera vegada a Espanya, aquesta preocupació es trasllada a l'Ordre del Ministeri d'Hisenda i Funció Pública HFP/1030/2021, de 29 de setembre, per la qual es configura el sistema de gestió del Pla de Recuperació, Transformació i Resiliència (BOE núm. 234, de 30 de setembre). La norma pretén protegir els interessos financers de la UE obligant a les entitats decisores i executores a incorporar al seu àmbit intern de gestió i control el “Reforç de mecanismes per a la prevenció, detecció i correcció del frau, la corrupció i els conflictes d'interés”, disposant d'un “Pla de mesures antifrau” que els permeta garantir i declarar que, en el seu respectiu àmbit d'actuació, els fons corresponents s'han utilitzat de conformitat amb les normes aplicables, en particular, pel que fa a la prevenció, detecció i correcció del frau, la corrupció i els conflictes d'interessos.</w:t>
      </w:r>
    </w:p>
    <w:p w14:paraId="0039C7CF" w14:textId="77777777" w:rsidR="005F1755" w:rsidRPr="002D3252" w:rsidRDefault="005F1755" w:rsidP="00EB4ECF">
      <w:pPr>
        <w:numPr>
          <w:ilvl w:val="0"/>
          <w:numId w:val="25"/>
        </w:numPr>
        <w:spacing w:after="240" w:line="276" w:lineRule="auto"/>
        <w:jc w:val="both"/>
        <w:rPr>
          <w:rFonts w:ascii="Arial" w:hAnsi="Arial" w:cs="Arial"/>
          <w:sz w:val="21"/>
          <w:szCs w:val="21"/>
        </w:rPr>
      </w:pPr>
      <w:r w:rsidRPr="002D3252">
        <w:rPr>
          <w:rFonts w:ascii="Arial" w:hAnsi="Arial" w:cs="Arial"/>
          <w:sz w:val="21"/>
          <w:szCs w:val="21"/>
        </w:rPr>
        <w:t xml:space="preserve">Per part seua, la Directiva (UE) 2019/1937 relativa a la protecció de les persones que informen sobre infraccions del Dret de la Unió, el termini de transposició de la qual va finalitzar el passat 17 de desembre, entrant en joc el seu efecte directe vertical, estableix l'obligació que les entitats jurídiques dels sectors privat i públic establisquen canals i procediments de denúncia interna i de seguiment d'aquestes. </w:t>
      </w:r>
    </w:p>
    <w:p w14:paraId="43B2F883" w14:textId="77777777" w:rsidR="005F1755" w:rsidRPr="000A6B1B" w:rsidRDefault="005F1755" w:rsidP="000A6B1B">
      <w:pPr>
        <w:spacing w:after="240" w:line="276" w:lineRule="auto"/>
        <w:jc w:val="both"/>
        <w:rPr>
          <w:rFonts w:ascii="Arial" w:hAnsi="Arial" w:cs="Arial"/>
          <w:b/>
          <w:bCs/>
          <w:i/>
          <w:iCs/>
          <w:color w:val="9D2235" w:themeColor="accent1"/>
          <w:sz w:val="21"/>
          <w:szCs w:val="21"/>
        </w:rPr>
      </w:pPr>
      <w:r w:rsidRPr="000A6B1B">
        <w:rPr>
          <w:rFonts w:ascii="Arial" w:hAnsi="Arial" w:cs="Arial"/>
          <w:b/>
          <w:bCs/>
          <w:i/>
          <w:iCs/>
          <w:color w:val="9D2235" w:themeColor="accent1"/>
          <w:sz w:val="21"/>
          <w:szCs w:val="21"/>
        </w:rPr>
        <w:t>Espanya i la nostra Comunitat Valenciana avancen legislant en aquesta direcció.</w:t>
      </w:r>
    </w:p>
    <w:p w14:paraId="43F488CA" w14:textId="77777777" w:rsidR="005F1755" w:rsidRPr="002D3252" w:rsidRDefault="005F1755" w:rsidP="00EB4ECF">
      <w:pPr>
        <w:numPr>
          <w:ilvl w:val="0"/>
          <w:numId w:val="25"/>
        </w:numPr>
        <w:spacing w:after="120" w:line="276" w:lineRule="auto"/>
        <w:ind w:left="714" w:hanging="357"/>
        <w:jc w:val="both"/>
        <w:rPr>
          <w:rFonts w:ascii="Arial" w:hAnsi="Arial" w:cs="Arial"/>
          <w:sz w:val="21"/>
          <w:szCs w:val="21"/>
        </w:rPr>
      </w:pPr>
      <w:r w:rsidRPr="002D3252">
        <w:rPr>
          <w:rFonts w:ascii="Arial" w:hAnsi="Arial" w:cs="Arial"/>
          <w:sz w:val="21"/>
          <w:szCs w:val="21"/>
        </w:rPr>
        <w:t>La legislació estatal està orientada cap a la integritat pública, desenvolupant en diferents normes els principis constitucionals de bona administració. Alguns exemples d'això són: l'ampliació d'aquests principis en la Llei 40/2015, d'1 d'octubre, de Règim Jurídic del Sector Públic; la regulació dels deures de les persones ocupades públiques del text refós Estatut Bàsic de l'Empleat públic aprovat per Reial decret legislatiu 5/2015, de 30 d'octubre (a desenvolupar en codis ètics); la normativa de transparència i bon govern; la d'incompatibilitats; les obligacions que la vigent Llei de Contractes del Sector Públic imposa als òrgans de contractació en matèria de conflictes d'interés; les noves obligacions en matèria de planificació i direcció per objectius; la normativa de control i auditoria, etc.</w:t>
      </w:r>
    </w:p>
    <w:p w14:paraId="17309563" w14:textId="77777777" w:rsidR="005F1755" w:rsidRPr="002D3252" w:rsidRDefault="005F1755" w:rsidP="00EB4ECF">
      <w:pPr>
        <w:numPr>
          <w:ilvl w:val="0"/>
          <w:numId w:val="25"/>
        </w:numPr>
        <w:spacing w:after="120" w:line="276" w:lineRule="auto"/>
        <w:ind w:left="714" w:hanging="357"/>
        <w:jc w:val="both"/>
        <w:rPr>
          <w:rFonts w:ascii="Arial" w:hAnsi="Arial" w:cs="Arial"/>
          <w:sz w:val="21"/>
          <w:szCs w:val="21"/>
        </w:rPr>
      </w:pPr>
      <w:r w:rsidRPr="002D3252">
        <w:rPr>
          <w:rFonts w:ascii="Arial" w:hAnsi="Arial" w:cs="Arial"/>
          <w:sz w:val="21"/>
          <w:szCs w:val="21"/>
        </w:rPr>
        <w:t>D'igual manera, l'IV Pla de Govern Obert (2020-2024) del Ministeri de Política Territorial i Funció Pública està orientat a la construcció d'un sistema d'Integritat pública, enfortint valors ètics i mecanismes per a afermar la integritat de les institucions públiques i reforçar la confiança de la ciutadania. Entre les iniciatives de la Comunitat Valenciana, s'inclou l'elaboració d'una estratègia d'integritat pública, sent l’AVAF considerada com a actor públic involucrat en el procés.</w:t>
      </w:r>
    </w:p>
    <w:p w14:paraId="3DDFAEF0" w14:textId="77777777" w:rsidR="005F1755" w:rsidRPr="002D3252" w:rsidRDefault="005F1755" w:rsidP="00EB4ECF">
      <w:pPr>
        <w:numPr>
          <w:ilvl w:val="0"/>
          <w:numId w:val="25"/>
        </w:numPr>
        <w:spacing w:after="240" w:line="276" w:lineRule="auto"/>
        <w:jc w:val="both"/>
        <w:rPr>
          <w:rFonts w:ascii="Arial" w:hAnsi="Arial" w:cs="Arial"/>
          <w:sz w:val="21"/>
          <w:szCs w:val="21"/>
        </w:rPr>
      </w:pPr>
      <w:r w:rsidRPr="002D3252">
        <w:rPr>
          <w:rFonts w:ascii="Arial" w:hAnsi="Arial" w:cs="Arial"/>
          <w:sz w:val="21"/>
          <w:szCs w:val="21"/>
        </w:rPr>
        <w:t>Existeix una sòlida arquitectura legal en la nostra Comunitat orientada a la integritat institucional sobre diverses matèries (lobbies, conflictes d'interés, transparència, bon govern, etc.), que continua avançant en aqueixa senda. La Proposició de Llei de Transparència i Bon Govern en tramitació contempla expressament l'obligatorietat de comptar amb una estratègia d'integritat pública, plans de govern i integritat i codis ètics en el sector públic valencià.</w:t>
      </w:r>
    </w:p>
    <w:p w14:paraId="4946FAF6" w14:textId="77777777" w:rsidR="005F1755" w:rsidRPr="000A6B1B" w:rsidRDefault="005F1755" w:rsidP="000A6B1B">
      <w:pPr>
        <w:spacing w:after="240" w:line="276" w:lineRule="auto"/>
        <w:jc w:val="both"/>
        <w:rPr>
          <w:rFonts w:ascii="Arial" w:hAnsi="Arial" w:cs="Arial"/>
          <w:b/>
          <w:bCs/>
          <w:i/>
          <w:iCs/>
          <w:color w:val="9D2235" w:themeColor="accent1"/>
          <w:sz w:val="21"/>
          <w:szCs w:val="21"/>
        </w:rPr>
      </w:pPr>
      <w:r w:rsidRPr="000A6B1B">
        <w:rPr>
          <w:rFonts w:ascii="Arial" w:hAnsi="Arial" w:cs="Arial"/>
          <w:b/>
          <w:bCs/>
          <w:i/>
          <w:iCs/>
          <w:color w:val="9D2235" w:themeColor="accent1"/>
          <w:sz w:val="21"/>
          <w:szCs w:val="21"/>
        </w:rPr>
        <w:t>Perquè els marcs d'integritat pública són vertaders mecanismes de prevenció del frau i la corrupció, i bons aliats del control de les polítiques públiques i la seua gestió.</w:t>
      </w:r>
    </w:p>
    <w:p w14:paraId="43169E09" w14:textId="77777777" w:rsidR="005F1755" w:rsidRPr="002D3252" w:rsidRDefault="005F1755" w:rsidP="00EB4ECF">
      <w:pPr>
        <w:numPr>
          <w:ilvl w:val="0"/>
          <w:numId w:val="25"/>
        </w:numPr>
        <w:spacing w:after="240" w:line="276" w:lineRule="auto"/>
        <w:jc w:val="both"/>
        <w:rPr>
          <w:rFonts w:ascii="Arial" w:hAnsi="Arial" w:cs="Arial"/>
          <w:sz w:val="21"/>
          <w:szCs w:val="21"/>
        </w:rPr>
      </w:pPr>
      <w:r w:rsidRPr="002D3252">
        <w:rPr>
          <w:rFonts w:ascii="Arial" w:hAnsi="Arial" w:cs="Arial"/>
          <w:sz w:val="21"/>
          <w:szCs w:val="21"/>
        </w:rPr>
        <w:t>Comptar amb una política d'integritat aprovada pel conjunt dels òrgans de govern i dotar-la dels recursos suficients, establint-se a aquest efecte els rols i responsabilitats dels actors implicats permet bandejar una de les principals vulnerabilitats de qualsevol sistema de control intern, en possibilitar una separació clara entre les funcions de gestió, control i pagament. Proposem que el servei o persones que s'encarreguen del seguiment del pla siga, preferentment, intern i, en tot cas, en matèria d'actuacions que impliquen exercici d'autoritat, sense perjudici de justificades assistències puntuals externes en serveis d'assessorament vinculats a la gestió.</w:t>
      </w:r>
    </w:p>
    <w:p w14:paraId="55B9A3F9" w14:textId="77777777" w:rsidR="005F1755" w:rsidRPr="002D3252" w:rsidRDefault="005F1755" w:rsidP="005F1755">
      <w:pPr>
        <w:spacing w:after="240" w:line="276" w:lineRule="auto"/>
        <w:jc w:val="both"/>
        <w:rPr>
          <w:rFonts w:ascii="Arial" w:hAnsi="Arial" w:cs="Arial"/>
          <w:sz w:val="21"/>
          <w:szCs w:val="21"/>
        </w:rPr>
      </w:pPr>
      <w:r w:rsidRPr="002D3252">
        <w:rPr>
          <w:rFonts w:ascii="Arial" w:hAnsi="Arial" w:cs="Arial"/>
          <w:sz w:val="21"/>
          <w:szCs w:val="21"/>
        </w:rPr>
        <w:t>Des de l’AVAF esperem estar en contacte permanent amb les persones responsables del seguiment de plans d'integritat. Per exemple, en el cas del sector públic instrumental, i en línia amb els models canadenc o estatunidenc, advoquem perquè aquest rol ho assumisca l'auditor intern de cada entitat.</w:t>
      </w:r>
    </w:p>
    <w:p w14:paraId="4DD46617" w14:textId="1F2E04B6" w:rsidR="005F1755" w:rsidRPr="002D3252" w:rsidRDefault="005F1755" w:rsidP="005F1755">
      <w:pPr>
        <w:spacing w:after="240" w:line="276" w:lineRule="auto"/>
        <w:jc w:val="both"/>
        <w:rPr>
          <w:rFonts w:ascii="Arial" w:hAnsi="Arial" w:cs="Arial"/>
          <w:sz w:val="21"/>
          <w:szCs w:val="21"/>
        </w:rPr>
      </w:pPr>
      <w:r w:rsidRPr="002D3252">
        <w:rPr>
          <w:rFonts w:ascii="Arial" w:hAnsi="Arial" w:cs="Arial"/>
          <w:sz w:val="21"/>
          <w:szCs w:val="21"/>
        </w:rPr>
        <w:t>Una de les eines preventives per excel·lència és la necessària informació, conscienciació i formació a tots els nivells organitzatius (inclosos els òrgans decisoris), posant l'accent en els sectors especials de risc detectats en cada institució. De la mateixa manera, que cada persona empleada pública identifique “</w:t>
      </w:r>
      <w:r w:rsidR="00A02973">
        <w:rPr>
          <w:rFonts w:ascii="Arial" w:hAnsi="Arial" w:cs="Arial"/>
          <w:sz w:val="21"/>
          <w:szCs w:val="21"/>
        </w:rPr>
        <w:t xml:space="preserve">red </w:t>
      </w:r>
      <w:r w:rsidRPr="002D3252">
        <w:rPr>
          <w:rFonts w:ascii="Arial" w:hAnsi="Arial" w:cs="Arial"/>
          <w:sz w:val="21"/>
          <w:szCs w:val="21"/>
        </w:rPr>
        <w:t>flags” (banderes roges) detectades en la seua àrea de pràctica, o com actuar enfront d'un potencial conflicte d'interés, sens dubte, minimitzarà incompliments i redundarà en una millora del control.</w:t>
      </w:r>
    </w:p>
    <w:p w14:paraId="4CE3AD6F" w14:textId="2C174B05" w:rsidR="001F5B31" w:rsidRDefault="005F1755" w:rsidP="005F1755">
      <w:pPr>
        <w:spacing w:after="240" w:line="276" w:lineRule="auto"/>
        <w:jc w:val="both"/>
        <w:rPr>
          <w:rFonts w:ascii="Arial" w:hAnsi="Arial" w:cs="Arial"/>
          <w:sz w:val="21"/>
          <w:szCs w:val="21"/>
        </w:rPr>
      </w:pPr>
      <w:r w:rsidRPr="002D3252">
        <w:rPr>
          <w:rFonts w:ascii="Arial" w:hAnsi="Arial" w:cs="Arial"/>
          <w:sz w:val="21"/>
          <w:szCs w:val="21"/>
        </w:rPr>
        <w:t>Una altra de les eines preventives i de millora del control per excel·lència és comptar amb una avaluació de riscos que permeta, previ autodiagnòstic de riscos en les principals àrees de pràctica de l'organització, determinar el grau de vulnerabilitat, reduir la probabilitat que els riscos es materialitzen i minimitzar el seu impacte quan això succeïsca. Així mateix, resulta convenient la definició d'un protocol d'actuació contingent dels riscos que es materialitzen. Tot això, amb coneixement dels òrgans de control, per resultar d'especial utilitat a l'hora de reforçar, si és el cas, el control financer permanent i de les auditories operatives i de compliment.</w:t>
      </w:r>
    </w:p>
    <w:p w14:paraId="14A5C361" w14:textId="77777777" w:rsidR="00B4466F" w:rsidRPr="002D3252" w:rsidRDefault="00B4466F" w:rsidP="005F1755">
      <w:pPr>
        <w:spacing w:after="240" w:line="276" w:lineRule="auto"/>
        <w:jc w:val="both"/>
        <w:rPr>
          <w:rFonts w:ascii="Arial" w:hAnsi="Arial" w:cs="Arial"/>
          <w:sz w:val="21"/>
          <w:szCs w:val="21"/>
        </w:rPr>
      </w:pPr>
    </w:p>
    <w:p w14:paraId="3AFD71AC" w14:textId="669C4CB8" w:rsidR="00CA475E" w:rsidRPr="002D3252" w:rsidRDefault="00601034" w:rsidP="00EB4ECF">
      <w:pPr>
        <w:pStyle w:val="Ttulo2"/>
        <w:numPr>
          <w:ilvl w:val="1"/>
          <w:numId w:val="22"/>
        </w:numPr>
        <w:spacing w:before="360" w:after="240" w:line="276" w:lineRule="auto"/>
        <w:ind w:left="851" w:hanging="851"/>
        <w:jc w:val="both"/>
        <w:rPr>
          <w:rFonts w:ascii="Arial" w:hAnsi="Arial" w:cs="Arial"/>
        </w:rPr>
      </w:pPr>
      <w:bookmarkStart w:id="520" w:name="_Toc99110843"/>
      <w:r w:rsidRPr="00601034">
        <w:rPr>
          <w:rFonts w:ascii="Arial" w:hAnsi="Arial" w:cs="Arial"/>
          <w:b/>
          <w:bCs/>
          <w:color w:val="9D2235" w:themeColor="accent1"/>
        </w:rPr>
        <w:t>Sobre l'ètica</w:t>
      </w:r>
      <w:r w:rsidR="00CA475E" w:rsidRPr="002D3252">
        <w:rPr>
          <w:rFonts w:ascii="Arial" w:hAnsi="Arial" w:cs="Arial"/>
          <w:b/>
          <w:bCs/>
          <w:color w:val="9D2235" w:themeColor="accent1"/>
        </w:rPr>
        <w:t xml:space="preserve"> pública i col·laboració institucional</w:t>
      </w:r>
      <w:bookmarkEnd w:id="520"/>
    </w:p>
    <w:p w14:paraId="7B725969" w14:textId="77777777"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La nostra època està dominada, com afirma Wendy Brown, per un individualisme competitiu, que ens disminueix com a individus i que està fragmentat els mecanismes de vertebració col·lectiva. No obstant això, i contràriament a aquesta dinàmica de les societats autodenominades més avançades, el que ens caracteritza com a espècie no és només que siguem éssers socials, sinó que les persones individualment considerades i els grups humans som realitats radicalment interdependents. Dit d'una altra manera, no es tracta tan sols que a cap persona li siga possible arribar a l'edat adulta sense les cures i les atencions d'altres persones. Es tracta, com ha posat de manifest la pandèmia, que també requerim dels serveis i ajudes dels altres a tot el llarg de la nostra existència. Es tracta que tota la nostra vida està estructurada en sistemes de relacions interpersonals, que generen un ordre i unes lògiques d'actuació i jerarquia, que denominem institucions, tant en el sentit social com polític de la paraula.</w:t>
      </w:r>
    </w:p>
    <w:p w14:paraId="6CDD0C66" w14:textId="77777777"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De fet, són les característiques d'aquestes institucions, les relacions que s'estableixen entre elles i la capacitat que tenen tant per a col·laborar com per a ser inclusives (o excloents) les que determinen la qualitat democràtica i el grau de cohesió igualitària que desenvolupa cada comunitat política a través del seu sistema institucional.</w:t>
      </w:r>
    </w:p>
    <w:p w14:paraId="77319D9C" w14:textId="77777777"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Els anys de la bombolla immobiliària i els de la Gran Recessió de 2008, amb tota la successió de casos de corrupció a ells associats, van ser un temps de degradació de la funció pública i de reducció i desestructuració de les administracions i institucions públiques, especialment a la Comunitat Valenciana. Unes administracions públiques més febles, més fragmentades, més aïllades, menys col·laboratives i més penetrades per interessos personals i exclusivament privats, són sempre unes administracions amb menys legitimitat entre la ciutadania i amb menys capacitat de prevenció, control i persecució de les males pràctiques en la gestió, del frau i de la corrupció.</w:t>
      </w:r>
    </w:p>
    <w:p w14:paraId="457873EA" w14:textId="77777777"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Com Alcalá i Jiménez</w:t>
      </w:r>
      <w:r w:rsidRPr="002D3252">
        <w:rPr>
          <w:rFonts w:ascii="Arial" w:hAnsi="Arial" w:cs="Arial"/>
          <w:sz w:val="21"/>
          <w:szCs w:val="21"/>
          <w:vertAlign w:val="superscript"/>
        </w:rPr>
        <w:footnoteReference w:id="10"/>
      </w:r>
      <w:r w:rsidRPr="002D3252">
        <w:rPr>
          <w:rFonts w:ascii="Arial" w:hAnsi="Arial" w:cs="Arial"/>
          <w:sz w:val="21"/>
          <w:szCs w:val="21"/>
        </w:rPr>
        <w:t xml:space="preserve"> demostren, entre el nivell de desenvolupament econòmic espanyol i els nostres nivells de qualitat democràtica, sistemes de benestar i de penetració de la corrupció hi ha un desfasament significatiu de tipus negatiu. La qualitat institucional espanyola és deficient i això, estructuralment, permet espais per al desenvolupament de pràctiques corruptes i fraudulentes. I, a més, l'escassa qualitat institucional explica que la resposta punitiva de tall autoritari i no la prevenció i l'ètica pública cívica i democràtica siga, sovint, vista com la solució a aquests problemes. </w:t>
      </w:r>
    </w:p>
    <w:p w14:paraId="3903B6CB" w14:textId="04AF28DD"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Necessitaríem, per tant, institucions públiques pluralistes fort</w:t>
      </w:r>
      <w:r w:rsidR="00A02973">
        <w:rPr>
          <w:rFonts w:ascii="Arial" w:hAnsi="Arial" w:cs="Arial"/>
          <w:sz w:val="21"/>
          <w:szCs w:val="21"/>
        </w:rPr>
        <w:t>e</w:t>
      </w:r>
      <w:r w:rsidRPr="002D3252">
        <w:rPr>
          <w:rFonts w:ascii="Arial" w:hAnsi="Arial" w:cs="Arial"/>
          <w:sz w:val="21"/>
          <w:szCs w:val="21"/>
        </w:rPr>
        <w:t>s, respectades, eficaces i eficients que perseguisquen un interés realment comú, determinat per un debat públic democràtic i que siga majoritàriament compartit. Únicament d'aquesta manera és possible anar tancant la bretxa entre nivell econòmic i grau de corrupció, i acostar els nostres estàndards d'integritat pública, qualitat democràtica i benestar social i mediambiental al dels països més avançats o, si més no, adequar-los als nivells que ens correspondrien d'acord amb la nostra riquesa econòmica.</w:t>
      </w:r>
    </w:p>
    <w:p w14:paraId="5E885AF8" w14:textId="77777777"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 xml:space="preserve">Previndre una malaltia és millor que haver de curar-la, els costos emocionals i econòmics són menors i se salvaguarden més vides. Els països amb menors nivells de corrupció del món i millor qualitat de vida no ocupen aquesta posició perquè l'ADN dels seus habitants siga especial, sinó perquè posseeixen unes institucions amb una qualitat democràtica elevada i un nivell sòlid d'integritat pública. Com en medicina, la persecució dels casos de corrupció continua sent important, però el que és decisiu és la prevenció i l'existència d'una ètica cívica i una valoració forta dels béns comuns. </w:t>
      </w:r>
    </w:p>
    <w:p w14:paraId="3016B20A" w14:textId="77777777"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 xml:space="preserve">És aquesta qualitat institucional, la prevenció i la formació col·lectiva en ètica cívica la que, en bona mesura, explica el bon nivell de vida d'aquests països. No es posen en dubte els drets i les llibertats individuals, la capacitat d'iniciativa perquè cada persona puga dur a terme un projecte de vida diferent, i alhora es preserven els interessos comuns i col·lectius a través d'un sistema institucional fort, exigent i en el qual el poder de decisió està, essencialment, en mans de les persones triades per sistemes de participació política igual i democràtica. </w:t>
      </w:r>
    </w:p>
    <w:p w14:paraId="71B8EA38" w14:textId="77777777"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A la Comunitat Valenciana, necessitem unes institucions i administracions públiques fortes i legitimades democràticament. Necessitem més col·laboració institucional. La lluita contra la corrupció ha de ser essencialment preventiva i de formació d'una ètica cívica generalitzada. És important comptar amb plans antifrau i amb bústies de denúncia en totes les administracions públiques. Ho és, encara més, desenvolupar plans d'integritat exigents. Però tots aquests avanços quedarien en res si no som capaços de generalitzar un grau d'ètica cívica democràtica en el conjunt de la societat i en les seues institucions.</w:t>
      </w:r>
    </w:p>
    <w:p w14:paraId="5DFE5636" w14:textId="77777777" w:rsidR="009240D3" w:rsidRPr="002D3252" w:rsidRDefault="009240D3" w:rsidP="009240D3">
      <w:pPr>
        <w:spacing w:after="240" w:line="276" w:lineRule="auto"/>
        <w:jc w:val="both"/>
        <w:rPr>
          <w:rFonts w:ascii="Arial" w:hAnsi="Arial" w:cs="Arial"/>
          <w:sz w:val="21"/>
          <w:szCs w:val="21"/>
        </w:rPr>
      </w:pPr>
      <w:r w:rsidRPr="002D3252">
        <w:rPr>
          <w:rFonts w:ascii="Arial" w:hAnsi="Arial" w:cs="Arial"/>
          <w:sz w:val="21"/>
          <w:szCs w:val="21"/>
        </w:rPr>
        <w:t xml:space="preserve">Som éssers interdependents i, de la mateixa manera, les institucions públiques són igualment interdependents. La col·laboració institucional, de manera informal o mitjançant acords públics, és decisiva si volem unes administracions públiques més resistents a la corrupció i amb més prestigi social i democràtic. </w:t>
      </w:r>
    </w:p>
    <w:p w14:paraId="013E36CE" w14:textId="36451B6F" w:rsidR="009240D3" w:rsidRDefault="009240D3" w:rsidP="009240D3">
      <w:pPr>
        <w:spacing w:after="240" w:line="276" w:lineRule="auto"/>
        <w:jc w:val="both"/>
        <w:rPr>
          <w:rFonts w:ascii="Arial" w:hAnsi="Arial" w:cs="Arial"/>
          <w:sz w:val="21"/>
          <w:szCs w:val="21"/>
        </w:rPr>
      </w:pPr>
      <w:r w:rsidRPr="002D3252">
        <w:rPr>
          <w:rFonts w:ascii="Arial" w:hAnsi="Arial" w:cs="Arial"/>
          <w:sz w:val="21"/>
          <w:szCs w:val="21"/>
        </w:rPr>
        <w:t>Per aquest motiu, l'Agència Valenciana Antifrau, des del moment de la seua creació i en la mesura de les seues possibilitats i funcions, ha impulsat convenis i protocols de col·laboració amb la resta de les agències antifrau espanyoles i europees, i, singularment, amb les universitats i administracions públiques valencianes. Queda molt per fer, però el futur exigeix augmentar els nivells de col·laboració institucional amb totes les administracions públiques valencianes i, de manera singular, amb la Generalitat si desitgem ser una societat amb majors nivells d'ètica cívica, més qualitat institucional, més igualtat i nivells de benestar social i mediambiental realment avançats.</w:t>
      </w:r>
    </w:p>
    <w:p w14:paraId="143A37D6" w14:textId="77777777" w:rsidR="00B4466F" w:rsidRPr="002D3252" w:rsidRDefault="00B4466F" w:rsidP="009240D3">
      <w:pPr>
        <w:spacing w:after="240" w:line="276" w:lineRule="auto"/>
        <w:jc w:val="both"/>
        <w:rPr>
          <w:rFonts w:ascii="Arial" w:hAnsi="Arial" w:cs="Arial"/>
          <w:sz w:val="21"/>
          <w:szCs w:val="21"/>
        </w:rPr>
      </w:pPr>
    </w:p>
    <w:p w14:paraId="03B60073" w14:textId="77777777" w:rsidR="00B4466F" w:rsidRPr="002D3252" w:rsidRDefault="00B4466F" w:rsidP="00B4466F">
      <w:pPr>
        <w:pStyle w:val="Ttulo2"/>
        <w:numPr>
          <w:ilvl w:val="1"/>
          <w:numId w:val="22"/>
        </w:numPr>
        <w:spacing w:before="360" w:after="240" w:line="276" w:lineRule="auto"/>
        <w:ind w:left="851" w:hanging="851"/>
        <w:jc w:val="both"/>
        <w:rPr>
          <w:rFonts w:ascii="Arial" w:hAnsi="Arial" w:cs="Arial"/>
          <w:b/>
          <w:bCs/>
          <w:color w:val="9D2235" w:themeColor="accent1"/>
        </w:rPr>
      </w:pPr>
      <w:bookmarkStart w:id="521" w:name="_Toc99110844"/>
      <w:r>
        <w:rPr>
          <w:rFonts w:ascii="Arial" w:hAnsi="Arial" w:cs="Arial"/>
          <w:b/>
          <w:bCs/>
          <w:color w:val="9D2235" w:themeColor="accent1"/>
        </w:rPr>
        <w:t>Sobre l’efecte directe</w:t>
      </w:r>
      <w:r w:rsidRPr="002D3252">
        <w:rPr>
          <w:rFonts w:ascii="Arial" w:hAnsi="Arial" w:cs="Arial"/>
          <w:b/>
          <w:bCs/>
          <w:color w:val="9D2235" w:themeColor="accent1"/>
        </w:rPr>
        <w:t xml:space="preserve"> de la Directiva (UE) 2019/1937 del Parlament Europeu i del Consell de 23 d'octubre de 2019, relativa a la protecció de les persones que informen sobre infraccions del Dret de la Unió</w:t>
      </w:r>
      <w:bookmarkEnd w:id="521"/>
    </w:p>
    <w:p w14:paraId="783BE7D5"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La transposició en termini de les Directives aprovades pel Parlament Europeu i el Consell de la Unió Europea és considerada en l'actualitat un dels pilars de la construcció del marc jurídic europeu, i això en ser conscient la Unió Europea de la importància que els Estats membres efectuen la transposició de les Directives de manera correcta, completa i en el temps establit per a això.</w:t>
      </w:r>
    </w:p>
    <w:p w14:paraId="2D39CF17"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La consideració del període de transposició com un element determinant de la cohesió europea va ser precisament la circumstància que provoque la revisió de l'article 260.3 del Tractat de Funcionament de la Unió Europea. La transcendental modificació va ser operada pel Tractat de Lisboa, que va introduir en l'article 260.3, com a novetat, un sistema d'imposició de sancions econòmiques de manera accelerada per a aquells supòsits en els quals el Tribunal de Justícia de la Unió Europea, a instàncies de la Comissió, constate l'incompliment d'aquests terminis de transposició.</w:t>
      </w:r>
    </w:p>
    <w:p w14:paraId="1DCA70D0"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 xml:space="preserve">Durant el període a què es refereix aquesta Memòria ha d'assenyalar-se que la falta de diligència del legislador estatal espanyol, habitual incomplidor a l'hora de transposar les Directives comunitàries, ha provocat la imposició per primera vegada en la història de la Unió Europea d'una sanció doble, amb base en l'article 260 del Tractat de Funcionament, consistent en una multa a tant alçat per un total de 15 milions d'euros, a la qual s'ha addicionat una segona multa coercitiva de 89.000 euros diaris. La inèdita sanció imposada pel Tribunal de Justícia de la Unió Europea contra l'Estat espanyol en la </w:t>
      </w:r>
      <w:hyperlink r:id="rId555" w:history="1">
        <w:r w:rsidRPr="0072307C">
          <w:rPr>
            <w:rStyle w:val="Hipervnculo"/>
            <w:rFonts w:ascii="Arial" w:hAnsi="Arial" w:cs="Arial"/>
            <w:sz w:val="21"/>
            <w:szCs w:val="21"/>
          </w:rPr>
          <w:t>Sentència de 25 de febrer de 2021</w:t>
        </w:r>
      </w:hyperlink>
      <w:r w:rsidRPr="0072307C">
        <w:rPr>
          <w:rFonts w:ascii="Arial" w:hAnsi="Arial" w:cs="Arial"/>
          <w:sz w:val="21"/>
          <w:szCs w:val="21"/>
        </w:rPr>
        <w:t xml:space="preserve"> (Assumpte c-658/19) es fonamenta, en paraules del mateix tribunal europeu, en “la prevenció efectiva de la repetició futura d'infraccions anàlogues del Dret de la Unió”.</w:t>
      </w:r>
    </w:p>
    <w:p w14:paraId="7A568BAA"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 xml:space="preserve">No obstant això la severitat de la sanció, l'Estat espanyol continua hui dia amb la seua inactivitat general en la transposició de les Directives europees, resultant que a data de redacció d'aquesta Memòria no ha sigut transposada encara a l'ordenament jurídic espanyol la </w:t>
      </w:r>
      <w:hyperlink r:id="rId556" w:history="1">
        <w:r w:rsidRPr="0072307C">
          <w:rPr>
            <w:rStyle w:val="Hipervnculo"/>
            <w:rFonts w:ascii="Arial" w:hAnsi="Arial" w:cs="Arial"/>
            <w:sz w:val="21"/>
            <w:szCs w:val="21"/>
          </w:rPr>
          <w:t>Directiva (UE) 2019/1937 del Parlament Europeu i del Consell, de 23 d'octubre de 2019, relativa a la protecció de les persones que informen sobre infraccions del Dret de la Unió</w:t>
        </w:r>
      </w:hyperlink>
      <w:r w:rsidRPr="0072307C">
        <w:rPr>
          <w:rFonts w:ascii="Arial" w:hAnsi="Arial" w:cs="Arial"/>
          <w:sz w:val="21"/>
          <w:szCs w:val="21"/>
        </w:rPr>
        <w:t xml:space="preserve">, el termini de la qual va véncer transcorreguts dos anys des de la seua vigència, el 17 de desembre de 2021. </w:t>
      </w:r>
    </w:p>
    <w:p w14:paraId="6538EA1F"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Aquest incompliment ha donat lloc al fet que el 27 de gener de 2022 la Comissió Europea haja iniciat contra l'Estat espanyol el procediment d'infracció INFR(2022)0073.</w:t>
      </w:r>
    </w:p>
    <w:p w14:paraId="537AA0B8"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 xml:space="preserve">Sense perjudici de les possibles sancions al fet que novament s'enfrontarà l'Estat per la falta d'aquesta transposició, malgrat que la seua necessitat ja havia sigut advertida reiteradament per l'Agència Valenciana Antifrau, en les seues Memòries de </w:t>
      </w:r>
      <w:hyperlink r:id="rId557" w:history="1">
        <w:r w:rsidRPr="0072307C">
          <w:rPr>
            <w:rStyle w:val="Hipervnculo"/>
            <w:rFonts w:ascii="Arial" w:hAnsi="Arial" w:cs="Arial"/>
            <w:sz w:val="21"/>
            <w:szCs w:val="21"/>
          </w:rPr>
          <w:t>2019</w:t>
        </w:r>
      </w:hyperlink>
      <w:r w:rsidRPr="0072307C">
        <w:rPr>
          <w:rFonts w:ascii="Arial" w:hAnsi="Arial" w:cs="Arial"/>
          <w:sz w:val="21"/>
          <w:szCs w:val="21"/>
        </w:rPr>
        <w:t xml:space="preserve"> (pàgina 224 i següents) i </w:t>
      </w:r>
      <w:hyperlink r:id="rId558" w:history="1">
        <w:r w:rsidRPr="0072307C">
          <w:rPr>
            <w:rStyle w:val="Hipervnculo"/>
            <w:rFonts w:ascii="Arial" w:hAnsi="Arial" w:cs="Arial"/>
            <w:sz w:val="21"/>
            <w:szCs w:val="21"/>
          </w:rPr>
          <w:t>de 2020</w:t>
        </w:r>
      </w:hyperlink>
      <w:r w:rsidRPr="0072307C">
        <w:rPr>
          <w:rFonts w:ascii="Arial" w:hAnsi="Arial" w:cs="Arial"/>
          <w:sz w:val="21"/>
          <w:szCs w:val="21"/>
        </w:rPr>
        <w:t xml:space="preserve"> (pàgina 227), és procedent reiterar aquesta exigència, donades les greus conseqüències que la seua falta pot implicar, al mateix temps que resulta necessari advertir de l'efecte directe de les seues disposicions, que poden ser invocades davant els òrgans administratius i judicials de l'Estat espanyol, els qui han d'aplicar directament la Directiva 2019/1937 atenien a la fi últim que aquesta persegueix, que no és un altre que la vertadera i efectiva protecció de les persones que denuncien o alerten sobre fets i conductes que poden ser constitutives de frau, corrupció o males pràctiques i que són contraris a l'interés general.</w:t>
      </w:r>
    </w:p>
    <w:p w14:paraId="22749D8B"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 xml:space="preserve">L'aplicació directa de la Directiva a l'ordenament jurídic espanyol, amb vista a protegir les persones denunciants, ha sigut defensada per aquesta Agència des del moment mateix en el qual la Directiva va entrar en vigor, és a dir, als 20 dies de la seua publicació en el Diari Oficial de la Unió Europea (17 de desembre de 2019), i no tan sols esgotat el termini per a la seua transposició, ja que de conformitat amb la jurisprudència europea les Directives produeixen efecte des que són dictades. Així ho va deixar dit la </w:t>
      </w:r>
      <w:hyperlink r:id="rId559" w:history="1">
        <w:r w:rsidRPr="0072307C">
          <w:rPr>
            <w:rStyle w:val="Hipervnculo"/>
            <w:rFonts w:ascii="Arial" w:hAnsi="Arial" w:cs="Arial"/>
            <w:sz w:val="21"/>
            <w:szCs w:val="21"/>
          </w:rPr>
          <w:t>Sentència de la Gran Sala de 4 de juliol de 2006 del Tribunal de Justícia de la Unió Europea</w:t>
        </w:r>
      </w:hyperlink>
      <w:r w:rsidRPr="0072307C">
        <w:rPr>
          <w:rFonts w:ascii="Arial" w:hAnsi="Arial" w:cs="Arial"/>
          <w:sz w:val="21"/>
          <w:szCs w:val="21"/>
        </w:rPr>
        <w:t xml:space="preserve"> que recorda en el seu Fonament 119 que “una directiva produeix efectes jurídics enfront de l'Estat membre destinatari -i, per tant, enfront de totes les autoritats nacionals-, a partir de la seua publicació”, complementant la qüestió en el Fonament 123 que declara que “d’això es dedueix que, a partir de la data d'entrada en vigor d'una directiva, els òrgans jurisdiccionals dels Estats membres han d'abstindre's en la mesura que siga possible d'interpretar el seu Dret intern d'una manera que puga comprometre greument, després de l'expiració del termini d'adaptació del Dret intern a la directiva, la realització de l'objectiu perseguit per aquesta”.</w:t>
      </w:r>
    </w:p>
    <w:p w14:paraId="6ECCAA25"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Els raonaments sobre l'aplicació de la Directiva que aquesta Agència sostenia en aplicació del denominat efecte anticipat es veuen hui augmentats i ratificats per la doctrina sobre l'efecte directe vertical, que sorgeix una vegada que ha vençut el termini per a la transposició.</w:t>
      </w:r>
    </w:p>
    <w:p w14:paraId="3CA846AD"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L'efecte directe vertical és una construcció jurisprudencial del Tribunal de Justícia de la Unió Europea, que de manera constant i reiterada ha vingut afirmant que en aquells casos en els quals les disposicions d'una Directiva siguen incondicionals i prou precises en l'atribució de drets als particulars, aquests podran invocar-les enfront de l'Estat, ja siga quan aquella no haja sigut transposada en el termini establit, ja en aquells casos en els quals existisca una transposició incorrecta o incompleta. En definitiva, l'efecte directe vertical condueix a la consideració que una Directiva és dret plenament aplicable quan no ha sigut transposada en termini i la mateixa és prou precisa en l'atribució de drets a favor dels particulars.</w:t>
      </w:r>
    </w:p>
    <w:p w14:paraId="1EAC30CB"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Aquest efecte directe vertical ha sigut interpretat de manera extensa pel Tribunal de Justícia de la Unió Europea, que permet la invocació directa del contingut de les Directives, en tot cas, enfront de l'Estat. En aquest sentit, la Unió Europea configura una interpretació extensa del concepte d’Estat, que no es limita a l'Administració General de l'Estat, sinó que aconsegueix a més a qualssevol administracions públiques i entitats del sector públic.</w:t>
      </w:r>
    </w:p>
    <w:p w14:paraId="4ED89C55"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 xml:space="preserve">Per si no fóra prou, ha d'indicar-se que el Tribunal de Justícia de la Unió Europea ha habilitat mecanismes que amplien l'aplicació de les Directives, i això amb base en els principis, també invocats per aquesta Agència, d'interpretació conforme i d'inaplicació del Dret intern que resulte incompatible amb la Directiva. </w:t>
      </w:r>
    </w:p>
    <w:p w14:paraId="66F258BF"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 xml:space="preserve">El primer d'aquests principis, complementaris a aquest efecte directe, obliga els jutges i tribunals nacionals a interpretar el Dret nacional conforme a l'esperit i finalitat de la Directiva, devent els òrgans judicials considerar el conjunt de normes de Dret intern i els seus mètodes d'interpretació per a aconseguir una solució que resulte conforme a l'objectiu perseguit per la Directiva, és a dir, concorde en aquest cas al principi de protecció a les persones denunciants. </w:t>
      </w:r>
    </w:p>
    <w:p w14:paraId="7A43787E"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Així, el màxim exponent del principi complementari d'interpretació conforme en el Dret intern espanyol ho trobem l’articulo 4 bis, apartat 1, de la Llei orgànica 6/1985, d'1 de juliol, del Poder Judicial, conforme al qual “Els Jutges i Tribunals aplicaran el Dret de la Unió Europea de conformitat amb la jurisprudència del Tribunal de Justícia de la Unió Europea” (redacció donada a partir d'1 d'octubre de 2015).</w:t>
      </w:r>
    </w:p>
    <w:p w14:paraId="09726334"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El segon dels principis, el denominat principi d'inaplicació de la norma nacional contrària al Dret de la Unió Europe, sorgeix de les Sentències Mangold, Kücükdeveci, Prigge i Dansk Industri, en les que s'ha assenyalat que els tribunals nacionals han de deixar d'aplicar qualsevol disposició de Dret nacional que resulte contrària a un principi general del Dret de la Unió.</w:t>
      </w:r>
    </w:p>
    <w:p w14:paraId="045464E3"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Així doncs, de conformitat amb la doctrina i jurisprudència ha de recomanar-se, tant als jutjats i tribunals com a les administracions públiques i sector públic extens, que han d'aplicar les previsions de la Directiva 2019/1937 en benefici dels particulars, siguen aquests tercers denunciants o personal propi d'entitats públiques A tals efectes, aquesta Agència efectua a continuació una breu anàlisi del contingut d'aquesta Directiva i la seua projecció d'efectes directes.</w:t>
      </w:r>
    </w:p>
    <w:p w14:paraId="34AF0546"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b/>
          <w:bCs/>
          <w:color w:val="9D2235" w:themeColor="accent1"/>
          <w:sz w:val="21"/>
          <w:szCs w:val="21"/>
        </w:rPr>
        <w:t xml:space="preserve">Capítol I. Àmbit d'aplicació i condicions de protecció. </w:t>
      </w:r>
    </w:p>
    <w:p w14:paraId="396A19BC" w14:textId="77777777" w:rsidR="00B4466F" w:rsidRPr="0072307C" w:rsidRDefault="00B4466F" w:rsidP="00B4466F">
      <w:pPr>
        <w:spacing w:after="120" w:line="276" w:lineRule="auto"/>
        <w:ind w:left="567"/>
        <w:jc w:val="both"/>
        <w:rPr>
          <w:rFonts w:ascii="Arial" w:hAnsi="Arial" w:cs="Arial"/>
          <w:sz w:val="20"/>
          <w:szCs w:val="20"/>
        </w:rPr>
      </w:pPr>
      <w:r w:rsidRPr="0072307C">
        <w:rPr>
          <w:rFonts w:ascii="Arial" w:hAnsi="Arial" w:cs="Arial"/>
          <w:sz w:val="20"/>
          <w:szCs w:val="20"/>
        </w:rPr>
        <w:t>Les precisions contemplades en el Capítol I de la Directiva resulten d'aplicació directa, encara que la mateixa no estiga transposada, ja que la regulació es detallada, incondicional i atributiva de drets en els termes que hem deixat assenyalats fins al moment.</w:t>
      </w:r>
    </w:p>
    <w:p w14:paraId="366A09D4" w14:textId="77777777" w:rsidR="00B4466F" w:rsidRPr="0072307C" w:rsidRDefault="00B4466F" w:rsidP="00B4466F">
      <w:pPr>
        <w:spacing w:after="120" w:line="276" w:lineRule="auto"/>
        <w:ind w:left="567"/>
        <w:jc w:val="both"/>
        <w:rPr>
          <w:rFonts w:ascii="Arial" w:hAnsi="Arial" w:cs="Arial"/>
          <w:sz w:val="20"/>
          <w:szCs w:val="20"/>
        </w:rPr>
      </w:pPr>
      <w:r w:rsidRPr="0072307C">
        <w:rPr>
          <w:rFonts w:ascii="Arial" w:hAnsi="Arial" w:cs="Arial"/>
          <w:sz w:val="20"/>
          <w:szCs w:val="20"/>
        </w:rPr>
        <w:t xml:space="preserve">Així, la protecció de la Directiva es desplegarà quan es formule denúncia en aquelles matèries delimitades per l'article 2 de la mateixa i detallades en l'Annex I, en el qual  s'estableix l'àmbit mínim comú objectiu material. </w:t>
      </w:r>
    </w:p>
    <w:p w14:paraId="1D07DD43" w14:textId="77777777" w:rsidR="00B4466F" w:rsidRPr="0072307C" w:rsidRDefault="00B4466F" w:rsidP="00B4466F">
      <w:pPr>
        <w:spacing w:after="120" w:line="276" w:lineRule="auto"/>
        <w:ind w:left="567"/>
        <w:jc w:val="both"/>
        <w:rPr>
          <w:rFonts w:ascii="Arial" w:hAnsi="Arial" w:cs="Arial"/>
          <w:sz w:val="20"/>
          <w:szCs w:val="20"/>
        </w:rPr>
      </w:pPr>
      <w:r w:rsidRPr="0072307C">
        <w:rPr>
          <w:rFonts w:ascii="Arial" w:hAnsi="Arial" w:cs="Arial"/>
          <w:sz w:val="20"/>
          <w:szCs w:val="20"/>
        </w:rPr>
        <w:t xml:space="preserve">Pel que respecta a l'extensió subjectiva de la Directiva també ha d'indicar-se que la mateixa ostenta un efecte directe, i això a la vista que l'article 4 determina amb total rigor i extensió l'abast de la seua aplicació, assenyalant-se específicament que aquesta és aplicable a tots els treballadors per compte d'altri, inclosos els funcionaris, així com als treballadors per compte propi, els accionistes i personal directiu d'òrgans d'administració, voluntaris, treballadors en pràctica amb o sense remuneració i, en general, qualsevol persona que treballe sota la supervisió i la direcció de contractistes, subcontractistes i proveïdors. </w:t>
      </w:r>
    </w:p>
    <w:p w14:paraId="51C0259C" w14:textId="77777777" w:rsidR="00B4466F" w:rsidRPr="0072307C" w:rsidRDefault="00B4466F" w:rsidP="00B4466F">
      <w:pPr>
        <w:spacing w:after="120" w:line="276" w:lineRule="auto"/>
        <w:ind w:left="567"/>
        <w:jc w:val="both"/>
        <w:rPr>
          <w:rFonts w:ascii="Arial" w:hAnsi="Arial" w:cs="Arial"/>
          <w:sz w:val="20"/>
          <w:szCs w:val="20"/>
        </w:rPr>
      </w:pPr>
      <w:r w:rsidRPr="0072307C">
        <w:rPr>
          <w:rFonts w:ascii="Arial" w:hAnsi="Arial" w:cs="Arial"/>
          <w:sz w:val="20"/>
          <w:szCs w:val="20"/>
        </w:rPr>
        <w:t>Finalment, en el que atén les condicions de protecció ha d'assenyalar-se que l'article 6 és complet en la seua regulació, raó per la qual també gaudeix d'efecte directe, havent de recordar-se que aquest article precisa que els denunciants tindran dret a la protecció, tant quan hagueren efectuat denúncia per canals interns o externs, com quan hagueren realitzat una revelació pública, sense que el legislador europeu efectue distinció en la protecció per raó de la modalitat de la denúncia, administrativa o penal.</w:t>
      </w:r>
    </w:p>
    <w:p w14:paraId="536FBC72" w14:textId="77777777" w:rsidR="00B4466F" w:rsidRPr="0072307C" w:rsidRDefault="00B4466F" w:rsidP="00B4466F">
      <w:pPr>
        <w:spacing w:after="240" w:line="276" w:lineRule="auto"/>
        <w:ind w:left="567"/>
        <w:jc w:val="both"/>
        <w:rPr>
          <w:rFonts w:ascii="Arial" w:hAnsi="Arial" w:cs="Arial"/>
          <w:sz w:val="21"/>
          <w:szCs w:val="21"/>
        </w:rPr>
      </w:pPr>
      <w:r w:rsidRPr="0072307C">
        <w:rPr>
          <w:rFonts w:ascii="Arial" w:hAnsi="Arial" w:cs="Arial"/>
          <w:sz w:val="20"/>
          <w:szCs w:val="20"/>
        </w:rPr>
        <w:t xml:space="preserve">No obstant això, el Tribunal Superior de Justícia de la Comunitat Valenciana ha efectuat una interpretació contrària a la Directiva en la seua </w:t>
      </w:r>
      <w:hyperlink r:id="rId560" w:history="1">
        <w:r w:rsidRPr="0072307C">
          <w:rPr>
            <w:rStyle w:val="Hipervnculo"/>
            <w:rFonts w:ascii="Arial" w:hAnsi="Arial" w:cs="Arial"/>
            <w:sz w:val="20"/>
            <w:szCs w:val="20"/>
          </w:rPr>
          <w:t>Sentència núm. 574/2021 de data 16 de novembre de 2021</w:t>
        </w:r>
      </w:hyperlink>
      <w:r w:rsidRPr="0072307C">
        <w:rPr>
          <w:rFonts w:ascii="Arial" w:hAnsi="Arial" w:cs="Arial"/>
          <w:sz w:val="20"/>
          <w:szCs w:val="20"/>
        </w:rPr>
        <w:t>, en la qual sosté que no és oportuna la protecció d'una persona denunciant quan aquesta efectua una denúncia en seu judicial; motiu pel qual l'Agència ha recorregut en cassació aquesta Sentència.</w:t>
      </w:r>
    </w:p>
    <w:p w14:paraId="009D350A" w14:textId="77777777" w:rsidR="00B4466F" w:rsidRPr="0072307C" w:rsidRDefault="00B4466F" w:rsidP="00B4466F">
      <w:pPr>
        <w:spacing w:after="240" w:line="276" w:lineRule="auto"/>
        <w:jc w:val="both"/>
        <w:rPr>
          <w:rFonts w:ascii="Arial" w:hAnsi="Arial" w:cs="Arial"/>
          <w:b/>
          <w:bCs/>
          <w:sz w:val="21"/>
          <w:szCs w:val="21"/>
        </w:rPr>
      </w:pPr>
      <w:r w:rsidRPr="0072307C">
        <w:rPr>
          <w:rFonts w:ascii="Arial" w:hAnsi="Arial" w:cs="Arial"/>
          <w:b/>
          <w:bCs/>
          <w:color w:val="9D2235" w:themeColor="accent1"/>
          <w:sz w:val="21"/>
          <w:szCs w:val="21"/>
        </w:rPr>
        <w:t xml:space="preserve">Capítol II. Denúncies internes i seguiment. </w:t>
      </w:r>
    </w:p>
    <w:p w14:paraId="2A086905" w14:textId="77777777" w:rsidR="00B4466F" w:rsidRPr="0072307C" w:rsidRDefault="00B4466F" w:rsidP="00B4466F">
      <w:pPr>
        <w:spacing w:after="240" w:line="276" w:lineRule="auto"/>
        <w:ind w:left="567"/>
        <w:jc w:val="both"/>
        <w:rPr>
          <w:rFonts w:ascii="Arial" w:hAnsi="Arial" w:cs="Arial"/>
          <w:sz w:val="20"/>
          <w:szCs w:val="20"/>
        </w:rPr>
      </w:pPr>
      <w:r w:rsidRPr="0072307C">
        <w:rPr>
          <w:rFonts w:ascii="Arial" w:hAnsi="Arial" w:cs="Arial"/>
          <w:sz w:val="20"/>
          <w:szCs w:val="20"/>
        </w:rPr>
        <w:t>L'obligació de comptar amb canals interns de denúncia, així com l'obligació d'establir els procediments per a les denúncies i el seu seguiment, qüestions contemplades en els articles 7 a 9 de la Directiva, són plenament exigibles a tot el sector públic, no sent no obstant això obligatoris aquests canals de denúncia interns per al sector privat fins que la Directiva siga degudament transposada, i això perquè els efectes directes de les Directives solament ho són com a “efectes directes verticals ascendents”, això és, quan els drets dimanats d'una Directiva són exigibles a l'Estat pels particulars, resultant que no és admissible per la doctrina i jurisprudència europea l'efecte vertical descendent, que és aquell que s'exigiria per part de l'Estat cap als particulars. Per tant, el canal de denúncies intern del sector privat no pot ser exigit amb base en l'efecte directe de la Directiva, no sent exigible el mateix fins que es complete la transposició.</w:t>
      </w:r>
    </w:p>
    <w:p w14:paraId="1FB1BAFD" w14:textId="77777777" w:rsidR="00B4466F" w:rsidRPr="0072307C" w:rsidRDefault="00B4466F" w:rsidP="00B4466F">
      <w:pPr>
        <w:spacing w:after="240" w:line="276" w:lineRule="auto"/>
        <w:jc w:val="both"/>
        <w:rPr>
          <w:rFonts w:ascii="Arial" w:hAnsi="Arial" w:cs="Arial"/>
          <w:b/>
          <w:bCs/>
          <w:sz w:val="21"/>
          <w:szCs w:val="21"/>
        </w:rPr>
      </w:pPr>
      <w:r w:rsidRPr="0072307C">
        <w:rPr>
          <w:rFonts w:ascii="Arial" w:hAnsi="Arial" w:cs="Arial"/>
          <w:b/>
          <w:bCs/>
          <w:color w:val="9D2235" w:themeColor="accent1"/>
          <w:sz w:val="21"/>
          <w:szCs w:val="21"/>
        </w:rPr>
        <w:t xml:space="preserve">Capítol III. Denúncies externes i seguiment. </w:t>
      </w:r>
    </w:p>
    <w:p w14:paraId="005F368C" w14:textId="77777777" w:rsidR="00B4466F" w:rsidRPr="0072307C" w:rsidRDefault="00B4466F" w:rsidP="00B4466F">
      <w:pPr>
        <w:spacing w:after="240" w:line="276" w:lineRule="auto"/>
        <w:ind w:left="567"/>
        <w:jc w:val="both"/>
        <w:rPr>
          <w:rFonts w:ascii="Arial" w:hAnsi="Arial" w:cs="Arial"/>
          <w:sz w:val="20"/>
          <w:szCs w:val="20"/>
        </w:rPr>
      </w:pPr>
      <w:r w:rsidRPr="0072307C">
        <w:rPr>
          <w:rFonts w:ascii="Arial" w:hAnsi="Arial" w:cs="Arial"/>
          <w:sz w:val="20"/>
          <w:szCs w:val="20"/>
        </w:rPr>
        <w:t xml:space="preserve">L’obligació d'establir autoritats competents per a rebre denúncies, impulsar-les en tots els seus tràmits i dissenyar els canals de denúncia externa de manera independent amb els recursos adequats es troba recollida en els articles 11 a 16 de la Directiva, considerant-se d'efecte directe i exigibles des que va véncer el termini de transposició de la Directiva 1937/2019. </w:t>
      </w:r>
    </w:p>
    <w:p w14:paraId="5FBC3E49" w14:textId="77777777" w:rsidR="00B4466F" w:rsidRPr="0072307C" w:rsidRDefault="00B4466F" w:rsidP="00B4466F">
      <w:pPr>
        <w:spacing w:after="240" w:line="276" w:lineRule="auto"/>
        <w:jc w:val="both"/>
        <w:rPr>
          <w:rFonts w:ascii="Arial" w:hAnsi="Arial" w:cs="Arial"/>
          <w:b/>
          <w:bCs/>
          <w:sz w:val="21"/>
          <w:szCs w:val="21"/>
        </w:rPr>
      </w:pPr>
      <w:r w:rsidRPr="0072307C">
        <w:rPr>
          <w:rFonts w:ascii="Arial" w:hAnsi="Arial" w:cs="Arial"/>
          <w:b/>
          <w:bCs/>
          <w:color w:val="9D2235" w:themeColor="accent1"/>
          <w:sz w:val="21"/>
          <w:szCs w:val="21"/>
        </w:rPr>
        <w:t xml:space="preserve">Capítol IV. Les revelacions públiques. </w:t>
      </w:r>
    </w:p>
    <w:p w14:paraId="53AE592A" w14:textId="77777777" w:rsidR="00B4466F" w:rsidRPr="0072307C" w:rsidRDefault="00B4466F" w:rsidP="00B4466F">
      <w:pPr>
        <w:spacing w:after="240" w:line="276" w:lineRule="auto"/>
        <w:ind w:left="567"/>
        <w:jc w:val="both"/>
        <w:rPr>
          <w:rFonts w:ascii="Arial" w:hAnsi="Arial" w:cs="Arial"/>
          <w:sz w:val="20"/>
          <w:szCs w:val="20"/>
        </w:rPr>
      </w:pPr>
      <w:r w:rsidRPr="0072307C">
        <w:rPr>
          <w:rFonts w:ascii="Arial" w:hAnsi="Arial" w:cs="Arial"/>
          <w:sz w:val="20"/>
          <w:szCs w:val="20"/>
        </w:rPr>
        <w:t xml:space="preserve">La regulació de la revelació pública de l'article 15 de la Directiva també està dotada dels requisits per a emparar-se en l'efecte directe vertical, ja que l'article de la Directiva és complete i incondicional en tots els seus termes. </w:t>
      </w:r>
    </w:p>
    <w:p w14:paraId="629F7A3F" w14:textId="77777777" w:rsidR="00B4466F" w:rsidRPr="0072307C" w:rsidRDefault="00B4466F" w:rsidP="00B4466F">
      <w:pPr>
        <w:spacing w:after="240" w:line="276" w:lineRule="auto"/>
        <w:jc w:val="both"/>
        <w:rPr>
          <w:rFonts w:ascii="Arial" w:hAnsi="Arial" w:cs="Arial"/>
          <w:b/>
          <w:bCs/>
          <w:sz w:val="21"/>
          <w:szCs w:val="21"/>
        </w:rPr>
      </w:pPr>
      <w:r w:rsidRPr="0072307C">
        <w:rPr>
          <w:rFonts w:ascii="Arial" w:hAnsi="Arial" w:cs="Arial"/>
          <w:b/>
          <w:bCs/>
          <w:color w:val="9D2235" w:themeColor="accent1"/>
          <w:sz w:val="21"/>
          <w:szCs w:val="21"/>
        </w:rPr>
        <w:t xml:space="preserve">Capítol V. Disposicions comunes de les denúncies. </w:t>
      </w:r>
    </w:p>
    <w:p w14:paraId="1B21A27F" w14:textId="77777777" w:rsidR="00B4466F" w:rsidRPr="0072307C" w:rsidRDefault="00B4466F" w:rsidP="00B4466F">
      <w:pPr>
        <w:spacing w:after="240" w:line="276" w:lineRule="auto"/>
        <w:ind w:left="567"/>
        <w:jc w:val="both"/>
        <w:rPr>
          <w:rFonts w:ascii="Arial" w:hAnsi="Arial" w:cs="Arial"/>
          <w:sz w:val="20"/>
          <w:szCs w:val="20"/>
        </w:rPr>
      </w:pPr>
      <w:r w:rsidRPr="0072307C">
        <w:rPr>
          <w:rFonts w:ascii="Arial" w:hAnsi="Arial" w:cs="Arial"/>
          <w:sz w:val="20"/>
          <w:szCs w:val="20"/>
        </w:rPr>
        <w:t>Pel que fa a les normes comunes aplicables als canals interns, externs i la revelació pública, contemplades en els articles 16 a 18 de la Directiva, ha de recordar-se que tots ells són directament aplicables, ja que la no revelació de la identitat del denunciant, el tractament de les dades personals i el registre de les denúncies es configuren com a drets perfectament determinats i directament exigibles.</w:t>
      </w:r>
    </w:p>
    <w:p w14:paraId="7463B348" w14:textId="77777777" w:rsidR="00B4466F" w:rsidRPr="0072307C" w:rsidRDefault="00B4466F" w:rsidP="00B4466F">
      <w:pPr>
        <w:spacing w:after="240" w:line="276" w:lineRule="auto"/>
        <w:jc w:val="both"/>
        <w:rPr>
          <w:rFonts w:ascii="Arial" w:hAnsi="Arial" w:cs="Arial"/>
          <w:b/>
          <w:bCs/>
          <w:sz w:val="21"/>
          <w:szCs w:val="21"/>
        </w:rPr>
      </w:pPr>
      <w:r w:rsidRPr="0072307C">
        <w:rPr>
          <w:rFonts w:ascii="Arial" w:hAnsi="Arial" w:cs="Arial"/>
          <w:b/>
          <w:bCs/>
          <w:color w:val="9D2235" w:themeColor="accent1"/>
          <w:sz w:val="21"/>
          <w:szCs w:val="21"/>
        </w:rPr>
        <w:t xml:space="preserve">Capítol VI. Mesures de protecció. </w:t>
      </w:r>
    </w:p>
    <w:p w14:paraId="2FE1C67F" w14:textId="77777777" w:rsidR="00B4466F" w:rsidRPr="0072307C" w:rsidRDefault="00B4466F" w:rsidP="00B4466F">
      <w:pPr>
        <w:spacing w:after="120" w:line="276" w:lineRule="auto"/>
        <w:ind w:left="567"/>
        <w:jc w:val="both"/>
        <w:rPr>
          <w:rFonts w:ascii="Arial" w:hAnsi="Arial" w:cs="Arial"/>
          <w:sz w:val="20"/>
          <w:szCs w:val="20"/>
        </w:rPr>
      </w:pPr>
      <w:r w:rsidRPr="0072307C">
        <w:rPr>
          <w:rFonts w:ascii="Arial" w:hAnsi="Arial" w:cs="Arial"/>
          <w:sz w:val="20"/>
          <w:szCs w:val="20"/>
        </w:rPr>
        <w:t xml:space="preserve">Les mesures de protecció previstes en la Directiva, per la seua marcada diferenciació, tenen un règim dispar quant a l'aplicació directa de les mateixes que obliga a la seua anàlisi diferenciada, havent de recordar-se que les mateixes es classifiquen en prohibició de represàlies, mesures de suport, mesures de protecció enfront de represàlies i establiment de sancions per a dissuadir als represaliadors. </w:t>
      </w:r>
    </w:p>
    <w:p w14:paraId="0388BB00" w14:textId="77777777" w:rsidR="00B4466F" w:rsidRPr="0072307C" w:rsidRDefault="00B4466F" w:rsidP="00B4466F">
      <w:pPr>
        <w:numPr>
          <w:ilvl w:val="0"/>
          <w:numId w:val="186"/>
        </w:numPr>
        <w:spacing w:after="120" w:line="276" w:lineRule="auto"/>
        <w:ind w:left="993"/>
        <w:jc w:val="both"/>
        <w:rPr>
          <w:rFonts w:ascii="Arial" w:hAnsi="Arial" w:cs="Arial"/>
          <w:b/>
          <w:bCs/>
          <w:sz w:val="20"/>
          <w:szCs w:val="20"/>
        </w:rPr>
      </w:pPr>
      <w:r w:rsidRPr="0072307C">
        <w:rPr>
          <w:rFonts w:ascii="Arial" w:hAnsi="Arial" w:cs="Arial"/>
          <w:sz w:val="20"/>
          <w:szCs w:val="20"/>
        </w:rPr>
        <w:t>La prohibició de represàlies, contemplada en l'article 19 de la Directiva, gaudeix d'eficàcia directa, i això a la vista que el citat article tanca un mandat clar, incondicional i complet per a l'Estat, consistent en la prohibició d'actuacions represaliadoras, com l'acomiadament, la denegació d'ascensos o de formació, la imposició de qualsevol forma de discriminació, les coaccions, etc. Ara bé, aquesta mesura de protecció, pel seu caràcter d'efecte vertical ascendent que ja hem exposat, solament podrà ser invocada enfront del sector públic i no en relació amb el sector privat.</w:t>
      </w:r>
    </w:p>
    <w:p w14:paraId="2F7A9FB4" w14:textId="77777777" w:rsidR="00B4466F" w:rsidRPr="0072307C" w:rsidRDefault="00B4466F" w:rsidP="00B4466F">
      <w:pPr>
        <w:numPr>
          <w:ilvl w:val="0"/>
          <w:numId w:val="186"/>
        </w:numPr>
        <w:spacing w:after="120" w:line="276" w:lineRule="auto"/>
        <w:ind w:left="993"/>
        <w:jc w:val="both"/>
        <w:rPr>
          <w:rFonts w:ascii="Arial" w:hAnsi="Arial" w:cs="Arial"/>
          <w:b/>
          <w:bCs/>
          <w:sz w:val="20"/>
          <w:szCs w:val="20"/>
        </w:rPr>
      </w:pPr>
      <w:r w:rsidRPr="0072307C">
        <w:rPr>
          <w:rFonts w:ascii="Arial" w:hAnsi="Arial" w:cs="Arial"/>
          <w:sz w:val="20"/>
          <w:szCs w:val="20"/>
        </w:rPr>
        <w:t>Les mesures de suport previstes en l'article 20 no gaudeixen d'efecte directe, ja que les mateixes deuran ser determinades en la transposició de la Directiva, en haver-les configurat el legislador europeu de manera oberta i potestativa, assenyalant que les mesures d'assistència financera i el suport psicològic podran prestar-se si així s'estableix.</w:t>
      </w:r>
    </w:p>
    <w:p w14:paraId="0E4D98C8" w14:textId="77777777" w:rsidR="00B4466F" w:rsidRPr="0072307C" w:rsidRDefault="00B4466F" w:rsidP="00B4466F">
      <w:pPr>
        <w:numPr>
          <w:ilvl w:val="0"/>
          <w:numId w:val="186"/>
        </w:numPr>
        <w:spacing w:after="120" w:line="276" w:lineRule="auto"/>
        <w:ind w:left="993"/>
        <w:jc w:val="both"/>
        <w:rPr>
          <w:rFonts w:ascii="Arial" w:hAnsi="Arial" w:cs="Arial"/>
          <w:sz w:val="20"/>
          <w:szCs w:val="20"/>
        </w:rPr>
      </w:pPr>
      <w:r w:rsidRPr="0072307C">
        <w:rPr>
          <w:rFonts w:ascii="Arial" w:hAnsi="Arial" w:cs="Arial"/>
          <w:sz w:val="20"/>
          <w:szCs w:val="20"/>
        </w:rPr>
        <w:t>Pel que fa al nucli principal de la protecció, el relatiu a les mesures de protecció contra represàlies de l'article 21 de la Directiva, ha de remarcar-se el seu efecte directe, sent singularment intens en els següents aspectes:</w:t>
      </w:r>
    </w:p>
    <w:p w14:paraId="51EAE2B5" w14:textId="77777777" w:rsidR="00B4466F" w:rsidRPr="0072307C" w:rsidRDefault="00B4466F" w:rsidP="00B4466F">
      <w:pPr>
        <w:spacing w:after="120" w:line="276" w:lineRule="auto"/>
        <w:ind w:left="993"/>
        <w:jc w:val="both"/>
        <w:rPr>
          <w:rFonts w:ascii="Arial" w:hAnsi="Arial" w:cs="Arial"/>
          <w:sz w:val="20"/>
          <w:szCs w:val="20"/>
        </w:rPr>
      </w:pPr>
      <w:r w:rsidRPr="0072307C">
        <w:rPr>
          <w:rFonts w:ascii="Arial" w:hAnsi="Arial" w:cs="Arial"/>
          <w:sz w:val="20"/>
          <w:szCs w:val="20"/>
        </w:rPr>
        <w:t>La Directiva estableix una eximent administrativa i laboral directa per als denunciants en preveure que no incorreran en responsabilitat respecte de l'adquisició o l'accés a la informació que és comunicada o revelada públicament, excepte en aquells supòsits en els quals tal adquisició o accés constituïsca un delicte.</w:t>
      </w:r>
    </w:p>
    <w:p w14:paraId="3B08207B" w14:textId="77777777" w:rsidR="00B4466F" w:rsidRPr="0072307C" w:rsidRDefault="00B4466F" w:rsidP="00B4466F">
      <w:pPr>
        <w:spacing w:after="120" w:line="276" w:lineRule="auto"/>
        <w:ind w:left="993"/>
        <w:jc w:val="both"/>
        <w:rPr>
          <w:rFonts w:ascii="Arial" w:hAnsi="Arial" w:cs="Arial"/>
          <w:sz w:val="20"/>
          <w:szCs w:val="20"/>
        </w:rPr>
      </w:pPr>
      <w:r w:rsidRPr="0072307C">
        <w:rPr>
          <w:rFonts w:ascii="Arial" w:hAnsi="Arial" w:cs="Arial"/>
          <w:sz w:val="20"/>
          <w:szCs w:val="20"/>
        </w:rPr>
        <w:t>La Directiva també estableix com a singular i transcendental mesura de protecció la consistent en la inversió de la càrrega de la prova, que té efecte directe vertical des del venciment del termini de transposició. La mesura de protecció consisteix a invertir la càrrega de la prova en els processos judicials perquè en casos de represàlies corresponga a la persona que actua contra un denunciant demostrar que no està exercint aquestes accions amb motiu de la denúncia. La mesura gaudeix d'efecte directe en tant que es tracta d'una regla d'ordenació del procediment a complir pels òrgans jurisdiccionals i per tant directament invocable.</w:t>
      </w:r>
    </w:p>
    <w:p w14:paraId="41D2E9A6" w14:textId="77777777" w:rsidR="00B4466F" w:rsidRPr="0072307C" w:rsidRDefault="00B4466F" w:rsidP="00B4466F">
      <w:pPr>
        <w:numPr>
          <w:ilvl w:val="0"/>
          <w:numId w:val="186"/>
        </w:numPr>
        <w:spacing w:after="120" w:line="276" w:lineRule="auto"/>
        <w:ind w:left="993"/>
        <w:jc w:val="both"/>
        <w:rPr>
          <w:rFonts w:ascii="Arial" w:hAnsi="Arial" w:cs="Arial"/>
          <w:sz w:val="20"/>
          <w:szCs w:val="20"/>
        </w:rPr>
      </w:pPr>
      <w:r w:rsidRPr="0072307C">
        <w:rPr>
          <w:rFonts w:ascii="Arial" w:hAnsi="Arial" w:cs="Arial"/>
          <w:sz w:val="20"/>
          <w:szCs w:val="20"/>
        </w:rPr>
        <w:t xml:space="preserve">La Directiva comunitària estableix com a tancament de les mesures de protecció la possibilitat d'establir sancions contra les persones represaliadoras. Aquest marc de protecció sancionador no té efecte directe vertical, havent de recordar-se que el Tribunal de Justícia de la Unió Europea proscriu, per raons de seguretat jurídica, l'efecte directe vertical en el marc del règim sancionador. </w:t>
      </w:r>
    </w:p>
    <w:p w14:paraId="535A4C69" w14:textId="77777777" w:rsidR="00B4466F" w:rsidRPr="0072307C" w:rsidRDefault="00B4466F" w:rsidP="00B4466F">
      <w:pPr>
        <w:spacing w:after="240" w:line="276" w:lineRule="auto"/>
        <w:ind w:left="993"/>
        <w:jc w:val="both"/>
        <w:rPr>
          <w:rFonts w:ascii="Arial" w:hAnsi="Arial" w:cs="Arial"/>
          <w:sz w:val="20"/>
          <w:szCs w:val="20"/>
        </w:rPr>
      </w:pPr>
      <w:r w:rsidRPr="0072307C">
        <w:rPr>
          <w:rFonts w:ascii="Arial" w:hAnsi="Arial" w:cs="Arial"/>
          <w:sz w:val="20"/>
          <w:szCs w:val="20"/>
        </w:rPr>
        <w:t>No obstant això, en l'àmbit de la Comunitat Valenciana està vigent el règim sancionador contemplat en la seua normativa pròpia: articles 17 i següents de la Llei 11/2016, de 28 de novembre, de la Generalitat, de l'Agència de Prevenció i Lluita contra el Frau i la Corrupció de la Comunitat Valenciana.</w:t>
      </w:r>
    </w:p>
    <w:p w14:paraId="4A324072" w14:textId="77777777" w:rsidR="00B4466F" w:rsidRPr="0072307C" w:rsidRDefault="00B4466F" w:rsidP="00B4466F">
      <w:pPr>
        <w:spacing w:after="240" w:line="276" w:lineRule="auto"/>
        <w:jc w:val="both"/>
        <w:rPr>
          <w:rFonts w:ascii="Arial" w:hAnsi="Arial" w:cs="Arial"/>
          <w:b/>
          <w:bCs/>
          <w:sz w:val="21"/>
          <w:szCs w:val="21"/>
        </w:rPr>
      </w:pPr>
      <w:r w:rsidRPr="0072307C">
        <w:rPr>
          <w:rFonts w:ascii="Arial" w:hAnsi="Arial" w:cs="Arial"/>
          <w:b/>
          <w:bCs/>
          <w:color w:val="9D2235" w:themeColor="accent1"/>
          <w:sz w:val="21"/>
          <w:szCs w:val="21"/>
        </w:rPr>
        <w:t>La Directiva i la seua transposició: el recent Avantprojecte de Llei reguladora de la protecció de les persones que informen sobre infraccions normatives i de lluita contra la corrupció per la qual es transposa la Directiva (UE) 2019/1937 del Parlament Europeu i del Consell, de 23 d'octubre de 2019, relativa a la protecció de les persones que informen sobre infraccions del Dret de la Unió.</w:t>
      </w:r>
    </w:p>
    <w:p w14:paraId="04DF2943" w14:textId="0F6F13A4"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En connexió amb l'efecte directe vertical per l'absència de transposició de la Directiva en els termes fins al moment exposats, resulta necessari tancar aquesta recomanació recordant que el Consell de ministres en data 4 de març de 2022 ha aprovat el citat Avantprojecte de llei, al qual ens hem referit en l'epígraf 3.2.5.1.2 d'aquesta</w:t>
      </w:r>
      <w:r w:rsidR="007C5A34">
        <w:rPr>
          <w:rFonts w:ascii="Arial" w:hAnsi="Arial" w:cs="Arial"/>
          <w:sz w:val="21"/>
          <w:szCs w:val="21"/>
        </w:rPr>
        <w:t xml:space="preserve"> Memòria</w:t>
      </w:r>
      <w:r w:rsidRPr="0072307C">
        <w:rPr>
          <w:rFonts w:ascii="Arial" w:hAnsi="Arial" w:cs="Arial"/>
          <w:sz w:val="21"/>
          <w:szCs w:val="21"/>
        </w:rPr>
        <w:t>.</w:t>
      </w:r>
    </w:p>
    <w:p w14:paraId="003EACA3"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 xml:space="preserve">Dit Avantprojecte de llei ha sigut sotmés a informació pública, havent-se efectuat per aquesta Agència una sèrie d'importants  observacions en data 17 de març de 2022, que donem per reproduïdes en aquest moment, i que poden ser consultades en </w:t>
      </w:r>
      <w:hyperlink r:id="rId561" w:history="1">
        <w:r w:rsidRPr="0072307C">
          <w:rPr>
            <w:rStyle w:val="Hipervnculo"/>
            <w:rFonts w:ascii="Arial" w:hAnsi="Arial" w:cs="Arial"/>
            <w:sz w:val="21"/>
            <w:szCs w:val="21"/>
          </w:rPr>
          <w:t>aquest enllaç</w:t>
        </w:r>
      </w:hyperlink>
      <w:r w:rsidRPr="0072307C">
        <w:rPr>
          <w:rFonts w:ascii="Arial" w:hAnsi="Arial" w:cs="Arial"/>
          <w:sz w:val="21"/>
          <w:szCs w:val="21"/>
        </w:rPr>
        <w:t xml:space="preserve">. </w:t>
      </w:r>
    </w:p>
    <w:p w14:paraId="7F718CA7"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 xml:space="preserve">Com es desprén de les al·legacions realitzades per aquesta Agència, aquest Avantprojecte de llei no efectua, al nostre judici, una completa i correcta transposició de la Directiva 2019/1937, per la qual cosa si es manté el seu text pot donar lloc a incórrer en defectes que provoquen l'aplicació del denominat efecte directe d'exclusió, que ha sigut igualment desenvolupat pel Tribunal de Justícia de la Unió Europea i que és conseqüència inherent al principi de primacia del Dret comunitari. Això és, en supòsits en què existisca una incorrecta incorporació a l'ordenament intern, per ser la norma de transposició contrària a la Directiva, opera l'efecte directe d'exclusió, que comporta que en cas de conflicte els òrgans judicials no hagen d'aplicar la norma de transposició sinó la Directiva. </w:t>
      </w:r>
    </w:p>
    <w:p w14:paraId="422DDFA6" w14:textId="77777777" w:rsidR="00B4466F" w:rsidRPr="0072307C" w:rsidRDefault="00B4466F" w:rsidP="00B4466F">
      <w:pPr>
        <w:spacing w:after="240" w:line="276" w:lineRule="auto"/>
        <w:jc w:val="both"/>
        <w:rPr>
          <w:rFonts w:ascii="Arial" w:hAnsi="Arial" w:cs="Arial"/>
          <w:sz w:val="21"/>
          <w:szCs w:val="21"/>
        </w:rPr>
      </w:pPr>
      <w:r w:rsidRPr="0072307C">
        <w:rPr>
          <w:rFonts w:ascii="Arial" w:hAnsi="Arial" w:cs="Arial"/>
          <w:sz w:val="21"/>
          <w:szCs w:val="21"/>
        </w:rPr>
        <w:t>Especial esment mereix recordar en aquest punt que algunes Comunitats Autònomes ja compten en el seu ordenament jurídic amb lleis aprovades conforme a les seues pròpies competències, que han creat institucions públiques que funcionen i articulen, amb més o menys extensió i intensitat, i compleixen amb mandats continguts en la Directiva (UE) 2019/1937; lleis que són anteriors a aquesta, i fins i tot més favorables i avançades que aquest Avantprojecte de Llei i respecten l'ordre constitucional de competències, com és el cas de l'aprovada en les Corts Valencianes, Llei 11/2016, de 28 de novembre, de l'Agència de Prevenció i Lluita contra el Frau i la Corrupció de la Comunitat Valenciana.</w:t>
      </w:r>
    </w:p>
    <w:p w14:paraId="5AD2A117" w14:textId="74E9CAA1" w:rsidR="009240D3" w:rsidRPr="002D3252" w:rsidRDefault="00B4466F" w:rsidP="00B4466F">
      <w:pPr>
        <w:spacing w:after="240" w:line="276" w:lineRule="auto"/>
        <w:jc w:val="both"/>
        <w:rPr>
          <w:rFonts w:ascii="Arial" w:hAnsi="Arial" w:cs="Arial"/>
          <w:sz w:val="21"/>
          <w:szCs w:val="21"/>
        </w:rPr>
      </w:pPr>
      <w:r w:rsidRPr="0072307C">
        <w:rPr>
          <w:rFonts w:ascii="Arial" w:hAnsi="Arial" w:cs="Arial"/>
          <w:sz w:val="21"/>
          <w:szCs w:val="21"/>
        </w:rPr>
        <w:t>Conformement al que es preveu en la clàusula continguda en l'article 25 de la pròpia Directiva (UE) 2019/1937, sota el títol “tracte més favorable i clàusula de no regressió”, els Estats membres podran introduir o mantindre disposicions més favorables per als drets dels denunciants que els establits en la present Directiva. L’aplicació de la Directiva no constituirà en cap circumstància motiu per a reduir el nivell de protecció ja garantit pels Estats membres en els àmbits regulats per ella</w:t>
      </w:r>
      <w:r w:rsidRPr="0072307C">
        <w:rPr>
          <w:rFonts w:ascii="Arial" w:hAnsi="Arial" w:cs="Arial"/>
          <w:sz w:val="21"/>
          <w:szCs w:val="21"/>
          <w:lang w:val="es-ES"/>
        </w:rPr>
        <w:t>.</w:t>
      </w:r>
    </w:p>
    <w:p w14:paraId="097219E3" w14:textId="51E885CF" w:rsidR="00CA475E" w:rsidRPr="002D3252" w:rsidRDefault="00CA475E" w:rsidP="00DB1232">
      <w:pPr>
        <w:spacing w:after="240" w:line="276" w:lineRule="auto"/>
        <w:jc w:val="both"/>
        <w:rPr>
          <w:rFonts w:ascii="Arial" w:hAnsi="Arial" w:cs="Arial"/>
          <w:sz w:val="21"/>
          <w:szCs w:val="21"/>
        </w:rPr>
      </w:pPr>
    </w:p>
    <w:p w14:paraId="0B6A9A84" w14:textId="77777777" w:rsidR="00B40783" w:rsidRPr="002D3252" w:rsidRDefault="00B40783" w:rsidP="00B40783">
      <w:pPr>
        <w:spacing w:after="240" w:line="276" w:lineRule="auto"/>
        <w:rPr>
          <w:rFonts w:ascii="Arial" w:hAnsi="Arial" w:cs="Arial"/>
          <w:sz w:val="21"/>
          <w:szCs w:val="21"/>
        </w:rPr>
      </w:pPr>
      <w:r w:rsidRPr="002D3252">
        <w:rPr>
          <w:rFonts w:ascii="Arial" w:hAnsi="Arial" w:cs="Arial"/>
          <w:sz w:val="21"/>
          <w:szCs w:val="21"/>
        </w:rPr>
        <w:br w:type="page"/>
      </w:r>
    </w:p>
    <w:p w14:paraId="55AEB579" w14:textId="77777777" w:rsidR="00652830" w:rsidRPr="002D3252" w:rsidRDefault="00652830" w:rsidP="00422D40">
      <w:pPr>
        <w:spacing w:after="0"/>
        <w:rPr>
          <w:rFonts w:ascii="Arial" w:hAnsi="Arial" w:cs="Arial"/>
          <w:b/>
          <w:bCs/>
          <w:spacing w:val="-14"/>
          <w:sz w:val="21"/>
          <w:szCs w:val="21"/>
        </w:rPr>
      </w:pPr>
    </w:p>
    <w:p w14:paraId="5B8A0F22" w14:textId="77777777" w:rsidR="00652830" w:rsidRPr="002D3252" w:rsidRDefault="00652830" w:rsidP="00422D40">
      <w:pPr>
        <w:spacing w:after="0"/>
        <w:rPr>
          <w:rFonts w:ascii="Arial" w:hAnsi="Arial" w:cs="Arial"/>
          <w:b/>
          <w:bCs/>
          <w:spacing w:val="-14"/>
          <w:sz w:val="21"/>
          <w:szCs w:val="21"/>
        </w:rPr>
      </w:pPr>
    </w:p>
    <w:p w14:paraId="1A95DC9A" w14:textId="77777777" w:rsidR="00652830" w:rsidRPr="002D3252" w:rsidRDefault="00652830" w:rsidP="00422D40">
      <w:pPr>
        <w:spacing w:after="0"/>
        <w:rPr>
          <w:rFonts w:ascii="Arial" w:hAnsi="Arial" w:cs="Arial"/>
          <w:b/>
          <w:bCs/>
          <w:spacing w:val="-14"/>
          <w:sz w:val="21"/>
          <w:szCs w:val="21"/>
        </w:rPr>
      </w:pPr>
    </w:p>
    <w:p w14:paraId="1A0F48DE" w14:textId="7BC66103" w:rsidR="00B40783" w:rsidRPr="002D3252" w:rsidRDefault="00B40783" w:rsidP="00652830">
      <w:pPr>
        <w:pStyle w:val="Ttulo1"/>
        <w:rPr>
          <w:rFonts w:ascii="Arial" w:hAnsi="Arial" w:cs="Arial"/>
          <w:b/>
          <w:bCs/>
          <w:color w:val="9D2235" w:themeColor="accent1"/>
          <w:spacing w:val="-14"/>
          <w:sz w:val="80"/>
          <w:szCs w:val="80"/>
        </w:rPr>
      </w:pPr>
      <w:bookmarkStart w:id="522" w:name="_Toc99110845"/>
      <w:r w:rsidRPr="002D3252">
        <w:rPr>
          <w:rFonts w:ascii="Arial" w:hAnsi="Arial" w:cs="Arial"/>
          <w:b/>
          <w:bCs/>
          <w:color w:val="9D2235" w:themeColor="accent1"/>
          <w:spacing w:val="-14"/>
          <w:sz w:val="80"/>
          <w:szCs w:val="80"/>
        </w:rPr>
        <w:t>Annex</w:t>
      </w:r>
      <w:r w:rsidR="00652830" w:rsidRPr="002D3252">
        <w:rPr>
          <w:rFonts w:ascii="Arial" w:hAnsi="Arial" w:cs="Arial"/>
          <w:b/>
          <w:bCs/>
          <w:color w:val="9D2235" w:themeColor="accent1"/>
          <w:spacing w:val="-14"/>
          <w:sz w:val="80"/>
          <w:szCs w:val="80"/>
        </w:rPr>
        <w:t>.</w:t>
      </w:r>
      <w:r w:rsidR="00652830" w:rsidRPr="002D3252">
        <w:rPr>
          <w:rFonts w:ascii="Arial" w:hAnsi="Arial" w:cs="Arial"/>
          <w:b/>
          <w:bCs/>
          <w:color w:val="9D2235"/>
          <w:spacing w:val="-14"/>
          <w:sz w:val="80"/>
          <w:szCs w:val="80"/>
        </w:rPr>
        <w:tab/>
      </w:r>
      <w:r w:rsidR="00652830" w:rsidRPr="002D3252">
        <w:rPr>
          <w:rFonts w:ascii="Arial" w:hAnsi="Arial" w:cs="Arial"/>
          <w:b/>
          <w:bCs/>
          <w:smallCaps/>
          <w:color w:val="9D2235"/>
          <w:spacing w:val="-14"/>
          <w:sz w:val="80"/>
          <w:szCs w:val="80"/>
        </w:rPr>
        <w:br/>
      </w:r>
      <w:r w:rsidR="00EC016B" w:rsidRPr="002D3252">
        <w:rPr>
          <w:rFonts w:ascii="Arial" w:hAnsi="Arial" w:cs="Arial"/>
          <w:b/>
          <w:bCs/>
          <w:color w:val="9D2235" w:themeColor="accent1"/>
          <w:spacing w:val="-14"/>
          <w:sz w:val="80"/>
          <w:szCs w:val="80"/>
        </w:rPr>
        <w:t>Codi</w:t>
      </w:r>
      <w:r w:rsidRPr="002D3252">
        <w:rPr>
          <w:rFonts w:ascii="Arial" w:hAnsi="Arial" w:cs="Arial"/>
          <w:b/>
          <w:bCs/>
          <w:color w:val="9D2235" w:themeColor="accent1"/>
          <w:spacing w:val="-14"/>
          <w:sz w:val="80"/>
          <w:szCs w:val="80"/>
        </w:rPr>
        <w:t xml:space="preserve"> </w:t>
      </w:r>
      <w:r w:rsidR="00EC016B" w:rsidRPr="002D3252">
        <w:rPr>
          <w:rFonts w:ascii="Arial" w:hAnsi="Arial" w:cs="Arial"/>
          <w:b/>
          <w:bCs/>
          <w:color w:val="9D2235" w:themeColor="accent1"/>
          <w:spacing w:val="-14"/>
          <w:sz w:val="80"/>
          <w:szCs w:val="80"/>
        </w:rPr>
        <w:t>ètic</w:t>
      </w:r>
      <w:r w:rsidRPr="002D3252">
        <w:rPr>
          <w:rFonts w:ascii="Arial" w:hAnsi="Arial" w:cs="Arial"/>
          <w:b/>
          <w:bCs/>
          <w:color w:val="9D2235" w:themeColor="accent1"/>
          <w:spacing w:val="-14"/>
          <w:sz w:val="80"/>
          <w:szCs w:val="80"/>
        </w:rPr>
        <w:t xml:space="preserve"> i de conducta de l’Agencia de Prevenció i Lluita contra el Frau i la Corrupció de la Comunitat Valenciana</w:t>
      </w:r>
      <w:bookmarkEnd w:id="522"/>
    </w:p>
    <w:p w14:paraId="576B2F1C" w14:textId="77777777" w:rsidR="00B40783" w:rsidRPr="002D3252" w:rsidRDefault="00B40783" w:rsidP="00652830">
      <w:pPr>
        <w:rPr>
          <w:rFonts w:ascii="Arial" w:hAnsi="Arial" w:cs="Arial"/>
          <w:b/>
          <w:sz w:val="21"/>
          <w:szCs w:val="21"/>
        </w:rPr>
      </w:pPr>
    </w:p>
    <w:p w14:paraId="45FB236E" w14:textId="77777777" w:rsidR="00B40783" w:rsidRPr="00B40783" w:rsidRDefault="00B40783" w:rsidP="00652830">
      <w:pPr>
        <w:pStyle w:val="Ttulo1"/>
        <w:rPr>
          <w:rFonts w:ascii="Arial" w:hAnsi="Arial" w:cs="Arial"/>
          <w:b/>
          <w:sz w:val="21"/>
          <w:szCs w:val="21"/>
        </w:rPr>
      </w:pPr>
      <w:r w:rsidRPr="00B40783">
        <w:rPr>
          <w:rFonts w:ascii="Arial" w:hAnsi="Arial" w:cs="Arial"/>
          <w:b/>
          <w:sz w:val="21"/>
          <w:szCs w:val="21"/>
        </w:rPr>
        <w:br w:type="page"/>
      </w:r>
    </w:p>
    <w:p w14:paraId="4E8B2022"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3366BE6C" wp14:editId="07A3FF91">
            <wp:extent cx="5400040" cy="792797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400040" cy="7927975"/>
                    </a:xfrm>
                    <a:prstGeom prst="rect">
                      <a:avLst/>
                    </a:prstGeom>
                    <a:noFill/>
                    <a:ln>
                      <a:noFill/>
                    </a:ln>
                  </pic:spPr>
                </pic:pic>
              </a:graphicData>
            </a:graphic>
          </wp:inline>
        </w:drawing>
      </w:r>
    </w:p>
    <w:p w14:paraId="4A5C84C7"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39901858" wp14:editId="6802CA6C">
            <wp:extent cx="5400040" cy="787336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00040" cy="7873365"/>
                    </a:xfrm>
                    <a:prstGeom prst="rect">
                      <a:avLst/>
                    </a:prstGeom>
                    <a:noFill/>
                    <a:ln>
                      <a:noFill/>
                    </a:ln>
                  </pic:spPr>
                </pic:pic>
              </a:graphicData>
            </a:graphic>
          </wp:inline>
        </w:drawing>
      </w:r>
    </w:p>
    <w:p w14:paraId="5A5EAA9F"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4E1C8500" wp14:editId="37271CD4">
            <wp:extent cx="5400040" cy="781685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7CC477EA"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7289C3F5" wp14:editId="2A2F9121">
            <wp:extent cx="5400040" cy="787336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400040" cy="7873365"/>
                    </a:xfrm>
                    <a:prstGeom prst="rect">
                      <a:avLst/>
                    </a:prstGeom>
                    <a:noFill/>
                    <a:ln>
                      <a:noFill/>
                    </a:ln>
                  </pic:spPr>
                </pic:pic>
              </a:graphicData>
            </a:graphic>
          </wp:inline>
        </w:drawing>
      </w:r>
    </w:p>
    <w:p w14:paraId="18394A44"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7DDF7407" wp14:editId="007336F8">
            <wp:extent cx="5400040" cy="781685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68E2C8B9"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5F107679" wp14:editId="159DEA82">
            <wp:extent cx="5400040" cy="7830185"/>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400040" cy="7830185"/>
                    </a:xfrm>
                    <a:prstGeom prst="rect">
                      <a:avLst/>
                    </a:prstGeom>
                    <a:noFill/>
                    <a:ln>
                      <a:noFill/>
                    </a:ln>
                  </pic:spPr>
                </pic:pic>
              </a:graphicData>
            </a:graphic>
          </wp:inline>
        </w:drawing>
      </w:r>
    </w:p>
    <w:p w14:paraId="5F3B5FFC"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663A4767" wp14:editId="64D233E0">
            <wp:extent cx="5400040" cy="787844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400040" cy="7878445"/>
                    </a:xfrm>
                    <a:prstGeom prst="rect">
                      <a:avLst/>
                    </a:prstGeom>
                    <a:noFill/>
                    <a:ln>
                      <a:noFill/>
                    </a:ln>
                  </pic:spPr>
                </pic:pic>
              </a:graphicData>
            </a:graphic>
          </wp:inline>
        </w:drawing>
      </w:r>
    </w:p>
    <w:p w14:paraId="03DE2D47"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6F1D0312" wp14:editId="470BBC8E">
            <wp:extent cx="5400040" cy="781685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7D7BB164"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284D6689" wp14:editId="3C634C2B">
            <wp:extent cx="5400040" cy="781685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0D5136CD"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486DE284" wp14:editId="3A97B413">
            <wp:extent cx="5400040" cy="788352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5400040" cy="7883525"/>
                    </a:xfrm>
                    <a:prstGeom prst="rect">
                      <a:avLst/>
                    </a:prstGeom>
                    <a:noFill/>
                    <a:ln>
                      <a:noFill/>
                    </a:ln>
                  </pic:spPr>
                </pic:pic>
              </a:graphicData>
            </a:graphic>
          </wp:inline>
        </w:drawing>
      </w:r>
    </w:p>
    <w:p w14:paraId="7FB0187B"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68E419BC" wp14:editId="11BC4387">
            <wp:extent cx="5400040" cy="791908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400040" cy="7919085"/>
                    </a:xfrm>
                    <a:prstGeom prst="rect">
                      <a:avLst/>
                    </a:prstGeom>
                    <a:noFill/>
                    <a:ln>
                      <a:noFill/>
                    </a:ln>
                  </pic:spPr>
                </pic:pic>
              </a:graphicData>
            </a:graphic>
          </wp:inline>
        </w:drawing>
      </w:r>
    </w:p>
    <w:p w14:paraId="21A827DD"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7E7739AD" wp14:editId="3EECA56C">
            <wp:extent cx="5400040" cy="781685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4B0E0275"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1792F894" wp14:editId="7C56FF28">
            <wp:extent cx="5400040" cy="783717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5400040" cy="7837170"/>
                    </a:xfrm>
                    <a:prstGeom prst="rect">
                      <a:avLst/>
                    </a:prstGeom>
                    <a:noFill/>
                    <a:ln>
                      <a:noFill/>
                    </a:ln>
                  </pic:spPr>
                </pic:pic>
              </a:graphicData>
            </a:graphic>
          </wp:inline>
        </w:drawing>
      </w:r>
    </w:p>
    <w:p w14:paraId="73810CAE"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3087A6FB" wp14:editId="5F1DB1FD">
            <wp:extent cx="5400040" cy="7914005"/>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400040" cy="7914005"/>
                    </a:xfrm>
                    <a:prstGeom prst="rect">
                      <a:avLst/>
                    </a:prstGeom>
                    <a:noFill/>
                    <a:ln>
                      <a:noFill/>
                    </a:ln>
                  </pic:spPr>
                </pic:pic>
              </a:graphicData>
            </a:graphic>
          </wp:inline>
        </w:drawing>
      </w:r>
    </w:p>
    <w:p w14:paraId="38D068AC"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114229B4" wp14:editId="32469C5C">
            <wp:extent cx="5400040" cy="781685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2E4C52E5"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59E93137" wp14:editId="6211E2DF">
            <wp:extent cx="5400040" cy="47879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5400040" cy="4787900"/>
                    </a:xfrm>
                    <a:prstGeom prst="rect">
                      <a:avLst/>
                    </a:prstGeom>
                    <a:noFill/>
                    <a:ln>
                      <a:noFill/>
                    </a:ln>
                  </pic:spPr>
                </pic:pic>
              </a:graphicData>
            </a:graphic>
          </wp:inline>
        </w:drawing>
      </w:r>
    </w:p>
    <w:p w14:paraId="4114EED0" w14:textId="77777777" w:rsidR="00B40783" w:rsidRPr="00B40783" w:rsidRDefault="00B40783" w:rsidP="00652830">
      <w:pPr>
        <w:rPr>
          <w:rFonts w:ascii="Arial" w:hAnsi="Arial" w:cs="Arial"/>
          <w:sz w:val="21"/>
          <w:szCs w:val="21"/>
        </w:rPr>
      </w:pPr>
    </w:p>
    <w:p w14:paraId="5B1A7050" w14:textId="77777777" w:rsidR="00B40783" w:rsidRPr="00B40783" w:rsidRDefault="00B40783" w:rsidP="00652830">
      <w:pPr>
        <w:rPr>
          <w:rFonts w:ascii="Arial" w:hAnsi="Arial" w:cs="Arial"/>
          <w:sz w:val="21"/>
          <w:szCs w:val="21"/>
        </w:rPr>
      </w:pPr>
    </w:p>
    <w:p w14:paraId="2053833B" w14:textId="77777777" w:rsidR="00B40783" w:rsidRPr="00B40783" w:rsidRDefault="00B40783" w:rsidP="00652830">
      <w:pPr>
        <w:rPr>
          <w:rFonts w:ascii="Arial" w:hAnsi="Arial" w:cs="Arial"/>
          <w:sz w:val="21"/>
          <w:szCs w:val="21"/>
        </w:rPr>
      </w:pPr>
    </w:p>
    <w:p w14:paraId="3EDE43ED" w14:textId="77777777" w:rsidR="00B40783" w:rsidRPr="00B40783" w:rsidRDefault="00B40783" w:rsidP="00652830">
      <w:pPr>
        <w:rPr>
          <w:rFonts w:ascii="Arial" w:hAnsi="Arial" w:cs="Arial"/>
          <w:sz w:val="21"/>
          <w:szCs w:val="21"/>
        </w:rPr>
      </w:pPr>
    </w:p>
    <w:p w14:paraId="6FE0BE9A" w14:textId="77777777" w:rsidR="00B40783" w:rsidRPr="00B40783" w:rsidRDefault="00B40783" w:rsidP="00652830">
      <w:pPr>
        <w:rPr>
          <w:rFonts w:ascii="Arial" w:hAnsi="Arial" w:cs="Arial"/>
          <w:sz w:val="21"/>
          <w:szCs w:val="21"/>
        </w:rPr>
      </w:pPr>
    </w:p>
    <w:p w14:paraId="1BFCFC2E" w14:textId="77777777" w:rsidR="00B40783" w:rsidRPr="00B40783" w:rsidRDefault="00B40783" w:rsidP="00652830">
      <w:pPr>
        <w:rPr>
          <w:rFonts w:ascii="Arial" w:hAnsi="Arial" w:cs="Arial"/>
          <w:sz w:val="21"/>
          <w:szCs w:val="21"/>
        </w:rPr>
      </w:pPr>
    </w:p>
    <w:p w14:paraId="53632948" w14:textId="77777777" w:rsidR="00B40783" w:rsidRPr="00B40783" w:rsidRDefault="00B40783" w:rsidP="00652830">
      <w:pPr>
        <w:rPr>
          <w:rFonts w:ascii="Arial" w:hAnsi="Arial" w:cs="Arial"/>
          <w:sz w:val="21"/>
          <w:szCs w:val="21"/>
        </w:rPr>
      </w:pPr>
    </w:p>
    <w:p w14:paraId="1E338E51" w14:textId="77777777" w:rsidR="00B40783" w:rsidRPr="00B40783" w:rsidRDefault="00B40783" w:rsidP="00652830">
      <w:pPr>
        <w:rPr>
          <w:rFonts w:ascii="Arial" w:hAnsi="Arial" w:cs="Arial"/>
          <w:sz w:val="21"/>
          <w:szCs w:val="21"/>
        </w:rPr>
      </w:pPr>
    </w:p>
    <w:p w14:paraId="3AE78721"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63396152" wp14:editId="2B577E9A">
            <wp:extent cx="5400040" cy="7517765"/>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5400040" cy="7517765"/>
                    </a:xfrm>
                    <a:prstGeom prst="rect">
                      <a:avLst/>
                    </a:prstGeom>
                    <a:noFill/>
                    <a:ln>
                      <a:noFill/>
                    </a:ln>
                  </pic:spPr>
                </pic:pic>
              </a:graphicData>
            </a:graphic>
          </wp:inline>
        </w:drawing>
      </w:r>
    </w:p>
    <w:p w14:paraId="5F37BE53" w14:textId="77777777" w:rsidR="00B40783" w:rsidRPr="00B40783" w:rsidRDefault="00B40783" w:rsidP="00652830">
      <w:pPr>
        <w:rPr>
          <w:rFonts w:ascii="Arial" w:hAnsi="Arial" w:cs="Arial"/>
          <w:sz w:val="21"/>
          <w:szCs w:val="21"/>
        </w:rPr>
      </w:pPr>
    </w:p>
    <w:p w14:paraId="788D5EF9"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56A09E6E" wp14:editId="6AEABC8C">
            <wp:extent cx="5400040" cy="624205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5400040" cy="6242050"/>
                    </a:xfrm>
                    <a:prstGeom prst="rect">
                      <a:avLst/>
                    </a:prstGeom>
                    <a:noFill/>
                    <a:ln>
                      <a:noFill/>
                    </a:ln>
                  </pic:spPr>
                </pic:pic>
              </a:graphicData>
            </a:graphic>
          </wp:inline>
        </w:drawing>
      </w:r>
    </w:p>
    <w:p w14:paraId="62817B14" w14:textId="77777777" w:rsidR="00B40783" w:rsidRPr="00B40783" w:rsidRDefault="00B40783" w:rsidP="00652830">
      <w:pPr>
        <w:rPr>
          <w:rFonts w:ascii="Arial" w:hAnsi="Arial" w:cs="Arial"/>
          <w:sz w:val="21"/>
          <w:szCs w:val="21"/>
        </w:rPr>
      </w:pPr>
    </w:p>
    <w:p w14:paraId="1C5B9B97" w14:textId="77777777" w:rsidR="00B40783" w:rsidRPr="00B40783" w:rsidRDefault="00B40783" w:rsidP="00652830">
      <w:pPr>
        <w:rPr>
          <w:rFonts w:ascii="Arial" w:hAnsi="Arial" w:cs="Arial"/>
          <w:sz w:val="21"/>
          <w:szCs w:val="21"/>
        </w:rPr>
      </w:pPr>
    </w:p>
    <w:p w14:paraId="016CA3DC" w14:textId="77777777" w:rsidR="00B40783" w:rsidRPr="00B40783" w:rsidRDefault="00B40783" w:rsidP="00652830">
      <w:pPr>
        <w:rPr>
          <w:rFonts w:ascii="Arial" w:hAnsi="Arial" w:cs="Arial"/>
          <w:sz w:val="21"/>
          <w:szCs w:val="21"/>
        </w:rPr>
      </w:pPr>
    </w:p>
    <w:p w14:paraId="3FD6E4A5" w14:textId="77777777" w:rsidR="00B40783" w:rsidRPr="00B40783" w:rsidRDefault="00B40783" w:rsidP="00652830">
      <w:pPr>
        <w:rPr>
          <w:rFonts w:ascii="Arial" w:hAnsi="Arial" w:cs="Arial"/>
          <w:sz w:val="21"/>
          <w:szCs w:val="21"/>
        </w:rPr>
      </w:pPr>
    </w:p>
    <w:p w14:paraId="320E70D9"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4A5037DA" wp14:editId="027B7CBE">
            <wp:extent cx="5400040" cy="671322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400040" cy="6713220"/>
                    </a:xfrm>
                    <a:prstGeom prst="rect">
                      <a:avLst/>
                    </a:prstGeom>
                    <a:noFill/>
                    <a:ln>
                      <a:noFill/>
                    </a:ln>
                  </pic:spPr>
                </pic:pic>
              </a:graphicData>
            </a:graphic>
          </wp:inline>
        </w:drawing>
      </w:r>
    </w:p>
    <w:p w14:paraId="6F0C1124" w14:textId="77777777" w:rsidR="00B40783" w:rsidRPr="00B40783" w:rsidRDefault="00B40783" w:rsidP="00652830">
      <w:pPr>
        <w:rPr>
          <w:rFonts w:ascii="Arial" w:hAnsi="Arial" w:cs="Arial"/>
          <w:sz w:val="21"/>
          <w:szCs w:val="21"/>
        </w:rPr>
      </w:pPr>
    </w:p>
    <w:p w14:paraId="3CFA89E4" w14:textId="77777777" w:rsidR="00B40783" w:rsidRPr="00B40783" w:rsidRDefault="00B40783" w:rsidP="00652830">
      <w:pPr>
        <w:rPr>
          <w:rFonts w:ascii="Arial" w:hAnsi="Arial" w:cs="Arial"/>
          <w:sz w:val="21"/>
          <w:szCs w:val="21"/>
        </w:rPr>
      </w:pPr>
    </w:p>
    <w:p w14:paraId="7288B462" w14:textId="77777777" w:rsidR="00B40783" w:rsidRPr="00B40783" w:rsidRDefault="00B40783" w:rsidP="00652830">
      <w:pPr>
        <w:rPr>
          <w:rFonts w:ascii="Arial" w:hAnsi="Arial" w:cs="Arial"/>
          <w:sz w:val="21"/>
          <w:szCs w:val="21"/>
        </w:rPr>
      </w:pPr>
    </w:p>
    <w:p w14:paraId="017D1B87"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566D30A1" wp14:editId="35EF85C1">
            <wp:extent cx="5400040" cy="5887085"/>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400040" cy="5887085"/>
                    </a:xfrm>
                    <a:prstGeom prst="rect">
                      <a:avLst/>
                    </a:prstGeom>
                    <a:noFill/>
                    <a:ln>
                      <a:noFill/>
                    </a:ln>
                  </pic:spPr>
                </pic:pic>
              </a:graphicData>
            </a:graphic>
          </wp:inline>
        </w:drawing>
      </w:r>
    </w:p>
    <w:p w14:paraId="3795AA57" w14:textId="77777777" w:rsidR="00B40783" w:rsidRPr="00B40783" w:rsidRDefault="00B40783" w:rsidP="00652830">
      <w:pPr>
        <w:rPr>
          <w:rFonts w:ascii="Arial" w:hAnsi="Arial" w:cs="Arial"/>
          <w:sz w:val="21"/>
          <w:szCs w:val="21"/>
        </w:rPr>
      </w:pPr>
    </w:p>
    <w:p w14:paraId="03B48A1A" w14:textId="77777777" w:rsidR="00B40783" w:rsidRPr="00B40783" w:rsidRDefault="00B40783" w:rsidP="00652830">
      <w:pPr>
        <w:rPr>
          <w:rFonts w:ascii="Arial" w:hAnsi="Arial" w:cs="Arial"/>
          <w:sz w:val="21"/>
          <w:szCs w:val="21"/>
        </w:rPr>
      </w:pPr>
    </w:p>
    <w:p w14:paraId="4022B2C1" w14:textId="77777777" w:rsidR="00B40783" w:rsidRPr="00B40783" w:rsidRDefault="00B40783" w:rsidP="00652830">
      <w:pPr>
        <w:rPr>
          <w:rFonts w:ascii="Arial" w:hAnsi="Arial" w:cs="Arial"/>
          <w:sz w:val="21"/>
          <w:szCs w:val="21"/>
        </w:rPr>
      </w:pPr>
    </w:p>
    <w:p w14:paraId="0E306F82" w14:textId="77777777" w:rsidR="00B40783" w:rsidRPr="00B40783" w:rsidRDefault="00B40783" w:rsidP="00652830">
      <w:pPr>
        <w:rPr>
          <w:rFonts w:ascii="Arial" w:hAnsi="Arial" w:cs="Arial"/>
          <w:sz w:val="21"/>
          <w:szCs w:val="21"/>
        </w:rPr>
      </w:pPr>
    </w:p>
    <w:p w14:paraId="73327616" w14:textId="77777777" w:rsidR="00B40783" w:rsidRPr="00B40783" w:rsidRDefault="00B40783" w:rsidP="00652830">
      <w:pPr>
        <w:rPr>
          <w:rFonts w:ascii="Arial" w:hAnsi="Arial" w:cs="Arial"/>
          <w:sz w:val="21"/>
          <w:szCs w:val="21"/>
        </w:rPr>
      </w:pPr>
    </w:p>
    <w:p w14:paraId="71E91C1B"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40EB11DC" wp14:editId="1518E91C">
            <wp:extent cx="5400040" cy="5611495"/>
            <wp:effectExtent l="0" t="0" r="0" b="825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5400040" cy="5611495"/>
                    </a:xfrm>
                    <a:prstGeom prst="rect">
                      <a:avLst/>
                    </a:prstGeom>
                    <a:noFill/>
                    <a:ln>
                      <a:noFill/>
                    </a:ln>
                  </pic:spPr>
                </pic:pic>
              </a:graphicData>
            </a:graphic>
          </wp:inline>
        </w:drawing>
      </w:r>
    </w:p>
    <w:p w14:paraId="16E82A3A" w14:textId="77777777" w:rsidR="00B40783" w:rsidRPr="00B40783" w:rsidRDefault="00B40783" w:rsidP="00652830">
      <w:pPr>
        <w:rPr>
          <w:rFonts w:ascii="Arial" w:hAnsi="Arial" w:cs="Arial"/>
          <w:sz w:val="21"/>
          <w:szCs w:val="21"/>
        </w:rPr>
      </w:pPr>
    </w:p>
    <w:p w14:paraId="63A8B4A1" w14:textId="77777777" w:rsidR="00B40783" w:rsidRPr="00B40783" w:rsidRDefault="00B40783" w:rsidP="00652830">
      <w:pPr>
        <w:rPr>
          <w:rFonts w:ascii="Arial" w:hAnsi="Arial" w:cs="Arial"/>
          <w:sz w:val="21"/>
          <w:szCs w:val="21"/>
        </w:rPr>
      </w:pPr>
    </w:p>
    <w:p w14:paraId="5A268237" w14:textId="77777777" w:rsidR="00B40783" w:rsidRPr="00B40783" w:rsidRDefault="00B40783" w:rsidP="00652830">
      <w:pPr>
        <w:rPr>
          <w:rFonts w:ascii="Arial" w:hAnsi="Arial" w:cs="Arial"/>
          <w:sz w:val="21"/>
          <w:szCs w:val="21"/>
        </w:rPr>
      </w:pPr>
    </w:p>
    <w:p w14:paraId="125E703E" w14:textId="77777777" w:rsidR="00B40783" w:rsidRPr="00B40783" w:rsidRDefault="00B40783" w:rsidP="00652830">
      <w:pPr>
        <w:rPr>
          <w:rFonts w:ascii="Arial" w:hAnsi="Arial" w:cs="Arial"/>
          <w:sz w:val="21"/>
          <w:szCs w:val="21"/>
        </w:rPr>
      </w:pPr>
    </w:p>
    <w:p w14:paraId="4C04C274" w14:textId="77777777" w:rsidR="00B40783" w:rsidRPr="00B40783" w:rsidRDefault="00B40783" w:rsidP="00652830">
      <w:pPr>
        <w:rPr>
          <w:rFonts w:ascii="Arial" w:hAnsi="Arial" w:cs="Arial"/>
          <w:sz w:val="21"/>
          <w:szCs w:val="21"/>
        </w:rPr>
      </w:pPr>
    </w:p>
    <w:p w14:paraId="6DA4C45D" w14:textId="77777777" w:rsidR="00B40783" w:rsidRPr="00B40783" w:rsidRDefault="00B40783" w:rsidP="00652830">
      <w:pPr>
        <w:rPr>
          <w:rFonts w:ascii="Arial" w:hAnsi="Arial" w:cs="Arial"/>
          <w:sz w:val="21"/>
          <w:szCs w:val="21"/>
        </w:rPr>
      </w:pPr>
    </w:p>
    <w:p w14:paraId="650E1706"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77B395E2" wp14:editId="3F8A0094">
            <wp:extent cx="5400040" cy="6723380"/>
            <wp:effectExtent l="0" t="0" r="0" b="127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400040" cy="6723380"/>
                    </a:xfrm>
                    <a:prstGeom prst="rect">
                      <a:avLst/>
                    </a:prstGeom>
                    <a:noFill/>
                    <a:ln>
                      <a:noFill/>
                    </a:ln>
                  </pic:spPr>
                </pic:pic>
              </a:graphicData>
            </a:graphic>
          </wp:inline>
        </w:drawing>
      </w:r>
    </w:p>
    <w:p w14:paraId="6896291A" w14:textId="77777777" w:rsidR="00B40783" w:rsidRPr="00B40783" w:rsidRDefault="00B40783" w:rsidP="00652830">
      <w:pPr>
        <w:rPr>
          <w:rFonts w:ascii="Arial" w:hAnsi="Arial" w:cs="Arial"/>
          <w:sz w:val="21"/>
          <w:szCs w:val="21"/>
        </w:rPr>
      </w:pPr>
    </w:p>
    <w:p w14:paraId="63B3C82C" w14:textId="77777777" w:rsidR="00B40783" w:rsidRPr="00B40783" w:rsidRDefault="00B40783" w:rsidP="00652830">
      <w:pPr>
        <w:rPr>
          <w:rFonts w:ascii="Arial" w:hAnsi="Arial" w:cs="Arial"/>
          <w:sz w:val="21"/>
          <w:szCs w:val="21"/>
        </w:rPr>
      </w:pPr>
    </w:p>
    <w:p w14:paraId="03133840" w14:textId="77777777" w:rsidR="00B40783" w:rsidRPr="00B40783" w:rsidRDefault="00B40783" w:rsidP="00652830">
      <w:pPr>
        <w:rPr>
          <w:rFonts w:ascii="Arial" w:hAnsi="Arial" w:cs="Arial"/>
          <w:sz w:val="21"/>
          <w:szCs w:val="21"/>
        </w:rPr>
      </w:pPr>
    </w:p>
    <w:p w14:paraId="136190D2"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2C4502D0" wp14:editId="6E899F41">
            <wp:extent cx="5400040" cy="7475220"/>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5400040" cy="7475220"/>
                    </a:xfrm>
                    <a:prstGeom prst="rect">
                      <a:avLst/>
                    </a:prstGeom>
                    <a:noFill/>
                    <a:ln>
                      <a:noFill/>
                    </a:ln>
                  </pic:spPr>
                </pic:pic>
              </a:graphicData>
            </a:graphic>
          </wp:inline>
        </w:drawing>
      </w:r>
    </w:p>
    <w:p w14:paraId="20FD8A28" w14:textId="77777777" w:rsidR="00B40783" w:rsidRPr="00B40783" w:rsidRDefault="00B40783" w:rsidP="00652830">
      <w:pPr>
        <w:rPr>
          <w:rFonts w:ascii="Arial" w:hAnsi="Arial" w:cs="Arial"/>
          <w:sz w:val="21"/>
          <w:szCs w:val="21"/>
        </w:rPr>
      </w:pPr>
    </w:p>
    <w:p w14:paraId="39A9DE0C"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30AF7B92" wp14:editId="57246CB9">
            <wp:extent cx="5400040" cy="6395085"/>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400040" cy="6395085"/>
                    </a:xfrm>
                    <a:prstGeom prst="rect">
                      <a:avLst/>
                    </a:prstGeom>
                    <a:noFill/>
                    <a:ln>
                      <a:noFill/>
                    </a:ln>
                  </pic:spPr>
                </pic:pic>
              </a:graphicData>
            </a:graphic>
          </wp:inline>
        </w:drawing>
      </w:r>
    </w:p>
    <w:p w14:paraId="44B85112" w14:textId="77777777" w:rsidR="00B40783" w:rsidRPr="00B40783" w:rsidRDefault="00B40783" w:rsidP="00652830">
      <w:pPr>
        <w:rPr>
          <w:rFonts w:ascii="Arial" w:hAnsi="Arial" w:cs="Arial"/>
          <w:sz w:val="21"/>
          <w:szCs w:val="21"/>
        </w:rPr>
      </w:pPr>
    </w:p>
    <w:p w14:paraId="6E0AE9CA" w14:textId="77777777" w:rsidR="00B40783" w:rsidRPr="00B40783" w:rsidRDefault="00B40783" w:rsidP="00652830">
      <w:pPr>
        <w:rPr>
          <w:rFonts w:ascii="Arial" w:hAnsi="Arial" w:cs="Arial"/>
          <w:sz w:val="21"/>
          <w:szCs w:val="21"/>
        </w:rPr>
      </w:pPr>
    </w:p>
    <w:p w14:paraId="33B7EAD0" w14:textId="77777777" w:rsidR="00B40783" w:rsidRPr="00B40783" w:rsidRDefault="00B40783" w:rsidP="00652830">
      <w:pPr>
        <w:rPr>
          <w:rFonts w:ascii="Arial" w:hAnsi="Arial" w:cs="Arial"/>
          <w:sz w:val="21"/>
          <w:szCs w:val="21"/>
        </w:rPr>
      </w:pPr>
    </w:p>
    <w:p w14:paraId="31B7EDED" w14:textId="77777777" w:rsidR="00B40783" w:rsidRPr="00B40783" w:rsidRDefault="00B40783" w:rsidP="00652830">
      <w:pPr>
        <w:rPr>
          <w:rFonts w:ascii="Arial" w:hAnsi="Arial" w:cs="Arial"/>
          <w:sz w:val="21"/>
          <w:szCs w:val="21"/>
        </w:rPr>
      </w:pPr>
    </w:p>
    <w:p w14:paraId="782F780F"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2B6BE97F" wp14:editId="65E98361">
            <wp:extent cx="5400040" cy="681863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5400040" cy="6818630"/>
                    </a:xfrm>
                    <a:prstGeom prst="rect">
                      <a:avLst/>
                    </a:prstGeom>
                    <a:noFill/>
                    <a:ln>
                      <a:noFill/>
                    </a:ln>
                  </pic:spPr>
                </pic:pic>
              </a:graphicData>
            </a:graphic>
          </wp:inline>
        </w:drawing>
      </w:r>
    </w:p>
    <w:p w14:paraId="501DC4EB" w14:textId="77777777" w:rsidR="00B40783" w:rsidRPr="00B40783" w:rsidRDefault="00B40783" w:rsidP="00652830">
      <w:pPr>
        <w:rPr>
          <w:rFonts w:ascii="Arial" w:hAnsi="Arial" w:cs="Arial"/>
          <w:sz w:val="21"/>
          <w:szCs w:val="21"/>
        </w:rPr>
      </w:pPr>
    </w:p>
    <w:p w14:paraId="211853C0" w14:textId="77777777" w:rsidR="00B40783" w:rsidRPr="00B40783" w:rsidRDefault="00B40783" w:rsidP="00652830">
      <w:pPr>
        <w:rPr>
          <w:rFonts w:ascii="Arial" w:hAnsi="Arial" w:cs="Arial"/>
          <w:sz w:val="21"/>
          <w:szCs w:val="21"/>
        </w:rPr>
      </w:pPr>
    </w:p>
    <w:p w14:paraId="3D51A133" w14:textId="77777777" w:rsidR="00B40783" w:rsidRPr="00B40783" w:rsidRDefault="00B40783" w:rsidP="00652830">
      <w:pPr>
        <w:rPr>
          <w:rFonts w:ascii="Arial" w:hAnsi="Arial" w:cs="Arial"/>
          <w:sz w:val="21"/>
          <w:szCs w:val="21"/>
        </w:rPr>
      </w:pPr>
    </w:p>
    <w:p w14:paraId="7FA2010F"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4A61FCB3" wp14:editId="2C283E6A">
            <wp:extent cx="5400040" cy="646430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5400040" cy="6464300"/>
                    </a:xfrm>
                    <a:prstGeom prst="rect">
                      <a:avLst/>
                    </a:prstGeom>
                    <a:noFill/>
                    <a:ln>
                      <a:noFill/>
                    </a:ln>
                  </pic:spPr>
                </pic:pic>
              </a:graphicData>
            </a:graphic>
          </wp:inline>
        </w:drawing>
      </w:r>
    </w:p>
    <w:p w14:paraId="050F8CFF" w14:textId="77777777" w:rsidR="00B40783" w:rsidRPr="00B40783" w:rsidRDefault="00B40783" w:rsidP="00652830">
      <w:pPr>
        <w:rPr>
          <w:rFonts w:ascii="Arial" w:hAnsi="Arial" w:cs="Arial"/>
          <w:sz w:val="21"/>
          <w:szCs w:val="21"/>
        </w:rPr>
      </w:pPr>
    </w:p>
    <w:p w14:paraId="40A0BF85" w14:textId="77777777" w:rsidR="00B40783" w:rsidRPr="00B40783" w:rsidRDefault="00B40783" w:rsidP="00652830">
      <w:pPr>
        <w:rPr>
          <w:rFonts w:ascii="Arial" w:hAnsi="Arial" w:cs="Arial"/>
          <w:sz w:val="21"/>
          <w:szCs w:val="21"/>
        </w:rPr>
      </w:pPr>
    </w:p>
    <w:p w14:paraId="71E02396" w14:textId="77777777" w:rsidR="00B40783" w:rsidRPr="00B40783" w:rsidRDefault="00B40783" w:rsidP="00652830">
      <w:pPr>
        <w:rPr>
          <w:rFonts w:ascii="Arial" w:hAnsi="Arial" w:cs="Arial"/>
          <w:sz w:val="21"/>
          <w:szCs w:val="21"/>
        </w:rPr>
      </w:pPr>
    </w:p>
    <w:p w14:paraId="3EC21C44" w14:textId="77777777" w:rsidR="00B40783" w:rsidRPr="00B40783" w:rsidRDefault="00B40783" w:rsidP="00652830">
      <w:pPr>
        <w:rPr>
          <w:rFonts w:ascii="Arial" w:hAnsi="Arial" w:cs="Arial"/>
          <w:sz w:val="21"/>
          <w:szCs w:val="21"/>
        </w:rPr>
      </w:pPr>
    </w:p>
    <w:p w14:paraId="37C33066"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1EEF24C1" wp14:editId="5761B516">
            <wp:extent cx="5400040" cy="5966460"/>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5400040" cy="5966460"/>
                    </a:xfrm>
                    <a:prstGeom prst="rect">
                      <a:avLst/>
                    </a:prstGeom>
                    <a:noFill/>
                    <a:ln>
                      <a:noFill/>
                    </a:ln>
                  </pic:spPr>
                </pic:pic>
              </a:graphicData>
            </a:graphic>
          </wp:inline>
        </w:drawing>
      </w:r>
    </w:p>
    <w:p w14:paraId="56248EC6" w14:textId="77777777" w:rsidR="00B40783" w:rsidRPr="00B40783" w:rsidRDefault="00B40783" w:rsidP="00652830">
      <w:pPr>
        <w:rPr>
          <w:rFonts w:ascii="Arial" w:hAnsi="Arial" w:cs="Arial"/>
          <w:sz w:val="21"/>
          <w:szCs w:val="21"/>
        </w:rPr>
      </w:pPr>
    </w:p>
    <w:p w14:paraId="538613FA" w14:textId="77777777" w:rsidR="00B40783" w:rsidRPr="00B40783" w:rsidRDefault="00B40783" w:rsidP="00652830">
      <w:pPr>
        <w:rPr>
          <w:rFonts w:ascii="Arial" w:hAnsi="Arial" w:cs="Arial"/>
          <w:sz w:val="21"/>
          <w:szCs w:val="21"/>
        </w:rPr>
      </w:pPr>
    </w:p>
    <w:p w14:paraId="59B933B0" w14:textId="77777777" w:rsidR="00B40783" w:rsidRPr="00B40783" w:rsidRDefault="00B40783" w:rsidP="00652830">
      <w:pPr>
        <w:rPr>
          <w:rFonts w:ascii="Arial" w:hAnsi="Arial" w:cs="Arial"/>
          <w:sz w:val="21"/>
          <w:szCs w:val="21"/>
        </w:rPr>
      </w:pPr>
    </w:p>
    <w:p w14:paraId="3100C6EC" w14:textId="77777777" w:rsidR="00B40783" w:rsidRPr="00B40783" w:rsidRDefault="00B40783" w:rsidP="00652830">
      <w:pPr>
        <w:rPr>
          <w:rFonts w:ascii="Arial" w:hAnsi="Arial" w:cs="Arial"/>
          <w:sz w:val="21"/>
          <w:szCs w:val="21"/>
        </w:rPr>
      </w:pPr>
    </w:p>
    <w:p w14:paraId="05DC195D" w14:textId="77777777" w:rsidR="00B40783" w:rsidRPr="00B40783" w:rsidRDefault="00B40783" w:rsidP="00652830">
      <w:pPr>
        <w:rPr>
          <w:rFonts w:ascii="Arial" w:hAnsi="Arial" w:cs="Arial"/>
          <w:sz w:val="21"/>
          <w:szCs w:val="21"/>
        </w:rPr>
      </w:pPr>
    </w:p>
    <w:p w14:paraId="67C5BF27" w14:textId="77777777" w:rsidR="00B40783" w:rsidRPr="00B40783" w:rsidRDefault="00B40783" w:rsidP="00652830">
      <w:pPr>
        <w:rPr>
          <w:rFonts w:ascii="Arial" w:hAnsi="Arial" w:cs="Arial"/>
          <w:sz w:val="21"/>
          <w:szCs w:val="21"/>
        </w:rPr>
      </w:pPr>
      <w:r w:rsidRPr="00B40783">
        <w:rPr>
          <w:rFonts w:ascii="Arial" w:hAnsi="Arial" w:cs="Arial"/>
          <w:noProof/>
          <w:sz w:val="21"/>
          <w:szCs w:val="21"/>
        </w:rPr>
        <w:drawing>
          <wp:inline distT="0" distB="0" distL="0" distR="0" wp14:anchorId="5A6CF6F1" wp14:editId="214A4F3F">
            <wp:extent cx="5400040" cy="6824345"/>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5400040" cy="6824345"/>
                    </a:xfrm>
                    <a:prstGeom prst="rect">
                      <a:avLst/>
                    </a:prstGeom>
                    <a:noFill/>
                    <a:ln>
                      <a:noFill/>
                    </a:ln>
                  </pic:spPr>
                </pic:pic>
              </a:graphicData>
            </a:graphic>
          </wp:inline>
        </w:drawing>
      </w:r>
    </w:p>
    <w:p w14:paraId="2843281E" w14:textId="77777777" w:rsidR="00B40783" w:rsidRPr="00B40783" w:rsidRDefault="00B40783" w:rsidP="00652830">
      <w:pPr>
        <w:rPr>
          <w:rFonts w:ascii="Arial" w:hAnsi="Arial" w:cs="Arial"/>
          <w:sz w:val="21"/>
          <w:szCs w:val="21"/>
        </w:rPr>
      </w:pPr>
    </w:p>
    <w:p w14:paraId="35DE230F" w14:textId="77777777" w:rsidR="00B40783" w:rsidRPr="00DA3DC3" w:rsidRDefault="00B40783" w:rsidP="00652830">
      <w:pPr>
        <w:rPr>
          <w:rFonts w:ascii="Arial" w:hAnsi="Arial" w:cs="Arial"/>
          <w:sz w:val="21"/>
          <w:szCs w:val="21"/>
        </w:rPr>
      </w:pPr>
    </w:p>
    <w:p w14:paraId="768DC6D1" w14:textId="77777777" w:rsidR="00E05AE1" w:rsidRDefault="00E05AE1" w:rsidP="00652830">
      <w:pPr>
        <w:pStyle w:val="Ttulo1"/>
        <w:rPr>
          <w:rFonts w:ascii="Arial" w:hAnsi="Arial" w:cs="Arial"/>
          <w:color w:val="000000"/>
          <w:sz w:val="21"/>
          <w:szCs w:val="21"/>
        </w:rPr>
      </w:pPr>
      <w:bookmarkStart w:id="523" w:name="_Hlk96340109"/>
      <w:r>
        <w:rPr>
          <w:rFonts w:ascii="Arial" w:hAnsi="Arial" w:cs="Arial"/>
          <w:color w:val="000000"/>
          <w:sz w:val="21"/>
          <w:szCs w:val="21"/>
        </w:rPr>
        <w:br w:type="page"/>
      </w:r>
    </w:p>
    <w:bookmarkEnd w:id="523"/>
    <w:p w14:paraId="54590D07" w14:textId="77777777" w:rsidR="00FD042E" w:rsidRPr="00AC6920" w:rsidRDefault="00FD042E" w:rsidP="00652830">
      <w:pPr>
        <w:rPr>
          <w:rFonts w:ascii="Arial" w:eastAsia="Times New Roman" w:hAnsi="Arial" w:cs="Arial"/>
          <w:sz w:val="21"/>
          <w:szCs w:val="21"/>
          <w:lang w:eastAsia="es-ES"/>
        </w:rPr>
      </w:pPr>
    </w:p>
    <w:p w14:paraId="3D434E44" w14:textId="4AE6FEE9" w:rsidR="00176040" w:rsidRPr="00AC6920" w:rsidRDefault="003B0DD3" w:rsidP="00652830">
      <w:pPr>
        <w:rPr>
          <w:rFonts w:ascii="Arial" w:hAnsi="Arial" w:cs="Arial"/>
          <w:color w:val="000000" w:themeColor="text1"/>
          <w:sz w:val="21"/>
          <w:szCs w:val="21"/>
        </w:rPr>
      </w:pPr>
      <w:r w:rsidRPr="00AC6920">
        <w:rPr>
          <w:noProof/>
        </w:rPr>
        <w:drawing>
          <wp:anchor distT="0" distB="0" distL="114300" distR="114300" simplePos="0" relativeHeight="251955200" behindDoc="0" locked="0" layoutInCell="1" allowOverlap="1" wp14:anchorId="74C68CB2" wp14:editId="7B7DBEEB">
            <wp:simplePos x="0" y="0"/>
            <wp:positionH relativeFrom="column">
              <wp:posOffset>275414</wp:posOffset>
            </wp:positionH>
            <wp:positionV relativeFrom="paragraph">
              <wp:posOffset>2868930</wp:posOffset>
            </wp:positionV>
            <wp:extent cx="4734000" cy="1256400"/>
            <wp:effectExtent l="0" t="0" r="0" b="127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4734000" cy="1256400"/>
                    </a:xfrm>
                    <a:prstGeom prst="rect">
                      <a:avLst/>
                    </a:prstGeom>
                    <a:noFill/>
                    <a:ln>
                      <a:noFill/>
                    </a:ln>
                  </pic:spPr>
                </pic:pic>
              </a:graphicData>
            </a:graphic>
          </wp:anchor>
        </w:drawing>
      </w:r>
    </w:p>
    <w:sectPr w:rsidR="00176040" w:rsidRPr="00AC6920" w:rsidSect="009E4657">
      <w:pgSz w:w="11906" w:h="16838"/>
      <w:pgMar w:top="1134" w:right="1701" w:bottom="1134"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31DB33" w14:textId="77777777" w:rsidR="004D2C0C" w:rsidRDefault="004D2C0C" w:rsidP="000E2A66">
      <w:pPr>
        <w:spacing w:after="0" w:line="240" w:lineRule="auto"/>
      </w:pPr>
      <w:r>
        <w:separator/>
      </w:r>
    </w:p>
  </w:endnote>
  <w:endnote w:type="continuationSeparator" w:id="0">
    <w:p w14:paraId="39F6B18B" w14:textId="77777777" w:rsidR="004D2C0C" w:rsidRDefault="004D2C0C" w:rsidP="000E2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OpenSymbol">
    <w:altName w:val="OpenSymbol"/>
    <w:panose1 w:val="05010000000000000000"/>
    <w:charset w:val="00"/>
    <w:family w:val="auto"/>
    <w:pitch w:val="variable"/>
    <w:sig w:usb0="800000AF" w:usb1="1001ECE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SimSun">
    <w:panose1 w:val="02010609030101010101"/>
    <w:charset w:val="86"/>
    <w:family w:val="modern"/>
    <w:pitch w:val="fixed"/>
    <w:sig w:usb0="0000028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OpenSymbol;Arial Unicode MS">
    <w:altName w:val="Cambria"/>
    <w:panose1 w:val="00000000000000000000"/>
    <w:charset w:val="00"/>
    <w:family w:val="roman"/>
    <w:notTrueType/>
    <w:pitch w:val="default"/>
  </w:font>
  <w:font w:name="Liberation Sans;Arial">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Liberation Serif">
    <w:altName w:val="Liberation Serif"/>
    <w:panose1 w:val="02020603050405020304"/>
    <w:charset w:val="00"/>
    <w:family w:val="roman"/>
    <w:pitch w:val="variable"/>
    <w:sig w:usb0="E0000AFF" w:usb1="500078FF" w:usb2="00000021" w:usb3="00000000" w:csb0="000001BF" w:csb1="00000000"/>
  </w:font>
  <w:font w:name="Segoe UI">
    <w:panose1 w:val="020B0502040204020203"/>
    <w:charset w:val="00"/>
    <w:family w:val="swiss"/>
    <w:pitch w:val="variable"/>
    <w:sig w:usb0="E4002EFF" w:usb1="C000E47F" w:usb2="00000009" w:usb3="00000000" w:csb0="000001FF" w:csb1="00000000"/>
  </w:font>
  <w:font w:name="Droid Sans Fallback">
    <w:altName w:val="Segoe UI"/>
    <w:charset w:val="00"/>
    <w:family w:val="auto"/>
    <w:pitch w:val="variable"/>
  </w:font>
  <w:font w:name="FreeSans">
    <w:altName w:val="Calibri"/>
    <w:charset w:val="00"/>
    <w:family w:val="auto"/>
    <w:pitch w:val="variable"/>
  </w:font>
  <w:font w:name="Liberation Sans">
    <w:panose1 w:val="020B0604020202020204"/>
    <w:charset w:val="00"/>
    <w:family w:val="swiss"/>
    <w:pitch w:val="variable"/>
    <w:sig w:usb0="E0000AFF" w:usb1="500078FF" w:usb2="00000021" w:usb3="00000000" w:csb0="000001BF" w:csb1="00000000"/>
  </w:font>
  <w:font w:name="Lucida Sans">
    <w:panose1 w:val="020B0602030504020204"/>
    <w:charset w:val="00"/>
    <w:family w:val="swiss"/>
    <w:pitch w:val="variable"/>
    <w:sig w:usb0="00000003" w:usb1="00000000" w:usb2="00000000" w:usb3="00000000" w:csb0="00000001" w:csb1="00000000"/>
  </w:font>
  <w:font w:name="Liberation Mono">
    <w:panose1 w:val="02070409020205020404"/>
    <w:charset w:val="00"/>
    <w:family w:val="modern"/>
    <w:pitch w:val="fixed"/>
    <w:sig w:usb0="E0000AFF" w:usb1="400078FF" w:usb2="00000001" w:usb3="00000000" w:csb0="000001BF" w:csb1="00000000"/>
  </w:font>
  <w:font w:name="Consolas">
    <w:panose1 w:val="020B0609020204030204"/>
    <w:charset w:val="00"/>
    <w:family w:val="modern"/>
    <w:pitch w:val="fixed"/>
    <w:sig w:usb0="E00006FF" w:usb1="0000FCFF" w:usb2="00000001" w:usb3="00000000" w:csb0="0000019F" w:csb1="00000000"/>
  </w:font>
  <w:font w:name="Liberation Sans1">
    <w:altName w:val="Arial"/>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MillerText-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CC788" w14:textId="28F06A08" w:rsidR="008F1E02" w:rsidRDefault="008F1E02">
    <w:pPr>
      <w:pStyle w:val="Piedepgina"/>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8F1E02" w14:paraId="476E1F00" w14:textId="77777777" w:rsidTr="00A80110">
      <w:trPr>
        <w:trHeight w:val="323"/>
        <w:jc w:val="center"/>
      </w:trPr>
      <w:tc>
        <w:tcPr>
          <w:tcW w:w="8494" w:type="dxa"/>
        </w:tcPr>
        <w:p w14:paraId="08B94A90" w14:textId="336D712C" w:rsidR="008F1E02" w:rsidRPr="00B46EE6" w:rsidRDefault="008F1E02" w:rsidP="006A029B">
          <w:pPr>
            <w:pStyle w:val="Piedepgina"/>
            <w:jc w:val="center"/>
            <w:rPr>
              <w:b/>
            </w:rPr>
          </w:pPr>
          <w:r>
            <w:rPr>
              <w:b/>
              <w:noProof/>
            </w:rPr>
            <w:drawing>
              <wp:inline distT="0" distB="0" distL="0" distR="0" wp14:anchorId="5E4146C1" wp14:editId="1F0C9AA5">
                <wp:extent cx="457200" cy="262800"/>
                <wp:effectExtent l="0" t="0" r="0" b="4445"/>
                <wp:docPr id="286" name="Imagen 286" descr="Imagen que contiene utensilios de cocin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n 286" descr="Imagen que contiene utensilios de cocina, dibuj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457200" cy="262800"/>
                        </a:xfrm>
                        <a:prstGeom prst="rect">
                          <a:avLst/>
                        </a:prstGeom>
                      </pic:spPr>
                    </pic:pic>
                  </a:graphicData>
                </a:graphic>
              </wp:inline>
            </w:drawing>
          </w:r>
        </w:p>
      </w:tc>
    </w:tr>
    <w:tr w:rsidR="008F1E02" w14:paraId="063DC326" w14:textId="77777777" w:rsidTr="00A80110">
      <w:trPr>
        <w:trHeight w:val="323"/>
        <w:jc w:val="center"/>
      </w:trPr>
      <w:tc>
        <w:tcPr>
          <w:tcW w:w="8494" w:type="dxa"/>
        </w:tcPr>
        <w:p w14:paraId="0070E640" w14:textId="58EC7942" w:rsidR="008F1E02" w:rsidRPr="00AB7CD4" w:rsidRDefault="008F1E02" w:rsidP="007F1FC7">
          <w:pPr>
            <w:pStyle w:val="Piedepgina"/>
            <w:tabs>
              <w:tab w:val="left" w:pos="210"/>
              <w:tab w:val="left" w:pos="1372"/>
              <w:tab w:val="center" w:pos="3998"/>
              <w:tab w:val="center" w:pos="4139"/>
            </w:tabs>
            <w:jc w:val="center"/>
            <w:rPr>
              <w:noProof/>
            </w:rPr>
          </w:pPr>
          <w:r w:rsidRPr="000915ED">
            <w:rPr>
              <w:b/>
            </w:rPr>
            <w:fldChar w:fldCharType="begin"/>
          </w:r>
          <w:r w:rsidRPr="000915ED">
            <w:rPr>
              <w:b/>
            </w:rPr>
            <w:instrText>PAGE   \* MERGEFORMAT</w:instrText>
          </w:r>
          <w:r w:rsidRPr="000915ED">
            <w:rPr>
              <w:b/>
            </w:rPr>
            <w:fldChar w:fldCharType="separate"/>
          </w:r>
          <w:r>
            <w:rPr>
              <w:b/>
            </w:rPr>
            <w:t>212</w:t>
          </w:r>
          <w:r w:rsidRPr="000915ED">
            <w:rPr>
              <w:b/>
            </w:rPr>
            <w:fldChar w:fldCharType="end"/>
          </w:r>
        </w:p>
      </w:tc>
    </w:tr>
  </w:tbl>
  <w:p w14:paraId="534B2CFA" w14:textId="77777777" w:rsidR="008F1E02" w:rsidRPr="00F43152" w:rsidRDefault="008F1E02">
    <w:pPr>
      <w:pStyle w:val="Piedepgina"/>
      <w:rPr>
        <w:sz w:val="10"/>
        <w:szCs w:val="1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tblGrid>
    <w:tr w:rsidR="008F1E02" w14:paraId="3AB18072" w14:textId="77777777" w:rsidTr="00B90EA4">
      <w:trPr>
        <w:jc w:val="center"/>
      </w:trPr>
      <w:tc>
        <w:tcPr>
          <w:tcW w:w="8494" w:type="dxa"/>
        </w:tcPr>
        <w:p w14:paraId="16078CCE" w14:textId="190622BC" w:rsidR="008F1E02" w:rsidRDefault="008F1E02" w:rsidP="007C1729">
          <w:pPr>
            <w:pStyle w:val="Piedepgina"/>
            <w:jc w:val="center"/>
            <w:rPr>
              <w:b/>
              <w:sz w:val="10"/>
              <w:szCs w:val="10"/>
            </w:rPr>
          </w:pPr>
        </w:p>
      </w:tc>
    </w:tr>
  </w:tbl>
  <w:p w14:paraId="107A8772" w14:textId="64FAA04B" w:rsidR="008F1E02" w:rsidRPr="00E71133" w:rsidRDefault="008F1E02">
    <w:pPr>
      <w:pStyle w:val="Piedepgina"/>
      <w:rPr>
        <w:sz w:val="10"/>
        <w:szCs w:val="1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E4926" w14:textId="67FCFE15" w:rsidR="008F1E02" w:rsidRDefault="008F1E02" w:rsidP="00FD5832">
    <w:pPr>
      <w:pStyle w:val="Piedepgina"/>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tblGrid>
    <w:tr w:rsidR="008F1E02" w14:paraId="11C4A02F" w14:textId="77777777" w:rsidTr="00A80110">
      <w:trPr>
        <w:trHeight w:val="326"/>
        <w:jc w:val="center"/>
      </w:trPr>
      <w:tc>
        <w:tcPr>
          <w:tcW w:w="8494" w:type="dxa"/>
        </w:tcPr>
        <w:p w14:paraId="76F435E6" w14:textId="3F970E63" w:rsidR="008F1E02" w:rsidRPr="00C649A9" w:rsidRDefault="008F1E02" w:rsidP="00A80110">
          <w:pPr>
            <w:pStyle w:val="Piedepgina"/>
            <w:tabs>
              <w:tab w:val="center" w:pos="3998"/>
              <w:tab w:val="left" w:pos="7214"/>
            </w:tabs>
            <w:rPr>
              <w:b/>
            </w:rPr>
          </w:pPr>
          <w:r>
            <w:rPr>
              <w:b/>
            </w:rPr>
            <w:tab/>
          </w:r>
          <w:r>
            <w:rPr>
              <w:b/>
              <w:noProof/>
            </w:rPr>
            <w:drawing>
              <wp:inline distT="0" distB="0" distL="0" distR="0" wp14:anchorId="23276149" wp14:editId="3CE3C388">
                <wp:extent cx="460800" cy="262800"/>
                <wp:effectExtent l="0" t="0" r="0" b="4445"/>
                <wp:docPr id="39" name="Imagen 39" descr="Imagen que contiene utensilios de cocin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n 287" descr="Imagen que contiene utensilios de cocina, dibuj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460800" cy="262800"/>
                        </a:xfrm>
                        <a:prstGeom prst="rect">
                          <a:avLst/>
                        </a:prstGeom>
                      </pic:spPr>
                    </pic:pic>
                  </a:graphicData>
                </a:graphic>
              </wp:inline>
            </w:drawing>
          </w:r>
          <w:r>
            <w:rPr>
              <w:b/>
            </w:rPr>
            <w:tab/>
          </w:r>
        </w:p>
      </w:tc>
    </w:tr>
    <w:tr w:rsidR="008F1E02" w14:paraId="22E04739" w14:textId="77777777" w:rsidTr="00A80110">
      <w:trPr>
        <w:trHeight w:val="326"/>
        <w:jc w:val="center"/>
      </w:trPr>
      <w:tc>
        <w:tcPr>
          <w:tcW w:w="8494" w:type="dxa"/>
        </w:tcPr>
        <w:p w14:paraId="4A8D1EB8" w14:textId="6D746D39" w:rsidR="008F1E02" w:rsidRPr="00AB7CD4" w:rsidRDefault="008F1E02" w:rsidP="00F43152">
          <w:pPr>
            <w:pStyle w:val="Piedepgina"/>
            <w:jc w:val="center"/>
            <w:rPr>
              <w:noProof/>
            </w:rPr>
          </w:pPr>
          <w:r w:rsidRPr="000915ED">
            <w:rPr>
              <w:b/>
            </w:rPr>
            <w:fldChar w:fldCharType="begin"/>
          </w:r>
          <w:r w:rsidRPr="000915ED">
            <w:rPr>
              <w:b/>
            </w:rPr>
            <w:instrText>PAGE   \* MERGEFORMAT</w:instrText>
          </w:r>
          <w:r w:rsidRPr="000915ED">
            <w:rPr>
              <w:b/>
            </w:rPr>
            <w:fldChar w:fldCharType="separate"/>
          </w:r>
          <w:r>
            <w:rPr>
              <w:b/>
            </w:rPr>
            <w:t>11</w:t>
          </w:r>
          <w:r w:rsidRPr="000915ED">
            <w:rPr>
              <w:b/>
            </w:rPr>
            <w:fldChar w:fldCharType="end"/>
          </w:r>
        </w:p>
      </w:tc>
    </w:tr>
  </w:tbl>
  <w:p w14:paraId="4C12C828" w14:textId="77777777" w:rsidR="008F1E02" w:rsidRPr="00A140F9" w:rsidRDefault="008F1E02" w:rsidP="00FD5832">
    <w:pPr>
      <w:pStyle w:val="Piedepgina"/>
      <w:rPr>
        <w:b/>
        <w:sz w:val="10"/>
        <w:szCs w:val="1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46D88" w14:textId="77777777" w:rsidR="008F1E02" w:rsidRDefault="008F1E02" w:rsidP="00FD5832">
    <w:pPr>
      <w:pStyle w:val="Piedepgina"/>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8F1E02" w14:paraId="2C40A691" w14:textId="77777777" w:rsidTr="006A029B">
      <w:trPr>
        <w:trHeight w:val="450"/>
        <w:jc w:val="center"/>
      </w:trPr>
      <w:tc>
        <w:tcPr>
          <w:tcW w:w="8494" w:type="dxa"/>
        </w:tcPr>
        <w:p w14:paraId="3B8AC795" w14:textId="5DC881BC" w:rsidR="008F1E02" w:rsidRPr="000915ED" w:rsidRDefault="008F1E02" w:rsidP="00F43152">
          <w:pPr>
            <w:pStyle w:val="Piedepgina"/>
            <w:jc w:val="center"/>
            <w:rPr>
              <w:sz w:val="10"/>
              <w:szCs w:val="10"/>
            </w:rPr>
          </w:pPr>
        </w:p>
        <w:p w14:paraId="5E0CCDD1" w14:textId="2EB0AA45" w:rsidR="008F1E02" w:rsidRPr="00C649A9" w:rsidRDefault="008F1E02" w:rsidP="005079BD">
          <w:pPr>
            <w:pStyle w:val="Piedepgina"/>
            <w:jc w:val="center"/>
            <w:rPr>
              <w:b/>
            </w:rPr>
          </w:pPr>
          <w:r>
            <w:rPr>
              <w:b/>
              <w:noProof/>
            </w:rPr>
            <w:drawing>
              <wp:inline distT="0" distB="0" distL="0" distR="0" wp14:anchorId="4A80E50B" wp14:editId="58506453">
                <wp:extent cx="457200" cy="262800"/>
                <wp:effectExtent l="0" t="0" r="0" b="4445"/>
                <wp:docPr id="285" name="Imagen 285" descr="Imagen que contiene utensilios de cocin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n 285" descr="Imagen que contiene utensilios de cocina, dibuj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457200" cy="262800"/>
                        </a:xfrm>
                        <a:prstGeom prst="rect">
                          <a:avLst/>
                        </a:prstGeom>
                      </pic:spPr>
                    </pic:pic>
                  </a:graphicData>
                </a:graphic>
              </wp:inline>
            </w:drawing>
          </w:r>
        </w:p>
      </w:tc>
    </w:tr>
    <w:tr w:rsidR="008F1E02" w14:paraId="02A6981D" w14:textId="77777777" w:rsidTr="006A029B">
      <w:trPr>
        <w:trHeight w:val="450"/>
        <w:jc w:val="center"/>
      </w:trPr>
      <w:tc>
        <w:tcPr>
          <w:tcW w:w="8494" w:type="dxa"/>
        </w:tcPr>
        <w:p w14:paraId="3F462FDA" w14:textId="75288B7D" w:rsidR="008F1E02" w:rsidRPr="00AB7CD4" w:rsidRDefault="008F1E02" w:rsidP="00F43152">
          <w:pPr>
            <w:pStyle w:val="Piedepgina"/>
            <w:jc w:val="center"/>
            <w:rPr>
              <w:noProof/>
            </w:rPr>
          </w:pPr>
          <w:r w:rsidRPr="000915ED">
            <w:rPr>
              <w:b/>
            </w:rPr>
            <w:fldChar w:fldCharType="begin"/>
          </w:r>
          <w:r w:rsidRPr="000915ED">
            <w:rPr>
              <w:b/>
            </w:rPr>
            <w:instrText>PAGE   \* MERGEFORMAT</w:instrText>
          </w:r>
          <w:r w:rsidRPr="000915ED">
            <w:rPr>
              <w:b/>
            </w:rPr>
            <w:fldChar w:fldCharType="separate"/>
          </w:r>
          <w:r>
            <w:rPr>
              <w:b/>
            </w:rPr>
            <w:t>199</w:t>
          </w:r>
          <w:r w:rsidRPr="000915ED">
            <w:rPr>
              <w:b/>
            </w:rPr>
            <w:fldChar w:fldCharType="end"/>
          </w:r>
        </w:p>
      </w:tc>
    </w:tr>
  </w:tbl>
  <w:p w14:paraId="4742C1C5" w14:textId="77777777" w:rsidR="008F1E02" w:rsidRPr="00A140F9" w:rsidRDefault="008F1E02" w:rsidP="00FD5832">
    <w:pPr>
      <w:pStyle w:val="Piedepgina"/>
      <w:rPr>
        <w:b/>
        <w:sz w:val="10"/>
        <w:szCs w:val="1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D7713" w14:textId="03D025BE" w:rsidR="008F1E02" w:rsidRPr="00C12B0A" w:rsidRDefault="008F1E02">
    <w:pPr>
      <w:pStyle w:val="Piedepgina"/>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8F1E02" w14:paraId="2A30DDFB" w14:textId="77777777" w:rsidTr="005079BD">
      <w:trPr>
        <w:trHeight w:val="450"/>
        <w:jc w:val="center"/>
      </w:trPr>
      <w:tc>
        <w:tcPr>
          <w:tcW w:w="8494" w:type="dxa"/>
        </w:tcPr>
        <w:p w14:paraId="7A16D51B" w14:textId="33D48319" w:rsidR="008F1E02" w:rsidRPr="000915ED" w:rsidRDefault="008F1E02" w:rsidP="00C12B0A">
          <w:pPr>
            <w:pStyle w:val="Piedepgina"/>
            <w:jc w:val="center"/>
            <w:rPr>
              <w:sz w:val="10"/>
              <w:szCs w:val="10"/>
            </w:rPr>
          </w:pPr>
        </w:p>
        <w:sdt>
          <w:sdtPr>
            <w:rPr>
              <w:sz w:val="10"/>
              <w:szCs w:val="10"/>
            </w:rPr>
            <w:id w:val="-1363742566"/>
            <w:docPartObj>
              <w:docPartGallery w:val="Page Numbers (Bottom of Page)"/>
              <w:docPartUnique/>
            </w:docPartObj>
          </w:sdtPr>
          <w:sdtEndPr>
            <w:rPr>
              <w:b/>
              <w:sz w:val="24"/>
              <w:szCs w:val="24"/>
            </w:rPr>
          </w:sdtEndPr>
          <w:sdtContent>
            <w:p w14:paraId="1B8DCE52" w14:textId="5CCAA302" w:rsidR="008F1E02" w:rsidRDefault="008F1E02" w:rsidP="005079BD">
              <w:pPr>
                <w:pStyle w:val="Piedepgina"/>
                <w:jc w:val="center"/>
                <w:rPr>
                  <w:b/>
                  <w:sz w:val="10"/>
                  <w:szCs w:val="10"/>
                </w:rPr>
              </w:pPr>
              <w:r>
                <w:rPr>
                  <w:noProof/>
                  <w:sz w:val="10"/>
                  <w:szCs w:val="10"/>
                </w:rPr>
                <w:drawing>
                  <wp:inline distT="0" distB="0" distL="0" distR="0" wp14:anchorId="7DC93207" wp14:editId="51A46961">
                    <wp:extent cx="457200" cy="262433"/>
                    <wp:effectExtent l="0" t="0" r="0" b="4445"/>
                    <wp:docPr id="3" name="Imagen 3" descr="Imagen que contiene utensilios de cocin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utensilios de cocina, dibuj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473718" cy="271914"/>
                            </a:xfrm>
                            <a:prstGeom prst="rect">
                              <a:avLst/>
                            </a:prstGeom>
                          </pic:spPr>
                        </pic:pic>
                      </a:graphicData>
                    </a:graphic>
                  </wp:inline>
                </w:drawing>
              </w:r>
            </w:p>
          </w:sdtContent>
        </w:sdt>
      </w:tc>
    </w:tr>
    <w:tr w:rsidR="008F1E02" w14:paraId="612E69E1" w14:textId="77777777" w:rsidTr="005079BD">
      <w:trPr>
        <w:trHeight w:val="450"/>
        <w:jc w:val="center"/>
      </w:trPr>
      <w:tc>
        <w:tcPr>
          <w:tcW w:w="8494" w:type="dxa"/>
        </w:tcPr>
        <w:p w14:paraId="31B0A81F" w14:textId="06CE8556" w:rsidR="008F1E02" w:rsidRPr="00AB7CD4" w:rsidRDefault="008F1E02" w:rsidP="00C12B0A">
          <w:pPr>
            <w:pStyle w:val="Piedepgina"/>
            <w:jc w:val="center"/>
            <w:rPr>
              <w:noProof/>
            </w:rPr>
          </w:pPr>
          <w:r w:rsidRPr="000915ED">
            <w:rPr>
              <w:b/>
            </w:rPr>
            <w:fldChar w:fldCharType="begin"/>
          </w:r>
          <w:r w:rsidRPr="000915ED">
            <w:rPr>
              <w:b/>
            </w:rPr>
            <w:instrText>PAGE   \* MERGEFORMAT</w:instrText>
          </w:r>
          <w:r w:rsidRPr="000915ED">
            <w:rPr>
              <w:b/>
            </w:rPr>
            <w:fldChar w:fldCharType="separate"/>
          </w:r>
          <w:r>
            <w:rPr>
              <w:b/>
            </w:rPr>
            <w:t>196</w:t>
          </w:r>
          <w:r w:rsidRPr="000915ED">
            <w:rPr>
              <w:b/>
            </w:rPr>
            <w:fldChar w:fldCharType="end"/>
          </w:r>
        </w:p>
      </w:tc>
    </w:tr>
  </w:tbl>
  <w:p w14:paraId="543CC3B8" w14:textId="77777777" w:rsidR="008F1E02" w:rsidRPr="00E71133" w:rsidRDefault="008F1E02">
    <w:pPr>
      <w:pStyle w:val="Piedepgina"/>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F0900C" w14:textId="77777777" w:rsidR="004D2C0C" w:rsidRDefault="004D2C0C" w:rsidP="000E2A66">
      <w:pPr>
        <w:spacing w:after="0" w:line="240" w:lineRule="auto"/>
      </w:pPr>
      <w:r>
        <w:separator/>
      </w:r>
    </w:p>
  </w:footnote>
  <w:footnote w:type="continuationSeparator" w:id="0">
    <w:p w14:paraId="4A64EBF0" w14:textId="77777777" w:rsidR="004D2C0C" w:rsidRDefault="004D2C0C" w:rsidP="000E2A66">
      <w:pPr>
        <w:spacing w:after="0" w:line="240" w:lineRule="auto"/>
      </w:pPr>
      <w:r>
        <w:continuationSeparator/>
      </w:r>
    </w:p>
  </w:footnote>
  <w:footnote w:id="1">
    <w:p w14:paraId="3E35BAA9" w14:textId="77777777" w:rsidR="00DC5775" w:rsidRDefault="00DC5775" w:rsidP="00DC5775">
      <w:pPr>
        <w:pStyle w:val="Textonotapie"/>
      </w:pPr>
      <w:r>
        <w:rPr>
          <w:rStyle w:val="Refdenotaalpie"/>
        </w:rPr>
        <w:footnoteRef/>
      </w:r>
      <w:r>
        <w:t xml:space="preserve"> </w:t>
      </w:r>
      <w:r w:rsidRPr="007F4710">
        <w:t>Muñoz, G. (17 de noviembre</w:t>
      </w:r>
      <w:r>
        <w:t xml:space="preserve">, </w:t>
      </w:r>
      <w:r w:rsidRPr="007F4710">
        <w:t xml:space="preserve">2021). Els llibres impactants. El </w:t>
      </w:r>
      <w:r>
        <w:t xml:space="preserve">Diario. </w:t>
      </w:r>
      <w:hyperlink r:id="rId1" w:history="1">
        <w:r w:rsidRPr="00F44873">
          <w:rPr>
            <w:rStyle w:val="Hipervnculo"/>
          </w:rPr>
          <w:t>https://www.eldiario.es/comunitat-valenciana/notes-de-lectura/els-llibres-impactants_132_8499966.html</w:t>
        </w:r>
      </w:hyperlink>
      <w:r>
        <w:t xml:space="preserve"> </w:t>
      </w:r>
    </w:p>
  </w:footnote>
  <w:footnote w:id="2">
    <w:p w14:paraId="2E46AFF3" w14:textId="77777777" w:rsidR="00DC5775" w:rsidRPr="00683640" w:rsidRDefault="00DC5775" w:rsidP="00DC5775">
      <w:pPr>
        <w:pStyle w:val="Textonotapie"/>
        <w:rPr>
          <w:lang w:val="en-US"/>
        </w:rPr>
      </w:pPr>
      <w:r>
        <w:rPr>
          <w:rStyle w:val="Refdenotaalpie"/>
        </w:rPr>
        <w:footnoteRef/>
      </w:r>
      <w:r>
        <w:t xml:space="preserve"> </w:t>
      </w:r>
      <w:r w:rsidRPr="002F62D2">
        <w:t>Díaz-Guerra</w:t>
      </w:r>
      <w:r>
        <w:t>, I. (</w:t>
      </w:r>
      <w:r w:rsidRPr="002F62D2">
        <w:t xml:space="preserve">21 </w:t>
      </w:r>
      <w:r>
        <w:t xml:space="preserve">de </w:t>
      </w:r>
      <w:r w:rsidRPr="002F62D2">
        <w:t>octubre</w:t>
      </w:r>
      <w:r>
        <w:t>,</w:t>
      </w:r>
      <w:r w:rsidRPr="002F62D2">
        <w:t xml:space="preserve"> 2021</w:t>
      </w:r>
      <w:r>
        <w:t xml:space="preserve">). </w:t>
      </w:r>
      <w:r w:rsidRPr="002F62D2">
        <w:t>Rodrigo Terrasa: "La corrupción en Valencia fue una mezcla entre Gomorra y Los bingueros"</w:t>
      </w:r>
      <w:r>
        <w:t xml:space="preserve">. </w:t>
      </w:r>
      <w:r w:rsidRPr="00683640">
        <w:rPr>
          <w:lang w:val="en-US"/>
        </w:rPr>
        <w:t xml:space="preserve">El Mundo. </w:t>
      </w:r>
      <w:hyperlink r:id="rId2" w:history="1">
        <w:r w:rsidRPr="00683640">
          <w:rPr>
            <w:rStyle w:val="Hipervnculo"/>
            <w:lang w:val="en-US"/>
          </w:rPr>
          <w:t>https://www.elmundo.es/papel/historias/2021/10/21/616ef375e4d4d8be358b4599.html</w:t>
        </w:r>
      </w:hyperlink>
      <w:r w:rsidRPr="00683640">
        <w:rPr>
          <w:lang w:val="en-US"/>
        </w:rPr>
        <w:t xml:space="preserve"> </w:t>
      </w:r>
    </w:p>
  </w:footnote>
  <w:footnote w:id="3">
    <w:p w14:paraId="51E561C9" w14:textId="489BAAFE" w:rsidR="00DC5775" w:rsidRDefault="00DC5775" w:rsidP="00104AEE">
      <w:r>
        <w:rPr>
          <w:rStyle w:val="Refdenotaalpie"/>
        </w:rPr>
        <w:footnoteRef/>
      </w:r>
      <w:r w:rsidRPr="001E0163">
        <w:rPr>
          <w:lang w:val="en-US"/>
        </w:rPr>
        <w:t xml:space="preserve"> </w:t>
      </w:r>
      <w:r w:rsidRPr="001E0163">
        <w:rPr>
          <w:rFonts w:ascii="Arial" w:hAnsi="Arial" w:cs="Arial"/>
          <w:sz w:val="21"/>
          <w:szCs w:val="21"/>
          <w:lang w:val="en-US"/>
        </w:rPr>
        <w:t xml:space="preserve">International Federation of Library Associations and Institutions. </w:t>
      </w:r>
      <w:r w:rsidRPr="00560061">
        <w:rPr>
          <w:rFonts w:ascii="Arial" w:hAnsi="Arial" w:cs="Arial"/>
          <w:sz w:val="21"/>
          <w:szCs w:val="21"/>
        </w:rPr>
        <w:t xml:space="preserve">(2009). Manifiesto de la IFLA sobre Transparencia, Buen Gobierno y Erradicación de la Corrupción. Disponible en: </w:t>
      </w:r>
      <w:hyperlink r:id="rId3" w:history="1">
        <w:r w:rsidRPr="00560061">
          <w:rPr>
            <w:rStyle w:val="Hipervnculo"/>
            <w:rFonts w:ascii="Arial" w:hAnsi="Arial" w:cs="Arial"/>
            <w:sz w:val="21"/>
            <w:szCs w:val="21"/>
          </w:rPr>
          <w:t>https://repository.ifla.org/handle/123456789/1593</w:t>
        </w:r>
      </w:hyperlink>
      <w:r w:rsidR="00B3585A">
        <w:rPr>
          <w:rStyle w:val="Hipervnculo"/>
          <w:rFonts w:ascii="Arial" w:hAnsi="Arial" w:cs="Arial"/>
          <w:sz w:val="21"/>
          <w:szCs w:val="21"/>
        </w:rPr>
        <w:t xml:space="preserve"> </w:t>
      </w:r>
    </w:p>
  </w:footnote>
  <w:footnote w:id="4">
    <w:p w14:paraId="00F4C8B6" w14:textId="77777777" w:rsidR="003C429B" w:rsidRPr="00287580" w:rsidRDefault="003C429B" w:rsidP="003C429B">
      <w:pPr>
        <w:pStyle w:val="Textonotapie"/>
        <w:rPr>
          <w:rFonts w:ascii="Arial" w:hAnsi="Arial" w:cs="Arial"/>
          <w:sz w:val="18"/>
          <w:szCs w:val="18"/>
        </w:rPr>
      </w:pPr>
      <w:r w:rsidRPr="00287580">
        <w:rPr>
          <w:rStyle w:val="Refdenotaalpie"/>
          <w:rFonts w:ascii="Arial" w:hAnsi="Arial"/>
          <w:sz w:val="18"/>
          <w:szCs w:val="18"/>
        </w:rPr>
        <w:sym w:font="Symbol" w:char="F02A"/>
      </w:r>
      <w:r w:rsidRPr="00287580">
        <w:rPr>
          <w:rFonts w:ascii="Arial" w:hAnsi="Arial" w:cs="Arial"/>
          <w:sz w:val="18"/>
          <w:szCs w:val="18"/>
        </w:rPr>
        <w:t xml:space="preserve"> Se muestra en la tabla las cantidades correspondientes a la modificación presupuestaria antes referida, realizada con motivo de la devolución a la Conselleria de </w:t>
      </w:r>
      <w:r>
        <w:rPr>
          <w:rFonts w:ascii="Arial" w:hAnsi="Arial" w:cs="Arial"/>
          <w:sz w:val="18"/>
          <w:szCs w:val="18"/>
        </w:rPr>
        <w:t xml:space="preserve">  </w:t>
      </w:r>
      <w:r w:rsidRPr="00287580">
        <w:rPr>
          <w:rFonts w:ascii="Arial" w:hAnsi="Arial" w:cs="Arial"/>
          <w:sz w:val="18"/>
          <w:szCs w:val="18"/>
        </w:rPr>
        <w:t>Hacienda de los remanentes acumulados durante los últimos tres ejercicios</w:t>
      </w:r>
      <w:r>
        <w:rPr>
          <w:rFonts w:ascii="Arial" w:hAnsi="Arial" w:cs="Arial"/>
          <w:sz w:val="18"/>
          <w:szCs w:val="18"/>
        </w:rPr>
        <w:t>.</w:t>
      </w:r>
    </w:p>
  </w:footnote>
  <w:footnote w:id="5">
    <w:p w14:paraId="39550CA2" w14:textId="0ED275A7" w:rsidR="003C429B" w:rsidRPr="00287580" w:rsidRDefault="003C429B" w:rsidP="003C429B">
      <w:pPr>
        <w:pStyle w:val="Textonotapie"/>
        <w:rPr>
          <w:rFonts w:ascii="Arial" w:hAnsi="Arial" w:cs="Arial"/>
          <w:sz w:val="18"/>
          <w:szCs w:val="18"/>
        </w:rPr>
      </w:pPr>
    </w:p>
  </w:footnote>
  <w:footnote w:id="6">
    <w:p w14:paraId="5755019D" w14:textId="77777777" w:rsidR="00DC250D" w:rsidRPr="00106359" w:rsidRDefault="00DC250D" w:rsidP="00DC250D">
      <w:pPr>
        <w:pStyle w:val="Textonotapie"/>
        <w:rPr>
          <w:rFonts w:ascii="Arial" w:hAnsi="Arial" w:cs="Arial"/>
          <w:sz w:val="18"/>
          <w:szCs w:val="18"/>
        </w:rPr>
      </w:pPr>
      <w:r w:rsidRPr="00106359">
        <w:rPr>
          <w:rStyle w:val="Refdenotaalpie"/>
          <w:lang w:val="ca"/>
        </w:rPr>
        <w:sym w:font="Symbol" w:char="F02A"/>
      </w:r>
      <w:r>
        <w:rPr>
          <w:lang w:val="ca"/>
        </w:rPr>
        <w:t xml:space="preserve"> </w:t>
      </w:r>
      <w:r w:rsidRPr="00106359">
        <w:rPr>
          <w:sz w:val="18"/>
          <w:szCs w:val="18"/>
          <w:lang w:val="ca"/>
        </w:rPr>
        <w:t>Es mostra en la taula les quantitats corresponents a la modificació pressupostària abans referida, realitzada amb motiu de la devolució a la Conselleria d'Hisenda dels romanents acumulats durant els últims tres exercicis</w:t>
      </w:r>
    </w:p>
  </w:footnote>
  <w:footnote w:id="7">
    <w:p w14:paraId="359D4A21" w14:textId="6E3198FF" w:rsidR="00DC250D" w:rsidRPr="00106359" w:rsidRDefault="00DC250D" w:rsidP="00DC250D">
      <w:pPr>
        <w:pStyle w:val="Textonotapie"/>
        <w:rPr>
          <w:rFonts w:ascii="Arial" w:hAnsi="Arial" w:cs="Arial"/>
          <w:sz w:val="18"/>
          <w:szCs w:val="18"/>
        </w:rPr>
      </w:pPr>
    </w:p>
  </w:footnote>
  <w:footnote w:id="8">
    <w:p w14:paraId="0CD64E2D" w14:textId="5099940D" w:rsidR="005D5A15" w:rsidRPr="00EC7170" w:rsidRDefault="005D5A15" w:rsidP="005D5A15">
      <w:pPr>
        <w:pStyle w:val="Textonotapie"/>
        <w:rPr>
          <w:lang w:val="ca-ES"/>
        </w:rPr>
      </w:pPr>
      <w:r w:rsidRPr="00EC7170">
        <w:rPr>
          <w:rStyle w:val="Refdenotaalpie"/>
          <w:lang w:val="ca-ES"/>
        </w:rPr>
        <w:footnoteRef/>
      </w:r>
      <w:r w:rsidRPr="00EC7170">
        <w:rPr>
          <w:lang w:val="ca-ES"/>
        </w:rPr>
        <w:t xml:space="preserve"> </w:t>
      </w:r>
      <w:r w:rsidRPr="00EC7170">
        <w:rPr>
          <w:rFonts w:ascii="Arial" w:hAnsi="Arial" w:cs="Arial"/>
          <w:sz w:val="16"/>
          <w:szCs w:val="16"/>
          <w:lang w:val="ca-ES"/>
        </w:rPr>
        <w:t>Sentència del Tribunal Suprem de 8 de juliol de 2015 (STS 3614/2015), fonament de dret quart.</w:t>
      </w:r>
    </w:p>
  </w:footnote>
  <w:footnote w:id="9">
    <w:p w14:paraId="530F4D7C" w14:textId="7CAE9510" w:rsidR="005D5A15" w:rsidRDefault="005D5A15" w:rsidP="005D5A15">
      <w:pPr>
        <w:pStyle w:val="Textonotapie"/>
        <w:jc w:val="both"/>
      </w:pPr>
      <w:r>
        <w:rPr>
          <w:rStyle w:val="Refdenotaalpie"/>
        </w:rPr>
        <w:footnoteRef/>
      </w:r>
      <w:r>
        <w:t xml:space="preserve"> </w:t>
      </w:r>
      <w:r w:rsidRPr="000A3659">
        <w:rPr>
          <w:rFonts w:ascii="Arial" w:hAnsi="Arial" w:cs="Arial"/>
          <w:sz w:val="16"/>
          <w:szCs w:val="16"/>
        </w:rPr>
        <w:t>Carles Ramió (2016) La renovación de la función pública: estrategias para frenar la corrupción política en España. Pg 170 y 174. Editorial Catarata.</w:t>
      </w:r>
    </w:p>
  </w:footnote>
  <w:footnote w:id="10">
    <w:p w14:paraId="4AC92080" w14:textId="77777777" w:rsidR="009240D3" w:rsidRPr="00905454" w:rsidRDefault="009240D3" w:rsidP="009240D3">
      <w:pPr>
        <w:pStyle w:val="Textonotapie"/>
        <w:jc w:val="both"/>
        <w:rPr>
          <w:rFonts w:ascii="Arial" w:eastAsia="Times New Roman" w:hAnsi="Arial" w:cs="Arial"/>
          <w:color w:val="444444"/>
          <w:sz w:val="45"/>
          <w:szCs w:val="45"/>
          <w:lang w:eastAsia="es-ES"/>
        </w:rPr>
      </w:pPr>
      <w:r>
        <w:rPr>
          <w:rStyle w:val="Refdenotaalpie"/>
        </w:rPr>
        <w:footnoteRef/>
      </w:r>
      <w:r>
        <w:t xml:space="preserve"> Alcalá, Francisco, y Fernando Jiménez (2018). </w:t>
      </w:r>
      <w:r>
        <w:rPr>
          <w:i/>
          <w:iCs/>
        </w:rPr>
        <w:t xml:space="preserve">Los costes económicos del déficit de calidad institucional y la corrupción en España. </w:t>
      </w:r>
      <w:r>
        <w:t>Madrid: Fundación BBVA.</w:t>
      </w:r>
    </w:p>
    <w:p w14:paraId="20F0BA07" w14:textId="77777777" w:rsidR="009240D3" w:rsidRDefault="009240D3" w:rsidP="009240D3">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8F1E02" w:rsidRPr="00530DDB" w14:paraId="4827B884" w14:textId="1AC85977" w:rsidTr="0095711F">
      <w:tc>
        <w:tcPr>
          <w:tcW w:w="8494" w:type="dxa"/>
        </w:tcPr>
        <w:p w14:paraId="7E88BBB4" w14:textId="406C6240" w:rsidR="008F1E02" w:rsidRPr="00530DDB" w:rsidRDefault="008F1E02" w:rsidP="000826AD">
          <w:pPr>
            <w:spacing w:line="288" w:lineRule="auto"/>
            <w:rPr>
              <w:rFonts w:ascii="Times New Roman" w:eastAsia="Times New Roman" w:hAnsi="Times New Roman" w:cs="Times New Roman"/>
              <w:color w:val="9D2235"/>
              <w:sz w:val="19"/>
              <w:szCs w:val="19"/>
              <w:lang w:eastAsia="es-ES"/>
            </w:rPr>
          </w:pPr>
          <w:bookmarkStart w:id="0" w:name="_Hlk35951285"/>
          <w:r w:rsidRPr="00530DDB">
            <w:rPr>
              <w:rFonts w:ascii="Open Sans" w:eastAsia="Times New Roman" w:hAnsi="Open Sans" w:cs="Open Sans"/>
              <w:b/>
              <w:bCs/>
              <w:smallCaps/>
              <w:color w:val="9D2235"/>
              <w:sz w:val="19"/>
              <w:szCs w:val="19"/>
              <w:lang w:eastAsia="es-ES"/>
            </w:rPr>
            <w:t>Memòria d’activitat de l’Agència Valenciana Antifrau</w:t>
          </w:r>
        </w:p>
        <w:p w14:paraId="5E95D51C" w14:textId="7753984B" w:rsidR="008F1E02" w:rsidRPr="00530DDB" w:rsidRDefault="008F1E02" w:rsidP="000826AD">
          <w:pPr>
            <w:spacing w:line="288" w:lineRule="auto"/>
            <w:rPr>
              <w:rFonts w:ascii="Open Sans" w:hAnsi="Open Sans" w:cs="Open Sans"/>
              <w:b/>
              <w:bCs/>
              <w:smallCaps/>
              <w:color w:val="FFFFFF" w:themeColor="background1"/>
              <w:sz w:val="19"/>
              <w:szCs w:val="19"/>
              <w:highlight w:val="darkRed"/>
            </w:rPr>
          </w:pPr>
          <w:r w:rsidRPr="00530DDB">
            <w:rPr>
              <w:rFonts w:ascii="Open Sans" w:hAnsi="Open Sans" w:cs="Open Sans"/>
              <w:b/>
              <w:bCs/>
              <w:smallCaps/>
              <w:color w:val="FFFFFF" w:themeColor="background1"/>
              <w:sz w:val="19"/>
              <w:szCs w:val="19"/>
              <w:highlight w:val="darkRed"/>
            </w:rPr>
            <w:t>202</w:t>
          </w:r>
          <w:r w:rsidR="00221575">
            <w:rPr>
              <w:rFonts w:ascii="Open Sans" w:hAnsi="Open Sans" w:cs="Open Sans"/>
              <w:b/>
              <w:bCs/>
              <w:smallCaps/>
              <w:color w:val="FFFFFF" w:themeColor="background1"/>
              <w:sz w:val="19"/>
              <w:szCs w:val="19"/>
              <w:highlight w:val="darkRed"/>
            </w:rPr>
            <w:t>1</w:t>
          </w:r>
        </w:p>
        <w:p w14:paraId="351D8297" w14:textId="39EE71CD" w:rsidR="008F1E02" w:rsidRPr="00530DDB" w:rsidRDefault="008F1E02" w:rsidP="000826AD">
          <w:pPr>
            <w:spacing w:line="288" w:lineRule="auto"/>
            <w:rPr>
              <w:rFonts w:ascii="Open Sans" w:eastAsia="Times New Roman" w:hAnsi="Open Sans" w:cs="Open Sans"/>
              <w:b/>
              <w:bCs/>
              <w:smallCaps/>
              <w:color w:val="94070A"/>
              <w:sz w:val="18"/>
              <w:szCs w:val="18"/>
              <w:lang w:eastAsia="es-ES"/>
            </w:rPr>
          </w:pPr>
        </w:p>
      </w:tc>
    </w:tr>
    <w:bookmarkEnd w:id="0"/>
  </w:tbl>
  <w:p w14:paraId="36DE7BBE" w14:textId="5DDCE777" w:rsidR="008F1E02" w:rsidRPr="00E71133" w:rsidRDefault="008F1E02">
    <w:pPr>
      <w:pStyle w:val="Encabezado"/>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tblGrid>
    <w:tr w:rsidR="008F1E02" w:rsidRPr="008637FD" w14:paraId="551740F5" w14:textId="77777777" w:rsidTr="000826AD">
      <w:tc>
        <w:tcPr>
          <w:tcW w:w="8500" w:type="dxa"/>
        </w:tcPr>
        <w:p w14:paraId="38209595" w14:textId="77777777" w:rsidR="008F1E02" w:rsidRPr="008637FD" w:rsidRDefault="008F1E02" w:rsidP="0049550C">
          <w:pPr>
            <w:spacing w:line="288" w:lineRule="auto"/>
            <w:jc w:val="right"/>
            <w:rPr>
              <w:rFonts w:ascii="Open Sans" w:eastAsia="Times New Roman" w:hAnsi="Open Sans" w:cs="Open Sans"/>
              <w:b/>
              <w:bCs/>
              <w:smallCaps/>
              <w:color w:val="9D2235"/>
              <w:sz w:val="19"/>
              <w:szCs w:val="19"/>
              <w:lang w:eastAsia="es-ES"/>
            </w:rPr>
          </w:pPr>
          <w:bookmarkStart w:id="1" w:name="_Hlk34119562"/>
        </w:p>
      </w:tc>
    </w:tr>
    <w:bookmarkEnd w:id="1"/>
  </w:tbl>
  <w:p w14:paraId="7823C9F2" w14:textId="77777777" w:rsidR="008F1E02" w:rsidRPr="00E71133" w:rsidRDefault="008F1E02" w:rsidP="00851C2E">
    <w:pPr>
      <w:spacing w:after="0" w:line="288" w:lineRule="auto"/>
      <w:rPr>
        <w:rFonts w:ascii="Open Sans" w:eastAsia="Times New Roman" w:hAnsi="Open Sans" w:cs="Open Sans"/>
        <w:b/>
        <w:bCs/>
        <w:smallCaps/>
        <w:color w:val="94070A"/>
        <w:sz w:val="10"/>
        <w:szCs w:val="10"/>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tblGrid>
    <w:tr w:rsidR="008F1E02" w:rsidRPr="008637FD" w14:paraId="34B38B6C" w14:textId="77777777" w:rsidTr="000826AD">
      <w:tc>
        <w:tcPr>
          <w:tcW w:w="8500" w:type="dxa"/>
        </w:tcPr>
        <w:p w14:paraId="15626B20" w14:textId="280F3139" w:rsidR="008F1E02" w:rsidRPr="00530DDB" w:rsidRDefault="008F1E02" w:rsidP="00A03993">
          <w:pPr>
            <w:spacing w:line="288" w:lineRule="auto"/>
            <w:jc w:val="right"/>
            <w:rPr>
              <w:rFonts w:ascii="Times New Roman" w:eastAsia="Times New Roman" w:hAnsi="Times New Roman" w:cs="Times New Roman"/>
              <w:color w:val="9D2235"/>
              <w:sz w:val="19"/>
              <w:szCs w:val="19"/>
              <w:lang w:eastAsia="es-ES"/>
            </w:rPr>
          </w:pPr>
          <w:r w:rsidRPr="00530DDB">
            <w:rPr>
              <w:rFonts w:ascii="Open Sans" w:eastAsia="Times New Roman" w:hAnsi="Open Sans" w:cs="Open Sans"/>
              <w:b/>
              <w:bCs/>
              <w:smallCaps/>
              <w:color w:val="9D2235"/>
              <w:sz w:val="19"/>
              <w:szCs w:val="19"/>
              <w:lang w:eastAsia="es-ES"/>
            </w:rPr>
            <w:t>Memòria d’activitat de l’Agència Valenciana Antifrau</w:t>
          </w:r>
        </w:p>
        <w:p w14:paraId="7BB467FD" w14:textId="2436919F" w:rsidR="008F1E02" w:rsidRPr="008637FD" w:rsidRDefault="008F1E02" w:rsidP="00A03993">
          <w:pPr>
            <w:spacing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w:t>
          </w:r>
          <w:r>
            <w:rPr>
              <w:rFonts w:ascii="Open Sans" w:hAnsi="Open Sans" w:cs="Open Sans"/>
              <w:b/>
              <w:bCs/>
              <w:smallCaps/>
              <w:color w:val="FFFFFF" w:themeColor="background1"/>
              <w:sz w:val="19"/>
              <w:szCs w:val="19"/>
              <w:highlight w:val="darkRed"/>
            </w:rPr>
            <w:t>2</w:t>
          </w:r>
          <w:r w:rsidR="00221575">
            <w:rPr>
              <w:rFonts w:ascii="Open Sans" w:hAnsi="Open Sans" w:cs="Open Sans"/>
              <w:b/>
              <w:bCs/>
              <w:smallCaps/>
              <w:color w:val="FFFFFF" w:themeColor="background1"/>
              <w:sz w:val="19"/>
              <w:szCs w:val="19"/>
              <w:highlight w:val="darkRed"/>
            </w:rPr>
            <w:t>1</w:t>
          </w:r>
        </w:p>
        <w:p w14:paraId="79F48587" w14:textId="77777777" w:rsidR="008F1E02" w:rsidRPr="008637FD" w:rsidRDefault="008F1E02" w:rsidP="0049550C">
          <w:pPr>
            <w:spacing w:line="288" w:lineRule="auto"/>
            <w:jc w:val="right"/>
            <w:rPr>
              <w:rFonts w:ascii="Open Sans" w:eastAsia="Times New Roman" w:hAnsi="Open Sans" w:cs="Open Sans"/>
              <w:b/>
              <w:bCs/>
              <w:smallCaps/>
              <w:color w:val="9D2235"/>
              <w:sz w:val="19"/>
              <w:szCs w:val="19"/>
              <w:lang w:eastAsia="es-ES"/>
            </w:rPr>
          </w:pPr>
        </w:p>
      </w:tc>
    </w:tr>
  </w:tbl>
  <w:p w14:paraId="66F87FFB" w14:textId="77777777" w:rsidR="008F1E02" w:rsidRPr="00E71133" w:rsidRDefault="008F1E02" w:rsidP="00851C2E">
    <w:pPr>
      <w:spacing w:after="0" w:line="288" w:lineRule="auto"/>
      <w:rPr>
        <w:rFonts w:ascii="Open Sans" w:eastAsia="Times New Roman" w:hAnsi="Open Sans" w:cs="Open Sans"/>
        <w:b/>
        <w:bCs/>
        <w:smallCaps/>
        <w:color w:val="94070A"/>
        <w:sz w:val="10"/>
        <w:szCs w:val="10"/>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50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8F1E02" w:rsidRPr="008637FD" w14:paraId="043C3A95" w14:textId="77777777" w:rsidTr="00DC250D">
      <w:trPr>
        <w:jc w:val="right"/>
      </w:trPr>
      <w:tc>
        <w:tcPr>
          <w:tcW w:w="8505" w:type="dxa"/>
        </w:tcPr>
        <w:p w14:paraId="1A98EC14" w14:textId="162C6E57" w:rsidR="008F1E02" w:rsidRPr="008145AC" w:rsidRDefault="009550FA" w:rsidP="00A03993">
          <w:pPr>
            <w:spacing w:line="288" w:lineRule="auto"/>
            <w:jc w:val="right"/>
            <w:rPr>
              <w:rFonts w:ascii="Arial" w:eastAsia="Times New Roman" w:hAnsi="Arial" w:cs="Arial"/>
              <w:color w:val="9D2235"/>
              <w:sz w:val="19"/>
              <w:szCs w:val="19"/>
              <w:lang w:eastAsia="es-ES"/>
            </w:rPr>
          </w:pPr>
          <w:r w:rsidRPr="008145AC">
            <w:rPr>
              <w:rFonts w:ascii="Arial" w:eastAsia="Times New Roman" w:hAnsi="Arial" w:cs="Arial"/>
              <w:b/>
              <w:bCs/>
              <w:smallCaps/>
              <w:color w:val="9D2235"/>
              <w:sz w:val="19"/>
              <w:szCs w:val="19"/>
              <w:lang w:eastAsia="es-ES"/>
            </w:rPr>
            <w:t>Memòria</w:t>
          </w:r>
          <w:r w:rsidR="008F1E02" w:rsidRPr="008145AC">
            <w:rPr>
              <w:rFonts w:ascii="Arial" w:eastAsia="Times New Roman" w:hAnsi="Arial" w:cs="Arial"/>
              <w:b/>
              <w:bCs/>
              <w:smallCaps/>
              <w:color w:val="9D2235"/>
              <w:sz w:val="19"/>
              <w:szCs w:val="19"/>
              <w:lang w:eastAsia="es-ES"/>
            </w:rPr>
            <w:t xml:space="preserve"> de </w:t>
          </w:r>
          <w:r w:rsidR="00EC016B" w:rsidRPr="008145AC">
            <w:rPr>
              <w:rFonts w:ascii="Arial" w:eastAsia="Times New Roman" w:hAnsi="Arial" w:cs="Arial"/>
              <w:b/>
              <w:bCs/>
              <w:smallCaps/>
              <w:color w:val="9D2235"/>
              <w:sz w:val="19"/>
              <w:szCs w:val="19"/>
              <w:lang w:eastAsia="es-ES"/>
            </w:rPr>
            <w:t>activitat</w:t>
          </w:r>
          <w:r w:rsidR="008F1E02" w:rsidRPr="008145AC">
            <w:rPr>
              <w:rFonts w:ascii="Arial" w:eastAsia="Times New Roman" w:hAnsi="Arial" w:cs="Arial"/>
              <w:b/>
              <w:bCs/>
              <w:smallCaps/>
              <w:color w:val="9D2235"/>
              <w:sz w:val="19"/>
              <w:szCs w:val="19"/>
              <w:lang w:eastAsia="es-ES"/>
            </w:rPr>
            <w:t xml:space="preserve"> de la Agencia Valenciana </w:t>
          </w:r>
          <w:r w:rsidR="00EC016B" w:rsidRPr="008145AC">
            <w:rPr>
              <w:rFonts w:ascii="Arial" w:eastAsia="Times New Roman" w:hAnsi="Arial" w:cs="Arial"/>
              <w:b/>
              <w:bCs/>
              <w:smallCaps/>
              <w:color w:val="9D2235"/>
              <w:sz w:val="19"/>
              <w:szCs w:val="19"/>
              <w:lang w:eastAsia="es-ES"/>
            </w:rPr>
            <w:t>Antifrau de</w:t>
          </w:r>
        </w:p>
        <w:p w14:paraId="77A56BBE" w14:textId="14B56E16" w:rsidR="008F1E02" w:rsidRPr="004D194D" w:rsidRDefault="008F1E02" w:rsidP="00A03993">
          <w:pPr>
            <w:spacing w:line="288" w:lineRule="auto"/>
            <w:jc w:val="right"/>
            <w:rPr>
              <w:rFonts w:ascii="Arial" w:hAnsi="Arial" w:cs="Arial"/>
              <w:b/>
              <w:bCs/>
              <w:smallCaps/>
              <w:color w:val="FFFFFF" w:themeColor="background1"/>
              <w:sz w:val="19"/>
              <w:szCs w:val="19"/>
              <w:highlight w:val="darkRed"/>
            </w:rPr>
          </w:pPr>
          <w:r w:rsidRPr="004D194D">
            <w:rPr>
              <w:rFonts w:ascii="Arial" w:hAnsi="Arial" w:cs="Arial"/>
              <w:b/>
              <w:bCs/>
              <w:smallCaps/>
              <w:color w:val="FFFFFF" w:themeColor="background1"/>
              <w:sz w:val="19"/>
              <w:szCs w:val="19"/>
              <w:highlight w:val="darkRed"/>
            </w:rPr>
            <w:t>202</w:t>
          </w:r>
          <w:r w:rsidR="005272C3">
            <w:rPr>
              <w:rFonts w:ascii="Arial" w:hAnsi="Arial" w:cs="Arial"/>
              <w:b/>
              <w:bCs/>
              <w:smallCaps/>
              <w:color w:val="FFFFFF" w:themeColor="background1"/>
              <w:sz w:val="19"/>
              <w:szCs w:val="19"/>
              <w:highlight w:val="darkRed"/>
            </w:rPr>
            <w:t>1</w:t>
          </w:r>
        </w:p>
        <w:p w14:paraId="202345DF" w14:textId="77777777" w:rsidR="008F1E02" w:rsidRPr="008637FD" w:rsidRDefault="008F1E02" w:rsidP="0049550C">
          <w:pPr>
            <w:spacing w:line="288" w:lineRule="auto"/>
            <w:jc w:val="right"/>
            <w:rPr>
              <w:rFonts w:ascii="Open Sans" w:eastAsia="Times New Roman" w:hAnsi="Open Sans" w:cs="Open Sans"/>
              <w:b/>
              <w:bCs/>
              <w:smallCaps/>
              <w:color w:val="9D2235"/>
              <w:sz w:val="19"/>
              <w:szCs w:val="19"/>
              <w:lang w:eastAsia="es-ES"/>
            </w:rPr>
          </w:pPr>
        </w:p>
      </w:tc>
    </w:tr>
  </w:tbl>
  <w:p w14:paraId="15A00CF2" w14:textId="77777777" w:rsidR="008F1E02" w:rsidRPr="00E71133" w:rsidRDefault="008F1E02" w:rsidP="00851C2E">
    <w:pPr>
      <w:spacing w:after="0" w:line="288" w:lineRule="auto"/>
      <w:rPr>
        <w:rFonts w:ascii="Open Sans" w:eastAsia="Times New Roman" w:hAnsi="Open Sans" w:cs="Open Sans"/>
        <w:b/>
        <w:bCs/>
        <w:smallCaps/>
        <w:color w:val="94070A"/>
        <w:sz w:val="10"/>
        <w:szCs w:val="10"/>
        <w:lang w:eastAsia="es-E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883C5" w14:textId="24F9E141" w:rsidR="008F1E02" w:rsidRPr="008637FD" w:rsidRDefault="008F1E02" w:rsidP="003C4EAD">
    <w:pPr>
      <w:spacing w:after="0"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Mem</w:t>
    </w:r>
    <w:r>
      <w:rPr>
        <w:rFonts w:ascii="Open Sans" w:eastAsia="Times New Roman" w:hAnsi="Open Sans" w:cs="Open Sans"/>
        <w:b/>
        <w:bCs/>
        <w:smallCaps/>
        <w:color w:val="9D2235"/>
        <w:sz w:val="19"/>
        <w:szCs w:val="19"/>
        <w:lang w:eastAsia="es-ES"/>
      </w:rPr>
      <w:t>ò</w:t>
    </w:r>
    <w:r w:rsidRPr="008637FD">
      <w:rPr>
        <w:rFonts w:ascii="Open Sans" w:eastAsia="Times New Roman" w:hAnsi="Open Sans" w:cs="Open Sans"/>
        <w:b/>
        <w:bCs/>
        <w:smallCaps/>
        <w:color w:val="9D2235"/>
        <w:sz w:val="19"/>
        <w:szCs w:val="19"/>
        <w:lang w:eastAsia="es-ES"/>
      </w:rPr>
      <w:t>ria d</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w:t>
    </w:r>
    <w:r>
      <w:rPr>
        <w:rFonts w:ascii="Open Sans" w:eastAsia="Times New Roman" w:hAnsi="Open Sans" w:cs="Open Sans"/>
        <w:b/>
        <w:bCs/>
        <w:smallCaps/>
        <w:color w:val="9D2235"/>
        <w:sz w:val="19"/>
        <w:szCs w:val="19"/>
        <w:lang w:eastAsia="es-ES"/>
      </w:rPr>
      <w:t>tat</w:t>
    </w:r>
    <w:r w:rsidRPr="008637FD">
      <w:rPr>
        <w:rFonts w:ascii="Open Sans" w:eastAsia="Times New Roman" w:hAnsi="Open Sans" w:cs="Open Sans"/>
        <w:b/>
        <w:bCs/>
        <w:smallCaps/>
        <w:color w:val="9D2235"/>
        <w:sz w:val="19"/>
        <w:szCs w:val="19"/>
        <w:lang w:eastAsia="es-ES"/>
      </w:rPr>
      <w:t xml:space="preserve"> de l</w:t>
    </w:r>
    <w:r>
      <w:rPr>
        <w:rFonts w:ascii="Open Sans" w:eastAsia="Times New Roman" w:hAnsi="Open Sans" w:cs="Open Sans"/>
        <w:b/>
        <w:bCs/>
        <w:smallCaps/>
        <w:color w:val="9D2235"/>
        <w:sz w:val="19"/>
        <w:szCs w:val="19"/>
        <w:lang w:eastAsia="es-ES"/>
      </w:rPr>
      <w:t>’</w:t>
    </w:r>
    <w:r w:rsidRPr="008637FD">
      <w:rPr>
        <w:rFonts w:ascii="Open Sans" w:eastAsia="Times New Roman" w:hAnsi="Open Sans" w:cs="Open Sans"/>
        <w:b/>
        <w:bCs/>
        <w:smallCaps/>
        <w:color w:val="9D2235"/>
        <w:sz w:val="19"/>
        <w:szCs w:val="19"/>
        <w:lang w:eastAsia="es-ES"/>
      </w:rPr>
      <w:t>Ag</w:t>
    </w:r>
    <w:r>
      <w:rPr>
        <w:rFonts w:ascii="Open Sans" w:eastAsia="Times New Roman" w:hAnsi="Open Sans" w:cs="Open Sans"/>
        <w:b/>
        <w:bCs/>
        <w:smallCaps/>
        <w:color w:val="9D2235"/>
        <w:sz w:val="19"/>
        <w:szCs w:val="19"/>
        <w:lang w:eastAsia="es-ES"/>
      </w:rPr>
      <w:t>è</w:t>
    </w:r>
    <w:r w:rsidRPr="008637FD">
      <w:rPr>
        <w:rFonts w:ascii="Open Sans" w:eastAsia="Times New Roman" w:hAnsi="Open Sans" w:cs="Open Sans"/>
        <w:b/>
        <w:bCs/>
        <w:smallCaps/>
        <w:color w:val="9D2235"/>
        <w:sz w:val="19"/>
        <w:szCs w:val="19"/>
        <w:lang w:eastAsia="es-ES"/>
      </w:rPr>
      <w:t>ncia Valenciana Antifrau</w:t>
    </w:r>
  </w:p>
  <w:p w14:paraId="5FF3E745" w14:textId="34F32A13" w:rsidR="008F1E02" w:rsidRPr="008637FD" w:rsidRDefault="008F1E02" w:rsidP="003C4EAD">
    <w:pPr>
      <w:spacing w:after="0"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w:t>
    </w:r>
    <w:r>
      <w:rPr>
        <w:rFonts w:ascii="Open Sans" w:hAnsi="Open Sans" w:cs="Open Sans"/>
        <w:b/>
        <w:bCs/>
        <w:smallCaps/>
        <w:color w:val="FFFFFF" w:themeColor="background1"/>
        <w:sz w:val="19"/>
        <w:szCs w:val="19"/>
        <w:highlight w:val="darkRed"/>
      </w:rPr>
      <w:t>2</w:t>
    </w:r>
    <w:r w:rsidR="00CE1C9E">
      <w:rPr>
        <w:rFonts w:ascii="Open Sans" w:hAnsi="Open Sans" w:cs="Open Sans"/>
        <w:b/>
        <w:bCs/>
        <w:smallCaps/>
        <w:color w:val="FFFFFF" w:themeColor="background1"/>
        <w:sz w:val="19"/>
        <w:szCs w:val="19"/>
        <w:highlight w:val="darkRed"/>
      </w:rPr>
      <w:t>1</w:t>
    </w:r>
  </w:p>
  <w:p w14:paraId="6E468329" w14:textId="77777777" w:rsidR="008F1E02" w:rsidRDefault="008F1E0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8Num3"/>
    <w:lvl w:ilvl="0">
      <w:start w:val="1"/>
      <w:numFmt w:val="none"/>
      <w:suff w:val="nothing"/>
      <w:lvlText w:val=""/>
      <w:lvlJc w:val="left"/>
      <w:pPr>
        <w:tabs>
          <w:tab w:val="num" w:pos="0"/>
        </w:tabs>
        <w:ind w:left="0" w:firstLine="0"/>
      </w:pPr>
      <w:rPr>
        <w:rFonts w:ascii="Arial" w:eastAsia="Calibri" w:hAnsi="Arial" w:cs="Arial"/>
        <w:b/>
        <w:bCs/>
        <w:i/>
        <w:iCs/>
        <w:caps w:val="0"/>
        <w:smallCaps w:val="0"/>
        <w:strike w:val="0"/>
        <w:dstrike w:val="0"/>
        <w:color w:val="000000"/>
        <w:spacing w:val="-3"/>
        <w:kern w:val="2"/>
        <w:sz w:val="24"/>
        <w:szCs w:val="24"/>
        <w:highlight w:val="lightGray"/>
        <w:u w:val="none"/>
        <w:effect w:val="none"/>
        <w:shd w:val="clear" w:color="auto" w:fill="FFFF00"/>
        <w:lang w:val="es-ES" w:eastAsia="zh-CN" w:bidi="ar-SA"/>
      </w:rPr>
    </w:lvl>
    <w:lvl w:ilvl="1">
      <w:start w:val="1"/>
      <w:numFmt w:val="none"/>
      <w:suff w:val="nothing"/>
      <w:lvlText w:val=""/>
      <w:lvlJc w:val="left"/>
      <w:pPr>
        <w:tabs>
          <w:tab w:val="num" w:pos="0"/>
        </w:tabs>
        <w:ind w:left="0" w:firstLine="0"/>
      </w:pPr>
      <w:rPr>
        <w:rFonts w:ascii="Arial" w:hAnsi="Arial" w:cs="Arial"/>
        <w:color w:val="0070C0"/>
        <w:sz w:val="24"/>
        <w:szCs w:val="24"/>
      </w:rPr>
    </w:lvl>
    <w:lvl w:ilvl="2">
      <w:start w:val="1"/>
      <w:numFmt w:val="none"/>
      <w:suff w:val="nothing"/>
      <w:lvlText w:val=""/>
      <w:lvlJc w:val="left"/>
      <w:pPr>
        <w:tabs>
          <w:tab w:val="num" w:pos="0"/>
        </w:tabs>
        <w:ind w:left="0" w:firstLine="0"/>
      </w:pPr>
      <w:rPr>
        <w:rFonts w:ascii="Arial" w:hAnsi="Arial" w:cs="Arial"/>
        <w:color w:val="0070C0"/>
        <w:sz w:val="24"/>
        <w:szCs w:val="24"/>
      </w:r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rPr>
        <w:rFonts w:ascii="Arial" w:hAnsi="Arial" w:cs="Arial"/>
        <w:b/>
        <w:bCs/>
        <w:color w:val="000000"/>
        <w:sz w:val="24"/>
        <w:szCs w:val="24"/>
      </w:r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810290"/>
    <w:multiLevelType w:val="hybridMultilevel"/>
    <w:tmpl w:val="D9FE7BDE"/>
    <w:lvl w:ilvl="0" w:tplc="22AC9EE2">
      <w:start w:val="1"/>
      <w:numFmt w:val="bullet"/>
      <w:lvlText w:val=""/>
      <w:lvlJc w:val="left"/>
      <w:pPr>
        <w:ind w:left="2160" w:hanging="360"/>
      </w:pPr>
      <w:rPr>
        <w:rFonts w:ascii="Wingdings" w:hAnsi="Wingdings" w:hint="default"/>
        <w:color w:val="9D2235"/>
      </w:rPr>
    </w:lvl>
    <w:lvl w:ilvl="1" w:tplc="0C0A0003">
      <w:start w:val="1"/>
      <w:numFmt w:val="bullet"/>
      <w:lvlText w:val="o"/>
      <w:lvlJc w:val="left"/>
      <w:pPr>
        <w:ind w:left="1502" w:hanging="360"/>
      </w:pPr>
      <w:rPr>
        <w:rFonts w:ascii="Courier New" w:hAnsi="Courier New" w:cs="Courier New" w:hint="default"/>
      </w:rPr>
    </w:lvl>
    <w:lvl w:ilvl="2" w:tplc="0C0A0005">
      <w:start w:val="1"/>
      <w:numFmt w:val="bullet"/>
      <w:lvlText w:val=""/>
      <w:lvlJc w:val="left"/>
      <w:pPr>
        <w:ind w:left="2222" w:hanging="360"/>
      </w:pPr>
      <w:rPr>
        <w:rFonts w:ascii="Wingdings" w:hAnsi="Wingdings" w:hint="default"/>
      </w:rPr>
    </w:lvl>
    <w:lvl w:ilvl="3" w:tplc="0C0A0001">
      <w:start w:val="1"/>
      <w:numFmt w:val="bullet"/>
      <w:lvlText w:val=""/>
      <w:lvlJc w:val="left"/>
      <w:pPr>
        <w:ind w:left="2942" w:hanging="360"/>
      </w:pPr>
      <w:rPr>
        <w:rFonts w:ascii="Symbol" w:hAnsi="Symbol" w:hint="default"/>
      </w:rPr>
    </w:lvl>
    <w:lvl w:ilvl="4" w:tplc="0C0A0003">
      <w:start w:val="1"/>
      <w:numFmt w:val="bullet"/>
      <w:lvlText w:val="o"/>
      <w:lvlJc w:val="left"/>
      <w:pPr>
        <w:ind w:left="3662" w:hanging="360"/>
      </w:pPr>
      <w:rPr>
        <w:rFonts w:ascii="Courier New" w:hAnsi="Courier New" w:cs="Courier New" w:hint="default"/>
      </w:rPr>
    </w:lvl>
    <w:lvl w:ilvl="5" w:tplc="0C0A0005">
      <w:start w:val="1"/>
      <w:numFmt w:val="bullet"/>
      <w:lvlText w:val=""/>
      <w:lvlJc w:val="left"/>
      <w:pPr>
        <w:ind w:left="4382" w:hanging="360"/>
      </w:pPr>
      <w:rPr>
        <w:rFonts w:ascii="Wingdings" w:hAnsi="Wingdings" w:hint="default"/>
      </w:rPr>
    </w:lvl>
    <w:lvl w:ilvl="6" w:tplc="0C0A0001">
      <w:start w:val="1"/>
      <w:numFmt w:val="bullet"/>
      <w:lvlText w:val=""/>
      <w:lvlJc w:val="left"/>
      <w:pPr>
        <w:ind w:left="5102" w:hanging="360"/>
      </w:pPr>
      <w:rPr>
        <w:rFonts w:ascii="Symbol" w:hAnsi="Symbol" w:hint="default"/>
      </w:rPr>
    </w:lvl>
    <w:lvl w:ilvl="7" w:tplc="0C0A0003">
      <w:start w:val="1"/>
      <w:numFmt w:val="bullet"/>
      <w:lvlText w:val="o"/>
      <w:lvlJc w:val="left"/>
      <w:pPr>
        <w:ind w:left="5822" w:hanging="360"/>
      </w:pPr>
      <w:rPr>
        <w:rFonts w:ascii="Courier New" w:hAnsi="Courier New" w:cs="Courier New" w:hint="default"/>
      </w:rPr>
    </w:lvl>
    <w:lvl w:ilvl="8" w:tplc="0C0A0005">
      <w:start w:val="1"/>
      <w:numFmt w:val="bullet"/>
      <w:lvlText w:val=""/>
      <w:lvlJc w:val="left"/>
      <w:pPr>
        <w:ind w:left="6542" w:hanging="360"/>
      </w:pPr>
      <w:rPr>
        <w:rFonts w:ascii="Wingdings" w:hAnsi="Wingdings" w:hint="default"/>
      </w:rPr>
    </w:lvl>
  </w:abstractNum>
  <w:abstractNum w:abstractNumId="2" w15:restartNumberingAfterBreak="0">
    <w:nsid w:val="00AA25ED"/>
    <w:multiLevelType w:val="multilevel"/>
    <w:tmpl w:val="445AC5F0"/>
    <w:styleLink w:val="WWNum21"/>
    <w:lvl w:ilvl="0">
      <w:numFmt w:val="bullet"/>
      <w:lvlText w:val=""/>
      <w:lvlJc w:val="left"/>
      <w:pPr>
        <w:ind w:left="720" w:hanging="360"/>
      </w:pPr>
      <w:rPr>
        <w:rFonts w:ascii="Symbol" w:hAnsi="Symbol" w:cs="Symbol"/>
        <w:b w:val="0"/>
        <w:sz w:val="21"/>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1AA7298"/>
    <w:multiLevelType w:val="hybridMultilevel"/>
    <w:tmpl w:val="4080BC3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273323F"/>
    <w:multiLevelType w:val="multilevel"/>
    <w:tmpl w:val="B7167C20"/>
    <w:styleLink w:val="WWNum51"/>
    <w:lvl w:ilvl="0">
      <w:start w:val="1"/>
      <w:numFmt w:val="none"/>
      <w:suff w:val="nothing"/>
      <w:lvlText w:val="%1"/>
      <w:lvlJc w:val="left"/>
      <w:pPr>
        <w:ind w:left="0" w:firstLine="0"/>
      </w:pPr>
    </w:lvl>
    <w:lvl w:ilvl="1">
      <w:start w:val="1"/>
      <w:numFmt w:val="none"/>
      <w:suff w:val="nothing"/>
      <w:lvlText w:val="%2"/>
      <w:lvlJc w:val="left"/>
      <w:pPr>
        <w:ind w:left="0" w:firstLine="0"/>
      </w:p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5" w15:restartNumberingAfterBreak="0">
    <w:nsid w:val="02C32211"/>
    <w:multiLevelType w:val="multilevel"/>
    <w:tmpl w:val="4886D238"/>
    <w:lvl w:ilvl="0">
      <w:start w:val="7"/>
      <w:numFmt w:val="decimal"/>
      <w:lvlText w:val="%1."/>
      <w:lvlJc w:val="left"/>
      <w:pPr>
        <w:ind w:left="363" w:hanging="360"/>
      </w:pPr>
      <w:rPr>
        <w:rFonts w:hint="default"/>
        <w:b/>
        <w:bCs/>
        <w:color w:val="9D2235" w:themeColor="accent1"/>
        <w:sz w:val="200"/>
        <w:szCs w:val="200"/>
      </w:rPr>
    </w:lvl>
    <w:lvl w:ilvl="1">
      <w:start w:val="1"/>
      <w:numFmt w:val="decimal"/>
      <w:lvlText w:val="%1.%2."/>
      <w:lvlJc w:val="left"/>
      <w:pPr>
        <w:ind w:left="795" w:hanging="432"/>
      </w:pPr>
      <w:rPr>
        <w:rFonts w:hint="default"/>
        <w:b/>
        <w:bCs/>
        <w:color w:val="9D2235" w:themeColor="accent1"/>
        <w:sz w:val="32"/>
        <w:szCs w:val="32"/>
      </w:rPr>
    </w:lvl>
    <w:lvl w:ilvl="2">
      <w:start w:val="1"/>
      <w:numFmt w:val="decimal"/>
      <w:lvlText w:val="%1.%2.%3."/>
      <w:lvlJc w:val="left"/>
      <w:pPr>
        <w:ind w:left="1227" w:hanging="504"/>
      </w:pPr>
      <w:rPr>
        <w:rFonts w:hint="default"/>
      </w:rPr>
    </w:lvl>
    <w:lvl w:ilvl="3">
      <w:start w:val="1"/>
      <w:numFmt w:val="decimal"/>
      <w:lvlText w:val="%1.%2.%3.%4."/>
      <w:lvlJc w:val="left"/>
      <w:pPr>
        <w:ind w:left="1731" w:hanging="648"/>
      </w:pPr>
      <w:rPr>
        <w:rFonts w:hint="default"/>
      </w:rPr>
    </w:lvl>
    <w:lvl w:ilvl="4">
      <w:start w:val="1"/>
      <w:numFmt w:val="decimal"/>
      <w:lvlText w:val="%1.%2.%3.%4.%5."/>
      <w:lvlJc w:val="left"/>
      <w:pPr>
        <w:ind w:left="2235" w:hanging="792"/>
      </w:pPr>
      <w:rPr>
        <w:rFonts w:hint="default"/>
      </w:rPr>
    </w:lvl>
    <w:lvl w:ilvl="5">
      <w:start w:val="1"/>
      <w:numFmt w:val="decimal"/>
      <w:lvlText w:val="%1.%2.%3.%4.%5.%6."/>
      <w:lvlJc w:val="left"/>
      <w:pPr>
        <w:ind w:left="2739" w:hanging="936"/>
      </w:pPr>
      <w:rPr>
        <w:rFonts w:hint="default"/>
      </w:rPr>
    </w:lvl>
    <w:lvl w:ilvl="6">
      <w:start w:val="1"/>
      <w:numFmt w:val="decimal"/>
      <w:lvlText w:val="%1.%2.%3.%4.%5.%6.%7."/>
      <w:lvlJc w:val="left"/>
      <w:pPr>
        <w:ind w:left="3243" w:hanging="1080"/>
      </w:pPr>
      <w:rPr>
        <w:rFonts w:hint="default"/>
      </w:rPr>
    </w:lvl>
    <w:lvl w:ilvl="7">
      <w:start w:val="1"/>
      <w:numFmt w:val="decimal"/>
      <w:lvlText w:val="%1.%2.%3.%4.%5.%6.%7.%8."/>
      <w:lvlJc w:val="left"/>
      <w:pPr>
        <w:ind w:left="3747" w:hanging="1224"/>
      </w:pPr>
      <w:rPr>
        <w:rFonts w:hint="default"/>
      </w:rPr>
    </w:lvl>
    <w:lvl w:ilvl="8">
      <w:start w:val="1"/>
      <w:numFmt w:val="decimal"/>
      <w:lvlText w:val="%1.%2.%3.%4.%5.%6.%7.%8.%9."/>
      <w:lvlJc w:val="left"/>
      <w:pPr>
        <w:ind w:left="4323" w:hanging="1440"/>
      </w:pPr>
      <w:rPr>
        <w:rFonts w:hint="default"/>
      </w:rPr>
    </w:lvl>
  </w:abstractNum>
  <w:abstractNum w:abstractNumId="6" w15:restartNumberingAfterBreak="0">
    <w:nsid w:val="030F0501"/>
    <w:multiLevelType w:val="hybridMultilevel"/>
    <w:tmpl w:val="581EE1E2"/>
    <w:lvl w:ilvl="0" w:tplc="42FC27E6">
      <w:start w:val="1"/>
      <w:numFmt w:val="bullet"/>
      <w:pStyle w:val="VietaAVAF"/>
      <w:lvlText w:val=""/>
      <w:lvlJc w:val="left"/>
      <w:pPr>
        <w:ind w:left="720" w:hanging="360"/>
      </w:pPr>
      <w:rPr>
        <w:rFonts w:ascii="Wingdings" w:hAnsi="Wingdings" w:hint="default"/>
        <w:color w:val="9D2235"/>
        <w:sz w:val="28"/>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 w15:restartNumberingAfterBreak="0">
    <w:nsid w:val="03DD5659"/>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46D6F0E"/>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9" w15:restartNumberingAfterBreak="0">
    <w:nsid w:val="047108D5"/>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4747BCD"/>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1" w15:restartNumberingAfterBreak="0">
    <w:nsid w:val="04FE2266"/>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2" w15:restartNumberingAfterBreak="0">
    <w:nsid w:val="05652D51"/>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5954235"/>
    <w:multiLevelType w:val="hybridMultilevel"/>
    <w:tmpl w:val="D7A43A1E"/>
    <w:lvl w:ilvl="0" w:tplc="0A76BF6E">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5E4201A"/>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7724BF2"/>
    <w:multiLevelType w:val="multilevel"/>
    <w:tmpl w:val="7EA89392"/>
    <w:styleLink w:val="Sinlista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6" w15:restartNumberingAfterBreak="0">
    <w:nsid w:val="07D47513"/>
    <w:multiLevelType w:val="multilevel"/>
    <w:tmpl w:val="E996A9C2"/>
    <w:lvl w:ilvl="0">
      <w:start w:val="4"/>
      <w:numFmt w:val="decimal"/>
      <w:lvlText w:val="%1."/>
      <w:lvlJc w:val="left"/>
      <w:pPr>
        <w:ind w:left="360" w:hanging="360"/>
      </w:pPr>
      <w:rPr>
        <w:rFonts w:hint="default"/>
        <w:b/>
        <w:bCs/>
        <w:color w:val="9D2235" w:themeColor="accent1"/>
        <w:sz w:val="200"/>
        <w:szCs w:val="200"/>
      </w:rPr>
    </w:lvl>
    <w:lvl w:ilvl="1">
      <w:start w:val="1"/>
      <w:numFmt w:val="decimal"/>
      <w:lvlText w:val="%1.%2."/>
      <w:lvlJc w:val="left"/>
      <w:pPr>
        <w:ind w:left="792" w:hanging="432"/>
      </w:pPr>
      <w:rPr>
        <w:rFonts w:hint="default"/>
      </w:rPr>
    </w:lvl>
    <w:lvl w:ilvl="2">
      <w:start w:val="1"/>
      <w:numFmt w:val="decimal"/>
      <w:lvlText w:val="%1.%2.%3."/>
      <w:lvlJc w:val="left"/>
      <w:pPr>
        <w:tabs>
          <w:tab w:val="num" w:pos="794"/>
        </w:tabs>
        <w:ind w:left="1224" w:hanging="504"/>
      </w:pPr>
      <w:rPr>
        <w:rFonts w:hint="default"/>
        <w:b/>
        <w:bCs/>
        <w:color w:val="9D2235" w:themeColor="accent1"/>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087F2A39"/>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8E02DEE"/>
    <w:multiLevelType w:val="hybridMultilevel"/>
    <w:tmpl w:val="262CE2EE"/>
    <w:lvl w:ilvl="0" w:tplc="4D88B0CA">
      <w:start w:val="1"/>
      <w:numFmt w:val="decimal"/>
      <w:lvlText w:val="%1."/>
      <w:lvlJc w:val="left"/>
      <w:pPr>
        <w:ind w:left="720" w:hanging="360"/>
      </w:pPr>
      <w:rPr>
        <w:rFonts w:hint="default"/>
        <w:b w:val="0"/>
        <w:bCs w:val="0"/>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9DA25C4"/>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A910D99"/>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AD301A5"/>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BB959F1"/>
    <w:multiLevelType w:val="hybridMultilevel"/>
    <w:tmpl w:val="8FF6447A"/>
    <w:lvl w:ilvl="0" w:tplc="1CC29FB8">
      <w:start w:val="1"/>
      <w:numFmt w:val="decimal"/>
      <w:lvlText w:val="%1."/>
      <w:lvlJc w:val="left"/>
      <w:pPr>
        <w:ind w:left="1429" w:hanging="360"/>
      </w:pPr>
      <w:rPr>
        <w:rFonts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3" w15:restartNumberingAfterBreak="0">
    <w:nsid w:val="0EA03494"/>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FA90753"/>
    <w:multiLevelType w:val="multilevel"/>
    <w:tmpl w:val="B9605160"/>
    <w:lvl w:ilvl="0">
      <w:start w:val="1"/>
      <w:numFmt w:val="bullet"/>
      <w:lvlText w:val=""/>
      <w:lvlJc w:val="left"/>
      <w:pPr>
        <w:ind w:left="1080" w:hanging="360"/>
      </w:pPr>
      <w:rPr>
        <w:rFonts w:ascii="Wingdings" w:hAnsi="Wingdings" w:hint="default"/>
        <w:color w:val="9D2235" w:themeColor="accent1"/>
        <w:sz w:val="20"/>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25" w15:restartNumberingAfterBreak="0">
    <w:nsid w:val="10276222"/>
    <w:multiLevelType w:val="hybridMultilevel"/>
    <w:tmpl w:val="46B88408"/>
    <w:lvl w:ilvl="0" w:tplc="A824FB8A">
      <w:start w:val="1"/>
      <w:numFmt w:val="bullet"/>
      <w:lvlText w:val=""/>
      <w:lvlJc w:val="left"/>
      <w:pPr>
        <w:ind w:left="720" w:hanging="360"/>
      </w:pPr>
      <w:rPr>
        <w:rFonts w:ascii="Wingdings" w:hAnsi="Wingdings" w:hint="default"/>
        <w:color w:val="C00000"/>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103F6B7B"/>
    <w:multiLevelType w:val="hybridMultilevel"/>
    <w:tmpl w:val="868C1AD2"/>
    <w:lvl w:ilvl="0" w:tplc="2E20C850">
      <w:numFmt w:val="bullet"/>
      <w:lvlText w:val="-"/>
      <w:lvlJc w:val="left"/>
      <w:pPr>
        <w:ind w:left="720" w:hanging="360"/>
      </w:pPr>
      <w:rPr>
        <w:rFonts w:ascii="Arial" w:eastAsiaTheme="minorHAnsi" w:hAnsi="Arial" w:cs="Arial" w:hint="default"/>
      </w:rPr>
    </w:lvl>
    <w:lvl w:ilvl="1" w:tplc="D4D45ACA">
      <w:start w:val="1"/>
      <w:numFmt w:val="decimal"/>
      <w:lvlText w:val="4.%2."/>
      <w:lvlJc w:val="left"/>
      <w:pPr>
        <w:ind w:left="1440" w:hanging="360"/>
      </w:pPr>
      <w:rPr>
        <w:rFont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107D4303"/>
    <w:multiLevelType w:val="hybridMultilevel"/>
    <w:tmpl w:val="A0DCBA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116D3BD9"/>
    <w:multiLevelType w:val="hybridMultilevel"/>
    <w:tmpl w:val="9EC6988A"/>
    <w:lvl w:ilvl="0" w:tplc="54C6C2CA">
      <w:start w:val="1"/>
      <w:numFmt w:val="decimal"/>
      <w:lvlText w:val="%1ª."/>
      <w:lvlJc w:val="left"/>
      <w:pPr>
        <w:ind w:left="1854" w:hanging="360"/>
      </w:pPr>
      <w:rPr>
        <w:rFonts w:ascii="Arial" w:hAnsi="Arial" w:hint="default"/>
        <w:b w:val="0"/>
        <w:i w:val="0"/>
        <w:sz w:val="21"/>
        <w:szCs w:val="21"/>
      </w:rPr>
    </w:lvl>
    <w:lvl w:ilvl="1" w:tplc="0C0A0019" w:tentative="1">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29" w15:restartNumberingAfterBreak="0">
    <w:nsid w:val="127A0699"/>
    <w:multiLevelType w:val="hybridMultilevel"/>
    <w:tmpl w:val="9A74E9A2"/>
    <w:lvl w:ilvl="0" w:tplc="5DA2A91E">
      <w:numFmt w:val="bullet"/>
      <w:lvlText w:val="-"/>
      <w:lvlJc w:val="left"/>
      <w:pPr>
        <w:ind w:left="720" w:hanging="360"/>
      </w:pPr>
      <w:rPr>
        <w:rFonts w:ascii="Arial" w:eastAsia="SimSu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15:restartNumberingAfterBreak="0">
    <w:nsid w:val="14D0251F"/>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5076CAF"/>
    <w:multiLevelType w:val="multilevel"/>
    <w:tmpl w:val="00A8636C"/>
    <w:lvl w:ilvl="0">
      <w:start w:val="1"/>
      <w:numFmt w:val="bullet"/>
      <w:lvlText w:val=""/>
      <w:lvlJc w:val="left"/>
      <w:pPr>
        <w:ind w:left="720" w:hanging="360"/>
      </w:pPr>
      <w:rPr>
        <w:rFonts w:ascii="Wingdings" w:hAnsi="Wingdings" w:hint="default"/>
        <w:color w:val="9D2235"/>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2" w15:restartNumberingAfterBreak="0">
    <w:nsid w:val="151F0874"/>
    <w:multiLevelType w:val="hybridMultilevel"/>
    <w:tmpl w:val="43D6D5F4"/>
    <w:lvl w:ilvl="0" w:tplc="7A429C3C">
      <w:start w:val="1"/>
      <w:numFmt w:val="bullet"/>
      <w:lvlText w:val=""/>
      <w:lvlJc w:val="left"/>
      <w:pPr>
        <w:ind w:left="720" w:hanging="360"/>
      </w:pPr>
      <w:rPr>
        <w:rFonts w:ascii="Wingdings" w:hAnsi="Wingdings" w:hint="default"/>
        <w:b/>
        <w:color w:val="9D2235" w:themeColor="accent1"/>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15C5602D"/>
    <w:multiLevelType w:val="multilevel"/>
    <w:tmpl w:val="C7B4BCF6"/>
    <w:styleLink w:val="WWNum31"/>
    <w:lvl w:ilvl="0">
      <w:numFmt w:val="bullet"/>
      <w:lvlText w:val="•"/>
      <w:lvlJc w:val="left"/>
      <w:pPr>
        <w:ind w:left="720" w:hanging="360"/>
      </w:pPr>
      <w:rPr>
        <w:rFonts w:ascii="Symbol" w:hAnsi="Symbol" w:cs="OpenSymbol"/>
        <w:sz w:val="21"/>
        <w:szCs w:val="28"/>
      </w:rPr>
    </w:lvl>
    <w:lvl w:ilvl="1">
      <w:numFmt w:val="bullet"/>
      <w:lvlText w:val="◦"/>
      <w:lvlJc w:val="left"/>
      <w:pPr>
        <w:ind w:left="1080" w:hanging="360"/>
      </w:pPr>
      <w:rPr>
        <w:rFonts w:ascii="Symbol" w:hAnsi="Symbol" w:cs="OpenSymbol"/>
        <w:sz w:val="28"/>
        <w:szCs w:val="28"/>
      </w:rPr>
    </w:lvl>
    <w:lvl w:ilvl="2">
      <w:numFmt w:val="bullet"/>
      <w:lvlText w:val="▪"/>
      <w:lvlJc w:val="left"/>
      <w:pPr>
        <w:ind w:left="1440" w:hanging="360"/>
      </w:pPr>
      <w:rPr>
        <w:rFonts w:ascii="Symbol" w:hAnsi="Symbol" w:cs="OpenSymbol"/>
        <w:sz w:val="28"/>
        <w:szCs w:val="28"/>
      </w:rPr>
    </w:lvl>
    <w:lvl w:ilvl="3">
      <w:numFmt w:val="bullet"/>
      <w:lvlText w:val="•"/>
      <w:lvlJc w:val="left"/>
      <w:pPr>
        <w:ind w:left="1800" w:hanging="360"/>
      </w:pPr>
      <w:rPr>
        <w:rFonts w:ascii="Symbol" w:hAnsi="Symbol" w:cs="OpenSymbol"/>
        <w:sz w:val="28"/>
        <w:szCs w:val="28"/>
      </w:rPr>
    </w:lvl>
    <w:lvl w:ilvl="4">
      <w:numFmt w:val="bullet"/>
      <w:lvlText w:val="◦"/>
      <w:lvlJc w:val="left"/>
      <w:pPr>
        <w:ind w:left="2160" w:hanging="360"/>
      </w:pPr>
      <w:rPr>
        <w:rFonts w:ascii="Symbol" w:hAnsi="Symbol" w:cs="OpenSymbol"/>
        <w:sz w:val="28"/>
        <w:szCs w:val="28"/>
      </w:rPr>
    </w:lvl>
    <w:lvl w:ilvl="5">
      <w:numFmt w:val="bullet"/>
      <w:lvlText w:val="▪"/>
      <w:lvlJc w:val="left"/>
      <w:pPr>
        <w:ind w:left="2520" w:hanging="360"/>
      </w:pPr>
      <w:rPr>
        <w:rFonts w:ascii="Symbol" w:hAnsi="Symbol" w:cs="OpenSymbol"/>
        <w:sz w:val="28"/>
        <w:szCs w:val="28"/>
      </w:rPr>
    </w:lvl>
    <w:lvl w:ilvl="6">
      <w:numFmt w:val="bullet"/>
      <w:lvlText w:val="•"/>
      <w:lvlJc w:val="left"/>
      <w:pPr>
        <w:ind w:left="2880" w:hanging="360"/>
      </w:pPr>
      <w:rPr>
        <w:rFonts w:ascii="Symbol" w:hAnsi="Symbol" w:cs="OpenSymbol"/>
        <w:sz w:val="28"/>
        <w:szCs w:val="28"/>
      </w:rPr>
    </w:lvl>
    <w:lvl w:ilvl="7">
      <w:numFmt w:val="bullet"/>
      <w:lvlText w:val="◦"/>
      <w:lvlJc w:val="left"/>
      <w:pPr>
        <w:ind w:left="3240" w:hanging="360"/>
      </w:pPr>
      <w:rPr>
        <w:rFonts w:ascii="Symbol" w:hAnsi="Symbol" w:cs="OpenSymbol"/>
        <w:sz w:val="28"/>
        <w:szCs w:val="28"/>
      </w:rPr>
    </w:lvl>
    <w:lvl w:ilvl="8">
      <w:numFmt w:val="bullet"/>
      <w:lvlText w:val="▪"/>
      <w:lvlJc w:val="left"/>
      <w:pPr>
        <w:ind w:left="3600" w:hanging="360"/>
      </w:pPr>
      <w:rPr>
        <w:rFonts w:ascii="Symbol" w:hAnsi="Symbol" w:cs="OpenSymbol"/>
        <w:sz w:val="28"/>
        <w:szCs w:val="28"/>
      </w:rPr>
    </w:lvl>
  </w:abstractNum>
  <w:abstractNum w:abstractNumId="34" w15:restartNumberingAfterBreak="0">
    <w:nsid w:val="16737A20"/>
    <w:multiLevelType w:val="multilevel"/>
    <w:tmpl w:val="AC188CC6"/>
    <w:lvl w:ilvl="0">
      <w:start w:val="4"/>
      <w:numFmt w:val="decimal"/>
      <w:lvlText w:val="%1."/>
      <w:lvlJc w:val="left"/>
      <w:pPr>
        <w:ind w:left="360" w:hanging="360"/>
      </w:pPr>
      <w:rPr>
        <w:rFonts w:hint="default"/>
        <w:b/>
        <w:bCs/>
        <w:color w:val="9D2235" w:themeColor="accent1"/>
        <w:sz w:val="200"/>
        <w:szCs w:val="2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168F2A29"/>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74F59D0"/>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78B7766"/>
    <w:multiLevelType w:val="hybridMultilevel"/>
    <w:tmpl w:val="417C8574"/>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179E4DC4"/>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17E60D7B"/>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19697AFC"/>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9DE0FC1"/>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1A0F5DC7"/>
    <w:multiLevelType w:val="multilevel"/>
    <w:tmpl w:val="BCC4499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1A3F2884"/>
    <w:multiLevelType w:val="hybridMultilevel"/>
    <w:tmpl w:val="C5782926"/>
    <w:lvl w:ilvl="0" w:tplc="2E20C850">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1AB95EDC"/>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1B430891"/>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1C0B166D"/>
    <w:multiLevelType w:val="hybridMultilevel"/>
    <w:tmpl w:val="8D72E424"/>
    <w:lvl w:ilvl="0" w:tplc="D59654D4">
      <w:start w:val="3"/>
      <w:numFmt w:val="upperLetter"/>
      <w:lvlText w:val="%1)"/>
      <w:lvlJc w:val="left"/>
      <w:pPr>
        <w:ind w:left="107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1CC97822"/>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1DA91C05"/>
    <w:multiLevelType w:val="hybridMultilevel"/>
    <w:tmpl w:val="2A7E9CD6"/>
    <w:lvl w:ilvl="0" w:tplc="7A429C3C">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9" w15:restartNumberingAfterBreak="0">
    <w:nsid w:val="1E3049D6"/>
    <w:multiLevelType w:val="hybridMultilevel"/>
    <w:tmpl w:val="D954F352"/>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20BA375D"/>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51" w15:restartNumberingAfterBreak="0">
    <w:nsid w:val="21056B89"/>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221E1B24"/>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234E1146"/>
    <w:multiLevelType w:val="multilevel"/>
    <w:tmpl w:val="F796D4DC"/>
    <w:lvl w:ilvl="0">
      <w:start w:val="1"/>
      <w:numFmt w:val="bullet"/>
      <w:lvlText w:val=""/>
      <w:lvlJc w:val="left"/>
      <w:pPr>
        <w:ind w:left="720" w:hanging="360"/>
      </w:pPr>
      <w:rPr>
        <w:rFonts w:ascii="Symbol" w:hAnsi="Symbol" w:hint="default"/>
        <w:color w:val="9D2235"/>
        <w:sz w:val="22"/>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54" w15:restartNumberingAfterBreak="0">
    <w:nsid w:val="24505945"/>
    <w:multiLevelType w:val="hybridMultilevel"/>
    <w:tmpl w:val="158A8E50"/>
    <w:lvl w:ilvl="0" w:tplc="FCEA606C">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24E81FF6"/>
    <w:multiLevelType w:val="hybridMultilevel"/>
    <w:tmpl w:val="17C06112"/>
    <w:lvl w:ilvl="0" w:tplc="83ACC51E">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255B4E0D"/>
    <w:multiLevelType w:val="multilevel"/>
    <w:tmpl w:val="0B9E06C2"/>
    <w:styleLink w:val="WWNum4"/>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57" w15:restartNumberingAfterBreak="0">
    <w:nsid w:val="267B63DD"/>
    <w:multiLevelType w:val="hybridMultilevel"/>
    <w:tmpl w:val="C504A4D6"/>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268736F8"/>
    <w:multiLevelType w:val="hybridMultilevel"/>
    <w:tmpl w:val="B316DB28"/>
    <w:lvl w:ilvl="0" w:tplc="1B969508">
      <w:start w:val="1"/>
      <w:numFmt w:val="decimal"/>
      <w:lvlText w:val="%1."/>
      <w:lvlJc w:val="left"/>
      <w:pPr>
        <w:ind w:left="720" w:hanging="360"/>
      </w:pPr>
      <w:rPr>
        <w:b/>
        <w:bCs/>
        <w:color w:val="9D2235" w:themeColor="accent1"/>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9" w15:restartNumberingAfterBreak="0">
    <w:nsid w:val="26C20E9D"/>
    <w:multiLevelType w:val="multilevel"/>
    <w:tmpl w:val="07661EDE"/>
    <w:lvl w:ilvl="0">
      <w:start w:val="6"/>
      <w:numFmt w:val="decimal"/>
      <w:lvlText w:val="%1."/>
      <w:lvlJc w:val="left"/>
      <w:pPr>
        <w:ind w:left="360" w:hanging="360"/>
      </w:pPr>
      <w:rPr>
        <w:rFonts w:hint="default"/>
        <w:sz w:val="200"/>
        <w:szCs w:val="2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26E146A7"/>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61" w15:restartNumberingAfterBreak="0">
    <w:nsid w:val="27D6032A"/>
    <w:multiLevelType w:val="hybridMultilevel"/>
    <w:tmpl w:val="C310DFA0"/>
    <w:lvl w:ilvl="0" w:tplc="368637BE">
      <w:start w:val="1"/>
      <w:numFmt w:val="decimal"/>
      <w:lvlText w:val="2.%1."/>
      <w:lvlJc w:val="left"/>
      <w:pPr>
        <w:ind w:left="1080" w:hanging="360"/>
      </w:pPr>
      <w:rPr>
        <w:rFonts w:hint="default"/>
      </w:rPr>
    </w:lvl>
    <w:lvl w:ilvl="1" w:tplc="FFFFFFFF" w:tentative="1">
      <w:start w:val="1"/>
      <w:numFmt w:val="lowerLetter"/>
      <w:lvlText w:val="%2."/>
      <w:lvlJc w:val="left"/>
      <w:pPr>
        <w:ind w:left="1092" w:hanging="360"/>
      </w:pPr>
    </w:lvl>
    <w:lvl w:ilvl="2" w:tplc="FFFFFFFF" w:tentative="1">
      <w:start w:val="1"/>
      <w:numFmt w:val="lowerRoman"/>
      <w:lvlText w:val="%3."/>
      <w:lvlJc w:val="right"/>
      <w:pPr>
        <w:ind w:left="1812" w:hanging="180"/>
      </w:pPr>
    </w:lvl>
    <w:lvl w:ilvl="3" w:tplc="FFFFFFFF" w:tentative="1">
      <w:start w:val="1"/>
      <w:numFmt w:val="decimal"/>
      <w:lvlText w:val="%4."/>
      <w:lvlJc w:val="left"/>
      <w:pPr>
        <w:ind w:left="2532" w:hanging="360"/>
      </w:pPr>
    </w:lvl>
    <w:lvl w:ilvl="4" w:tplc="FFFFFFFF" w:tentative="1">
      <w:start w:val="1"/>
      <w:numFmt w:val="lowerLetter"/>
      <w:lvlText w:val="%5."/>
      <w:lvlJc w:val="left"/>
      <w:pPr>
        <w:ind w:left="3252" w:hanging="360"/>
      </w:pPr>
    </w:lvl>
    <w:lvl w:ilvl="5" w:tplc="FFFFFFFF" w:tentative="1">
      <w:start w:val="1"/>
      <w:numFmt w:val="lowerRoman"/>
      <w:lvlText w:val="%6."/>
      <w:lvlJc w:val="right"/>
      <w:pPr>
        <w:ind w:left="3972" w:hanging="180"/>
      </w:pPr>
    </w:lvl>
    <w:lvl w:ilvl="6" w:tplc="FFFFFFFF" w:tentative="1">
      <w:start w:val="1"/>
      <w:numFmt w:val="decimal"/>
      <w:lvlText w:val="%7."/>
      <w:lvlJc w:val="left"/>
      <w:pPr>
        <w:ind w:left="4692" w:hanging="360"/>
      </w:pPr>
    </w:lvl>
    <w:lvl w:ilvl="7" w:tplc="FFFFFFFF" w:tentative="1">
      <w:start w:val="1"/>
      <w:numFmt w:val="lowerLetter"/>
      <w:lvlText w:val="%8."/>
      <w:lvlJc w:val="left"/>
      <w:pPr>
        <w:ind w:left="5412" w:hanging="360"/>
      </w:pPr>
    </w:lvl>
    <w:lvl w:ilvl="8" w:tplc="FFFFFFFF" w:tentative="1">
      <w:start w:val="1"/>
      <w:numFmt w:val="lowerRoman"/>
      <w:lvlText w:val="%9."/>
      <w:lvlJc w:val="right"/>
      <w:pPr>
        <w:ind w:left="6132" w:hanging="180"/>
      </w:pPr>
    </w:lvl>
  </w:abstractNum>
  <w:abstractNum w:abstractNumId="62" w15:restartNumberingAfterBreak="0">
    <w:nsid w:val="299D20F7"/>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29DF0400"/>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64" w15:restartNumberingAfterBreak="0">
    <w:nsid w:val="2A454D9C"/>
    <w:multiLevelType w:val="hybridMultilevel"/>
    <w:tmpl w:val="2320E21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15:restartNumberingAfterBreak="0">
    <w:nsid w:val="2A7F733B"/>
    <w:multiLevelType w:val="hybridMultilevel"/>
    <w:tmpl w:val="D72A0764"/>
    <w:lvl w:ilvl="0" w:tplc="FFFFFFFF">
      <w:start w:val="1"/>
      <w:numFmt w:val="decimal"/>
      <w:lvlText w:val="%1ª."/>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66" w15:restartNumberingAfterBreak="0">
    <w:nsid w:val="2BD076C4"/>
    <w:multiLevelType w:val="multilevel"/>
    <w:tmpl w:val="00EA57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BF0532A"/>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2CD93358"/>
    <w:multiLevelType w:val="hybridMultilevel"/>
    <w:tmpl w:val="F7B44C86"/>
    <w:lvl w:ilvl="0" w:tplc="BF584DA2">
      <w:start w:val="1"/>
      <w:numFmt w:val="decimal"/>
      <w:lvlText w:val="1.%1."/>
      <w:lvlJc w:val="left"/>
      <w:pPr>
        <w:ind w:left="1434" w:hanging="360"/>
      </w:pPr>
      <w:rPr>
        <w:rFonts w:hint="default"/>
      </w:rPr>
    </w:lvl>
    <w:lvl w:ilvl="1" w:tplc="0C0A0019">
      <w:start w:val="1"/>
      <w:numFmt w:val="lowerLetter"/>
      <w:lvlText w:val="%2."/>
      <w:lvlJc w:val="left"/>
      <w:pPr>
        <w:ind w:left="2154" w:hanging="360"/>
      </w:pPr>
    </w:lvl>
    <w:lvl w:ilvl="2" w:tplc="0C0A001B" w:tentative="1">
      <w:start w:val="1"/>
      <w:numFmt w:val="lowerRoman"/>
      <w:lvlText w:val="%3."/>
      <w:lvlJc w:val="right"/>
      <w:pPr>
        <w:ind w:left="2874" w:hanging="180"/>
      </w:pPr>
    </w:lvl>
    <w:lvl w:ilvl="3" w:tplc="0C0A000F" w:tentative="1">
      <w:start w:val="1"/>
      <w:numFmt w:val="decimal"/>
      <w:lvlText w:val="%4."/>
      <w:lvlJc w:val="left"/>
      <w:pPr>
        <w:ind w:left="3594" w:hanging="360"/>
      </w:pPr>
    </w:lvl>
    <w:lvl w:ilvl="4" w:tplc="0C0A0019" w:tentative="1">
      <w:start w:val="1"/>
      <w:numFmt w:val="lowerLetter"/>
      <w:lvlText w:val="%5."/>
      <w:lvlJc w:val="left"/>
      <w:pPr>
        <w:ind w:left="4314" w:hanging="360"/>
      </w:pPr>
    </w:lvl>
    <w:lvl w:ilvl="5" w:tplc="0C0A001B" w:tentative="1">
      <w:start w:val="1"/>
      <w:numFmt w:val="lowerRoman"/>
      <w:lvlText w:val="%6."/>
      <w:lvlJc w:val="right"/>
      <w:pPr>
        <w:ind w:left="5034" w:hanging="180"/>
      </w:pPr>
    </w:lvl>
    <w:lvl w:ilvl="6" w:tplc="0C0A000F" w:tentative="1">
      <w:start w:val="1"/>
      <w:numFmt w:val="decimal"/>
      <w:lvlText w:val="%7."/>
      <w:lvlJc w:val="left"/>
      <w:pPr>
        <w:ind w:left="5754" w:hanging="360"/>
      </w:pPr>
    </w:lvl>
    <w:lvl w:ilvl="7" w:tplc="0C0A0019" w:tentative="1">
      <w:start w:val="1"/>
      <w:numFmt w:val="lowerLetter"/>
      <w:lvlText w:val="%8."/>
      <w:lvlJc w:val="left"/>
      <w:pPr>
        <w:ind w:left="6474" w:hanging="360"/>
      </w:pPr>
    </w:lvl>
    <w:lvl w:ilvl="8" w:tplc="0C0A001B" w:tentative="1">
      <w:start w:val="1"/>
      <w:numFmt w:val="lowerRoman"/>
      <w:lvlText w:val="%9."/>
      <w:lvlJc w:val="right"/>
      <w:pPr>
        <w:ind w:left="7194" w:hanging="180"/>
      </w:pPr>
    </w:lvl>
  </w:abstractNum>
  <w:abstractNum w:abstractNumId="69" w15:restartNumberingAfterBreak="0">
    <w:nsid w:val="2D0714FA"/>
    <w:multiLevelType w:val="multilevel"/>
    <w:tmpl w:val="0D56D72C"/>
    <w:lvl w:ilvl="0">
      <w:start w:val="7"/>
      <w:numFmt w:val="decimal"/>
      <w:lvlText w:val="%1."/>
      <w:lvlJc w:val="left"/>
      <w:pPr>
        <w:ind w:left="360" w:hanging="360"/>
      </w:pPr>
      <w:rPr>
        <w:rFonts w:hint="default"/>
        <w:b/>
        <w:bCs/>
        <w:color w:val="9D2235" w:themeColor="accent1"/>
        <w:sz w:val="200"/>
        <w:szCs w:val="2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2E6B7653"/>
    <w:multiLevelType w:val="hybridMultilevel"/>
    <w:tmpl w:val="0480FCD4"/>
    <w:lvl w:ilvl="0" w:tplc="0C0A000F">
      <w:start w:val="1"/>
      <w:numFmt w:val="decimal"/>
      <w:lvlText w:val="%1."/>
      <w:lvlJc w:val="left"/>
      <w:pPr>
        <w:ind w:left="720" w:hanging="360"/>
      </w:pPr>
      <w:rPr>
        <w:rFonts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2EC62B9C"/>
    <w:multiLevelType w:val="hybridMultilevel"/>
    <w:tmpl w:val="856029EA"/>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15:restartNumberingAfterBreak="0">
    <w:nsid w:val="2EDC5EDC"/>
    <w:multiLevelType w:val="hybridMultilevel"/>
    <w:tmpl w:val="529A4D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2FB319BC"/>
    <w:multiLevelType w:val="hybridMultilevel"/>
    <w:tmpl w:val="B3AC6832"/>
    <w:lvl w:ilvl="0" w:tplc="DE38C04C">
      <w:start w:val="1"/>
      <w:numFmt w:val="bullet"/>
      <w:lvlText w:val=""/>
      <w:lvlJc w:val="left"/>
      <w:pPr>
        <w:ind w:left="720" w:hanging="360"/>
      </w:pPr>
      <w:rPr>
        <w:rFonts w:ascii="Wingdings" w:hAnsi="Wingdings" w:hint="default"/>
        <w:color w:val="9D2235" w:themeColor="accent1"/>
      </w:rPr>
    </w:lvl>
    <w:lvl w:ilvl="1" w:tplc="2E20C850">
      <w:numFmt w:val="bullet"/>
      <w:lvlText w:val="-"/>
      <w:lvlJc w:val="left"/>
      <w:pPr>
        <w:ind w:left="1440" w:hanging="360"/>
      </w:pPr>
      <w:rPr>
        <w:rFonts w:ascii="Arial" w:eastAsiaTheme="minorHAnsi"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2FF87860"/>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5" w15:restartNumberingAfterBreak="0">
    <w:nsid w:val="309F01B7"/>
    <w:multiLevelType w:val="hybridMultilevel"/>
    <w:tmpl w:val="EB06D606"/>
    <w:lvl w:ilvl="0" w:tplc="FFFFFFFF">
      <w:start w:val="1"/>
      <w:numFmt w:val="decimal"/>
      <w:lvlText w:val="%1ª."/>
      <w:lvlJc w:val="left"/>
      <w:pPr>
        <w:ind w:left="1429" w:hanging="360"/>
      </w:pPr>
      <w:rPr>
        <w:rFonts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76" w15:restartNumberingAfterBreak="0">
    <w:nsid w:val="30EE697E"/>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31FD6CDC"/>
    <w:multiLevelType w:val="hybridMultilevel"/>
    <w:tmpl w:val="CD721DDE"/>
    <w:lvl w:ilvl="0" w:tplc="2E20C850">
      <w:numFmt w:val="bullet"/>
      <w:lvlText w:val="-"/>
      <w:lvlJc w:val="left"/>
      <w:pPr>
        <w:ind w:left="1850" w:hanging="360"/>
      </w:pPr>
      <w:rPr>
        <w:rFonts w:ascii="Arial" w:eastAsiaTheme="minorHAnsi" w:hAnsi="Arial" w:cs="Arial" w:hint="default"/>
        <w:color w:val="auto"/>
      </w:rPr>
    </w:lvl>
    <w:lvl w:ilvl="1" w:tplc="0C0A0003" w:tentative="1">
      <w:start w:val="1"/>
      <w:numFmt w:val="bullet"/>
      <w:lvlText w:val="o"/>
      <w:lvlJc w:val="left"/>
      <w:pPr>
        <w:ind w:left="2570" w:hanging="360"/>
      </w:pPr>
      <w:rPr>
        <w:rFonts w:ascii="Courier New" w:hAnsi="Courier New" w:cs="Courier New" w:hint="default"/>
      </w:rPr>
    </w:lvl>
    <w:lvl w:ilvl="2" w:tplc="0C0A0005" w:tentative="1">
      <w:start w:val="1"/>
      <w:numFmt w:val="bullet"/>
      <w:lvlText w:val=""/>
      <w:lvlJc w:val="left"/>
      <w:pPr>
        <w:ind w:left="3290" w:hanging="360"/>
      </w:pPr>
      <w:rPr>
        <w:rFonts w:ascii="Wingdings" w:hAnsi="Wingdings" w:hint="default"/>
      </w:rPr>
    </w:lvl>
    <w:lvl w:ilvl="3" w:tplc="0C0A0001" w:tentative="1">
      <w:start w:val="1"/>
      <w:numFmt w:val="bullet"/>
      <w:lvlText w:val=""/>
      <w:lvlJc w:val="left"/>
      <w:pPr>
        <w:ind w:left="4010" w:hanging="360"/>
      </w:pPr>
      <w:rPr>
        <w:rFonts w:ascii="Symbol" w:hAnsi="Symbol" w:hint="default"/>
      </w:rPr>
    </w:lvl>
    <w:lvl w:ilvl="4" w:tplc="0C0A0003" w:tentative="1">
      <w:start w:val="1"/>
      <w:numFmt w:val="bullet"/>
      <w:lvlText w:val="o"/>
      <w:lvlJc w:val="left"/>
      <w:pPr>
        <w:ind w:left="4730" w:hanging="360"/>
      </w:pPr>
      <w:rPr>
        <w:rFonts w:ascii="Courier New" w:hAnsi="Courier New" w:cs="Courier New" w:hint="default"/>
      </w:rPr>
    </w:lvl>
    <w:lvl w:ilvl="5" w:tplc="0C0A0005" w:tentative="1">
      <w:start w:val="1"/>
      <w:numFmt w:val="bullet"/>
      <w:lvlText w:val=""/>
      <w:lvlJc w:val="left"/>
      <w:pPr>
        <w:ind w:left="5450" w:hanging="360"/>
      </w:pPr>
      <w:rPr>
        <w:rFonts w:ascii="Wingdings" w:hAnsi="Wingdings" w:hint="default"/>
      </w:rPr>
    </w:lvl>
    <w:lvl w:ilvl="6" w:tplc="0C0A0001" w:tentative="1">
      <w:start w:val="1"/>
      <w:numFmt w:val="bullet"/>
      <w:lvlText w:val=""/>
      <w:lvlJc w:val="left"/>
      <w:pPr>
        <w:ind w:left="6170" w:hanging="360"/>
      </w:pPr>
      <w:rPr>
        <w:rFonts w:ascii="Symbol" w:hAnsi="Symbol" w:hint="default"/>
      </w:rPr>
    </w:lvl>
    <w:lvl w:ilvl="7" w:tplc="0C0A0003" w:tentative="1">
      <w:start w:val="1"/>
      <w:numFmt w:val="bullet"/>
      <w:lvlText w:val="o"/>
      <w:lvlJc w:val="left"/>
      <w:pPr>
        <w:ind w:left="6890" w:hanging="360"/>
      </w:pPr>
      <w:rPr>
        <w:rFonts w:ascii="Courier New" w:hAnsi="Courier New" w:cs="Courier New" w:hint="default"/>
      </w:rPr>
    </w:lvl>
    <w:lvl w:ilvl="8" w:tplc="0C0A0005" w:tentative="1">
      <w:start w:val="1"/>
      <w:numFmt w:val="bullet"/>
      <w:lvlText w:val=""/>
      <w:lvlJc w:val="left"/>
      <w:pPr>
        <w:ind w:left="7610" w:hanging="360"/>
      </w:pPr>
      <w:rPr>
        <w:rFonts w:ascii="Wingdings" w:hAnsi="Wingdings" w:hint="default"/>
      </w:rPr>
    </w:lvl>
  </w:abstractNum>
  <w:abstractNum w:abstractNumId="78" w15:restartNumberingAfterBreak="0">
    <w:nsid w:val="33450B78"/>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40F6005"/>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4CD688B"/>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1" w15:restartNumberingAfterBreak="0">
    <w:nsid w:val="354566B4"/>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35BF2596"/>
    <w:multiLevelType w:val="hybridMultilevel"/>
    <w:tmpl w:val="FA009C58"/>
    <w:lvl w:ilvl="0" w:tplc="831890BC">
      <w:start w:val="1"/>
      <w:numFmt w:val="bullet"/>
      <w:lvlText w:val=""/>
      <w:lvlJc w:val="left"/>
      <w:pPr>
        <w:ind w:left="720" w:hanging="360"/>
      </w:pPr>
      <w:rPr>
        <w:rFonts w:ascii="Wingdings" w:hAnsi="Wingdings" w:hint="default"/>
        <w:color w:val="9D2235" w:themeColor="accent1"/>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83" w15:restartNumberingAfterBreak="0">
    <w:nsid w:val="37520BF3"/>
    <w:multiLevelType w:val="hybridMultilevel"/>
    <w:tmpl w:val="2EE212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385E3D64"/>
    <w:multiLevelType w:val="hybridMultilevel"/>
    <w:tmpl w:val="E97E4B7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39135426"/>
    <w:multiLevelType w:val="hybridMultilevel"/>
    <w:tmpl w:val="2132C9F8"/>
    <w:lvl w:ilvl="0" w:tplc="FFFFFFFF">
      <w:start w:val="1"/>
      <w:numFmt w:val="decimal"/>
      <w:lvlText w:val="%1ª."/>
      <w:lvlJc w:val="left"/>
      <w:pPr>
        <w:ind w:left="720" w:hanging="360"/>
      </w:pPr>
      <w:rPr>
        <w:rFonts w:ascii="Arial" w:hAnsi="Arial" w:cs="Arial"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3A6278C5"/>
    <w:multiLevelType w:val="hybridMultilevel"/>
    <w:tmpl w:val="85CC4A6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3B6559C3"/>
    <w:multiLevelType w:val="hybridMultilevel"/>
    <w:tmpl w:val="BCF20B34"/>
    <w:lvl w:ilvl="0" w:tplc="7A429C3C">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8" w15:restartNumberingAfterBreak="0">
    <w:nsid w:val="3C2108C7"/>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3D6A478A"/>
    <w:multiLevelType w:val="hybridMultilevel"/>
    <w:tmpl w:val="02B2AFFA"/>
    <w:lvl w:ilvl="0" w:tplc="89E24906">
      <w:start w:val="1"/>
      <w:numFmt w:val="decimal"/>
      <w:lvlText w:val="5.%1."/>
      <w:lvlJc w:val="left"/>
      <w:pPr>
        <w:ind w:left="108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0" w15:restartNumberingAfterBreak="0">
    <w:nsid w:val="3E7A2189"/>
    <w:multiLevelType w:val="hybridMultilevel"/>
    <w:tmpl w:val="405C9ED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15:restartNumberingAfterBreak="0">
    <w:nsid w:val="3FF37C50"/>
    <w:multiLevelType w:val="hybridMultilevel"/>
    <w:tmpl w:val="DBCA604E"/>
    <w:lvl w:ilvl="0" w:tplc="FFFFFFFF">
      <w:start w:val="1"/>
      <w:numFmt w:val="decimal"/>
      <w:lvlText w:val="%1."/>
      <w:lvlJc w:val="left"/>
      <w:pPr>
        <w:ind w:left="720" w:hanging="360"/>
      </w:pPr>
      <w:rPr>
        <w:rFonts w:hint="default"/>
        <w:b w:val="0"/>
        <w:bCs w:val="0"/>
      </w:rPr>
    </w:lvl>
    <w:lvl w:ilvl="1" w:tplc="24869390">
      <w:start w:val="1"/>
      <w:numFmt w:val="lowerLetter"/>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0D5653F"/>
    <w:multiLevelType w:val="multilevel"/>
    <w:tmpl w:val="E692F4F6"/>
    <w:styleLink w:val="WWNum3"/>
    <w:lvl w:ilvl="0">
      <w:numFmt w:val="bullet"/>
      <w:lvlText w:val=""/>
      <w:lvlJc w:val="left"/>
      <w:pPr>
        <w:ind w:left="720" w:hanging="360"/>
      </w:pPr>
      <w:rPr>
        <w:rFonts w:cs="Symbol"/>
        <w:sz w:val="20"/>
      </w:rPr>
    </w:lvl>
    <w:lvl w:ilvl="1">
      <w:numFmt w:val="bullet"/>
      <w:lvlText w:val="o"/>
      <w:lvlJc w:val="left"/>
      <w:pPr>
        <w:ind w:left="1440" w:hanging="360"/>
      </w:pPr>
      <w:rPr>
        <w:rFonts w:ascii="Times New Roman" w:hAnsi="Times New Roman" w:cs="Courier New"/>
        <w:sz w:val="21"/>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93" w15:restartNumberingAfterBreak="0">
    <w:nsid w:val="410F231C"/>
    <w:multiLevelType w:val="hybridMultilevel"/>
    <w:tmpl w:val="DA360656"/>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4" w15:restartNumberingAfterBreak="0">
    <w:nsid w:val="41976ECF"/>
    <w:multiLevelType w:val="multilevel"/>
    <w:tmpl w:val="14880338"/>
    <w:lvl w:ilvl="0">
      <w:start w:val="3"/>
      <w:numFmt w:val="decimal"/>
      <w:lvlText w:val="%1."/>
      <w:lvlJc w:val="left"/>
      <w:pPr>
        <w:ind w:left="360" w:hanging="360"/>
      </w:pPr>
      <w:rPr>
        <w:rFonts w:hint="default"/>
        <w:b/>
        <w:bCs/>
        <w:color w:val="9D2235" w:themeColor="accent1"/>
        <w:sz w:val="200"/>
        <w:szCs w:val="2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5" w15:restartNumberingAfterBreak="0">
    <w:nsid w:val="42920BA1"/>
    <w:multiLevelType w:val="multilevel"/>
    <w:tmpl w:val="C18A7E3E"/>
    <w:styleLink w:val="Sinlista1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96" w15:restartNumberingAfterBreak="0">
    <w:nsid w:val="42E3514B"/>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97" w15:restartNumberingAfterBreak="0">
    <w:nsid w:val="43B36534"/>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43EE55A0"/>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4547010C"/>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45C67F28"/>
    <w:multiLevelType w:val="hybridMultilevel"/>
    <w:tmpl w:val="3AB470D2"/>
    <w:lvl w:ilvl="0" w:tplc="8990D74A">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1" w15:restartNumberingAfterBreak="0">
    <w:nsid w:val="46310750"/>
    <w:multiLevelType w:val="hybridMultilevel"/>
    <w:tmpl w:val="BFE096DC"/>
    <w:lvl w:ilvl="0" w:tplc="7A429C3C">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2" w15:restartNumberingAfterBreak="0">
    <w:nsid w:val="469C1179"/>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7A36EAE"/>
    <w:multiLevelType w:val="hybridMultilevel"/>
    <w:tmpl w:val="B1B4D9B6"/>
    <w:lvl w:ilvl="0" w:tplc="AABC80F4">
      <w:start w:val="1"/>
      <w:numFmt w:val="upperRoman"/>
      <w:lvlText w:val="ANNEX %1"/>
      <w:lvlJc w:val="left"/>
      <w:pPr>
        <w:ind w:left="1070" w:hanging="360"/>
      </w:pPr>
      <w:rPr>
        <w:rFonts w:hint="default"/>
        <w:color w:val="9D2235" w:themeColor="accent1"/>
      </w:rPr>
    </w:lvl>
    <w:lvl w:ilvl="1" w:tplc="BE80D7C2">
      <w:start w:val="1"/>
      <w:numFmt w:val="upperLetter"/>
      <w:lvlText w:val="%2)"/>
      <w:lvlJc w:val="left"/>
      <w:pPr>
        <w:ind w:left="1724" w:hanging="360"/>
      </w:pPr>
      <w:rPr>
        <w:rFonts w:hint="default"/>
        <w:color w:val="auto"/>
      </w:r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04" w15:restartNumberingAfterBreak="0">
    <w:nsid w:val="47B81B8A"/>
    <w:multiLevelType w:val="hybridMultilevel"/>
    <w:tmpl w:val="6D8AADE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5" w15:restartNumberingAfterBreak="0">
    <w:nsid w:val="47C931FF"/>
    <w:multiLevelType w:val="multilevel"/>
    <w:tmpl w:val="61521D54"/>
    <w:styleLink w:val="WW8Num3"/>
    <w:lvl w:ilvl="0">
      <w:start w:val="1"/>
      <w:numFmt w:val="none"/>
      <w:suff w:val="nothing"/>
      <w:lvlText w:val="%1"/>
      <w:lvlJc w:val="left"/>
      <w:rPr>
        <w:rFonts w:ascii="Arial" w:eastAsia="Calibri" w:hAnsi="Arial" w:cs="Arial"/>
        <w:b/>
        <w:bCs/>
        <w:i/>
        <w:iCs/>
        <w:caps w:val="0"/>
        <w:smallCaps w:val="0"/>
        <w:strike w:val="0"/>
        <w:dstrike w:val="0"/>
        <w:color w:val="000000"/>
        <w:spacing w:val="-3"/>
        <w:kern w:val="3"/>
        <w:sz w:val="24"/>
        <w:szCs w:val="24"/>
        <w:shd w:val="clear" w:color="auto" w:fill="FFFF00"/>
        <w:lang w:val="es-ES" w:bidi="ar-SA"/>
      </w:rPr>
    </w:lvl>
    <w:lvl w:ilvl="1">
      <w:start w:val="1"/>
      <w:numFmt w:val="none"/>
      <w:suff w:val="nothing"/>
      <w:lvlText w:val="%2"/>
      <w:lvlJc w:val="left"/>
      <w:rPr>
        <w:rFonts w:ascii="Arial" w:hAnsi="Arial" w:cs="Arial"/>
        <w:color w:val="0070C0"/>
        <w:sz w:val="24"/>
        <w:szCs w:val="24"/>
      </w:rPr>
    </w:lvl>
    <w:lvl w:ilvl="2">
      <w:start w:val="1"/>
      <w:numFmt w:val="none"/>
      <w:suff w:val="nothing"/>
      <w:lvlText w:val="%3"/>
      <w:lvlJc w:val="left"/>
      <w:rPr>
        <w:rFonts w:ascii="Arial" w:hAnsi="Arial" w:cs="Arial"/>
        <w:color w:val="0070C0"/>
        <w:sz w:val="24"/>
        <w:szCs w:val="24"/>
      </w:rPr>
    </w:lvl>
    <w:lvl w:ilvl="3">
      <w:start w:val="1"/>
      <w:numFmt w:val="none"/>
      <w:suff w:val="nothing"/>
      <w:lvlText w:val="%4"/>
      <w:lvlJc w:val="left"/>
    </w:lvl>
    <w:lvl w:ilvl="4">
      <w:start w:val="1"/>
      <w:numFmt w:val="none"/>
      <w:suff w:val="nothing"/>
      <w:lvlText w:val="%5"/>
      <w:lvlJc w:val="left"/>
      <w:rPr>
        <w:rFonts w:ascii="Arial" w:hAnsi="Arial" w:cs="Arial"/>
        <w:b/>
        <w:bCs/>
        <w:color w:val="000000"/>
        <w:sz w:val="24"/>
        <w:szCs w:val="24"/>
      </w:rPr>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106" w15:restartNumberingAfterBreak="0">
    <w:nsid w:val="490218A0"/>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49102F06"/>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08" w15:restartNumberingAfterBreak="0">
    <w:nsid w:val="493003ED"/>
    <w:multiLevelType w:val="hybridMultilevel"/>
    <w:tmpl w:val="85CC81BE"/>
    <w:lvl w:ilvl="0" w:tplc="BF584DA2">
      <w:start w:val="1"/>
      <w:numFmt w:val="decimal"/>
      <w:lvlText w:val="1.%1."/>
      <w:lvlJc w:val="left"/>
      <w:pPr>
        <w:ind w:left="1440" w:hanging="360"/>
      </w:pPr>
      <w:rPr>
        <w:rFonts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9" w15:restartNumberingAfterBreak="0">
    <w:nsid w:val="4967348F"/>
    <w:multiLevelType w:val="hybridMultilevel"/>
    <w:tmpl w:val="E09A382A"/>
    <w:lvl w:ilvl="0" w:tplc="342A9E18">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0" w15:restartNumberingAfterBreak="0">
    <w:nsid w:val="4A11384F"/>
    <w:multiLevelType w:val="multilevel"/>
    <w:tmpl w:val="329E5D72"/>
    <w:lvl w:ilvl="0">
      <w:start w:val="1"/>
      <w:numFmt w:val="bullet"/>
      <w:lvlText w:val=""/>
      <w:lvlJc w:val="left"/>
      <w:pPr>
        <w:tabs>
          <w:tab w:val="num" w:pos="720"/>
        </w:tabs>
        <w:ind w:left="720" w:hanging="360"/>
      </w:pPr>
      <w:rPr>
        <w:rFonts w:ascii="Wingdings" w:hAnsi="Wingdings" w:hint="default"/>
        <w:color w:val="9D2235"/>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4A68299A"/>
    <w:multiLevelType w:val="hybridMultilevel"/>
    <w:tmpl w:val="FA08AB8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4B51365C"/>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4C8548D5"/>
    <w:multiLevelType w:val="multilevel"/>
    <w:tmpl w:val="8F50893A"/>
    <w:styleLink w:val="WWNum41"/>
    <w:lvl w:ilvl="0">
      <w:numFmt w:val="bullet"/>
      <w:lvlText w:val=""/>
      <w:lvlJc w:val="left"/>
      <w:pPr>
        <w:ind w:left="720" w:hanging="360"/>
      </w:pPr>
      <w:rPr>
        <w:rFonts w:ascii="Symbol" w:hAnsi="Symbol" w:cs="Symbol"/>
        <w:b w:val="0"/>
        <w:sz w:val="22"/>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14" w15:restartNumberingAfterBreak="0">
    <w:nsid w:val="4CFD4F44"/>
    <w:multiLevelType w:val="hybridMultilevel"/>
    <w:tmpl w:val="599051D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15:restartNumberingAfterBreak="0">
    <w:nsid w:val="507D1996"/>
    <w:multiLevelType w:val="hybridMultilevel"/>
    <w:tmpl w:val="001A2E92"/>
    <w:lvl w:ilvl="0" w:tplc="16D0920E">
      <w:start w:val="1"/>
      <w:numFmt w:val="decimal"/>
      <w:lvlText w:val="%1ª."/>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18E7A19"/>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51A9092E"/>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2217A75"/>
    <w:multiLevelType w:val="hybridMultilevel"/>
    <w:tmpl w:val="AF68BD7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9" w15:restartNumberingAfterBreak="0">
    <w:nsid w:val="5244417B"/>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544B168F"/>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5586361E"/>
    <w:multiLevelType w:val="hybridMultilevel"/>
    <w:tmpl w:val="98FCA3AE"/>
    <w:lvl w:ilvl="0" w:tplc="C9044F46">
      <w:start w:val="1"/>
      <w:numFmt w:val="bullet"/>
      <w:lvlText w:val=""/>
      <w:lvlJc w:val="left"/>
      <w:pPr>
        <w:ind w:left="720" w:hanging="360"/>
      </w:pPr>
      <w:rPr>
        <w:rFonts w:ascii="Wingdings" w:hAnsi="Wingdings" w:hint="default"/>
        <w:color w:val="C00000"/>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22" w15:restartNumberingAfterBreak="0">
    <w:nsid w:val="57227884"/>
    <w:multiLevelType w:val="hybridMultilevel"/>
    <w:tmpl w:val="5FF0F548"/>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57AD5F78"/>
    <w:multiLevelType w:val="hybridMultilevel"/>
    <w:tmpl w:val="6696EDB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15:restartNumberingAfterBreak="0">
    <w:nsid w:val="57C61773"/>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5942070E"/>
    <w:multiLevelType w:val="hybridMultilevel"/>
    <w:tmpl w:val="AC1C201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596E2A13"/>
    <w:multiLevelType w:val="hybridMultilevel"/>
    <w:tmpl w:val="55E6AAE2"/>
    <w:lvl w:ilvl="0" w:tplc="7A429C3C">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7" w15:restartNumberingAfterBreak="0">
    <w:nsid w:val="59816214"/>
    <w:multiLevelType w:val="hybridMultilevel"/>
    <w:tmpl w:val="0980BBF2"/>
    <w:lvl w:ilvl="0" w:tplc="BD3E8FBC">
      <w:start w:val="1"/>
      <w:numFmt w:val="bullet"/>
      <w:lvlText w:val=""/>
      <w:lvlJc w:val="left"/>
      <w:pPr>
        <w:ind w:left="720" w:hanging="360"/>
      </w:pPr>
      <w:rPr>
        <w:rFonts w:ascii="Wingdings" w:hAnsi="Wingdings" w:hint="default"/>
        <w:color w:val="C00000"/>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28" w15:restartNumberingAfterBreak="0">
    <w:nsid w:val="59E43A73"/>
    <w:multiLevelType w:val="multilevel"/>
    <w:tmpl w:val="3D484B98"/>
    <w:styleLink w:val="WWNum2"/>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129" w15:restartNumberingAfterBreak="0">
    <w:nsid w:val="5AB930B9"/>
    <w:multiLevelType w:val="hybridMultilevel"/>
    <w:tmpl w:val="46C2010E"/>
    <w:lvl w:ilvl="0" w:tplc="2E20C850">
      <w:numFmt w:val="bullet"/>
      <w:lvlText w:val="-"/>
      <w:lvlJc w:val="left"/>
      <w:pPr>
        <w:ind w:left="721" w:hanging="360"/>
      </w:pPr>
      <w:rPr>
        <w:rFonts w:ascii="Arial" w:eastAsiaTheme="minorHAnsi" w:hAnsi="Arial" w:cs="Arial" w:hint="default"/>
      </w:rPr>
    </w:lvl>
    <w:lvl w:ilvl="1" w:tplc="0C0A0003" w:tentative="1">
      <w:start w:val="1"/>
      <w:numFmt w:val="bullet"/>
      <w:lvlText w:val="o"/>
      <w:lvlJc w:val="left"/>
      <w:pPr>
        <w:ind w:left="1441" w:hanging="360"/>
      </w:pPr>
      <w:rPr>
        <w:rFonts w:ascii="Courier New" w:hAnsi="Courier New" w:cs="Courier New" w:hint="default"/>
      </w:rPr>
    </w:lvl>
    <w:lvl w:ilvl="2" w:tplc="0C0A0005" w:tentative="1">
      <w:start w:val="1"/>
      <w:numFmt w:val="bullet"/>
      <w:lvlText w:val=""/>
      <w:lvlJc w:val="left"/>
      <w:pPr>
        <w:ind w:left="2161" w:hanging="360"/>
      </w:pPr>
      <w:rPr>
        <w:rFonts w:ascii="Wingdings" w:hAnsi="Wingdings" w:hint="default"/>
      </w:rPr>
    </w:lvl>
    <w:lvl w:ilvl="3" w:tplc="0C0A0001" w:tentative="1">
      <w:start w:val="1"/>
      <w:numFmt w:val="bullet"/>
      <w:lvlText w:val=""/>
      <w:lvlJc w:val="left"/>
      <w:pPr>
        <w:ind w:left="2881" w:hanging="360"/>
      </w:pPr>
      <w:rPr>
        <w:rFonts w:ascii="Symbol" w:hAnsi="Symbol" w:hint="default"/>
      </w:rPr>
    </w:lvl>
    <w:lvl w:ilvl="4" w:tplc="0C0A0003" w:tentative="1">
      <w:start w:val="1"/>
      <w:numFmt w:val="bullet"/>
      <w:lvlText w:val="o"/>
      <w:lvlJc w:val="left"/>
      <w:pPr>
        <w:ind w:left="3601" w:hanging="360"/>
      </w:pPr>
      <w:rPr>
        <w:rFonts w:ascii="Courier New" w:hAnsi="Courier New" w:cs="Courier New" w:hint="default"/>
      </w:rPr>
    </w:lvl>
    <w:lvl w:ilvl="5" w:tplc="0C0A0005" w:tentative="1">
      <w:start w:val="1"/>
      <w:numFmt w:val="bullet"/>
      <w:lvlText w:val=""/>
      <w:lvlJc w:val="left"/>
      <w:pPr>
        <w:ind w:left="4321" w:hanging="360"/>
      </w:pPr>
      <w:rPr>
        <w:rFonts w:ascii="Wingdings" w:hAnsi="Wingdings" w:hint="default"/>
      </w:rPr>
    </w:lvl>
    <w:lvl w:ilvl="6" w:tplc="0C0A0001" w:tentative="1">
      <w:start w:val="1"/>
      <w:numFmt w:val="bullet"/>
      <w:lvlText w:val=""/>
      <w:lvlJc w:val="left"/>
      <w:pPr>
        <w:ind w:left="5041" w:hanging="360"/>
      </w:pPr>
      <w:rPr>
        <w:rFonts w:ascii="Symbol" w:hAnsi="Symbol" w:hint="default"/>
      </w:rPr>
    </w:lvl>
    <w:lvl w:ilvl="7" w:tplc="0C0A0003" w:tentative="1">
      <w:start w:val="1"/>
      <w:numFmt w:val="bullet"/>
      <w:lvlText w:val="o"/>
      <w:lvlJc w:val="left"/>
      <w:pPr>
        <w:ind w:left="5761" w:hanging="360"/>
      </w:pPr>
      <w:rPr>
        <w:rFonts w:ascii="Courier New" w:hAnsi="Courier New" w:cs="Courier New" w:hint="default"/>
      </w:rPr>
    </w:lvl>
    <w:lvl w:ilvl="8" w:tplc="0C0A0005" w:tentative="1">
      <w:start w:val="1"/>
      <w:numFmt w:val="bullet"/>
      <w:lvlText w:val=""/>
      <w:lvlJc w:val="left"/>
      <w:pPr>
        <w:ind w:left="6481" w:hanging="360"/>
      </w:pPr>
      <w:rPr>
        <w:rFonts w:ascii="Wingdings" w:hAnsi="Wingdings" w:hint="default"/>
      </w:rPr>
    </w:lvl>
  </w:abstractNum>
  <w:abstractNum w:abstractNumId="130" w15:restartNumberingAfterBreak="0">
    <w:nsid w:val="5AEE34B1"/>
    <w:multiLevelType w:val="multilevel"/>
    <w:tmpl w:val="3E5A586E"/>
    <w:styleLink w:val="WWNum5"/>
    <w:lvl w:ilvl="0">
      <w:start w:val="1"/>
      <w:numFmt w:val="none"/>
      <w:suff w:val="nothing"/>
      <w:lvlText w:val="%1"/>
      <w:lvlJc w:val="left"/>
    </w:lvl>
    <w:lvl w:ilvl="1">
      <w:start w:val="1"/>
      <w:numFmt w:val="none"/>
      <w:suff w:val="nothing"/>
      <w:lvlText w:val="%2"/>
      <w:lvlJc w:val="left"/>
    </w:lvl>
    <w:lvl w:ilvl="2">
      <w:start w:val="1"/>
      <w:numFmt w:val="none"/>
      <w:suff w:val="nothing"/>
      <w:lvlText w:val="%3"/>
      <w:lvlJc w:val="left"/>
    </w:lvl>
    <w:lvl w:ilvl="3">
      <w:start w:val="1"/>
      <w:numFmt w:val="none"/>
      <w:suff w:val="nothing"/>
      <w:lvlText w:val="%4"/>
      <w:lvlJc w:val="left"/>
    </w:lvl>
    <w:lvl w:ilvl="4">
      <w:start w:val="1"/>
      <w:numFmt w:val="none"/>
      <w:suff w:val="nothing"/>
      <w:lvlText w:val="%5"/>
      <w:lvlJc w:val="left"/>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131" w15:restartNumberingAfterBreak="0">
    <w:nsid w:val="5B7550DA"/>
    <w:multiLevelType w:val="hybridMultilevel"/>
    <w:tmpl w:val="CA20B192"/>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2" w15:restartNumberingAfterBreak="0">
    <w:nsid w:val="5C1020E2"/>
    <w:multiLevelType w:val="hybridMultilevel"/>
    <w:tmpl w:val="267E22B6"/>
    <w:lvl w:ilvl="0" w:tplc="22AC9EE2">
      <w:start w:val="1"/>
      <w:numFmt w:val="bullet"/>
      <w:lvlText w:val=""/>
      <w:lvlJc w:val="left"/>
      <w:pPr>
        <w:ind w:left="1440" w:hanging="360"/>
      </w:pPr>
      <w:rPr>
        <w:rFonts w:ascii="Wingdings" w:hAnsi="Wingdings" w:hint="default"/>
        <w:color w:val="9D2235"/>
      </w:rPr>
    </w:lvl>
    <w:lvl w:ilvl="1" w:tplc="2E20C850">
      <w:numFmt w:val="bullet"/>
      <w:lvlText w:val="-"/>
      <w:lvlJc w:val="left"/>
      <w:pPr>
        <w:ind w:left="720" w:hanging="360"/>
      </w:pPr>
      <w:rPr>
        <w:rFonts w:ascii="Arial" w:eastAsiaTheme="minorHAnsi" w:hAnsi="Arial" w:cs="Arial"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3" w15:restartNumberingAfterBreak="0">
    <w:nsid w:val="5C416BF9"/>
    <w:multiLevelType w:val="multilevel"/>
    <w:tmpl w:val="1C147536"/>
    <w:styleLink w:val="WWNum11"/>
    <w:lvl w:ilvl="0">
      <w:numFmt w:val="bullet"/>
      <w:lvlText w:val=""/>
      <w:lvlJc w:val="left"/>
      <w:pPr>
        <w:ind w:left="1080" w:hanging="360"/>
      </w:pPr>
      <w:rPr>
        <w:rFonts w:ascii="Wingdings" w:hAnsi="Wingdings" w:cs="Wingdings"/>
        <w:color w:val="9D2235"/>
        <w:sz w:val="21"/>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134" w15:restartNumberingAfterBreak="0">
    <w:nsid w:val="5DC520CA"/>
    <w:multiLevelType w:val="hybridMultilevel"/>
    <w:tmpl w:val="5FDAB0BC"/>
    <w:lvl w:ilvl="0" w:tplc="C51EB0F0">
      <w:numFmt w:val="bullet"/>
      <w:lvlText w:val=""/>
      <w:lvlJc w:val="left"/>
      <w:pPr>
        <w:ind w:left="1080" w:hanging="360"/>
      </w:pPr>
      <w:rPr>
        <w:rFonts w:ascii="Symbol" w:eastAsiaTheme="minorEastAsia" w:hAnsi="Symbol" w:cs="Arial" w:hint="default"/>
        <w:b/>
        <w:bCs w:val="0"/>
        <w:color w:val="9D2235" w:themeColor="accent1"/>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35" w15:restartNumberingAfterBreak="0">
    <w:nsid w:val="60805ED2"/>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60903896"/>
    <w:multiLevelType w:val="hybridMultilevel"/>
    <w:tmpl w:val="CB066328"/>
    <w:lvl w:ilvl="0" w:tplc="85CC7EC6">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1080" w:hanging="360"/>
      </w:pPr>
      <w:rPr>
        <w:rFonts w:ascii="Wingdings" w:hAnsi="Wingdings" w:hint="default"/>
      </w:rPr>
    </w:lvl>
    <w:lvl w:ilvl="3" w:tplc="0C0A0001" w:tentative="1">
      <w:start w:val="1"/>
      <w:numFmt w:val="bullet"/>
      <w:lvlText w:val=""/>
      <w:lvlJc w:val="left"/>
      <w:pPr>
        <w:ind w:left="-360" w:hanging="360"/>
      </w:pPr>
      <w:rPr>
        <w:rFonts w:ascii="Symbol" w:hAnsi="Symbol" w:hint="default"/>
      </w:rPr>
    </w:lvl>
    <w:lvl w:ilvl="4" w:tplc="0C0A0003" w:tentative="1">
      <w:start w:val="1"/>
      <w:numFmt w:val="bullet"/>
      <w:lvlText w:val="o"/>
      <w:lvlJc w:val="left"/>
      <w:pPr>
        <w:ind w:left="360" w:hanging="360"/>
      </w:pPr>
      <w:rPr>
        <w:rFonts w:ascii="Courier New" w:hAnsi="Courier New" w:cs="Courier New" w:hint="default"/>
      </w:rPr>
    </w:lvl>
    <w:lvl w:ilvl="5" w:tplc="0C0A0005" w:tentative="1">
      <w:start w:val="1"/>
      <w:numFmt w:val="bullet"/>
      <w:lvlText w:val=""/>
      <w:lvlJc w:val="left"/>
      <w:pPr>
        <w:ind w:left="1080" w:hanging="360"/>
      </w:pPr>
      <w:rPr>
        <w:rFonts w:ascii="Wingdings" w:hAnsi="Wingdings" w:hint="default"/>
      </w:rPr>
    </w:lvl>
    <w:lvl w:ilvl="6" w:tplc="0C0A0001" w:tentative="1">
      <w:start w:val="1"/>
      <w:numFmt w:val="bullet"/>
      <w:lvlText w:val=""/>
      <w:lvlJc w:val="left"/>
      <w:pPr>
        <w:ind w:left="1800" w:hanging="360"/>
      </w:pPr>
      <w:rPr>
        <w:rFonts w:ascii="Symbol" w:hAnsi="Symbol" w:hint="default"/>
      </w:rPr>
    </w:lvl>
    <w:lvl w:ilvl="7" w:tplc="0C0A0003" w:tentative="1">
      <w:start w:val="1"/>
      <w:numFmt w:val="bullet"/>
      <w:lvlText w:val="o"/>
      <w:lvlJc w:val="left"/>
      <w:pPr>
        <w:ind w:left="2520" w:hanging="360"/>
      </w:pPr>
      <w:rPr>
        <w:rFonts w:ascii="Courier New" w:hAnsi="Courier New" w:cs="Courier New" w:hint="default"/>
      </w:rPr>
    </w:lvl>
    <w:lvl w:ilvl="8" w:tplc="0C0A0005" w:tentative="1">
      <w:start w:val="1"/>
      <w:numFmt w:val="bullet"/>
      <w:lvlText w:val=""/>
      <w:lvlJc w:val="left"/>
      <w:pPr>
        <w:ind w:left="3240" w:hanging="360"/>
      </w:pPr>
      <w:rPr>
        <w:rFonts w:ascii="Wingdings" w:hAnsi="Wingdings" w:hint="default"/>
      </w:rPr>
    </w:lvl>
  </w:abstractNum>
  <w:abstractNum w:abstractNumId="137" w15:restartNumberingAfterBreak="0">
    <w:nsid w:val="619D1471"/>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61DF6E8F"/>
    <w:multiLevelType w:val="hybridMultilevel"/>
    <w:tmpl w:val="2132C9F8"/>
    <w:lvl w:ilvl="0" w:tplc="FFFFFFFF">
      <w:start w:val="1"/>
      <w:numFmt w:val="decimal"/>
      <w:lvlText w:val="%1ª."/>
      <w:lvlJc w:val="left"/>
      <w:pPr>
        <w:ind w:left="720" w:hanging="360"/>
      </w:pPr>
      <w:rPr>
        <w:rFonts w:ascii="Arial" w:hAnsi="Arial" w:cs="Arial"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627E49C7"/>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62BA372F"/>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62C85865"/>
    <w:multiLevelType w:val="hybridMultilevel"/>
    <w:tmpl w:val="EB52602C"/>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15:restartNumberingAfterBreak="0">
    <w:nsid w:val="62FD4273"/>
    <w:multiLevelType w:val="hybridMultilevel"/>
    <w:tmpl w:val="FBC0BE0A"/>
    <w:lvl w:ilvl="0" w:tplc="5B9A81C8">
      <w:start w:val="1"/>
      <w:numFmt w:val="decimal"/>
      <w:lvlText w:val="3.%1."/>
      <w:lvlJc w:val="left"/>
      <w:pPr>
        <w:ind w:left="1440" w:hanging="360"/>
      </w:pPr>
      <w:rPr>
        <w:rFonts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43" w15:restartNumberingAfterBreak="0">
    <w:nsid w:val="642A7B84"/>
    <w:multiLevelType w:val="hybridMultilevel"/>
    <w:tmpl w:val="8E44611E"/>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4" w15:restartNumberingAfterBreak="0">
    <w:nsid w:val="651E6C5B"/>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65D01D9D"/>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65F70204"/>
    <w:multiLevelType w:val="hybridMultilevel"/>
    <w:tmpl w:val="2132C9F8"/>
    <w:lvl w:ilvl="0" w:tplc="C2769BC4">
      <w:start w:val="1"/>
      <w:numFmt w:val="decimal"/>
      <w:lvlText w:val="%1ª."/>
      <w:lvlJc w:val="left"/>
      <w:pPr>
        <w:ind w:left="720" w:hanging="360"/>
      </w:pPr>
      <w:rPr>
        <w:rFonts w:ascii="Arial" w:hAnsi="Arial" w:cs="Arial"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66341E57"/>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66C024CA"/>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66CF6789"/>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67D778F6"/>
    <w:multiLevelType w:val="hybridMultilevel"/>
    <w:tmpl w:val="7214EE20"/>
    <w:lvl w:ilvl="0" w:tplc="1CC29FB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1" w15:restartNumberingAfterBreak="0">
    <w:nsid w:val="67F32FFE"/>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69401CE4"/>
    <w:multiLevelType w:val="hybridMultilevel"/>
    <w:tmpl w:val="73EC8A10"/>
    <w:lvl w:ilvl="0" w:tplc="297031DA">
      <w:start w:val="1"/>
      <w:numFmt w:val="bullet"/>
      <w:lvlText w:val=""/>
      <w:lvlJc w:val="left"/>
      <w:pPr>
        <w:ind w:left="720" w:hanging="360"/>
      </w:pPr>
      <w:rPr>
        <w:rFonts w:ascii="Symbol" w:hAnsi="Symbol"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3" w15:restartNumberingAfterBreak="0">
    <w:nsid w:val="69634678"/>
    <w:multiLevelType w:val="multilevel"/>
    <w:tmpl w:val="6A5CDFD6"/>
    <w:lvl w:ilvl="0">
      <w:start w:val="1"/>
      <w:numFmt w:val="decimal"/>
      <w:lvlText w:val="%1."/>
      <w:lvlJc w:val="left"/>
      <w:pPr>
        <w:ind w:left="360" w:hanging="360"/>
      </w:pPr>
      <w:rPr>
        <w:rFonts w:hint="default"/>
        <w:b/>
        <w:bCs/>
        <w:sz w:val="200"/>
        <w:szCs w:val="2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4" w15:restartNumberingAfterBreak="0">
    <w:nsid w:val="6995458A"/>
    <w:multiLevelType w:val="hybridMultilevel"/>
    <w:tmpl w:val="5EAC5E0C"/>
    <w:lvl w:ilvl="0" w:tplc="17D49A2E">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69A22DE9"/>
    <w:multiLevelType w:val="hybridMultilevel"/>
    <w:tmpl w:val="E3FAAC12"/>
    <w:lvl w:ilvl="0" w:tplc="8E7C8F10">
      <w:start w:val="1"/>
      <w:numFmt w:val="decimal"/>
      <w:lvlText w:val="2.%1."/>
      <w:lvlJc w:val="left"/>
      <w:pPr>
        <w:ind w:left="1074" w:hanging="360"/>
      </w:pPr>
      <w:rPr>
        <w:rFonts w:hint="default"/>
      </w:rPr>
    </w:lvl>
    <w:lvl w:ilvl="1" w:tplc="FFFFFFFF">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56" w15:restartNumberingAfterBreak="0">
    <w:nsid w:val="6C566DAE"/>
    <w:multiLevelType w:val="hybridMultilevel"/>
    <w:tmpl w:val="073CE4AA"/>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7" w15:restartNumberingAfterBreak="0">
    <w:nsid w:val="6D051EFC"/>
    <w:multiLevelType w:val="multilevel"/>
    <w:tmpl w:val="5C524554"/>
    <w:lvl w:ilvl="0">
      <w:start w:val="2"/>
      <w:numFmt w:val="decimal"/>
      <w:lvlText w:val="%1."/>
      <w:lvlJc w:val="left"/>
      <w:pPr>
        <w:ind w:left="360" w:hanging="360"/>
      </w:pPr>
      <w:rPr>
        <w:rFonts w:hint="default"/>
        <w:b/>
        <w:bCs/>
        <w:sz w:val="200"/>
        <w:szCs w:val="200"/>
      </w:rPr>
    </w:lvl>
    <w:lvl w:ilvl="1">
      <w:start w:val="1"/>
      <w:numFmt w:val="decimal"/>
      <w:isLgl/>
      <w:lvlText w:val="%1.%2."/>
      <w:lvlJc w:val="left"/>
      <w:pPr>
        <w:ind w:left="720" w:hanging="720"/>
      </w:pPr>
      <w:rPr>
        <w:rFonts w:hint="default"/>
        <w:b/>
        <w:bCs/>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58" w15:restartNumberingAfterBreak="0">
    <w:nsid w:val="6D4D645D"/>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6D616BAB"/>
    <w:multiLevelType w:val="hybridMultilevel"/>
    <w:tmpl w:val="228CC6FA"/>
    <w:lvl w:ilvl="0" w:tplc="864CB65E">
      <w:start w:val="1"/>
      <w:numFmt w:val="upperLetter"/>
      <w:lvlText w:val="%1)"/>
      <w:lvlJc w:val="left"/>
      <w:pPr>
        <w:ind w:left="1713" w:hanging="360"/>
      </w:pPr>
      <w:rPr>
        <w:rFonts w:hint="default"/>
      </w:rPr>
    </w:lvl>
    <w:lvl w:ilvl="1" w:tplc="01DC90DE">
      <w:start w:val="1"/>
      <w:numFmt w:val="upperLetter"/>
      <w:lvlText w:val="%2)"/>
      <w:lvlJc w:val="left"/>
      <w:pPr>
        <w:ind w:left="1440" w:hanging="360"/>
      </w:pPr>
      <w:rPr>
        <w:rFonts w:hint="default"/>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0" w15:restartNumberingAfterBreak="0">
    <w:nsid w:val="704E1F63"/>
    <w:multiLevelType w:val="hybridMultilevel"/>
    <w:tmpl w:val="8AE26A76"/>
    <w:lvl w:ilvl="0" w:tplc="9AF8A94A">
      <w:start w:val="1"/>
      <w:numFmt w:val="bullet"/>
      <w:lvlText w:val=""/>
      <w:lvlJc w:val="left"/>
      <w:pPr>
        <w:ind w:left="720" w:hanging="360"/>
      </w:pPr>
      <w:rPr>
        <w:rFonts w:ascii="Wingdings" w:hAnsi="Wingdings" w:hint="default"/>
        <w:color w:val="C0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1" w15:restartNumberingAfterBreak="0">
    <w:nsid w:val="710C1B96"/>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713C4F46"/>
    <w:multiLevelType w:val="hybridMultilevel"/>
    <w:tmpl w:val="90A0CE90"/>
    <w:lvl w:ilvl="0" w:tplc="0C0A0017">
      <w:start w:val="1"/>
      <w:numFmt w:val="lowerLetter"/>
      <w:lvlText w:val="%1)"/>
      <w:lvlJc w:val="left"/>
      <w:pPr>
        <w:ind w:left="1800" w:hanging="360"/>
      </w:pPr>
      <w:rPr>
        <w:rFonts w:hint="default"/>
      </w:rPr>
    </w:lvl>
    <w:lvl w:ilvl="1" w:tplc="0C0A0019" w:tentative="1">
      <w:start w:val="1"/>
      <w:numFmt w:val="lowerLetter"/>
      <w:lvlText w:val="%2."/>
      <w:lvlJc w:val="left"/>
      <w:pPr>
        <w:ind w:left="2520" w:hanging="360"/>
      </w:pPr>
    </w:lvl>
    <w:lvl w:ilvl="2" w:tplc="0C0A001B" w:tentative="1">
      <w:start w:val="1"/>
      <w:numFmt w:val="lowerRoman"/>
      <w:lvlText w:val="%3."/>
      <w:lvlJc w:val="right"/>
      <w:pPr>
        <w:ind w:left="3240" w:hanging="180"/>
      </w:pPr>
    </w:lvl>
    <w:lvl w:ilvl="3" w:tplc="0C0A000F" w:tentative="1">
      <w:start w:val="1"/>
      <w:numFmt w:val="decimal"/>
      <w:lvlText w:val="%4."/>
      <w:lvlJc w:val="left"/>
      <w:pPr>
        <w:ind w:left="3960" w:hanging="360"/>
      </w:pPr>
    </w:lvl>
    <w:lvl w:ilvl="4" w:tplc="0C0A0019" w:tentative="1">
      <w:start w:val="1"/>
      <w:numFmt w:val="lowerLetter"/>
      <w:lvlText w:val="%5."/>
      <w:lvlJc w:val="left"/>
      <w:pPr>
        <w:ind w:left="4680" w:hanging="360"/>
      </w:pPr>
    </w:lvl>
    <w:lvl w:ilvl="5" w:tplc="0C0A001B" w:tentative="1">
      <w:start w:val="1"/>
      <w:numFmt w:val="lowerRoman"/>
      <w:lvlText w:val="%6."/>
      <w:lvlJc w:val="right"/>
      <w:pPr>
        <w:ind w:left="5400" w:hanging="180"/>
      </w:pPr>
    </w:lvl>
    <w:lvl w:ilvl="6" w:tplc="0C0A000F" w:tentative="1">
      <w:start w:val="1"/>
      <w:numFmt w:val="decimal"/>
      <w:lvlText w:val="%7."/>
      <w:lvlJc w:val="left"/>
      <w:pPr>
        <w:ind w:left="6120" w:hanging="360"/>
      </w:pPr>
    </w:lvl>
    <w:lvl w:ilvl="7" w:tplc="0C0A0019" w:tentative="1">
      <w:start w:val="1"/>
      <w:numFmt w:val="lowerLetter"/>
      <w:lvlText w:val="%8."/>
      <w:lvlJc w:val="left"/>
      <w:pPr>
        <w:ind w:left="6840" w:hanging="360"/>
      </w:pPr>
    </w:lvl>
    <w:lvl w:ilvl="8" w:tplc="0C0A001B" w:tentative="1">
      <w:start w:val="1"/>
      <w:numFmt w:val="lowerRoman"/>
      <w:lvlText w:val="%9."/>
      <w:lvlJc w:val="right"/>
      <w:pPr>
        <w:ind w:left="7560" w:hanging="180"/>
      </w:pPr>
    </w:lvl>
  </w:abstractNum>
  <w:abstractNum w:abstractNumId="163" w15:restartNumberingAfterBreak="0">
    <w:nsid w:val="71576B52"/>
    <w:multiLevelType w:val="hybridMultilevel"/>
    <w:tmpl w:val="26F87878"/>
    <w:lvl w:ilvl="0" w:tplc="7A429C3C">
      <w:start w:val="1"/>
      <w:numFmt w:val="bullet"/>
      <w:lvlText w:val=""/>
      <w:lvlJc w:val="left"/>
      <w:pPr>
        <w:ind w:left="2062" w:hanging="360"/>
      </w:pPr>
      <w:rPr>
        <w:rFonts w:ascii="Wingdings" w:hAnsi="Wingdings" w:hint="default"/>
        <w:color w:val="9D2235" w:themeColor="accent1"/>
      </w:rPr>
    </w:lvl>
    <w:lvl w:ilvl="1" w:tplc="0C0A0003">
      <w:start w:val="1"/>
      <w:numFmt w:val="bullet"/>
      <w:lvlText w:val="o"/>
      <w:lvlJc w:val="left"/>
      <w:pPr>
        <w:ind w:left="3001" w:hanging="360"/>
      </w:pPr>
      <w:rPr>
        <w:rFonts w:ascii="Courier New" w:hAnsi="Courier New" w:cs="Courier New" w:hint="default"/>
      </w:rPr>
    </w:lvl>
    <w:lvl w:ilvl="2" w:tplc="0C0A0005">
      <w:start w:val="1"/>
      <w:numFmt w:val="bullet"/>
      <w:lvlText w:val=""/>
      <w:lvlJc w:val="left"/>
      <w:pPr>
        <w:ind w:left="3721" w:hanging="360"/>
      </w:pPr>
      <w:rPr>
        <w:rFonts w:ascii="Wingdings" w:hAnsi="Wingdings" w:hint="default"/>
      </w:rPr>
    </w:lvl>
    <w:lvl w:ilvl="3" w:tplc="0C0A0001">
      <w:start w:val="1"/>
      <w:numFmt w:val="bullet"/>
      <w:lvlText w:val=""/>
      <w:lvlJc w:val="left"/>
      <w:pPr>
        <w:ind w:left="4441" w:hanging="360"/>
      </w:pPr>
      <w:rPr>
        <w:rFonts w:ascii="Symbol" w:hAnsi="Symbol" w:hint="default"/>
      </w:rPr>
    </w:lvl>
    <w:lvl w:ilvl="4" w:tplc="0C0A0003">
      <w:start w:val="1"/>
      <w:numFmt w:val="bullet"/>
      <w:lvlText w:val="o"/>
      <w:lvlJc w:val="left"/>
      <w:pPr>
        <w:ind w:left="5161" w:hanging="360"/>
      </w:pPr>
      <w:rPr>
        <w:rFonts w:ascii="Courier New" w:hAnsi="Courier New" w:cs="Courier New" w:hint="default"/>
      </w:rPr>
    </w:lvl>
    <w:lvl w:ilvl="5" w:tplc="0C0A0005">
      <w:start w:val="1"/>
      <w:numFmt w:val="bullet"/>
      <w:lvlText w:val=""/>
      <w:lvlJc w:val="left"/>
      <w:pPr>
        <w:ind w:left="5881" w:hanging="360"/>
      </w:pPr>
      <w:rPr>
        <w:rFonts w:ascii="Wingdings" w:hAnsi="Wingdings" w:hint="default"/>
      </w:rPr>
    </w:lvl>
    <w:lvl w:ilvl="6" w:tplc="0C0A0001">
      <w:start w:val="1"/>
      <w:numFmt w:val="bullet"/>
      <w:lvlText w:val=""/>
      <w:lvlJc w:val="left"/>
      <w:pPr>
        <w:ind w:left="6601" w:hanging="360"/>
      </w:pPr>
      <w:rPr>
        <w:rFonts w:ascii="Symbol" w:hAnsi="Symbol" w:hint="default"/>
      </w:rPr>
    </w:lvl>
    <w:lvl w:ilvl="7" w:tplc="0C0A0003">
      <w:start w:val="1"/>
      <w:numFmt w:val="bullet"/>
      <w:lvlText w:val="o"/>
      <w:lvlJc w:val="left"/>
      <w:pPr>
        <w:ind w:left="7321" w:hanging="360"/>
      </w:pPr>
      <w:rPr>
        <w:rFonts w:ascii="Courier New" w:hAnsi="Courier New" w:cs="Courier New" w:hint="default"/>
      </w:rPr>
    </w:lvl>
    <w:lvl w:ilvl="8" w:tplc="0C0A0005">
      <w:start w:val="1"/>
      <w:numFmt w:val="bullet"/>
      <w:lvlText w:val=""/>
      <w:lvlJc w:val="left"/>
      <w:pPr>
        <w:ind w:left="8041" w:hanging="360"/>
      </w:pPr>
      <w:rPr>
        <w:rFonts w:ascii="Wingdings" w:hAnsi="Wingdings" w:hint="default"/>
      </w:rPr>
    </w:lvl>
  </w:abstractNum>
  <w:abstractNum w:abstractNumId="164" w15:restartNumberingAfterBreak="0">
    <w:nsid w:val="71F76991"/>
    <w:multiLevelType w:val="hybridMultilevel"/>
    <w:tmpl w:val="15B4095A"/>
    <w:lvl w:ilvl="0" w:tplc="3B548802">
      <w:start w:val="1"/>
      <w:numFmt w:val="decimal"/>
      <w:lvlText w:val="%1ª."/>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65" w15:restartNumberingAfterBreak="0">
    <w:nsid w:val="721A13A2"/>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738501F6"/>
    <w:multiLevelType w:val="multilevel"/>
    <w:tmpl w:val="B002C052"/>
    <w:styleLink w:val="WWNum1"/>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167" w15:restartNumberingAfterBreak="0">
    <w:nsid w:val="73F66A0C"/>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74301DB4"/>
    <w:multiLevelType w:val="multilevel"/>
    <w:tmpl w:val="C2AAACFA"/>
    <w:lvl w:ilvl="0">
      <w:start w:val="1"/>
      <w:numFmt w:val="bullet"/>
      <w:lvlText w:val=""/>
      <w:lvlJc w:val="left"/>
      <w:pPr>
        <w:tabs>
          <w:tab w:val="num" w:pos="0"/>
        </w:tabs>
        <w:ind w:left="720" w:hanging="360"/>
      </w:pPr>
      <w:rPr>
        <w:rFonts w:ascii="Wingdings" w:hAnsi="Wingdings" w:hint="default"/>
        <w:color w:val="9D2235" w:themeColor="accent1"/>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9" w15:restartNumberingAfterBreak="0">
    <w:nsid w:val="752E31ED"/>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75D24693"/>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771A606D"/>
    <w:multiLevelType w:val="hybridMultilevel"/>
    <w:tmpl w:val="FD262EC2"/>
    <w:lvl w:ilvl="0" w:tplc="8F089F10">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2" w15:restartNumberingAfterBreak="0">
    <w:nsid w:val="776123B5"/>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785B00B9"/>
    <w:multiLevelType w:val="hybridMultilevel"/>
    <w:tmpl w:val="F3E890B8"/>
    <w:lvl w:ilvl="0" w:tplc="0C0A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79114231"/>
    <w:multiLevelType w:val="hybridMultilevel"/>
    <w:tmpl w:val="406A86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5" w15:restartNumberingAfterBreak="0">
    <w:nsid w:val="797433BC"/>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7AB412C5"/>
    <w:multiLevelType w:val="hybridMultilevel"/>
    <w:tmpl w:val="BB346772"/>
    <w:lvl w:ilvl="0" w:tplc="8F089F10">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7" w15:restartNumberingAfterBreak="0">
    <w:nsid w:val="7B1536C9"/>
    <w:multiLevelType w:val="hybridMultilevel"/>
    <w:tmpl w:val="41EAF99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8" w15:restartNumberingAfterBreak="0">
    <w:nsid w:val="7B333188"/>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7B4316D2"/>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7C7E2E6A"/>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1" w15:restartNumberingAfterBreak="0">
    <w:nsid w:val="7D4A6190"/>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82" w15:restartNumberingAfterBreak="0">
    <w:nsid w:val="7E9E480C"/>
    <w:multiLevelType w:val="hybridMultilevel"/>
    <w:tmpl w:val="C2523D04"/>
    <w:lvl w:ilvl="0" w:tplc="FFFFFFFF">
      <w:start w:val="1"/>
      <w:numFmt w:val="decimal"/>
      <w:lvlText w:val="%1."/>
      <w:lvlJc w:val="left"/>
      <w:pPr>
        <w:ind w:left="720" w:hanging="360"/>
      </w:pPr>
      <w:rPr>
        <w:rFonts w:hint="default"/>
      </w:rPr>
    </w:lvl>
    <w:lvl w:ilvl="1" w:tplc="BF584DA2">
      <w:start w:val="1"/>
      <w:numFmt w:val="decimal"/>
      <w:lvlText w:val="1.%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7F08225C"/>
    <w:multiLevelType w:val="hybridMultilevel"/>
    <w:tmpl w:val="EB465D6C"/>
    <w:lvl w:ilvl="0" w:tplc="0C0A0017">
      <w:start w:val="1"/>
      <w:numFmt w:val="lowerLetter"/>
      <w:lvlText w:val="%1)"/>
      <w:lvlJc w:val="left"/>
      <w:pPr>
        <w:ind w:left="1428" w:hanging="360"/>
      </w:pPr>
    </w:lvl>
    <w:lvl w:ilvl="1" w:tplc="0C0A0017">
      <w:start w:val="1"/>
      <w:numFmt w:val="lowerLetter"/>
      <w:lvlText w:val="%2)"/>
      <w:lvlJc w:val="left"/>
      <w:pPr>
        <w:ind w:left="720"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184" w15:restartNumberingAfterBreak="0">
    <w:nsid w:val="7F787F3D"/>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7F8B4B7A"/>
    <w:multiLevelType w:val="hybridMultilevel"/>
    <w:tmpl w:val="7054A030"/>
    <w:lvl w:ilvl="0" w:tplc="C3FE640C">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385369176">
    <w:abstractNumId w:val="15"/>
  </w:num>
  <w:num w:numId="2" w16cid:durableId="1185172821">
    <w:abstractNumId w:val="166"/>
  </w:num>
  <w:num w:numId="3" w16cid:durableId="786235573">
    <w:abstractNumId w:val="128"/>
  </w:num>
  <w:num w:numId="4" w16cid:durableId="1152454517">
    <w:abstractNumId w:val="92"/>
  </w:num>
  <w:num w:numId="5" w16cid:durableId="218709232">
    <w:abstractNumId w:val="56"/>
  </w:num>
  <w:num w:numId="6" w16cid:durableId="112332713">
    <w:abstractNumId w:val="130"/>
  </w:num>
  <w:num w:numId="7" w16cid:durableId="503933417">
    <w:abstractNumId w:val="6"/>
  </w:num>
  <w:num w:numId="8" w16cid:durableId="510489996">
    <w:abstractNumId w:val="2"/>
  </w:num>
  <w:num w:numId="9" w16cid:durableId="2057118362">
    <w:abstractNumId w:val="4"/>
  </w:num>
  <w:num w:numId="10" w16cid:durableId="1847355609">
    <w:abstractNumId w:val="33"/>
  </w:num>
  <w:num w:numId="11" w16cid:durableId="481435419">
    <w:abstractNumId w:val="95"/>
  </w:num>
  <w:num w:numId="12" w16cid:durableId="1786192672">
    <w:abstractNumId w:val="113"/>
  </w:num>
  <w:num w:numId="13" w16cid:durableId="1838691867">
    <w:abstractNumId w:val="133"/>
  </w:num>
  <w:num w:numId="14" w16cid:durableId="1737316008">
    <w:abstractNumId w:val="153"/>
  </w:num>
  <w:num w:numId="15" w16cid:durableId="179702043">
    <w:abstractNumId w:val="15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92928438">
    <w:abstractNumId w:val="94"/>
  </w:num>
  <w:num w:numId="17" w16cid:durableId="1016618377">
    <w:abstractNumId w:val="105"/>
  </w:num>
  <w:num w:numId="18" w16cid:durableId="113212087">
    <w:abstractNumId w:val="168"/>
  </w:num>
  <w:num w:numId="19" w16cid:durableId="383020554">
    <w:abstractNumId w:val="34"/>
  </w:num>
  <w:num w:numId="20" w16cid:durableId="807091364">
    <w:abstractNumId w:val="59"/>
  </w:num>
  <w:num w:numId="21" w16cid:durableId="634600869">
    <w:abstractNumId w:val="69"/>
  </w:num>
  <w:num w:numId="22" w16cid:durableId="1307204546">
    <w:abstractNumId w:val="5"/>
  </w:num>
  <w:num w:numId="23" w16cid:durableId="897591299">
    <w:abstractNumId w:val="86"/>
  </w:num>
  <w:num w:numId="24" w16cid:durableId="512574885">
    <w:abstractNumId w:val="132"/>
  </w:num>
  <w:num w:numId="25" w16cid:durableId="499665312">
    <w:abstractNumId w:val="100"/>
  </w:num>
  <w:num w:numId="26" w16cid:durableId="1891309355">
    <w:abstractNumId w:val="42"/>
  </w:num>
  <w:num w:numId="27" w16cid:durableId="1275206963">
    <w:abstractNumId w:val="157"/>
  </w:num>
  <w:num w:numId="28" w16cid:durableId="1348750583">
    <w:abstractNumId w:val="3"/>
  </w:num>
  <w:num w:numId="29" w16cid:durableId="1784305060">
    <w:abstractNumId w:val="125"/>
  </w:num>
  <w:num w:numId="30" w16cid:durableId="1376539248">
    <w:abstractNumId w:val="57"/>
  </w:num>
  <w:num w:numId="31" w16cid:durableId="1641618128">
    <w:abstractNumId w:val="104"/>
  </w:num>
  <w:num w:numId="32" w16cid:durableId="1418749392">
    <w:abstractNumId w:val="84"/>
  </w:num>
  <w:num w:numId="33" w16cid:durableId="1681925541">
    <w:abstractNumId w:val="143"/>
  </w:num>
  <w:num w:numId="34" w16cid:durableId="1594315588">
    <w:abstractNumId w:val="141"/>
  </w:num>
  <w:num w:numId="35" w16cid:durableId="1497184156">
    <w:abstractNumId w:val="156"/>
  </w:num>
  <w:num w:numId="36" w16cid:durableId="1350567802">
    <w:abstractNumId w:val="32"/>
  </w:num>
  <w:num w:numId="37" w16cid:durableId="2091190161">
    <w:abstractNumId w:val="83"/>
  </w:num>
  <w:num w:numId="38" w16cid:durableId="1787387962">
    <w:abstractNumId w:val="31"/>
  </w:num>
  <w:num w:numId="39" w16cid:durableId="354115722">
    <w:abstractNumId w:val="110"/>
  </w:num>
  <w:num w:numId="40" w16cid:durableId="782264925">
    <w:abstractNumId w:val="118"/>
  </w:num>
  <w:num w:numId="41" w16cid:durableId="1688479967">
    <w:abstractNumId w:val="162"/>
  </w:num>
  <w:num w:numId="42" w16cid:durableId="1133718975">
    <w:abstractNumId w:val="103"/>
  </w:num>
  <w:num w:numId="43" w16cid:durableId="273826046">
    <w:abstractNumId w:val="159"/>
  </w:num>
  <w:num w:numId="44" w16cid:durableId="109008455">
    <w:abstractNumId w:val="46"/>
  </w:num>
  <w:num w:numId="45" w16cid:durableId="1937666649">
    <w:abstractNumId w:val="77"/>
  </w:num>
  <w:num w:numId="46" w16cid:durableId="1631474387">
    <w:abstractNumId w:val="71"/>
  </w:num>
  <w:num w:numId="47" w16cid:durableId="1132483626">
    <w:abstractNumId w:val="129"/>
  </w:num>
  <w:num w:numId="48" w16cid:durableId="173619963">
    <w:abstractNumId w:val="43"/>
  </w:num>
  <w:num w:numId="49" w16cid:durableId="549272429">
    <w:abstractNumId w:val="111"/>
  </w:num>
  <w:num w:numId="50" w16cid:durableId="1292781867">
    <w:abstractNumId w:val="55"/>
  </w:num>
  <w:num w:numId="51" w16cid:durableId="760956365">
    <w:abstractNumId w:val="109"/>
  </w:num>
  <w:num w:numId="52" w16cid:durableId="627131678">
    <w:abstractNumId w:val="1"/>
  </w:num>
  <w:num w:numId="53" w16cid:durableId="1119765482">
    <w:abstractNumId w:val="127"/>
  </w:num>
  <w:num w:numId="54" w16cid:durableId="1648242272">
    <w:abstractNumId w:val="121"/>
  </w:num>
  <w:num w:numId="55" w16cid:durableId="1070159241">
    <w:abstractNumId w:val="29"/>
  </w:num>
  <w:num w:numId="56" w16cid:durableId="66614587">
    <w:abstractNumId w:val="58"/>
    <w:lvlOverride w:ilvl="0">
      <w:startOverride w:val="1"/>
    </w:lvlOverride>
    <w:lvlOverride w:ilvl="1"/>
    <w:lvlOverride w:ilvl="2"/>
    <w:lvlOverride w:ilvl="3"/>
    <w:lvlOverride w:ilvl="4"/>
    <w:lvlOverride w:ilvl="5"/>
    <w:lvlOverride w:ilvl="6"/>
    <w:lvlOverride w:ilvl="7"/>
    <w:lvlOverride w:ilvl="8"/>
  </w:num>
  <w:num w:numId="57" w16cid:durableId="1622151823">
    <w:abstractNumId w:val="82"/>
  </w:num>
  <w:num w:numId="58" w16cid:durableId="395472320">
    <w:abstractNumId w:val="13"/>
  </w:num>
  <w:num w:numId="59" w16cid:durableId="1022169045">
    <w:abstractNumId w:val="73"/>
  </w:num>
  <w:num w:numId="60" w16cid:durableId="616377860">
    <w:abstractNumId w:val="25"/>
  </w:num>
  <w:num w:numId="61" w16cid:durableId="1908951446">
    <w:abstractNumId w:val="160"/>
  </w:num>
  <w:num w:numId="62" w16cid:durableId="187067174">
    <w:abstractNumId w:val="131"/>
  </w:num>
  <w:num w:numId="63" w16cid:durableId="315962002">
    <w:abstractNumId w:val="114"/>
  </w:num>
  <w:num w:numId="64" w16cid:durableId="289868282">
    <w:abstractNumId w:val="27"/>
  </w:num>
  <w:num w:numId="65" w16cid:durableId="682783973">
    <w:abstractNumId w:val="177"/>
  </w:num>
  <w:num w:numId="66" w16cid:durableId="229970229">
    <w:abstractNumId w:val="72"/>
  </w:num>
  <w:num w:numId="67" w16cid:durableId="790436231">
    <w:abstractNumId w:val="64"/>
  </w:num>
  <w:num w:numId="68" w16cid:durableId="1863548553">
    <w:abstractNumId w:val="37"/>
  </w:num>
  <w:num w:numId="69" w16cid:durableId="1964000591">
    <w:abstractNumId w:val="49"/>
  </w:num>
  <w:num w:numId="70" w16cid:durableId="150759320">
    <w:abstractNumId w:val="101"/>
  </w:num>
  <w:num w:numId="71" w16cid:durableId="939946493">
    <w:abstractNumId w:val="126"/>
  </w:num>
  <w:num w:numId="72" w16cid:durableId="984966617">
    <w:abstractNumId w:val="122"/>
  </w:num>
  <w:num w:numId="73" w16cid:durableId="1654286647">
    <w:abstractNumId w:val="48"/>
  </w:num>
  <w:num w:numId="74" w16cid:durableId="446704529">
    <w:abstractNumId w:val="93"/>
  </w:num>
  <w:num w:numId="75" w16cid:durableId="1425422030">
    <w:abstractNumId w:val="87"/>
  </w:num>
  <w:num w:numId="76" w16cid:durableId="1764690253">
    <w:abstractNumId w:val="66"/>
  </w:num>
  <w:num w:numId="77" w16cid:durableId="771516864">
    <w:abstractNumId w:val="90"/>
  </w:num>
  <w:num w:numId="78" w16cid:durableId="1318414916">
    <w:abstractNumId w:val="123"/>
  </w:num>
  <w:num w:numId="79" w16cid:durableId="250283950">
    <w:abstractNumId w:val="136"/>
  </w:num>
  <w:num w:numId="80" w16cid:durableId="760107474">
    <w:abstractNumId w:val="174"/>
  </w:num>
  <w:num w:numId="81" w16cid:durableId="1973711184">
    <w:abstractNumId w:val="173"/>
  </w:num>
  <w:num w:numId="82" w16cid:durableId="1174882373">
    <w:abstractNumId w:val="154"/>
  </w:num>
  <w:num w:numId="83" w16cid:durableId="1929728627">
    <w:abstractNumId w:val="163"/>
  </w:num>
  <w:num w:numId="84" w16cid:durableId="1607077919">
    <w:abstractNumId w:val="145"/>
  </w:num>
  <w:num w:numId="85" w16cid:durableId="2021270093">
    <w:abstractNumId w:val="81"/>
  </w:num>
  <w:num w:numId="86" w16cid:durableId="65734873">
    <w:abstractNumId w:val="78"/>
  </w:num>
  <w:num w:numId="87" w16cid:durableId="2055694053">
    <w:abstractNumId w:val="18"/>
  </w:num>
  <w:num w:numId="88" w16cid:durableId="145318767">
    <w:abstractNumId w:val="19"/>
  </w:num>
  <w:num w:numId="89" w16cid:durableId="176821250">
    <w:abstractNumId w:val="120"/>
  </w:num>
  <w:num w:numId="90" w16cid:durableId="1461532721">
    <w:abstractNumId w:val="135"/>
  </w:num>
  <w:num w:numId="91" w16cid:durableId="272981227">
    <w:abstractNumId w:val="172"/>
  </w:num>
  <w:num w:numId="92" w16cid:durableId="143278916">
    <w:abstractNumId w:val="170"/>
  </w:num>
  <w:num w:numId="93" w16cid:durableId="460267651">
    <w:abstractNumId w:val="20"/>
  </w:num>
  <w:num w:numId="94" w16cid:durableId="1785735913">
    <w:abstractNumId w:val="12"/>
  </w:num>
  <w:num w:numId="95" w16cid:durableId="1689676019">
    <w:abstractNumId w:val="38"/>
  </w:num>
  <w:num w:numId="96" w16cid:durableId="994138716">
    <w:abstractNumId w:val="116"/>
  </w:num>
  <w:num w:numId="97" w16cid:durableId="1394308744">
    <w:abstractNumId w:val="124"/>
  </w:num>
  <w:num w:numId="98" w16cid:durableId="1541015152">
    <w:abstractNumId w:val="24"/>
  </w:num>
  <w:num w:numId="99" w16cid:durableId="660044616">
    <w:abstractNumId w:val="88"/>
  </w:num>
  <w:num w:numId="100" w16cid:durableId="624852129">
    <w:abstractNumId w:val="45"/>
  </w:num>
  <w:num w:numId="101" w16cid:durableId="944583580">
    <w:abstractNumId w:val="182"/>
  </w:num>
  <w:num w:numId="102" w16cid:durableId="323899542">
    <w:abstractNumId w:val="61"/>
  </w:num>
  <w:num w:numId="103" w16cid:durableId="622273855">
    <w:abstractNumId w:val="23"/>
  </w:num>
  <w:num w:numId="104" w16cid:durableId="898394030">
    <w:abstractNumId w:val="178"/>
  </w:num>
  <w:num w:numId="105" w16cid:durableId="1687517973">
    <w:abstractNumId w:val="151"/>
  </w:num>
  <w:num w:numId="106" w16cid:durableId="312220197">
    <w:abstractNumId w:val="185"/>
  </w:num>
  <w:num w:numId="107" w16cid:durableId="1338114306">
    <w:abstractNumId w:val="91"/>
  </w:num>
  <w:num w:numId="108" w16cid:durableId="1994675995">
    <w:abstractNumId w:val="68"/>
  </w:num>
  <w:num w:numId="109" w16cid:durableId="1674067255">
    <w:abstractNumId w:val="155"/>
  </w:num>
  <w:num w:numId="110" w16cid:durableId="1148326893">
    <w:abstractNumId w:val="112"/>
  </w:num>
  <w:num w:numId="111" w16cid:durableId="1516310231">
    <w:abstractNumId w:val="139"/>
  </w:num>
  <w:num w:numId="112" w16cid:durableId="1481966264">
    <w:abstractNumId w:val="47"/>
  </w:num>
  <w:num w:numId="113" w16cid:durableId="2084524538">
    <w:abstractNumId w:val="149"/>
  </w:num>
  <w:num w:numId="114" w16cid:durableId="1817184509">
    <w:abstractNumId w:val="119"/>
  </w:num>
  <w:num w:numId="115" w16cid:durableId="1676615405">
    <w:abstractNumId w:val="62"/>
  </w:num>
  <w:num w:numId="116" w16cid:durableId="1306737316">
    <w:abstractNumId w:val="165"/>
  </w:num>
  <w:num w:numId="117" w16cid:durableId="800923649">
    <w:abstractNumId w:val="44"/>
  </w:num>
  <w:num w:numId="118" w16cid:durableId="1345281773">
    <w:abstractNumId w:val="140"/>
  </w:num>
  <w:num w:numId="119" w16cid:durableId="1961179531">
    <w:abstractNumId w:val="41"/>
  </w:num>
  <w:num w:numId="120" w16cid:durableId="327490698">
    <w:abstractNumId w:val="97"/>
  </w:num>
  <w:num w:numId="121" w16cid:durableId="2125493740">
    <w:abstractNumId w:val="9"/>
  </w:num>
  <w:num w:numId="122" w16cid:durableId="37559906">
    <w:abstractNumId w:val="14"/>
  </w:num>
  <w:num w:numId="123" w16cid:durableId="581255075">
    <w:abstractNumId w:val="35"/>
  </w:num>
  <w:num w:numId="124" w16cid:durableId="163210317">
    <w:abstractNumId w:val="147"/>
  </w:num>
  <w:num w:numId="125" w16cid:durableId="958415159">
    <w:abstractNumId w:val="75"/>
  </w:num>
  <w:num w:numId="126" w16cid:durableId="644119314">
    <w:abstractNumId w:val="148"/>
  </w:num>
  <w:num w:numId="127" w16cid:durableId="211040242">
    <w:abstractNumId w:val="117"/>
  </w:num>
  <w:num w:numId="128" w16cid:durableId="1629435359">
    <w:abstractNumId w:val="65"/>
  </w:num>
  <w:num w:numId="129" w16cid:durableId="2079860789">
    <w:abstractNumId w:val="99"/>
  </w:num>
  <w:num w:numId="130" w16cid:durableId="1111777896">
    <w:abstractNumId w:val="40"/>
  </w:num>
  <w:num w:numId="131" w16cid:durableId="1796676204">
    <w:abstractNumId w:val="164"/>
  </w:num>
  <w:num w:numId="132" w16cid:durableId="230194837">
    <w:abstractNumId w:val="76"/>
  </w:num>
  <w:num w:numId="133" w16cid:durableId="1057048220">
    <w:abstractNumId w:val="150"/>
  </w:num>
  <w:num w:numId="134" w16cid:durableId="429280427">
    <w:abstractNumId w:val="146"/>
  </w:num>
  <w:num w:numId="135" w16cid:durableId="151022741">
    <w:abstractNumId w:val="51"/>
  </w:num>
  <w:num w:numId="136" w16cid:durableId="1729691708">
    <w:abstractNumId w:val="144"/>
  </w:num>
  <w:num w:numId="137" w16cid:durableId="1387416471">
    <w:abstractNumId w:val="30"/>
  </w:num>
  <w:num w:numId="138" w16cid:durableId="1633946654">
    <w:abstractNumId w:val="70"/>
  </w:num>
  <w:num w:numId="139" w16cid:durableId="1227229033">
    <w:abstractNumId w:val="85"/>
  </w:num>
  <w:num w:numId="140" w16cid:durableId="236862979">
    <w:abstractNumId w:val="22"/>
  </w:num>
  <w:num w:numId="141" w16cid:durableId="1001784143">
    <w:abstractNumId w:val="138"/>
  </w:num>
  <w:num w:numId="142" w16cid:durableId="619343154">
    <w:abstractNumId w:val="67"/>
  </w:num>
  <w:num w:numId="143" w16cid:durableId="1585215637">
    <w:abstractNumId w:val="115"/>
  </w:num>
  <w:num w:numId="144" w16cid:durableId="147284406">
    <w:abstractNumId w:val="39"/>
  </w:num>
  <w:num w:numId="145" w16cid:durableId="732968618">
    <w:abstractNumId w:val="54"/>
  </w:num>
  <w:num w:numId="146" w16cid:durableId="1994334459">
    <w:abstractNumId w:val="28"/>
  </w:num>
  <w:num w:numId="147" w16cid:durableId="278801148">
    <w:abstractNumId w:val="175"/>
  </w:num>
  <w:num w:numId="148" w16cid:durableId="753094418">
    <w:abstractNumId w:val="80"/>
  </w:num>
  <w:num w:numId="149" w16cid:durableId="868490549">
    <w:abstractNumId w:val="184"/>
  </w:num>
  <w:num w:numId="150" w16cid:durableId="1605914086">
    <w:abstractNumId w:val="98"/>
  </w:num>
  <w:num w:numId="151" w16cid:durableId="454953899">
    <w:abstractNumId w:val="107"/>
  </w:num>
  <w:num w:numId="152" w16cid:durableId="1185285571">
    <w:abstractNumId w:val="180"/>
  </w:num>
  <w:num w:numId="153" w16cid:durableId="1382363425">
    <w:abstractNumId w:val="158"/>
  </w:num>
  <w:num w:numId="154" w16cid:durableId="1360664239">
    <w:abstractNumId w:val="10"/>
  </w:num>
  <w:num w:numId="155" w16cid:durableId="2056734384">
    <w:abstractNumId w:val="36"/>
  </w:num>
  <w:num w:numId="156" w16cid:durableId="563224324">
    <w:abstractNumId w:val="108"/>
  </w:num>
  <w:num w:numId="157" w16cid:durableId="944115023">
    <w:abstractNumId w:val="142"/>
  </w:num>
  <w:num w:numId="158" w16cid:durableId="29259724">
    <w:abstractNumId w:val="167"/>
  </w:num>
  <w:num w:numId="159" w16cid:durableId="1885020821">
    <w:abstractNumId w:val="60"/>
  </w:num>
  <w:num w:numId="160" w16cid:durableId="212231364">
    <w:abstractNumId w:val="26"/>
  </w:num>
  <w:num w:numId="161" w16cid:durableId="1762987685">
    <w:abstractNumId w:val="89"/>
  </w:num>
  <w:num w:numId="162" w16cid:durableId="1305506500">
    <w:abstractNumId w:val="63"/>
  </w:num>
  <w:num w:numId="163" w16cid:durableId="1565603239">
    <w:abstractNumId w:val="161"/>
  </w:num>
  <w:num w:numId="164" w16cid:durableId="626396560">
    <w:abstractNumId w:val="8"/>
  </w:num>
  <w:num w:numId="165" w16cid:durableId="1842966482">
    <w:abstractNumId w:val="179"/>
  </w:num>
  <w:num w:numId="166" w16cid:durableId="1938979726">
    <w:abstractNumId w:val="106"/>
  </w:num>
  <w:num w:numId="167" w16cid:durableId="1288581629">
    <w:abstractNumId w:val="79"/>
  </w:num>
  <w:num w:numId="168" w16cid:durableId="1160001288">
    <w:abstractNumId w:val="96"/>
  </w:num>
  <w:num w:numId="169" w16cid:durableId="1283077560">
    <w:abstractNumId w:val="74"/>
  </w:num>
  <w:num w:numId="170" w16cid:durableId="2130008785">
    <w:abstractNumId w:val="137"/>
  </w:num>
  <w:num w:numId="171" w16cid:durableId="340275526">
    <w:abstractNumId w:val="50"/>
  </w:num>
  <w:num w:numId="172" w16cid:durableId="1906333331">
    <w:abstractNumId w:val="7"/>
  </w:num>
  <w:num w:numId="173" w16cid:durableId="1612669073">
    <w:abstractNumId w:val="102"/>
  </w:num>
  <w:num w:numId="174" w16cid:durableId="407045108">
    <w:abstractNumId w:val="17"/>
  </w:num>
  <w:num w:numId="175" w16cid:durableId="1544563574">
    <w:abstractNumId w:val="181"/>
  </w:num>
  <w:num w:numId="176" w16cid:durableId="433408389">
    <w:abstractNumId w:val="169"/>
  </w:num>
  <w:num w:numId="177" w16cid:durableId="2099301">
    <w:abstractNumId w:val="11"/>
  </w:num>
  <w:num w:numId="178" w16cid:durableId="303197616">
    <w:abstractNumId w:val="16"/>
  </w:num>
  <w:num w:numId="179" w16cid:durableId="971866042">
    <w:abstractNumId w:val="52"/>
  </w:num>
  <w:num w:numId="180" w16cid:durableId="185100995">
    <w:abstractNumId w:val="21"/>
  </w:num>
  <w:num w:numId="181" w16cid:durableId="1333725798">
    <w:abstractNumId w:val="176"/>
  </w:num>
  <w:num w:numId="182" w16cid:durableId="1626960952">
    <w:abstractNumId w:val="152"/>
  </w:num>
  <w:num w:numId="183" w16cid:durableId="796949733">
    <w:abstractNumId w:val="171"/>
  </w:num>
  <w:num w:numId="184" w16cid:durableId="1615358768">
    <w:abstractNumId w:val="53"/>
  </w:num>
  <w:num w:numId="185" w16cid:durableId="132449318">
    <w:abstractNumId w:val="183"/>
  </w:num>
  <w:num w:numId="186" w16cid:durableId="1297029150">
    <w:abstractNumId w:val="134"/>
  </w:num>
  <w:numIdMacAtCleanup w:val="1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defaultTabStop w:val="0"/>
  <w:hyphenationZone w:val="425"/>
  <w:evenAndOddHeaders/>
  <w:characterSpacingControl w:val="doNotCompress"/>
  <w:hdrShapeDefaults>
    <o:shapedefaults v:ext="edit" spidmax="1454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2A66"/>
    <w:rsid w:val="00000A80"/>
    <w:rsid w:val="000012C7"/>
    <w:rsid w:val="000015C0"/>
    <w:rsid w:val="00001700"/>
    <w:rsid w:val="00002F0E"/>
    <w:rsid w:val="00002FAB"/>
    <w:rsid w:val="00003F91"/>
    <w:rsid w:val="000041FC"/>
    <w:rsid w:val="0000467C"/>
    <w:rsid w:val="00005696"/>
    <w:rsid w:val="00005969"/>
    <w:rsid w:val="00010F24"/>
    <w:rsid w:val="00010FE0"/>
    <w:rsid w:val="00012284"/>
    <w:rsid w:val="000122AC"/>
    <w:rsid w:val="00012EBE"/>
    <w:rsid w:val="000139EB"/>
    <w:rsid w:val="000140B9"/>
    <w:rsid w:val="0001473E"/>
    <w:rsid w:val="00015D03"/>
    <w:rsid w:val="000174F6"/>
    <w:rsid w:val="0001775B"/>
    <w:rsid w:val="00017E5E"/>
    <w:rsid w:val="000204AF"/>
    <w:rsid w:val="00020779"/>
    <w:rsid w:val="00020C8E"/>
    <w:rsid w:val="0002300D"/>
    <w:rsid w:val="00025049"/>
    <w:rsid w:val="000271FD"/>
    <w:rsid w:val="000305A2"/>
    <w:rsid w:val="0003243A"/>
    <w:rsid w:val="00032B97"/>
    <w:rsid w:val="00032E8A"/>
    <w:rsid w:val="00035167"/>
    <w:rsid w:val="00035A91"/>
    <w:rsid w:val="00037566"/>
    <w:rsid w:val="00040C04"/>
    <w:rsid w:val="00040D5E"/>
    <w:rsid w:val="000421D3"/>
    <w:rsid w:val="000421F5"/>
    <w:rsid w:val="000435A4"/>
    <w:rsid w:val="0004391F"/>
    <w:rsid w:val="00043C15"/>
    <w:rsid w:val="00044E77"/>
    <w:rsid w:val="00045ECF"/>
    <w:rsid w:val="0004781C"/>
    <w:rsid w:val="00050E67"/>
    <w:rsid w:val="00051F88"/>
    <w:rsid w:val="0005287A"/>
    <w:rsid w:val="00052A44"/>
    <w:rsid w:val="0005467A"/>
    <w:rsid w:val="00054DEE"/>
    <w:rsid w:val="0005575F"/>
    <w:rsid w:val="00055E39"/>
    <w:rsid w:val="000607A6"/>
    <w:rsid w:val="000608BC"/>
    <w:rsid w:val="00061085"/>
    <w:rsid w:val="00062EF0"/>
    <w:rsid w:val="00066092"/>
    <w:rsid w:val="00067CB8"/>
    <w:rsid w:val="00070409"/>
    <w:rsid w:val="0007059B"/>
    <w:rsid w:val="00071BEE"/>
    <w:rsid w:val="00071C02"/>
    <w:rsid w:val="00071D35"/>
    <w:rsid w:val="00072D60"/>
    <w:rsid w:val="000744C3"/>
    <w:rsid w:val="000747E1"/>
    <w:rsid w:val="00074E2D"/>
    <w:rsid w:val="000757A1"/>
    <w:rsid w:val="00076BFE"/>
    <w:rsid w:val="00077BD5"/>
    <w:rsid w:val="000806A1"/>
    <w:rsid w:val="00081D17"/>
    <w:rsid w:val="000826AD"/>
    <w:rsid w:val="000827CD"/>
    <w:rsid w:val="0009119C"/>
    <w:rsid w:val="000915ED"/>
    <w:rsid w:val="00092AEE"/>
    <w:rsid w:val="00093E0F"/>
    <w:rsid w:val="00094228"/>
    <w:rsid w:val="000952B8"/>
    <w:rsid w:val="00095559"/>
    <w:rsid w:val="00097611"/>
    <w:rsid w:val="000A1323"/>
    <w:rsid w:val="000A35A8"/>
    <w:rsid w:val="000A38E8"/>
    <w:rsid w:val="000A445F"/>
    <w:rsid w:val="000A6829"/>
    <w:rsid w:val="000A6A2E"/>
    <w:rsid w:val="000A6B1B"/>
    <w:rsid w:val="000A7329"/>
    <w:rsid w:val="000A7EF3"/>
    <w:rsid w:val="000B0B93"/>
    <w:rsid w:val="000B30C2"/>
    <w:rsid w:val="000B321B"/>
    <w:rsid w:val="000B390D"/>
    <w:rsid w:val="000B45E2"/>
    <w:rsid w:val="000B71C5"/>
    <w:rsid w:val="000B7594"/>
    <w:rsid w:val="000B76FC"/>
    <w:rsid w:val="000C0253"/>
    <w:rsid w:val="000C060B"/>
    <w:rsid w:val="000C1B7F"/>
    <w:rsid w:val="000C2A53"/>
    <w:rsid w:val="000C2A6D"/>
    <w:rsid w:val="000C2B89"/>
    <w:rsid w:val="000C499C"/>
    <w:rsid w:val="000C6B3C"/>
    <w:rsid w:val="000C701C"/>
    <w:rsid w:val="000C7C37"/>
    <w:rsid w:val="000D0E0D"/>
    <w:rsid w:val="000D0EE6"/>
    <w:rsid w:val="000D10A5"/>
    <w:rsid w:val="000D1769"/>
    <w:rsid w:val="000D3A46"/>
    <w:rsid w:val="000D660B"/>
    <w:rsid w:val="000E04BC"/>
    <w:rsid w:val="000E0B67"/>
    <w:rsid w:val="000E2A66"/>
    <w:rsid w:val="000E4182"/>
    <w:rsid w:val="000E528C"/>
    <w:rsid w:val="000E5DDE"/>
    <w:rsid w:val="000E6355"/>
    <w:rsid w:val="000E6F25"/>
    <w:rsid w:val="000E7209"/>
    <w:rsid w:val="000F065A"/>
    <w:rsid w:val="000F0D13"/>
    <w:rsid w:val="000F0D81"/>
    <w:rsid w:val="000F347B"/>
    <w:rsid w:val="000F5C19"/>
    <w:rsid w:val="000F6BC7"/>
    <w:rsid w:val="000F7CDB"/>
    <w:rsid w:val="001001EB"/>
    <w:rsid w:val="001002A7"/>
    <w:rsid w:val="001002CB"/>
    <w:rsid w:val="0010148E"/>
    <w:rsid w:val="00102F05"/>
    <w:rsid w:val="00103139"/>
    <w:rsid w:val="00104AEE"/>
    <w:rsid w:val="0010504D"/>
    <w:rsid w:val="0011190C"/>
    <w:rsid w:val="00112709"/>
    <w:rsid w:val="00113B8E"/>
    <w:rsid w:val="00113FE8"/>
    <w:rsid w:val="00114187"/>
    <w:rsid w:val="001149A6"/>
    <w:rsid w:val="00117BAE"/>
    <w:rsid w:val="00120A09"/>
    <w:rsid w:val="001221CA"/>
    <w:rsid w:val="00122F19"/>
    <w:rsid w:val="00124099"/>
    <w:rsid w:val="00124B88"/>
    <w:rsid w:val="00124FFF"/>
    <w:rsid w:val="00125D5B"/>
    <w:rsid w:val="0012717F"/>
    <w:rsid w:val="00127219"/>
    <w:rsid w:val="00127F3E"/>
    <w:rsid w:val="00130C46"/>
    <w:rsid w:val="00130CF5"/>
    <w:rsid w:val="00131110"/>
    <w:rsid w:val="00134151"/>
    <w:rsid w:val="0013453B"/>
    <w:rsid w:val="00135558"/>
    <w:rsid w:val="001363E8"/>
    <w:rsid w:val="001364C6"/>
    <w:rsid w:val="00136E45"/>
    <w:rsid w:val="0014011E"/>
    <w:rsid w:val="00141BE0"/>
    <w:rsid w:val="00143DB0"/>
    <w:rsid w:val="00144E6A"/>
    <w:rsid w:val="00145C23"/>
    <w:rsid w:val="0014689C"/>
    <w:rsid w:val="00147E20"/>
    <w:rsid w:val="001505B6"/>
    <w:rsid w:val="0015081D"/>
    <w:rsid w:val="00152A36"/>
    <w:rsid w:val="00153419"/>
    <w:rsid w:val="001538B4"/>
    <w:rsid w:val="0015488E"/>
    <w:rsid w:val="00154F9C"/>
    <w:rsid w:val="00157568"/>
    <w:rsid w:val="00157679"/>
    <w:rsid w:val="00157A8B"/>
    <w:rsid w:val="00157BB9"/>
    <w:rsid w:val="00162EA4"/>
    <w:rsid w:val="00165C8B"/>
    <w:rsid w:val="00167686"/>
    <w:rsid w:val="00170207"/>
    <w:rsid w:val="00171D00"/>
    <w:rsid w:val="00172E89"/>
    <w:rsid w:val="00174F4C"/>
    <w:rsid w:val="00175395"/>
    <w:rsid w:val="00176040"/>
    <w:rsid w:val="0017604D"/>
    <w:rsid w:val="001774E0"/>
    <w:rsid w:val="00180294"/>
    <w:rsid w:val="00180BD2"/>
    <w:rsid w:val="001814C5"/>
    <w:rsid w:val="00181707"/>
    <w:rsid w:val="001818E7"/>
    <w:rsid w:val="0018217D"/>
    <w:rsid w:val="00184CC4"/>
    <w:rsid w:val="00184E0E"/>
    <w:rsid w:val="00184E85"/>
    <w:rsid w:val="00186784"/>
    <w:rsid w:val="0018694D"/>
    <w:rsid w:val="001869E9"/>
    <w:rsid w:val="00187762"/>
    <w:rsid w:val="001900B6"/>
    <w:rsid w:val="001903FA"/>
    <w:rsid w:val="001908A2"/>
    <w:rsid w:val="00193C44"/>
    <w:rsid w:val="0019430F"/>
    <w:rsid w:val="0019567B"/>
    <w:rsid w:val="001A1C66"/>
    <w:rsid w:val="001A3654"/>
    <w:rsid w:val="001A5ABB"/>
    <w:rsid w:val="001B1422"/>
    <w:rsid w:val="001B1B07"/>
    <w:rsid w:val="001B1E70"/>
    <w:rsid w:val="001B23DE"/>
    <w:rsid w:val="001B24FA"/>
    <w:rsid w:val="001B264C"/>
    <w:rsid w:val="001B2790"/>
    <w:rsid w:val="001B45FD"/>
    <w:rsid w:val="001B5A72"/>
    <w:rsid w:val="001B6518"/>
    <w:rsid w:val="001B7D0D"/>
    <w:rsid w:val="001C211F"/>
    <w:rsid w:val="001C294D"/>
    <w:rsid w:val="001C2A13"/>
    <w:rsid w:val="001C2ABB"/>
    <w:rsid w:val="001C41EC"/>
    <w:rsid w:val="001C4A23"/>
    <w:rsid w:val="001C787F"/>
    <w:rsid w:val="001D0A43"/>
    <w:rsid w:val="001D3848"/>
    <w:rsid w:val="001D52FD"/>
    <w:rsid w:val="001D6A8B"/>
    <w:rsid w:val="001D7940"/>
    <w:rsid w:val="001E0358"/>
    <w:rsid w:val="001E295B"/>
    <w:rsid w:val="001E304B"/>
    <w:rsid w:val="001E427A"/>
    <w:rsid w:val="001E4352"/>
    <w:rsid w:val="001F0520"/>
    <w:rsid w:val="001F0B05"/>
    <w:rsid w:val="001F0B6B"/>
    <w:rsid w:val="001F17F7"/>
    <w:rsid w:val="001F5B31"/>
    <w:rsid w:val="001F5FA5"/>
    <w:rsid w:val="001F736B"/>
    <w:rsid w:val="001F7C08"/>
    <w:rsid w:val="001F7CEA"/>
    <w:rsid w:val="001F7E9F"/>
    <w:rsid w:val="0020076C"/>
    <w:rsid w:val="00200805"/>
    <w:rsid w:val="0020097D"/>
    <w:rsid w:val="00201E8E"/>
    <w:rsid w:val="002021F9"/>
    <w:rsid w:val="002021FB"/>
    <w:rsid w:val="002027E9"/>
    <w:rsid w:val="00206A06"/>
    <w:rsid w:val="00206AFA"/>
    <w:rsid w:val="002105DA"/>
    <w:rsid w:val="002105F8"/>
    <w:rsid w:val="002109CB"/>
    <w:rsid w:val="00211D4C"/>
    <w:rsid w:val="00212E69"/>
    <w:rsid w:val="00213215"/>
    <w:rsid w:val="00214E9E"/>
    <w:rsid w:val="00214F74"/>
    <w:rsid w:val="00220772"/>
    <w:rsid w:val="002212A9"/>
    <w:rsid w:val="00221575"/>
    <w:rsid w:val="00221EC4"/>
    <w:rsid w:val="0022264D"/>
    <w:rsid w:val="00222B79"/>
    <w:rsid w:val="0022762A"/>
    <w:rsid w:val="00230E98"/>
    <w:rsid w:val="00231D61"/>
    <w:rsid w:val="00231FDE"/>
    <w:rsid w:val="00235800"/>
    <w:rsid w:val="00236910"/>
    <w:rsid w:val="00237860"/>
    <w:rsid w:val="002406F8"/>
    <w:rsid w:val="00240878"/>
    <w:rsid w:val="00240899"/>
    <w:rsid w:val="00240F26"/>
    <w:rsid w:val="00241843"/>
    <w:rsid w:val="00241DA2"/>
    <w:rsid w:val="002431F6"/>
    <w:rsid w:val="002432B6"/>
    <w:rsid w:val="0024334F"/>
    <w:rsid w:val="00243A1D"/>
    <w:rsid w:val="00244558"/>
    <w:rsid w:val="00246919"/>
    <w:rsid w:val="00247A42"/>
    <w:rsid w:val="00250668"/>
    <w:rsid w:val="002516FB"/>
    <w:rsid w:val="002535FA"/>
    <w:rsid w:val="002539DC"/>
    <w:rsid w:val="00254AEC"/>
    <w:rsid w:val="0025748B"/>
    <w:rsid w:val="00257CD4"/>
    <w:rsid w:val="002603AC"/>
    <w:rsid w:val="002627D2"/>
    <w:rsid w:val="00262AC2"/>
    <w:rsid w:val="00262BE0"/>
    <w:rsid w:val="00262F77"/>
    <w:rsid w:val="00264D99"/>
    <w:rsid w:val="00264EC2"/>
    <w:rsid w:val="00265AF0"/>
    <w:rsid w:val="00265C45"/>
    <w:rsid w:val="0026756F"/>
    <w:rsid w:val="00267C42"/>
    <w:rsid w:val="00267DBF"/>
    <w:rsid w:val="00270BC0"/>
    <w:rsid w:val="00270D4B"/>
    <w:rsid w:val="002722A7"/>
    <w:rsid w:val="00274396"/>
    <w:rsid w:val="00274807"/>
    <w:rsid w:val="00276A50"/>
    <w:rsid w:val="0027764E"/>
    <w:rsid w:val="002812FE"/>
    <w:rsid w:val="00283296"/>
    <w:rsid w:val="00287119"/>
    <w:rsid w:val="0029094F"/>
    <w:rsid w:val="00291191"/>
    <w:rsid w:val="00291289"/>
    <w:rsid w:val="00291609"/>
    <w:rsid w:val="0029228A"/>
    <w:rsid w:val="002949C6"/>
    <w:rsid w:val="00294CA2"/>
    <w:rsid w:val="00294EF4"/>
    <w:rsid w:val="0029699B"/>
    <w:rsid w:val="00296A81"/>
    <w:rsid w:val="00296BB3"/>
    <w:rsid w:val="002A1357"/>
    <w:rsid w:val="002A1E9E"/>
    <w:rsid w:val="002A2F80"/>
    <w:rsid w:val="002A313A"/>
    <w:rsid w:val="002A3533"/>
    <w:rsid w:val="002A4453"/>
    <w:rsid w:val="002A47AA"/>
    <w:rsid w:val="002A5A3A"/>
    <w:rsid w:val="002A5CF7"/>
    <w:rsid w:val="002A794E"/>
    <w:rsid w:val="002A7F01"/>
    <w:rsid w:val="002B00E5"/>
    <w:rsid w:val="002B0793"/>
    <w:rsid w:val="002B0E27"/>
    <w:rsid w:val="002B23F8"/>
    <w:rsid w:val="002B2AC3"/>
    <w:rsid w:val="002B33AA"/>
    <w:rsid w:val="002B43E6"/>
    <w:rsid w:val="002B637B"/>
    <w:rsid w:val="002B6E00"/>
    <w:rsid w:val="002B6FB5"/>
    <w:rsid w:val="002B77D9"/>
    <w:rsid w:val="002B7805"/>
    <w:rsid w:val="002C0BEF"/>
    <w:rsid w:val="002C0DE6"/>
    <w:rsid w:val="002C132A"/>
    <w:rsid w:val="002C15DE"/>
    <w:rsid w:val="002C1BFB"/>
    <w:rsid w:val="002C2770"/>
    <w:rsid w:val="002C3B22"/>
    <w:rsid w:val="002C40D0"/>
    <w:rsid w:val="002C66A2"/>
    <w:rsid w:val="002D0FF9"/>
    <w:rsid w:val="002D0FFD"/>
    <w:rsid w:val="002D16E3"/>
    <w:rsid w:val="002D1C6B"/>
    <w:rsid w:val="002D3252"/>
    <w:rsid w:val="002D3B30"/>
    <w:rsid w:val="002D40BA"/>
    <w:rsid w:val="002D4F33"/>
    <w:rsid w:val="002D5550"/>
    <w:rsid w:val="002D6F91"/>
    <w:rsid w:val="002E0A25"/>
    <w:rsid w:val="002E168D"/>
    <w:rsid w:val="002E2E83"/>
    <w:rsid w:val="002E3765"/>
    <w:rsid w:val="002E4139"/>
    <w:rsid w:val="002E56BF"/>
    <w:rsid w:val="002E5FE9"/>
    <w:rsid w:val="002E7939"/>
    <w:rsid w:val="002F0014"/>
    <w:rsid w:val="002F0A03"/>
    <w:rsid w:val="002F2E3B"/>
    <w:rsid w:val="002F36BA"/>
    <w:rsid w:val="002F4ECF"/>
    <w:rsid w:val="002F7944"/>
    <w:rsid w:val="00301A15"/>
    <w:rsid w:val="00303793"/>
    <w:rsid w:val="00304D93"/>
    <w:rsid w:val="00305021"/>
    <w:rsid w:val="00311B42"/>
    <w:rsid w:val="00312D8A"/>
    <w:rsid w:val="0031377C"/>
    <w:rsid w:val="003141B5"/>
    <w:rsid w:val="0031438A"/>
    <w:rsid w:val="00316401"/>
    <w:rsid w:val="0031790B"/>
    <w:rsid w:val="00321B23"/>
    <w:rsid w:val="00321C8E"/>
    <w:rsid w:val="0032279D"/>
    <w:rsid w:val="003234BE"/>
    <w:rsid w:val="0032656D"/>
    <w:rsid w:val="00337375"/>
    <w:rsid w:val="003408CE"/>
    <w:rsid w:val="00340E47"/>
    <w:rsid w:val="003415D4"/>
    <w:rsid w:val="003417D6"/>
    <w:rsid w:val="00342C45"/>
    <w:rsid w:val="00343A29"/>
    <w:rsid w:val="00343B20"/>
    <w:rsid w:val="00343C17"/>
    <w:rsid w:val="00347773"/>
    <w:rsid w:val="003504BA"/>
    <w:rsid w:val="0035121C"/>
    <w:rsid w:val="003530AE"/>
    <w:rsid w:val="00355147"/>
    <w:rsid w:val="003553F3"/>
    <w:rsid w:val="00357ED3"/>
    <w:rsid w:val="00360DCC"/>
    <w:rsid w:val="00362069"/>
    <w:rsid w:val="0036300E"/>
    <w:rsid w:val="003659C7"/>
    <w:rsid w:val="00366233"/>
    <w:rsid w:val="003663F8"/>
    <w:rsid w:val="00367282"/>
    <w:rsid w:val="00370995"/>
    <w:rsid w:val="00372BD9"/>
    <w:rsid w:val="003746F3"/>
    <w:rsid w:val="00374AC9"/>
    <w:rsid w:val="0037557B"/>
    <w:rsid w:val="003834B9"/>
    <w:rsid w:val="00384B48"/>
    <w:rsid w:val="00386248"/>
    <w:rsid w:val="00386536"/>
    <w:rsid w:val="003916E1"/>
    <w:rsid w:val="00391D7B"/>
    <w:rsid w:val="0039254B"/>
    <w:rsid w:val="00392F00"/>
    <w:rsid w:val="00393AD1"/>
    <w:rsid w:val="00393B26"/>
    <w:rsid w:val="0039426D"/>
    <w:rsid w:val="00395D08"/>
    <w:rsid w:val="0039675B"/>
    <w:rsid w:val="00396C04"/>
    <w:rsid w:val="003A05C5"/>
    <w:rsid w:val="003A4FD1"/>
    <w:rsid w:val="003A5163"/>
    <w:rsid w:val="003A60FD"/>
    <w:rsid w:val="003A62A8"/>
    <w:rsid w:val="003A7CAA"/>
    <w:rsid w:val="003B0DD3"/>
    <w:rsid w:val="003B10CC"/>
    <w:rsid w:val="003B3658"/>
    <w:rsid w:val="003B3BB4"/>
    <w:rsid w:val="003B6B04"/>
    <w:rsid w:val="003B7A0D"/>
    <w:rsid w:val="003C1121"/>
    <w:rsid w:val="003C18B7"/>
    <w:rsid w:val="003C28C4"/>
    <w:rsid w:val="003C2B2D"/>
    <w:rsid w:val="003C2FAB"/>
    <w:rsid w:val="003C3EFA"/>
    <w:rsid w:val="003C429B"/>
    <w:rsid w:val="003C4EAD"/>
    <w:rsid w:val="003D0F32"/>
    <w:rsid w:val="003D1E0F"/>
    <w:rsid w:val="003D1E71"/>
    <w:rsid w:val="003D3409"/>
    <w:rsid w:val="003D5230"/>
    <w:rsid w:val="003D5710"/>
    <w:rsid w:val="003D6956"/>
    <w:rsid w:val="003E0AA3"/>
    <w:rsid w:val="003E333A"/>
    <w:rsid w:val="003E7E1B"/>
    <w:rsid w:val="003F171F"/>
    <w:rsid w:val="003F2F5A"/>
    <w:rsid w:val="003F536E"/>
    <w:rsid w:val="00400C5A"/>
    <w:rsid w:val="00402DC8"/>
    <w:rsid w:val="00404BFF"/>
    <w:rsid w:val="00404FF7"/>
    <w:rsid w:val="004063ED"/>
    <w:rsid w:val="00410512"/>
    <w:rsid w:val="00411A2E"/>
    <w:rsid w:val="0041345C"/>
    <w:rsid w:val="004134E5"/>
    <w:rsid w:val="00413C3C"/>
    <w:rsid w:val="0041409E"/>
    <w:rsid w:val="004149CE"/>
    <w:rsid w:val="00417226"/>
    <w:rsid w:val="00417A14"/>
    <w:rsid w:val="00422848"/>
    <w:rsid w:val="00422C6A"/>
    <w:rsid w:val="00422D40"/>
    <w:rsid w:val="0042522B"/>
    <w:rsid w:val="004261FD"/>
    <w:rsid w:val="00427E81"/>
    <w:rsid w:val="004313D1"/>
    <w:rsid w:val="00431567"/>
    <w:rsid w:val="00431587"/>
    <w:rsid w:val="00431C3D"/>
    <w:rsid w:val="00433C7A"/>
    <w:rsid w:val="00435D08"/>
    <w:rsid w:val="00436174"/>
    <w:rsid w:val="00436B6D"/>
    <w:rsid w:val="0044054F"/>
    <w:rsid w:val="004420A5"/>
    <w:rsid w:val="00442A94"/>
    <w:rsid w:val="00442FDF"/>
    <w:rsid w:val="00443257"/>
    <w:rsid w:val="004442BD"/>
    <w:rsid w:val="00445B03"/>
    <w:rsid w:val="00450382"/>
    <w:rsid w:val="004522FD"/>
    <w:rsid w:val="00453F10"/>
    <w:rsid w:val="004541AC"/>
    <w:rsid w:val="00454C19"/>
    <w:rsid w:val="0045549E"/>
    <w:rsid w:val="004556B0"/>
    <w:rsid w:val="0045757F"/>
    <w:rsid w:val="00457ACE"/>
    <w:rsid w:val="004613C8"/>
    <w:rsid w:val="0046212C"/>
    <w:rsid w:val="0046272B"/>
    <w:rsid w:val="00463485"/>
    <w:rsid w:val="004637FA"/>
    <w:rsid w:val="004646E9"/>
    <w:rsid w:val="00464872"/>
    <w:rsid w:val="00464ED7"/>
    <w:rsid w:val="00465DB0"/>
    <w:rsid w:val="004668A5"/>
    <w:rsid w:val="00470094"/>
    <w:rsid w:val="00470225"/>
    <w:rsid w:val="00470FF2"/>
    <w:rsid w:val="004725D6"/>
    <w:rsid w:val="004731A5"/>
    <w:rsid w:val="00474B97"/>
    <w:rsid w:val="004750AA"/>
    <w:rsid w:val="004751F8"/>
    <w:rsid w:val="004764B3"/>
    <w:rsid w:val="004767CC"/>
    <w:rsid w:val="00476BC1"/>
    <w:rsid w:val="004774DA"/>
    <w:rsid w:val="00480863"/>
    <w:rsid w:val="00481819"/>
    <w:rsid w:val="00481AB2"/>
    <w:rsid w:val="004822FC"/>
    <w:rsid w:val="00483669"/>
    <w:rsid w:val="00483929"/>
    <w:rsid w:val="0048558D"/>
    <w:rsid w:val="00486EA0"/>
    <w:rsid w:val="004878B0"/>
    <w:rsid w:val="004904D8"/>
    <w:rsid w:val="00490A74"/>
    <w:rsid w:val="004927C3"/>
    <w:rsid w:val="0049285A"/>
    <w:rsid w:val="0049523F"/>
    <w:rsid w:val="0049550C"/>
    <w:rsid w:val="00497324"/>
    <w:rsid w:val="004A02FD"/>
    <w:rsid w:val="004A3C1B"/>
    <w:rsid w:val="004A4D64"/>
    <w:rsid w:val="004A5499"/>
    <w:rsid w:val="004A5F93"/>
    <w:rsid w:val="004A6A9C"/>
    <w:rsid w:val="004A6B18"/>
    <w:rsid w:val="004A764D"/>
    <w:rsid w:val="004A7E8D"/>
    <w:rsid w:val="004B0B5D"/>
    <w:rsid w:val="004B117C"/>
    <w:rsid w:val="004B2F1E"/>
    <w:rsid w:val="004B442C"/>
    <w:rsid w:val="004B45BE"/>
    <w:rsid w:val="004B4FD1"/>
    <w:rsid w:val="004B5FFE"/>
    <w:rsid w:val="004B6183"/>
    <w:rsid w:val="004B6AC6"/>
    <w:rsid w:val="004B6FF1"/>
    <w:rsid w:val="004C06FF"/>
    <w:rsid w:val="004C14BF"/>
    <w:rsid w:val="004C2326"/>
    <w:rsid w:val="004C3F07"/>
    <w:rsid w:val="004C557F"/>
    <w:rsid w:val="004C6841"/>
    <w:rsid w:val="004D1097"/>
    <w:rsid w:val="004D135D"/>
    <w:rsid w:val="004D15AF"/>
    <w:rsid w:val="004D292C"/>
    <w:rsid w:val="004D2936"/>
    <w:rsid w:val="004D2C0C"/>
    <w:rsid w:val="004D2F80"/>
    <w:rsid w:val="004D358C"/>
    <w:rsid w:val="004D3F69"/>
    <w:rsid w:val="004D452C"/>
    <w:rsid w:val="004D45E0"/>
    <w:rsid w:val="004D474C"/>
    <w:rsid w:val="004D6055"/>
    <w:rsid w:val="004E0A16"/>
    <w:rsid w:val="004E137A"/>
    <w:rsid w:val="004E2065"/>
    <w:rsid w:val="004E3452"/>
    <w:rsid w:val="004E4305"/>
    <w:rsid w:val="004E4C56"/>
    <w:rsid w:val="004E54C2"/>
    <w:rsid w:val="004E6659"/>
    <w:rsid w:val="004F2FD1"/>
    <w:rsid w:val="004F3165"/>
    <w:rsid w:val="004F52BA"/>
    <w:rsid w:val="004F5C13"/>
    <w:rsid w:val="004F6A7A"/>
    <w:rsid w:val="004F75D8"/>
    <w:rsid w:val="004F7FF6"/>
    <w:rsid w:val="0050097D"/>
    <w:rsid w:val="00502CCD"/>
    <w:rsid w:val="005034FB"/>
    <w:rsid w:val="00503C19"/>
    <w:rsid w:val="00503C25"/>
    <w:rsid w:val="0050483D"/>
    <w:rsid w:val="00504B93"/>
    <w:rsid w:val="00505B7F"/>
    <w:rsid w:val="00506C3D"/>
    <w:rsid w:val="00507015"/>
    <w:rsid w:val="005079BD"/>
    <w:rsid w:val="00507A61"/>
    <w:rsid w:val="00510577"/>
    <w:rsid w:val="00510684"/>
    <w:rsid w:val="00510CA3"/>
    <w:rsid w:val="00510D22"/>
    <w:rsid w:val="00511E10"/>
    <w:rsid w:val="00512A03"/>
    <w:rsid w:val="0051335E"/>
    <w:rsid w:val="0051366A"/>
    <w:rsid w:val="00513B39"/>
    <w:rsid w:val="0051643D"/>
    <w:rsid w:val="005174F7"/>
    <w:rsid w:val="005211E0"/>
    <w:rsid w:val="005227EB"/>
    <w:rsid w:val="00522ED7"/>
    <w:rsid w:val="00523800"/>
    <w:rsid w:val="005242DA"/>
    <w:rsid w:val="0052493D"/>
    <w:rsid w:val="00524F7D"/>
    <w:rsid w:val="0052530F"/>
    <w:rsid w:val="005272C3"/>
    <w:rsid w:val="00527631"/>
    <w:rsid w:val="005306E1"/>
    <w:rsid w:val="005308FD"/>
    <w:rsid w:val="00530DDB"/>
    <w:rsid w:val="00532873"/>
    <w:rsid w:val="00533AD8"/>
    <w:rsid w:val="00533C0E"/>
    <w:rsid w:val="0053403B"/>
    <w:rsid w:val="00534257"/>
    <w:rsid w:val="00534909"/>
    <w:rsid w:val="00536293"/>
    <w:rsid w:val="0053673F"/>
    <w:rsid w:val="005378FB"/>
    <w:rsid w:val="00537E8B"/>
    <w:rsid w:val="00537E97"/>
    <w:rsid w:val="00537EA0"/>
    <w:rsid w:val="005401CB"/>
    <w:rsid w:val="00541D7E"/>
    <w:rsid w:val="00542365"/>
    <w:rsid w:val="00542F05"/>
    <w:rsid w:val="005431C5"/>
    <w:rsid w:val="00543F5A"/>
    <w:rsid w:val="00545957"/>
    <w:rsid w:val="00545B5D"/>
    <w:rsid w:val="00547698"/>
    <w:rsid w:val="005511F9"/>
    <w:rsid w:val="00551363"/>
    <w:rsid w:val="00553F35"/>
    <w:rsid w:val="00554244"/>
    <w:rsid w:val="005543D6"/>
    <w:rsid w:val="00557C6D"/>
    <w:rsid w:val="0056090D"/>
    <w:rsid w:val="00561C3B"/>
    <w:rsid w:val="00561F04"/>
    <w:rsid w:val="00563217"/>
    <w:rsid w:val="00563BF6"/>
    <w:rsid w:val="005648FC"/>
    <w:rsid w:val="0056565D"/>
    <w:rsid w:val="005667AF"/>
    <w:rsid w:val="00566C41"/>
    <w:rsid w:val="00567ED4"/>
    <w:rsid w:val="00571318"/>
    <w:rsid w:val="0057330D"/>
    <w:rsid w:val="00574953"/>
    <w:rsid w:val="005758B1"/>
    <w:rsid w:val="005759FE"/>
    <w:rsid w:val="00575AA9"/>
    <w:rsid w:val="005767F5"/>
    <w:rsid w:val="00576D57"/>
    <w:rsid w:val="00577844"/>
    <w:rsid w:val="005804E5"/>
    <w:rsid w:val="005811F0"/>
    <w:rsid w:val="00581EB6"/>
    <w:rsid w:val="00582301"/>
    <w:rsid w:val="00583150"/>
    <w:rsid w:val="0058590E"/>
    <w:rsid w:val="00586B42"/>
    <w:rsid w:val="005877CF"/>
    <w:rsid w:val="00590DF9"/>
    <w:rsid w:val="005914CE"/>
    <w:rsid w:val="00592456"/>
    <w:rsid w:val="00592EFE"/>
    <w:rsid w:val="005941CB"/>
    <w:rsid w:val="005945CC"/>
    <w:rsid w:val="00595084"/>
    <w:rsid w:val="00596074"/>
    <w:rsid w:val="005A1A6A"/>
    <w:rsid w:val="005A2CA0"/>
    <w:rsid w:val="005A330A"/>
    <w:rsid w:val="005A4C72"/>
    <w:rsid w:val="005A5339"/>
    <w:rsid w:val="005A6F38"/>
    <w:rsid w:val="005B018A"/>
    <w:rsid w:val="005B389C"/>
    <w:rsid w:val="005B3E0E"/>
    <w:rsid w:val="005B415E"/>
    <w:rsid w:val="005B4E6D"/>
    <w:rsid w:val="005B50E5"/>
    <w:rsid w:val="005B6B32"/>
    <w:rsid w:val="005C0353"/>
    <w:rsid w:val="005C2C78"/>
    <w:rsid w:val="005C38E0"/>
    <w:rsid w:val="005C7187"/>
    <w:rsid w:val="005C7C25"/>
    <w:rsid w:val="005D17AD"/>
    <w:rsid w:val="005D277B"/>
    <w:rsid w:val="005D3A4E"/>
    <w:rsid w:val="005D4997"/>
    <w:rsid w:val="005D5A15"/>
    <w:rsid w:val="005D6A9A"/>
    <w:rsid w:val="005E047E"/>
    <w:rsid w:val="005E0B71"/>
    <w:rsid w:val="005E38EB"/>
    <w:rsid w:val="005E4879"/>
    <w:rsid w:val="005E4BD2"/>
    <w:rsid w:val="005E54A9"/>
    <w:rsid w:val="005E5A02"/>
    <w:rsid w:val="005E6914"/>
    <w:rsid w:val="005E6CD0"/>
    <w:rsid w:val="005E7993"/>
    <w:rsid w:val="005E7B93"/>
    <w:rsid w:val="005E7D9A"/>
    <w:rsid w:val="005F040E"/>
    <w:rsid w:val="005F0A1F"/>
    <w:rsid w:val="005F1755"/>
    <w:rsid w:val="005F230F"/>
    <w:rsid w:val="005F2C30"/>
    <w:rsid w:val="005F448E"/>
    <w:rsid w:val="005F47EC"/>
    <w:rsid w:val="005F51CF"/>
    <w:rsid w:val="005F6017"/>
    <w:rsid w:val="005F6432"/>
    <w:rsid w:val="005F661D"/>
    <w:rsid w:val="005F7331"/>
    <w:rsid w:val="005F7851"/>
    <w:rsid w:val="00601034"/>
    <w:rsid w:val="00602092"/>
    <w:rsid w:val="006046AD"/>
    <w:rsid w:val="0060478B"/>
    <w:rsid w:val="00610826"/>
    <w:rsid w:val="00610ACE"/>
    <w:rsid w:val="00611512"/>
    <w:rsid w:val="00611A76"/>
    <w:rsid w:val="00611C40"/>
    <w:rsid w:val="006133A7"/>
    <w:rsid w:val="00613B5B"/>
    <w:rsid w:val="00614457"/>
    <w:rsid w:val="006148F6"/>
    <w:rsid w:val="0061495F"/>
    <w:rsid w:val="006169C3"/>
    <w:rsid w:val="00620189"/>
    <w:rsid w:val="00621044"/>
    <w:rsid w:val="00624ECD"/>
    <w:rsid w:val="00625AFA"/>
    <w:rsid w:val="00626413"/>
    <w:rsid w:val="0062720F"/>
    <w:rsid w:val="006300FA"/>
    <w:rsid w:val="00630108"/>
    <w:rsid w:val="00632A52"/>
    <w:rsid w:val="00633133"/>
    <w:rsid w:val="006331C9"/>
    <w:rsid w:val="00633410"/>
    <w:rsid w:val="0063341B"/>
    <w:rsid w:val="006345AA"/>
    <w:rsid w:val="00635C2E"/>
    <w:rsid w:val="00636294"/>
    <w:rsid w:val="0063751F"/>
    <w:rsid w:val="00637696"/>
    <w:rsid w:val="00640AAC"/>
    <w:rsid w:val="006415EB"/>
    <w:rsid w:val="00641861"/>
    <w:rsid w:val="006419AC"/>
    <w:rsid w:val="0064260A"/>
    <w:rsid w:val="0064434C"/>
    <w:rsid w:val="00645910"/>
    <w:rsid w:val="00645A7A"/>
    <w:rsid w:val="00651116"/>
    <w:rsid w:val="00651990"/>
    <w:rsid w:val="00652830"/>
    <w:rsid w:val="0065452B"/>
    <w:rsid w:val="00654DF6"/>
    <w:rsid w:val="00655177"/>
    <w:rsid w:val="0065585D"/>
    <w:rsid w:val="00655953"/>
    <w:rsid w:val="0065666B"/>
    <w:rsid w:val="006568B5"/>
    <w:rsid w:val="00660459"/>
    <w:rsid w:val="00663EC8"/>
    <w:rsid w:val="00665F72"/>
    <w:rsid w:val="006668D6"/>
    <w:rsid w:val="00667C3E"/>
    <w:rsid w:val="006704B7"/>
    <w:rsid w:val="006718E0"/>
    <w:rsid w:val="006719F8"/>
    <w:rsid w:val="00671CE2"/>
    <w:rsid w:val="00674F58"/>
    <w:rsid w:val="006757C7"/>
    <w:rsid w:val="006806FB"/>
    <w:rsid w:val="0068152E"/>
    <w:rsid w:val="00683640"/>
    <w:rsid w:val="006858FC"/>
    <w:rsid w:val="00687E33"/>
    <w:rsid w:val="00687EEE"/>
    <w:rsid w:val="0069034C"/>
    <w:rsid w:val="00690F36"/>
    <w:rsid w:val="00691ECF"/>
    <w:rsid w:val="00694598"/>
    <w:rsid w:val="00694861"/>
    <w:rsid w:val="00695842"/>
    <w:rsid w:val="00696142"/>
    <w:rsid w:val="006962FB"/>
    <w:rsid w:val="0069728D"/>
    <w:rsid w:val="006A029B"/>
    <w:rsid w:val="006A02E6"/>
    <w:rsid w:val="006A0527"/>
    <w:rsid w:val="006A1D4E"/>
    <w:rsid w:val="006A2178"/>
    <w:rsid w:val="006A23AC"/>
    <w:rsid w:val="006A3245"/>
    <w:rsid w:val="006A3D9A"/>
    <w:rsid w:val="006A441C"/>
    <w:rsid w:val="006A5366"/>
    <w:rsid w:val="006A5E54"/>
    <w:rsid w:val="006B08FC"/>
    <w:rsid w:val="006B1BB4"/>
    <w:rsid w:val="006B1DDA"/>
    <w:rsid w:val="006B20E7"/>
    <w:rsid w:val="006B226E"/>
    <w:rsid w:val="006B23D2"/>
    <w:rsid w:val="006B2FEC"/>
    <w:rsid w:val="006B4251"/>
    <w:rsid w:val="006C04AF"/>
    <w:rsid w:val="006C1394"/>
    <w:rsid w:val="006C2B7D"/>
    <w:rsid w:val="006C2F12"/>
    <w:rsid w:val="006C3AD5"/>
    <w:rsid w:val="006C3BF9"/>
    <w:rsid w:val="006C4630"/>
    <w:rsid w:val="006C4A99"/>
    <w:rsid w:val="006C55A1"/>
    <w:rsid w:val="006C75C2"/>
    <w:rsid w:val="006C787A"/>
    <w:rsid w:val="006D0F5F"/>
    <w:rsid w:val="006D17DB"/>
    <w:rsid w:val="006D54A8"/>
    <w:rsid w:val="006D6F89"/>
    <w:rsid w:val="006E0FAD"/>
    <w:rsid w:val="006E2653"/>
    <w:rsid w:val="006E2C41"/>
    <w:rsid w:val="006E30DA"/>
    <w:rsid w:val="006E67FF"/>
    <w:rsid w:val="006E7084"/>
    <w:rsid w:val="006E75FA"/>
    <w:rsid w:val="006E789F"/>
    <w:rsid w:val="006F03EF"/>
    <w:rsid w:val="006F1645"/>
    <w:rsid w:val="006F224C"/>
    <w:rsid w:val="006F2B42"/>
    <w:rsid w:val="006F3E27"/>
    <w:rsid w:val="006F5661"/>
    <w:rsid w:val="006F5712"/>
    <w:rsid w:val="006F6784"/>
    <w:rsid w:val="00700270"/>
    <w:rsid w:val="00700679"/>
    <w:rsid w:val="0070209B"/>
    <w:rsid w:val="007032E5"/>
    <w:rsid w:val="007049F4"/>
    <w:rsid w:val="00704D6E"/>
    <w:rsid w:val="007111DB"/>
    <w:rsid w:val="00712E1B"/>
    <w:rsid w:val="0071349C"/>
    <w:rsid w:val="00714112"/>
    <w:rsid w:val="0071434E"/>
    <w:rsid w:val="007143A2"/>
    <w:rsid w:val="00720728"/>
    <w:rsid w:val="007226BA"/>
    <w:rsid w:val="0072307C"/>
    <w:rsid w:val="0072308F"/>
    <w:rsid w:val="00726A22"/>
    <w:rsid w:val="007270C6"/>
    <w:rsid w:val="00727D14"/>
    <w:rsid w:val="00730F6F"/>
    <w:rsid w:val="0073187C"/>
    <w:rsid w:val="00732BC1"/>
    <w:rsid w:val="00732E55"/>
    <w:rsid w:val="007338B3"/>
    <w:rsid w:val="00733E9D"/>
    <w:rsid w:val="00734529"/>
    <w:rsid w:val="00735102"/>
    <w:rsid w:val="0073597E"/>
    <w:rsid w:val="007362B3"/>
    <w:rsid w:val="00736BA1"/>
    <w:rsid w:val="00736C6A"/>
    <w:rsid w:val="007374A2"/>
    <w:rsid w:val="00740962"/>
    <w:rsid w:val="007412E2"/>
    <w:rsid w:val="00741601"/>
    <w:rsid w:val="00742DAA"/>
    <w:rsid w:val="0074607E"/>
    <w:rsid w:val="007468FF"/>
    <w:rsid w:val="00747869"/>
    <w:rsid w:val="00747A7D"/>
    <w:rsid w:val="00750722"/>
    <w:rsid w:val="00750783"/>
    <w:rsid w:val="007511DC"/>
    <w:rsid w:val="007521DD"/>
    <w:rsid w:val="0075378F"/>
    <w:rsid w:val="00755B31"/>
    <w:rsid w:val="00757EEB"/>
    <w:rsid w:val="00763492"/>
    <w:rsid w:val="00763BD9"/>
    <w:rsid w:val="007642F6"/>
    <w:rsid w:val="007643D5"/>
    <w:rsid w:val="007659B0"/>
    <w:rsid w:val="00766177"/>
    <w:rsid w:val="007663DF"/>
    <w:rsid w:val="00771F5E"/>
    <w:rsid w:val="00773945"/>
    <w:rsid w:val="00774A15"/>
    <w:rsid w:val="00774AAB"/>
    <w:rsid w:val="007757B6"/>
    <w:rsid w:val="00780607"/>
    <w:rsid w:val="00780DB7"/>
    <w:rsid w:val="00782994"/>
    <w:rsid w:val="00782E4E"/>
    <w:rsid w:val="007830B5"/>
    <w:rsid w:val="00784025"/>
    <w:rsid w:val="007850AA"/>
    <w:rsid w:val="00785EEA"/>
    <w:rsid w:val="007908EA"/>
    <w:rsid w:val="0079209F"/>
    <w:rsid w:val="00792177"/>
    <w:rsid w:val="00794287"/>
    <w:rsid w:val="00796025"/>
    <w:rsid w:val="00797E9C"/>
    <w:rsid w:val="007A0132"/>
    <w:rsid w:val="007A4EAA"/>
    <w:rsid w:val="007A50FD"/>
    <w:rsid w:val="007A571E"/>
    <w:rsid w:val="007A75CD"/>
    <w:rsid w:val="007B0E3D"/>
    <w:rsid w:val="007B1308"/>
    <w:rsid w:val="007B412D"/>
    <w:rsid w:val="007B55A3"/>
    <w:rsid w:val="007B5C1C"/>
    <w:rsid w:val="007B6339"/>
    <w:rsid w:val="007B7DF3"/>
    <w:rsid w:val="007C0516"/>
    <w:rsid w:val="007C05FB"/>
    <w:rsid w:val="007C1729"/>
    <w:rsid w:val="007C357A"/>
    <w:rsid w:val="007C4186"/>
    <w:rsid w:val="007C4D4A"/>
    <w:rsid w:val="007C513B"/>
    <w:rsid w:val="007C529F"/>
    <w:rsid w:val="007C5A34"/>
    <w:rsid w:val="007C64AC"/>
    <w:rsid w:val="007C6BA0"/>
    <w:rsid w:val="007D0E23"/>
    <w:rsid w:val="007D20AF"/>
    <w:rsid w:val="007D2B17"/>
    <w:rsid w:val="007D2BF6"/>
    <w:rsid w:val="007D3C02"/>
    <w:rsid w:val="007D3D23"/>
    <w:rsid w:val="007D4ECE"/>
    <w:rsid w:val="007D694E"/>
    <w:rsid w:val="007D7616"/>
    <w:rsid w:val="007E26E0"/>
    <w:rsid w:val="007E2F3E"/>
    <w:rsid w:val="007E3168"/>
    <w:rsid w:val="007E4553"/>
    <w:rsid w:val="007E539C"/>
    <w:rsid w:val="007E59E7"/>
    <w:rsid w:val="007E6C66"/>
    <w:rsid w:val="007E742A"/>
    <w:rsid w:val="007F1CDD"/>
    <w:rsid w:val="007F1F98"/>
    <w:rsid w:val="007F1FC7"/>
    <w:rsid w:val="007F3044"/>
    <w:rsid w:val="007F3362"/>
    <w:rsid w:val="007F55B4"/>
    <w:rsid w:val="007F5ACB"/>
    <w:rsid w:val="0080069E"/>
    <w:rsid w:val="0080074E"/>
    <w:rsid w:val="00800B7A"/>
    <w:rsid w:val="00801280"/>
    <w:rsid w:val="00802962"/>
    <w:rsid w:val="00803959"/>
    <w:rsid w:val="00803DB0"/>
    <w:rsid w:val="008065EF"/>
    <w:rsid w:val="00810117"/>
    <w:rsid w:val="00810491"/>
    <w:rsid w:val="00812321"/>
    <w:rsid w:val="0081351A"/>
    <w:rsid w:val="00813688"/>
    <w:rsid w:val="00814768"/>
    <w:rsid w:val="00815C87"/>
    <w:rsid w:val="00815CEB"/>
    <w:rsid w:val="00817290"/>
    <w:rsid w:val="008200F9"/>
    <w:rsid w:val="0082177E"/>
    <w:rsid w:val="00821C90"/>
    <w:rsid w:val="00823EBE"/>
    <w:rsid w:val="00824D80"/>
    <w:rsid w:val="008254A6"/>
    <w:rsid w:val="00826227"/>
    <w:rsid w:val="00826954"/>
    <w:rsid w:val="00827DDE"/>
    <w:rsid w:val="008303AF"/>
    <w:rsid w:val="00831688"/>
    <w:rsid w:val="00831F73"/>
    <w:rsid w:val="00834CAA"/>
    <w:rsid w:val="008350F3"/>
    <w:rsid w:val="00836090"/>
    <w:rsid w:val="008403D4"/>
    <w:rsid w:val="00840805"/>
    <w:rsid w:val="0084208A"/>
    <w:rsid w:val="008447AD"/>
    <w:rsid w:val="00845AB6"/>
    <w:rsid w:val="00846EF0"/>
    <w:rsid w:val="00851079"/>
    <w:rsid w:val="00851C2E"/>
    <w:rsid w:val="008523E8"/>
    <w:rsid w:val="0085298F"/>
    <w:rsid w:val="0085310B"/>
    <w:rsid w:val="008541FB"/>
    <w:rsid w:val="00855026"/>
    <w:rsid w:val="00857093"/>
    <w:rsid w:val="00861276"/>
    <w:rsid w:val="00861477"/>
    <w:rsid w:val="00861BFD"/>
    <w:rsid w:val="00862D5B"/>
    <w:rsid w:val="00863008"/>
    <w:rsid w:val="008635A6"/>
    <w:rsid w:val="008637FD"/>
    <w:rsid w:val="00863A86"/>
    <w:rsid w:val="00863CE0"/>
    <w:rsid w:val="008643C9"/>
    <w:rsid w:val="00864B32"/>
    <w:rsid w:val="0087054B"/>
    <w:rsid w:val="008707A5"/>
    <w:rsid w:val="008726CA"/>
    <w:rsid w:val="00872C01"/>
    <w:rsid w:val="00873205"/>
    <w:rsid w:val="00873379"/>
    <w:rsid w:val="008733CD"/>
    <w:rsid w:val="00873AC9"/>
    <w:rsid w:val="0087428A"/>
    <w:rsid w:val="00874585"/>
    <w:rsid w:val="00874D7E"/>
    <w:rsid w:val="00874FE3"/>
    <w:rsid w:val="00876D42"/>
    <w:rsid w:val="00877A02"/>
    <w:rsid w:val="00877BB3"/>
    <w:rsid w:val="00877E93"/>
    <w:rsid w:val="00882B2A"/>
    <w:rsid w:val="00883152"/>
    <w:rsid w:val="008846F6"/>
    <w:rsid w:val="00884961"/>
    <w:rsid w:val="00887D1C"/>
    <w:rsid w:val="00890352"/>
    <w:rsid w:val="00893517"/>
    <w:rsid w:val="0089514C"/>
    <w:rsid w:val="008962C9"/>
    <w:rsid w:val="008965DD"/>
    <w:rsid w:val="008A02C0"/>
    <w:rsid w:val="008A0A32"/>
    <w:rsid w:val="008A1A7A"/>
    <w:rsid w:val="008A21DB"/>
    <w:rsid w:val="008A26B8"/>
    <w:rsid w:val="008A2D28"/>
    <w:rsid w:val="008A4A1D"/>
    <w:rsid w:val="008A587E"/>
    <w:rsid w:val="008A58B0"/>
    <w:rsid w:val="008B1F79"/>
    <w:rsid w:val="008B2A93"/>
    <w:rsid w:val="008B4112"/>
    <w:rsid w:val="008B4180"/>
    <w:rsid w:val="008B4303"/>
    <w:rsid w:val="008B446C"/>
    <w:rsid w:val="008B600C"/>
    <w:rsid w:val="008B6528"/>
    <w:rsid w:val="008B6E1F"/>
    <w:rsid w:val="008B7049"/>
    <w:rsid w:val="008B790C"/>
    <w:rsid w:val="008B7F0F"/>
    <w:rsid w:val="008C0247"/>
    <w:rsid w:val="008C0C5A"/>
    <w:rsid w:val="008C0E7E"/>
    <w:rsid w:val="008C10AF"/>
    <w:rsid w:val="008C1E7A"/>
    <w:rsid w:val="008C56BD"/>
    <w:rsid w:val="008C59A3"/>
    <w:rsid w:val="008C7CD4"/>
    <w:rsid w:val="008D1F29"/>
    <w:rsid w:val="008D4884"/>
    <w:rsid w:val="008D4F72"/>
    <w:rsid w:val="008D53F0"/>
    <w:rsid w:val="008D6C98"/>
    <w:rsid w:val="008D6E82"/>
    <w:rsid w:val="008D7F83"/>
    <w:rsid w:val="008E10FF"/>
    <w:rsid w:val="008E26C2"/>
    <w:rsid w:val="008E3C2B"/>
    <w:rsid w:val="008E4794"/>
    <w:rsid w:val="008E4F09"/>
    <w:rsid w:val="008E51E4"/>
    <w:rsid w:val="008E6E2C"/>
    <w:rsid w:val="008F1E02"/>
    <w:rsid w:val="008F2BF3"/>
    <w:rsid w:val="008F42A6"/>
    <w:rsid w:val="008F4640"/>
    <w:rsid w:val="008F4782"/>
    <w:rsid w:val="008F4D61"/>
    <w:rsid w:val="008F54B5"/>
    <w:rsid w:val="008F6CB1"/>
    <w:rsid w:val="008F6CE2"/>
    <w:rsid w:val="008F6D00"/>
    <w:rsid w:val="008F7DCF"/>
    <w:rsid w:val="00900B07"/>
    <w:rsid w:val="009014F8"/>
    <w:rsid w:val="00901650"/>
    <w:rsid w:val="00901BA1"/>
    <w:rsid w:val="009040EF"/>
    <w:rsid w:val="00904116"/>
    <w:rsid w:val="009053D9"/>
    <w:rsid w:val="009055CE"/>
    <w:rsid w:val="0090593D"/>
    <w:rsid w:val="009067B6"/>
    <w:rsid w:val="009100C6"/>
    <w:rsid w:val="0091153C"/>
    <w:rsid w:val="00913AE2"/>
    <w:rsid w:val="00916630"/>
    <w:rsid w:val="00916B9D"/>
    <w:rsid w:val="00921F4D"/>
    <w:rsid w:val="0092289D"/>
    <w:rsid w:val="00922EAF"/>
    <w:rsid w:val="009240D3"/>
    <w:rsid w:val="00924800"/>
    <w:rsid w:val="009248B1"/>
    <w:rsid w:val="00926E40"/>
    <w:rsid w:val="00930274"/>
    <w:rsid w:val="00930C68"/>
    <w:rsid w:val="00930EA0"/>
    <w:rsid w:val="00930FCD"/>
    <w:rsid w:val="00931814"/>
    <w:rsid w:val="009322F0"/>
    <w:rsid w:val="00934176"/>
    <w:rsid w:val="00934635"/>
    <w:rsid w:val="00937ED4"/>
    <w:rsid w:val="00941113"/>
    <w:rsid w:val="00942F44"/>
    <w:rsid w:val="00943986"/>
    <w:rsid w:val="00944536"/>
    <w:rsid w:val="00945BBA"/>
    <w:rsid w:val="00947838"/>
    <w:rsid w:val="00947D02"/>
    <w:rsid w:val="00951BD1"/>
    <w:rsid w:val="00951E78"/>
    <w:rsid w:val="00951EAD"/>
    <w:rsid w:val="0095207F"/>
    <w:rsid w:val="009544F0"/>
    <w:rsid w:val="009550FA"/>
    <w:rsid w:val="00955327"/>
    <w:rsid w:val="00955A11"/>
    <w:rsid w:val="009568B0"/>
    <w:rsid w:val="00956A2C"/>
    <w:rsid w:val="0095711F"/>
    <w:rsid w:val="00960D23"/>
    <w:rsid w:val="00961CE5"/>
    <w:rsid w:val="0096250A"/>
    <w:rsid w:val="00962C6A"/>
    <w:rsid w:val="009642BF"/>
    <w:rsid w:val="009644B3"/>
    <w:rsid w:val="0096709F"/>
    <w:rsid w:val="009676E7"/>
    <w:rsid w:val="00967F71"/>
    <w:rsid w:val="00970E9C"/>
    <w:rsid w:val="0097167A"/>
    <w:rsid w:val="00972463"/>
    <w:rsid w:val="00973A7A"/>
    <w:rsid w:val="00973AB9"/>
    <w:rsid w:val="009743A6"/>
    <w:rsid w:val="0097484D"/>
    <w:rsid w:val="0097499D"/>
    <w:rsid w:val="0097601A"/>
    <w:rsid w:val="00976473"/>
    <w:rsid w:val="00983AA3"/>
    <w:rsid w:val="00986810"/>
    <w:rsid w:val="00990C46"/>
    <w:rsid w:val="009910CC"/>
    <w:rsid w:val="00992D6E"/>
    <w:rsid w:val="00992E15"/>
    <w:rsid w:val="00992EC2"/>
    <w:rsid w:val="00993317"/>
    <w:rsid w:val="0099497F"/>
    <w:rsid w:val="00994B18"/>
    <w:rsid w:val="009953A7"/>
    <w:rsid w:val="009961B6"/>
    <w:rsid w:val="0099718B"/>
    <w:rsid w:val="009A03DC"/>
    <w:rsid w:val="009A0558"/>
    <w:rsid w:val="009A090E"/>
    <w:rsid w:val="009A1BA0"/>
    <w:rsid w:val="009A360A"/>
    <w:rsid w:val="009A3D76"/>
    <w:rsid w:val="009A48F2"/>
    <w:rsid w:val="009A5637"/>
    <w:rsid w:val="009B114E"/>
    <w:rsid w:val="009B1269"/>
    <w:rsid w:val="009B1514"/>
    <w:rsid w:val="009B36F6"/>
    <w:rsid w:val="009B4ADD"/>
    <w:rsid w:val="009B5730"/>
    <w:rsid w:val="009B5D1B"/>
    <w:rsid w:val="009B6E99"/>
    <w:rsid w:val="009B7673"/>
    <w:rsid w:val="009C0162"/>
    <w:rsid w:val="009C0DE8"/>
    <w:rsid w:val="009C1014"/>
    <w:rsid w:val="009C28BF"/>
    <w:rsid w:val="009C34E9"/>
    <w:rsid w:val="009C3E25"/>
    <w:rsid w:val="009C6CA6"/>
    <w:rsid w:val="009D0E10"/>
    <w:rsid w:val="009D291F"/>
    <w:rsid w:val="009D4825"/>
    <w:rsid w:val="009D5DD7"/>
    <w:rsid w:val="009D649E"/>
    <w:rsid w:val="009D69C5"/>
    <w:rsid w:val="009D7139"/>
    <w:rsid w:val="009D7B26"/>
    <w:rsid w:val="009E094E"/>
    <w:rsid w:val="009E1263"/>
    <w:rsid w:val="009E17E8"/>
    <w:rsid w:val="009E189B"/>
    <w:rsid w:val="009E3459"/>
    <w:rsid w:val="009E3CB7"/>
    <w:rsid w:val="009E4657"/>
    <w:rsid w:val="009E6430"/>
    <w:rsid w:val="009E750D"/>
    <w:rsid w:val="009F017E"/>
    <w:rsid w:val="009F0AA4"/>
    <w:rsid w:val="009F27B0"/>
    <w:rsid w:val="009F4323"/>
    <w:rsid w:val="009F4910"/>
    <w:rsid w:val="009F60ED"/>
    <w:rsid w:val="009F6C66"/>
    <w:rsid w:val="009F6CA3"/>
    <w:rsid w:val="00A00024"/>
    <w:rsid w:val="00A00829"/>
    <w:rsid w:val="00A0176E"/>
    <w:rsid w:val="00A01D3B"/>
    <w:rsid w:val="00A0270C"/>
    <w:rsid w:val="00A02973"/>
    <w:rsid w:val="00A03993"/>
    <w:rsid w:val="00A061C2"/>
    <w:rsid w:val="00A06F34"/>
    <w:rsid w:val="00A07BE9"/>
    <w:rsid w:val="00A07E7F"/>
    <w:rsid w:val="00A10998"/>
    <w:rsid w:val="00A10B32"/>
    <w:rsid w:val="00A1108C"/>
    <w:rsid w:val="00A127BE"/>
    <w:rsid w:val="00A14055"/>
    <w:rsid w:val="00A140F9"/>
    <w:rsid w:val="00A14A21"/>
    <w:rsid w:val="00A1628A"/>
    <w:rsid w:val="00A1679B"/>
    <w:rsid w:val="00A16F7C"/>
    <w:rsid w:val="00A17C2C"/>
    <w:rsid w:val="00A21AB4"/>
    <w:rsid w:val="00A21B91"/>
    <w:rsid w:val="00A2227E"/>
    <w:rsid w:val="00A24229"/>
    <w:rsid w:val="00A259FB"/>
    <w:rsid w:val="00A2723B"/>
    <w:rsid w:val="00A32227"/>
    <w:rsid w:val="00A359D3"/>
    <w:rsid w:val="00A366B3"/>
    <w:rsid w:val="00A412F9"/>
    <w:rsid w:val="00A44298"/>
    <w:rsid w:val="00A452D6"/>
    <w:rsid w:val="00A46175"/>
    <w:rsid w:val="00A46ED8"/>
    <w:rsid w:val="00A510AA"/>
    <w:rsid w:val="00A511D8"/>
    <w:rsid w:val="00A51C35"/>
    <w:rsid w:val="00A5262F"/>
    <w:rsid w:val="00A52DE3"/>
    <w:rsid w:val="00A52EF7"/>
    <w:rsid w:val="00A531A3"/>
    <w:rsid w:val="00A53239"/>
    <w:rsid w:val="00A53386"/>
    <w:rsid w:val="00A55252"/>
    <w:rsid w:val="00A55D42"/>
    <w:rsid w:val="00A569F9"/>
    <w:rsid w:val="00A57632"/>
    <w:rsid w:val="00A602A6"/>
    <w:rsid w:val="00A60721"/>
    <w:rsid w:val="00A620EB"/>
    <w:rsid w:val="00A63E04"/>
    <w:rsid w:val="00A65171"/>
    <w:rsid w:val="00A654A9"/>
    <w:rsid w:val="00A66C94"/>
    <w:rsid w:val="00A6741B"/>
    <w:rsid w:val="00A677AD"/>
    <w:rsid w:val="00A70476"/>
    <w:rsid w:val="00A70684"/>
    <w:rsid w:val="00A71C79"/>
    <w:rsid w:val="00A72852"/>
    <w:rsid w:val="00A7290B"/>
    <w:rsid w:val="00A7403C"/>
    <w:rsid w:val="00A74380"/>
    <w:rsid w:val="00A74CF3"/>
    <w:rsid w:val="00A75351"/>
    <w:rsid w:val="00A7781C"/>
    <w:rsid w:val="00A77E5F"/>
    <w:rsid w:val="00A80110"/>
    <w:rsid w:val="00A80696"/>
    <w:rsid w:val="00A808CA"/>
    <w:rsid w:val="00A81D4F"/>
    <w:rsid w:val="00A85CB8"/>
    <w:rsid w:val="00A915DD"/>
    <w:rsid w:val="00A9238F"/>
    <w:rsid w:val="00A92E0E"/>
    <w:rsid w:val="00A9342B"/>
    <w:rsid w:val="00A935AB"/>
    <w:rsid w:val="00A93D5F"/>
    <w:rsid w:val="00A95A57"/>
    <w:rsid w:val="00A9611D"/>
    <w:rsid w:val="00A972EF"/>
    <w:rsid w:val="00A975CB"/>
    <w:rsid w:val="00A97B27"/>
    <w:rsid w:val="00A97FCC"/>
    <w:rsid w:val="00AA02EA"/>
    <w:rsid w:val="00AA17DB"/>
    <w:rsid w:val="00AA3273"/>
    <w:rsid w:val="00AB0843"/>
    <w:rsid w:val="00AB08BA"/>
    <w:rsid w:val="00AB0C35"/>
    <w:rsid w:val="00AB1C62"/>
    <w:rsid w:val="00AB4B3C"/>
    <w:rsid w:val="00AB7291"/>
    <w:rsid w:val="00AC2ACC"/>
    <w:rsid w:val="00AC3413"/>
    <w:rsid w:val="00AC35FD"/>
    <w:rsid w:val="00AC413E"/>
    <w:rsid w:val="00AC463D"/>
    <w:rsid w:val="00AC4E4C"/>
    <w:rsid w:val="00AC51DB"/>
    <w:rsid w:val="00AC5E6B"/>
    <w:rsid w:val="00AC6920"/>
    <w:rsid w:val="00AC6B3A"/>
    <w:rsid w:val="00AC7531"/>
    <w:rsid w:val="00AC76A4"/>
    <w:rsid w:val="00AC7D1A"/>
    <w:rsid w:val="00AD0570"/>
    <w:rsid w:val="00AD0B4D"/>
    <w:rsid w:val="00AD140C"/>
    <w:rsid w:val="00AD4D3B"/>
    <w:rsid w:val="00AD7566"/>
    <w:rsid w:val="00AE0A37"/>
    <w:rsid w:val="00AE0F6B"/>
    <w:rsid w:val="00AE17F5"/>
    <w:rsid w:val="00AE24EC"/>
    <w:rsid w:val="00AE2855"/>
    <w:rsid w:val="00AE3640"/>
    <w:rsid w:val="00AE754E"/>
    <w:rsid w:val="00AE766A"/>
    <w:rsid w:val="00AE7E84"/>
    <w:rsid w:val="00AF00E1"/>
    <w:rsid w:val="00AF067D"/>
    <w:rsid w:val="00AF1161"/>
    <w:rsid w:val="00AF1365"/>
    <w:rsid w:val="00AF2BD8"/>
    <w:rsid w:val="00AF5858"/>
    <w:rsid w:val="00AF5B42"/>
    <w:rsid w:val="00AF755F"/>
    <w:rsid w:val="00B00283"/>
    <w:rsid w:val="00B012F8"/>
    <w:rsid w:val="00B01635"/>
    <w:rsid w:val="00B01E95"/>
    <w:rsid w:val="00B043BA"/>
    <w:rsid w:val="00B047B1"/>
    <w:rsid w:val="00B057DE"/>
    <w:rsid w:val="00B0639C"/>
    <w:rsid w:val="00B07314"/>
    <w:rsid w:val="00B07715"/>
    <w:rsid w:val="00B11BFA"/>
    <w:rsid w:val="00B120CB"/>
    <w:rsid w:val="00B120EF"/>
    <w:rsid w:val="00B1220A"/>
    <w:rsid w:val="00B13B46"/>
    <w:rsid w:val="00B15188"/>
    <w:rsid w:val="00B154AF"/>
    <w:rsid w:val="00B15781"/>
    <w:rsid w:val="00B17524"/>
    <w:rsid w:val="00B23DB3"/>
    <w:rsid w:val="00B2495A"/>
    <w:rsid w:val="00B24FF6"/>
    <w:rsid w:val="00B257C8"/>
    <w:rsid w:val="00B2706D"/>
    <w:rsid w:val="00B32075"/>
    <w:rsid w:val="00B32F42"/>
    <w:rsid w:val="00B33842"/>
    <w:rsid w:val="00B3461E"/>
    <w:rsid w:val="00B351E4"/>
    <w:rsid w:val="00B3523C"/>
    <w:rsid w:val="00B3585A"/>
    <w:rsid w:val="00B35A8B"/>
    <w:rsid w:val="00B372A5"/>
    <w:rsid w:val="00B37E1D"/>
    <w:rsid w:val="00B40783"/>
    <w:rsid w:val="00B40E04"/>
    <w:rsid w:val="00B43B0D"/>
    <w:rsid w:val="00B43F23"/>
    <w:rsid w:val="00B4466F"/>
    <w:rsid w:val="00B46EE6"/>
    <w:rsid w:val="00B474AC"/>
    <w:rsid w:val="00B5367E"/>
    <w:rsid w:val="00B53B21"/>
    <w:rsid w:val="00B555FA"/>
    <w:rsid w:val="00B55A46"/>
    <w:rsid w:val="00B55BAE"/>
    <w:rsid w:val="00B565BA"/>
    <w:rsid w:val="00B60772"/>
    <w:rsid w:val="00B60A05"/>
    <w:rsid w:val="00B60FE2"/>
    <w:rsid w:val="00B61D27"/>
    <w:rsid w:val="00B63229"/>
    <w:rsid w:val="00B636A3"/>
    <w:rsid w:val="00B63E26"/>
    <w:rsid w:val="00B65322"/>
    <w:rsid w:val="00B6627C"/>
    <w:rsid w:val="00B668DB"/>
    <w:rsid w:val="00B669E9"/>
    <w:rsid w:val="00B67AA2"/>
    <w:rsid w:val="00B7074B"/>
    <w:rsid w:val="00B737C4"/>
    <w:rsid w:val="00B802E3"/>
    <w:rsid w:val="00B81AFA"/>
    <w:rsid w:val="00B81BCD"/>
    <w:rsid w:val="00B81D96"/>
    <w:rsid w:val="00B81E44"/>
    <w:rsid w:val="00B83635"/>
    <w:rsid w:val="00B8400B"/>
    <w:rsid w:val="00B84E88"/>
    <w:rsid w:val="00B85AA8"/>
    <w:rsid w:val="00B86D2F"/>
    <w:rsid w:val="00B87980"/>
    <w:rsid w:val="00B90EA4"/>
    <w:rsid w:val="00B91311"/>
    <w:rsid w:val="00B917F5"/>
    <w:rsid w:val="00B91AB4"/>
    <w:rsid w:val="00B9275E"/>
    <w:rsid w:val="00B92B90"/>
    <w:rsid w:val="00B949A9"/>
    <w:rsid w:val="00B97692"/>
    <w:rsid w:val="00B97862"/>
    <w:rsid w:val="00B97A6B"/>
    <w:rsid w:val="00B97C71"/>
    <w:rsid w:val="00BA0A14"/>
    <w:rsid w:val="00BA1ACE"/>
    <w:rsid w:val="00BA1E57"/>
    <w:rsid w:val="00BA3B40"/>
    <w:rsid w:val="00BB091B"/>
    <w:rsid w:val="00BB0FA5"/>
    <w:rsid w:val="00BB1F77"/>
    <w:rsid w:val="00BB34D8"/>
    <w:rsid w:val="00BB35C7"/>
    <w:rsid w:val="00BB3EDF"/>
    <w:rsid w:val="00BB4994"/>
    <w:rsid w:val="00BB5098"/>
    <w:rsid w:val="00BB7767"/>
    <w:rsid w:val="00BB7BB6"/>
    <w:rsid w:val="00BB7F2B"/>
    <w:rsid w:val="00BC431A"/>
    <w:rsid w:val="00BC43AB"/>
    <w:rsid w:val="00BC50D2"/>
    <w:rsid w:val="00BC510D"/>
    <w:rsid w:val="00BC5AF6"/>
    <w:rsid w:val="00BC62B3"/>
    <w:rsid w:val="00BD0B04"/>
    <w:rsid w:val="00BD32F1"/>
    <w:rsid w:val="00BD4018"/>
    <w:rsid w:val="00BD6EA3"/>
    <w:rsid w:val="00BD750A"/>
    <w:rsid w:val="00BD78E6"/>
    <w:rsid w:val="00BD7FC3"/>
    <w:rsid w:val="00BE0A56"/>
    <w:rsid w:val="00BE12B9"/>
    <w:rsid w:val="00BE3839"/>
    <w:rsid w:val="00BE47E2"/>
    <w:rsid w:val="00BE748C"/>
    <w:rsid w:val="00BF0B3A"/>
    <w:rsid w:val="00BF1D61"/>
    <w:rsid w:val="00BF3B5B"/>
    <w:rsid w:val="00BF432C"/>
    <w:rsid w:val="00BF5A7F"/>
    <w:rsid w:val="00BF5C4E"/>
    <w:rsid w:val="00BF5F8C"/>
    <w:rsid w:val="00BF7CAF"/>
    <w:rsid w:val="00C00BC7"/>
    <w:rsid w:val="00C00D1C"/>
    <w:rsid w:val="00C04A22"/>
    <w:rsid w:val="00C0591F"/>
    <w:rsid w:val="00C07C7B"/>
    <w:rsid w:val="00C1024A"/>
    <w:rsid w:val="00C1024F"/>
    <w:rsid w:val="00C11706"/>
    <w:rsid w:val="00C11C07"/>
    <w:rsid w:val="00C12B0A"/>
    <w:rsid w:val="00C1326B"/>
    <w:rsid w:val="00C14934"/>
    <w:rsid w:val="00C20CC9"/>
    <w:rsid w:val="00C20DDE"/>
    <w:rsid w:val="00C2596F"/>
    <w:rsid w:val="00C302FB"/>
    <w:rsid w:val="00C327CC"/>
    <w:rsid w:val="00C34875"/>
    <w:rsid w:val="00C3618B"/>
    <w:rsid w:val="00C374F5"/>
    <w:rsid w:val="00C37EED"/>
    <w:rsid w:val="00C41CFD"/>
    <w:rsid w:val="00C428E7"/>
    <w:rsid w:val="00C45F62"/>
    <w:rsid w:val="00C4667E"/>
    <w:rsid w:val="00C52CBF"/>
    <w:rsid w:val="00C5316A"/>
    <w:rsid w:val="00C54EA9"/>
    <w:rsid w:val="00C55F0E"/>
    <w:rsid w:val="00C56FE1"/>
    <w:rsid w:val="00C573DE"/>
    <w:rsid w:val="00C603BD"/>
    <w:rsid w:val="00C6342F"/>
    <w:rsid w:val="00C64191"/>
    <w:rsid w:val="00C64615"/>
    <w:rsid w:val="00C649A9"/>
    <w:rsid w:val="00C651F6"/>
    <w:rsid w:val="00C654C7"/>
    <w:rsid w:val="00C65D36"/>
    <w:rsid w:val="00C65EA5"/>
    <w:rsid w:val="00C66164"/>
    <w:rsid w:val="00C7034C"/>
    <w:rsid w:val="00C71D87"/>
    <w:rsid w:val="00C72AFC"/>
    <w:rsid w:val="00C73F90"/>
    <w:rsid w:val="00C772A3"/>
    <w:rsid w:val="00C77562"/>
    <w:rsid w:val="00C81111"/>
    <w:rsid w:val="00C82386"/>
    <w:rsid w:val="00C82995"/>
    <w:rsid w:val="00C8322B"/>
    <w:rsid w:val="00C83ADD"/>
    <w:rsid w:val="00C84C47"/>
    <w:rsid w:val="00C868B7"/>
    <w:rsid w:val="00C86A56"/>
    <w:rsid w:val="00C879FC"/>
    <w:rsid w:val="00C87DEA"/>
    <w:rsid w:val="00C914B0"/>
    <w:rsid w:val="00C91A96"/>
    <w:rsid w:val="00C92BFF"/>
    <w:rsid w:val="00C930EE"/>
    <w:rsid w:val="00C93917"/>
    <w:rsid w:val="00C9578C"/>
    <w:rsid w:val="00C9771B"/>
    <w:rsid w:val="00C97A9B"/>
    <w:rsid w:val="00C97DC9"/>
    <w:rsid w:val="00CA0242"/>
    <w:rsid w:val="00CA0675"/>
    <w:rsid w:val="00CA183B"/>
    <w:rsid w:val="00CA3AC1"/>
    <w:rsid w:val="00CA475E"/>
    <w:rsid w:val="00CA55F3"/>
    <w:rsid w:val="00CA70B0"/>
    <w:rsid w:val="00CA7374"/>
    <w:rsid w:val="00CA793A"/>
    <w:rsid w:val="00CB1647"/>
    <w:rsid w:val="00CB1947"/>
    <w:rsid w:val="00CB3D31"/>
    <w:rsid w:val="00CB4BD6"/>
    <w:rsid w:val="00CB5309"/>
    <w:rsid w:val="00CB5851"/>
    <w:rsid w:val="00CB5946"/>
    <w:rsid w:val="00CC0315"/>
    <w:rsid w:val="00CC15EA"/>
    <w:rsid w:val="00CC2939"/>
    <w:rsid w:val="00CC4453"/>
    <w:rsid w:val="00CC4CD5"/>
    <w:rsid w:val="00CC55E2"/>
    <w:rsid w:val="00CC5D5C"/>
    <w:rsid w:val="00CC66E2"/>
    <w:rsid w:val="00CD0682"/>
    <w:rsid w:val="00CD1E24"/>
    <w:rsid w:val="00CD2111"/>
    <w:rsid w:val="00CD255F"/>
    <w:rsid w:val="00CD2641"/>
    <w:rsid w:val="00CD4049"/>
    <w:rsid w:val="00CD5027"/>
    <w:rsid w:val="00CD5F6C"/>
    <w:rsid w:val="00CD5F71"/>
    <w:rsid w:val="00CD68E2"/>
    <w:rsid w:val="00CD6F1B"/>
    <w:rsid w:val="00CD7664"/>
    <w:rsid w:val="00CE05D3"/>
    <w:rsid w:val="00CE1008"/>
    <w:rsid w:val="00CE1299"/>
    <w:rsid w:val="00CE1C9E"/>
    <w:rsid w:val="00CE2A49"/>
    <w:rsid w:val="00CE2D15"/>
    <w:rsid w:val="00CE2DC9"/>
    <w:rsid w:val="00CE368F"/>
    <w:rsid w:val="00CE4BFC"/>
    <w:rsid w:val="00CE56FC"/>
    <w:rsid w:val="00CE6266"/>
    <w:rsid w:val="00CE78B2"/>
    <w:rsid w:val="00CE7C04"/>
    <w:rsid w:val="00CE7DF5"/>
    <w:rsid w:val="00CF0D5C"/>
    <w:rsid w:val="00CF1001"/>
    <w:rsid w:val="00CF2154"/>
    <w:rsid w:val="00CF3631"/>
    <w:rsid w:val="00CF49D7"/>
    <w:rsid w:val="00CF5B2C"/>
    <w:rsid w:val="00CF5FA3"/>
    <w:rsid w:val="00CF7179"/>
    <w:rsid w:val="00CF721F"/>
    <w:rsid w:val="00D00826"/>
    <w:rsid w:val="00D00DBA"/>
    <w:rsid w:val="00D01BCD"/>
    <w:rsid w:val="00D02A2F"/>
    <w:rsid w:val="00D0355F"/>
    <w:rsid w:val="00D045A4"/>
    <w:rsid w:val="00D04751"/>
    <w:rsid w:val="00D054B2"/>
    <w:rsid w:val="00D059AA"/>
    <w:rsid w:val="00D075FF"/>
    <w:rsid w:val="00D1080F"/>
    <w:rsid w:val="00D13678"/>
    <w:rsid w:val="00D137F6"/>
    <w:rsid w:val="00D14E49"/>
    <w:rsid w:val="00D15B66"/>
    <w:rsid w:val="00D1711A"/>
    <w:rsid w:val="00D17764"/>
    <w:rsid w:val="00D201B5"/>
    <w:rsid w:val="00D21B97"/>
    <w:rsid w:val="00D22195"/>
    <w:rsid w:val="00D240D7"/>
    <w:rsid w:val="00D243C7"/>
    <w:rsid w:val="00D244D3"/>
    <w:rsid w:val="00D24809"/>
    <w:rsid w:val="00D24C9B"/>
    <w:rsid w:val="00D256F0"/>
    <w:rsid w:val="00D30120"/>
    <w:rsid w:val="00D36422"/>
    <w:rsid w:val="00D37276"/>
    <w:rsid w:val="00D41F24"/>
    <w:rsid w:val="00D43C55"/>
    <w:rsid w:val="00D43D31"/>
    <w:rsid w:val="00D455F3"/>
    <w:rsid w:val="00D457C5"/>
    <w:rsid w:val="00D45FAB"/>
    <w:rsid w:val="00D477AC"/>
    <w:rsid w:val="00D50097"/>
    <w:rsid w:val="00D50971"/>
    <w:rsid w:val="00D50B19"/>
    <w:rsid w:val="00D52956"/>
    <w:rsid w:val="00D532D0"/>
    <w:rsid w:val="00D55E9F"/>
    <w:rsid w:val="00D56217"/>
    <w:rsid w:val="00D56685"/>
    <w:rsid w:val="00D56953"/>
    <w:rsid w:val="00D56DCC"/>
    <w:rsid w:val="00D572EA"/>
    <w:rsid w:val="00D60C98"/>
    <w:rsid w:val="00D62DE1"/>
    <w:rsid w:val="00D630E7"/>
    <w:rsid w:val="00D63C07"/>
    <w:rsid w:val="00D63FBF"/>
    <w:rsid w:val="00D640F2"/>
    <w:rsid w:val="00D66BB1"/>
    <w:rsid w:val="00D70BB7"/>
    <w:rsid w:val="00D70D6D"/>
    <w:rsid w:val="00D72B72"/>
    <w:rsid w:val="00D731CE"/>
    <w:rsid w:val="00D733DF"/>
    <w:rsid w:val="00D75F2C"/>
    <w:rsid w:val="00D772AD"/>
    <w:rsid w:val="00D80C9E"/>
    <w:rsid w:val="00D81371"/>
    <w:rsid w:val="00D81BCB"/>
    <w:rsid w:val="00D82A73"/>
    <w:rsid w:val="00D83CA9"/>
    <w:rsid w:val="00D83D1A"/>
    <w:rsid w:val="00D8434E"/>
    <w:rsid w:val="00D86338"/>
    <w:rsid w:val="00D865DB"/>
    <w:rsid w:val="00D865E8"/>
    <w:rsid w:val="00D91060"/>
    <w:rsid w:val="00D944CA"/>
    <w:rsid w:val="00D95042"/>
    <w:rsid w:val="00D9626F"/>
    <w:rsid w:val="00D968EB"/>
    <w:rsid w:val="00D97539"/>
    <w:rsid w:val="00DA27AF"/>
    <w:rsid w:val="00DA280C"/>
    <w:rsid w:val="00DA2827"/>
    <w:rsid w:val="00DA2C27"/>
    <w:rsid w:val="00DA3DC3"/>
    <w:rsid w:val="00DA48DC"/>
    <w:rsid w:val="00DA5809"/>
    <w:rsid w:val="00DA6FD1"/>
    <w:rsid w:val="00DB0C0E"/>
    <w:rsid w:val="00DB0C9A"/>
    <w:rsid w:val="00DB1232"/>
    <w:rsid w:val="00DB322D"/>
    <w:rsid w:val="00DB36B6"/>
    <w:rsid w:val="00DB4451"/>
    <w:rsid w:val="00DB5078"/>
    <w:rsid w:val="00DB7416"/>
    <w:rsid w:val="00DC1D02"/>
    <w:rsid w:val="00DC24FA"/>
    <w:rsid w:val="00DC250D"/>
    <w:rsid w:val="00DC2E00"/>
    <w:rsid w:val="00DC3B3A"/>
    <w:rsid w:val="00DC5775"/>
    <w:rsid w:val="00DC5A6F"/>
    <w:rsid w:val="00DC5A84"/>
    <w:rsid w:val="00DC76B3"/>
    <w:rsid w:val="00DD0C5C"/>
    <w:rsid w:val="00DD1495"/>
    <w:rsid w:val="00DD15BF"/>
    <w:rsid w:val="00DD3A2C"/>
    <w:rsid w:val="00DD3DF0"/>
    <w:rsid w:val="00DD3EAB"/>
    <w:rsid w:val="00DD694C"/>
    <w:rsid w:val="00DD6D6B"/>
    <w:rsid w:val="00DD7C51"/>
    <w:rsid w:val="00DE29D5"/>
    <w:rsid w:val="00DE2FED"/>
    <w:rsid w:val="00DE53A4"/>
    <w:rsid w:val="00DE6456"/>
    <w:rsid w:val="00DE7ED5"/>
    <w:rsid w:val="00DF1A6B"/>
    <w:rsid w:val="00DF1FA1"/>
    <w:rsid w:val="00DF2A56"/>
    <w:rsid w:val="00DF34F7"/>
    <w:rsid w:val="00DF3F6B"/>
    <w:rsid w:val="00DF4867"/>
    <w:rsid w:val="00DF7467"/>
    <w:rsid w:val="00DF7646"/>
    <w:rsid w:val="00DF7749"/>
    <w:rsid w:val="00DF78B1"/>
    <w:rsid w:val="00E004C5"/>
    <w:rsid w:val="00E01250"/>
    <w:rsid w:val="00E0155F"/>
    <w:rsid w:val="00E02292"/>
    <w:rsid w:val="00E052D7"/>
    <w:rsid w:val="00E05AE1"/>
    <w:rsid w:val="00E1011A"/>
    <w:rsid w:val="00E12E92"/>
    <w:rsid w:val="00E13485"/>
    <w:rsid w:val="00E14934"/>
    <w:rsid w:val="00E15DC4"/>
    <w:rsid w:val="00E17B6E"/>
    <w:rsid w:val="00E20C59"/>
    <w:rsid w:val="00E215E8"/>
    <w:rsid w:val="00E232A8"/>
    <w:rsid w:val="00E23AA9"/>
    <w:rsid w:val="00E249F1"/>
    <w:rsid w:val="00E24B87"/>
    <w:rsid w:val="00E25620"/>
    <w:rsid w:val="00E31017"/>
    <w:rsid w:val="00E317D4"/>
    <w:rsid w:val="00E318CF"/>
    <w:rsid w:val="00E321C8"/>
    <w:rsid w:val="00E325CA"/>
    <w:rsid w:val="00E330B1"/>
    <w:rsid w:val="00E337B0"/>
    <w:rsid w:val="00E339BC"/>
    <w:rsid w:val="00E340E8"/>
    <w:rsid w:val="00E34DF2"/>
    <w:rsid w:val="00E35987"/>
    <w:rsid w:val="00E3780A"/>
    <w:rsid w:val="00E432A9"/>
    <w:rsid w:val="00E43DE5"/>
    <w:rsid w:val="00E45DAF"/>
    <w:rsid w:val="00E46311"/>
    <w:rsid w:val="00E46707"/>
    <w:rsid w:val="00E471E9"/>
    <w:rsid w:val="00E51203"/>
    <w:rsid w:val="00E5123C"/>
    <w:rsid w:val="00E5131F"/>
    <w:rsid w:val="00E51418"/>
    <w:rsid w:val="00E51F5A"/>
    <w:rsid w:val="00E52514"/>
    <w:rsid w:val="00E54729"/>
    <w:rsid w:val="00E552BF"/>
    <w:rsid w:val="00E56483"/>
    <w:rsid w:val="00E57BBC"/>
    <w:rsid w:val="00E606C0"/>
    <w:rsid w:val="00E61007"/>
    <w:rsid w:val="00E62917"/>
    <w:rsid w:val="00E62BD1"/>
    <w:rsid w:val="00E6334C"/>
    <w:rsid w:val="00E64230"/>
    <w:rsid w:val="00E64D27"/>
    <w:rsid w:val="00E65939"/>
    <w:rsid w:val="00E66420"/>
    <w:rsid w:val="00E671DC"/>
    <w:rsid w:val="00E70006"/>
    <w:rsid w:val="00E71133"/>
    <w:rsid w:val="00E71B50"/>
    <w:rsid w:val="00E7278F"/>
    <w:rsid w:val="00E73C03"/>
    <w:rsid w:val="00E74ACD"/>
    <w:rsid w:val="00E75F1E"/>
    <w:rsid w:val="00E760C2"/>
    <w:rsid w:val="00E77EFC"/>
    <w:rsid w:val="00E81991"/>
    <w:rsid w:val="00E8361A"/>
    <w:rsid w:val="00E83731"/>
    <w:rsid w:val="00E8375C"/>
    <w:rsid w:val="00E83D86"/>
    <w:rsid w:val="00E85E6B"/>
    <w:rsid w:val="00E876C8"/>
    <w:rsid w:val="00E878CC"/>
    <w:rsid w:val="00E9159F"/>
    <w:rsid w:val="00E919F2"/>
    <w:rsid w:val="00E91DCD"/>
    <w:rsid w:val="00E93270"/>
    <w:rsid w:val="00E93FC1"/>
    <w:rsid w:val="00E94104"/>
    <w:rsid w:val="00E9433B"/>
    <w:rsid w:val="00E9447C"/>
    <w:rsid w:val="00E97956"/>
    <w:rsid w:val="00EA0E82"/>
    <w:rsid w:val="00EA24A8"/>
    <w:rsid w:val="00EA4CB9"/>
    <w:rsid w:val="00EA60A1"/>
    <w:rsid w:val="00EA6AA2"/>
    <w:rsid w:val="00EA7252"/>
    <w:rsid w:val="00EB4EB7"/>
    <w:rsid w:val="00EB4ECF"/>
    <w:rsid w:val="00EC016B"/>
    <w:rsid w:val="00EC09F7"/>
    <w:rsid w:val="00EC1189"/>
    <w:rsid w:val="00EC2324"/>
    <w:rsid w:val="00EC259E"/>
    <w:rsid w:val="00EC2D47"/>
    <w:rsid w:val="00EC3120"/>
    <w:rsid w:val="00EC444F"/>
    <w:rsid w:val="00EC46CF"/>
    <w:rsid w:val="00EC5D9A"/>
    <w:rsid w:val="00EC77B7"/>
    <w:rsid w:val="00ED18BE"/>
    <w:rsid w:val="00ED2C34"/>
    <w:rsid w:val="00ED3211"/>
    <w:rsid w:val="00ED4A34"/>
    <w:rsid w:val="00EE17CF"/>
    <w:rsid w:val="00EE41DA"/>
    <w:rsid w:val="00EE5B9D"/>
    <w:rsid w:val="00EE623C"/>
    <w:rsid w:val="00EE64F7"/>
    <w:rsid w:val="00EE6ED6"/>
    <w:rsid w:val="00EF230B"/>
    <w:rsid w:val="00EF2B43"/>
    <w:rsid w:val="00EF3007"/>
    <w:rsid w:val="00EF354F"/>
    <w:rsid w:val="00EF579C"/>
    <w:rsid w:val="00EF6CCD"/>
    <w:rsid w:val="00F00177"/>
    <w:rsid w:val="00F00FE6"/>
    <w:rsid w:val="00F01B78"/>
    <w:rsid w:val="00F02CF3"/>
    <w:rsid w:val="00F03718"/>
    <w:rsid w:val="00F10C7C"/>
    <w:rsid w:val="00F11CF5"/>
    <w:rsid w:val="00F14438"/>
    <w:rsid w:val="00F14B75"/>
    <w:rsid w:val="00F172F1"/>
    <w:rsid w:val="00F17878"/>
    <w:rsid w:val="00F17E87"/>
    <w:rsid w:val="00F20676"/>
    <w:rsid w:val="00F20B33"/>
    <w:rsid w:val="00F21D37"/>
    <w:rsid w:val="00F22209"/>
    <w:rsid w:val="00F24200"/>
    <w:rsid w:val="00F24615"/>
    <w:rsid w:val="00F24A42"/>
    <w:rsid w:val="00F25FE3"/>
    <w:rsid w:val="00F261F3"/>
    <w:rsid w:val="00F30EA5"/>
    <w:rsid w:val="00F31465"/>
    <w:rsid w:val="00F3152B"/>
    <w:rsid w:val="00F32229"/>
    <w:rsid w:val="00F324D2"/>
    <w:rsid w:val="00F33456"/>
    <w:rsid w:val="00F3528F"/>
    <w:rsid w:val="00F36189"/>
    <w:rsid w:val="00F3776F"/>
    <w:rsid w:val="00F37DD7"/>
    <w:rsid w:val="00F40DF4"/>
    <w:rsid w:val="00F410BF"/>
    <w:rsid w:val="00F430E2"/>
    <w:rsid w:val="00F43152"/>
    <w:rsid w:val="00F4554F"/>
    <w:rsid w:val="00F4725D"/>
    <w:rsid w:val="00F47A77"/>
    <w:rsid w:val="00F5059B"/>
    <w:rsid w:val="00F5091A"/>
    <w:rsid w:val="00F52218"/>
    <w:rsid w:val="00F54486"/>
    <w:rsid w:val="00F548FC"/>
    <w:rsid w:val="00F60AF9"/>
    <w:rsid w:val="00F639BB"/>
    <w:rsid w:val="00F6542B"/>
    <w:rsid w:val="00F71B93"/>
    <w:rsid w:val="00F71FB7"/>
    <w:rsid w:val="00F722B5"/>
    <w:rsid w:val="00F723EC"/>
    <w:rsid w:val="00F73F0B"/>
    <w:rsid w:val="00F74414"/>
    <w:rsid w:val="00F75BE8"/>
    <w:rsid w:val="00F76C44"/>
    <w:rsid w:val="00F77217"/>
    <w:rsid w:val="00F773FB"/>
    <w:rsid w:val="00F8009B"/>
    <w:rsid w:val="00F8125F"/>
    <w:rsid w:val="00F81A62"/>
    <w:rsid w:val="00F81F90"/>
    <w:rsid w:val="00F835CF"/>
    <w:rsid w:val="00F843C1"/>
    <w:rsid w:val="00F84839"/>
    <w:rsid w:val="00F851FB"/>
    <w:rsid w:val="00F8667F"/>
    <w:rsid w:val="00F8720B"/>
    <w:rsid w:val="00F906FF"/>
    <w:rsid w:val="00F90BFF"/>
    <w:rsid w:val="00F918B8"/>
    <w:rsid w:val="00F92225"/>
    <w:rsid w:val="00F930E4"/>
    <w:rsid w:val="00F930E7"/>
    <w:rsid w:val="00F9435B"/>
    <w:rsid w:val="00F9499C"/>
    <w:rsid w:val="00F959CE"/>
    <w:rsid w:val="00F9743D"/>
    <w:rsid w:val="00F9795C"/>
    <w:rsid w:val="00F97FB5"/>
    <w:rsid w:val="00FA02C2"/>
    <w:rsid w:val="00FA15F4"/>
    <w:rsid w:val="00FA197D"/>
    <w:rsid w:val="00FA1DE0"/>
    <w:rsid w:val="00FA25B1"/>
    <w:rsid w:val="00FA3AD7"/>
    <w:rsid w:val="00FA46E6"/>
    <w:rsid w:val="00FA5C7D"/>
    <w:rsid w:val="00FA5DA0"/>
    <w:rsid w:val="00FA6F43"/>
    <w:rsid w:val="00FB02FA"/>
    <w:rsid w:val="00FB04CF"/>
    <w:rsid w:val="00FB1FC5"/>
    <w:rsid w:val="00FB30A6"/>
    <w:rsid w:val="00FB3598"/>
    <w:rsid w:val="00FB3706"/>
    <w:rsid w:val="00FB43B6"/>
    <w:rsid w:val="00FB43B8"/>
    <w:rsid w:val="00FB44DE"/>
    <w:rsid w:val="00FB5E55"/>
    <w:rsid w:val="00FB6342"/>
    <w:rsid w:val="00FB6915"/>
    <w:rsid w:val="00FC004D"/>
    <w:rsid w:val="00FC0C74"/>
    <w:rsid w:val="00FC3167"/>
    <w:rsid w:val="00FC32ED"/>
    <w:rsid w:val="00FC3570"/>
    <w:rsid w:val="00FC3867"/>
    <w:rsid w:val="00FC45E8"/>
    <w:rsid w:val="00FC478F"/>
    <w:rsid w:val="00FC50E5"/>
    <w:rsid w:val="00FC5DB3"/>
    <w:rsid w:val="00FC7BA3"/>
    <w:rsid w:val="00FC7E01"/>
    <w:rsid w:val="00FD042E"/>
    <w:rsid w:val="00FD1114"/>
    <w:rsid w:val="00FD11C9"/>
    <w:rsid w:val="00FD13E7"/>
    <w:rsid w:val="00FD2DAE"/>
    <w:rsid w:val="00FD3126"/>
    <w:rsid w:val="00FD36E1"/>
    <w:rsid w:val="00FD3713"/>
    <w:rsid w:val="00FD3D3A"/>
    <w:rsid w:val="00FD5628"/>
    <w:rsid w:val="00FD5832"/>
    <w:rsid w:val="00FD5EF2"/>
    <w:rsid w:val="00FD6786"/>
    <w:rsid w:val="00FD7AAB"/>
    <w:rsid w:val="00FE0DEC"/>
    <w:rsid w:val="00FE278B"/>
    <w:rsid w:val="00FE288E"/>
    <w:rsid w:val="00FE3803"/>
    <w:rsid w:val="00FE41A1"/>
    <w:rsid w:val="00FE5DDE"/>
    <w:rsid w:val="00FE5EA0"/>
    <w:rsid w:val="00FE79D7"/>
    <w:rsid w:val="00FE7B6A"/>
    <w:rsid w:val="00FF15E1"/>
    <w:rsid w:val="00FF1764"/>
    <w:rsid w:val="00FF22C9"/>
    <w:rsid w:val="00FF2B87"/>
    <w:rsid w:val="00FF3E33"/>
    <w:rsid w:val="00FF4A0E"/>
    <w:rsid w:val="00FF5544"/>
    <w:rsid w:val="00FF779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45409"/>
    <o:shapelayout v:ext="edit">
      <o:idmap v:ext="edit" data="1"/>
    </o:shapelayout>
  </w:shapeDefaults>
  <w:decimalSymbol w:val=","/>
  <w:listSeparator w:val=";"/>
  <w14:docId w14:val="0B9533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qFormat="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qFormat="1"/>
    <w:lsdException w:name="Smart Link" w:semiHidden="1" w:unhideWhenUsed="1"/>
  </w:latentStyles>
  <w:style w:type="paragraph" w:default="1" w:styleId="Normal">
    <w:name w:val="Normal"/>
    <w:qFormat/>
    <w:rsid w:val="001B23DE"/>
    <w:rPr>
      <w:lang w:val="ca-ES-valencia"/>
    </w:rPr>
  </w:style>
  <w:style w:type="paragraph" w:styleId="Ttulo1">
    <w:name w:val="heading 1"/>
    <w:basedOn w:val="Normal"/>
    <w:next w:val="Normal"/>
    <w:link w:val="Ttulo1Car"/>
    <w:uiPriority w:val="9"/>
    <w:qFormat/>
    <w:rsid w:val="00B474AC"/>
    <w:pPr>
      <w:keepNext/>
      <w:keepLines/>
      <w:spacing w:before="400" w:after="40" w:line="240" w:lineRule="auto"/>
      <w:outlineLvl w:val="0"/>
    </w:pPr>
    <w:rPr>
      <w:rFonts w:asciiTheme="majorHAnsi" w:eastAsiaTheme="majorEastAsia" w:hAnsiTheme="majorHAnsi" w:cstheme="majorBidi"/>
      <w:color w:val="4E111A" w:themeColor="accent1" w:themeShade="80"/>
      <w:sz w:val="36"/>
      <w:szCs w:val="36"/>
    </w:rPr>
  </w:style>
  <w:style w:type="paragraph" w:styleId="Ttulo2">
    <w:name w:val="heading 2"/>
    <w:basedOn w:val="Normal"/>
    <w:next w:val="Normal"/>
    <w:link w:val="Ttulo2Car"/>
    <w:uiPriority w:val="9"/>
    <w:unhideWhenUsed/>
    <w:qFormat/>
    <w:rsid w:val="00B474AC"/>
    <w:pPr>
      <w:keepNext/>
      <w:keepLines/>
      <w:spacing w:before="40" w:after="0" w:line="240" w:lineRule="auto"/>
      <w:outlineLvl w:val="1"/>
    </w:pPr>
    <w:rPr>
      <w:rFonts w:asciiTheme="majorHAnsi" w:eastAsiaTheme="majorEastAsia" w:hAnsiTheme="majorHAnsi" w:cstheme="majorBidi"/>
      <w:color w:val="751927" w:themeColor="accent1" w:themeShade="BF"/>
      <w:sz w:val="32"/>
      <w:szCs w:val="32"/>
    </w:rPr>
  </w:style>
  <w:style w:type="paragraph" w:styleId="Ttulo3">
    <w:name w:val="heading 3"/>
    <w:basedOn w:val="Normal"/>
    <w:next w:val="Normal"/>
    <w:link w:val="Ttulo3Car"/>
    <w:uiPriority w:val="9"/>
    <w:unhideWhenUsed/>
    <w:qFormat/>
    <w:rsid w:val="00B474AC"/>
    <w:pPr>
      <w:keepNext/>
      <w:keepLines/>
      <w:spacing w:before="40" w:after="0" w:line="240" w:lineRule="auto"/>
      <w:outlineLvl w:val="2"/>
    </w:pPr>
    <w:rPr>
      <w:rFonts w:asciiTheme="majorHAnsi" w:eastAsiaTheme="majorEastAsia" w:hAnsiTheme="majorHAnsi" w:cstheme="majorBidi"/>
      <w:color w:val="751927" w:themeColor="accent1" w:themeShade="BF"/>
      <w:sz w:val="28"/>
      <w:szCs w:val="28"/>
    </w:rPr>
  </w:style>
  <w:style w:type="paragraph" w:styleId="Ttulo4">
    <w:name w:val="heading 4"/>
    <w:basedOn w:val="Normal"/>
    <w:next w:val="Normal"/>
    <w:link w:val="Ttulo4Car"/>
    <w:uiPriority w:val="9"/>
    <w:unhideWhenUsed/>
    <w:qFormat/>
    <w:rsid w:val="00B474AC"/>
    <w:pPr>
      <w:keepNext/>
      <w:keepLines/>
      <w:spacing w:before="40" w:after="0"/>
      <w:outlineLvl w:val="3"/>
    </w:pPr>
    <w:rPr>
      <w:rFonts w:asciiTheme="majorHAnsi" w:eastAsiaTheme="majorEastAsia" w:hAnsiTheme="majorHAnsi" w:cstheme="majorBidi"/>
      <w:color w:val="751927" w:themeColor="accent1" w:themeShade="BF"/>
      <w:sz w:val="24"/>
      <w:szCs w:val="24"/>
    </w:rPr>
  </w:style>
  <w:style w:type="paragraph" w:styleId="Ttulo5">
    <w:name w:val="heading 5"/>
    <w:basedOn w:val="Normal"/>
    <w:next w:val="Normal"/>
    <w:link w:val="Ttulo5Car"/>
    <w:uiPriority w:val="9"/>
    <w:unhideWhenUsed/>
    <w:qFormat/>
    <w:rsid w:val="00B474AC"/>
    <w:pPr>
      <w:keepNext/>
      <w:keepLines/>
      <w:spacing w:before="40" w:after="0"/>
      <w:outlineLvl w:val="4"/>
    </w:pPr>
    <w:rPr>
      <w:rFonts w:asciiTheme="majorHAnsi" w:eastAsiaTheme="majorEastAsia" w:hAnsiTheme="majorHAnsi" w:cstheme="majorBidi"/>
      <w:caps/>
      <w:color w:val="751927" w:themeColor="accent1" w:themeShade="BF"/>
    </w:rPr>
  </w:style>
  <w:style w:type="paragraph" w:styleId="Ttulo6">
    <w:name w:val="heading 6"/>
    <w:basedOn w:val="Normal"/>
    <w:next w:val="Normal"/>
    <w:link w:val="Ttulo6Car"/>
    <w:uiPriority w:val="9"/>
    <w:semiHidden/>
    <w:unhideWhenUsed/>
    <w:qFormat/>
    <w:rsid w:val="00B474AC"/>
    <w:pPr>
      <w:keepNext/>
      <w:keepLines/>
      <w:spacing w:before="40" w:after="0"/>
      <w:outlineLvl w:val="5"/>
    </w:pPr>
    <w:rPr>
      <w:rFonts w:asciiTheme="majorHAnsi" w:eastAsiaTheme="majorEastAsia" w:hAnsiTheme="majorHAnsi" w:cstheme="majorBidi"/>
      <w:i/>
      <w:iCs/>
      <w:caps/>
      <w:color w:val="4E111A" w:themeColor="accent1" w:themeShade="80"/>
    </w:rPr>
  </w:style>
  <w:style w:type="paragraph" w:styleId="Ttulo7">
    <w:name w:val="heading 7"/>
    <w:basedOn w:val="Normal"/>
    <w:next w:val="Normal"/>
    <w:link w:val="Ttulo7Car"/>
    <w:uiPriority w:val="9"/>
    <w:semiHidden/>
    <w:unhideWhenUsed/>
    <w:qFormat/>
    <w:rsid w:val="00B474AC"/>
    <w:pPr>
      <w:keepNext/>
      <w:keepLines/>
      <w:spacing w:before="40" w:after="0"/>
      <w:outlineLvl w:val="6"/>
    </w:pPr>
    <w:rPr>
      <w:rFonts w:asciiTheme="majorHAnsi" w:eastAsiaTheme="majorEastAsia" w:hAnsiTheme="majorHAnsi" w:cstheme="majorBidi"/>
      <w:b/>
      <w:bCs/>
      <w:color w:val="4E111A" w:themeColor="accent1" w:themeShade="80"/>
    </w:rPr>
  </w:style>
  <w:style w:type="paragraph" w:styleId="Ttulo8">
    <w:name w:val="heading 8"/>
    <w:basedOn w:val="Normal"/>
    <w:next w:val="Normal"/>
    <w:link w:val="Ttulo8Car"/>
    <w:uiPriority w:val="9"/>
    <w:semiHidden/>
    <w:unhideWhenUsed/>
    <w:qFormat/>
    <w:rsid w:val="00B474AC"/>
    <w:pPr>
      <w:keepNext/>
      <w:keepLines/>
      <w:spacing w:before="40" w:after="0"/>
      <w:outlineLvl w:val="7"/>
    </w:pPr>
    <w:rPr>
      <w:rFonts w:asciiTheme="majorHAnsi" w:eastAsiaTheme="majorEastAsia" w:hAnsiTheme="majorHAnsi" w:cstheme="majorBidi"/>
      <w:b/>
      <w:bCs/>
      <w:i/>
      <w:iCs/>
      <w:color w:val="4E111A" w:themeColor="accent1" w:themeShade="80"/>
    </w:rPr>
  </w:style>
  <w:style w:type="paragraph" w:styleId="Ttulo9">
    <w:name w:val="heading 9"/>
    <w:basedOn w:val="Normal"/>
    <w:next w:val="Normal"/>
    <w:link w:val="Ttulo9Car"/>
    <w:uiPriority w:val="9"/>
    <w:semiHidden/>
    <w:unhideWhenUsed/>
    <w:qFormat/>
    <w:rsid w:val="00B474AC"/>
    <w:pPr>
      <w:keepNext/>
      <w:keepLines/>
      <w:spacing w:before="40" w:after="0"/>
      <w:outlineLvl w:val="8"/>
    </w:pPr>
    <w:rPr>
      <w:rFonts w:asciiTheme="majorHAnsi" w:eastAsiaTheme="majorEastAsia" w:hAnsiTheme="majorHAnsi" w:cstheme="majorBidi"/>
      <w:i/>
      <w:iCs/>
      <w:color w:val="4E111A"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qFormat/>
    <w:rsid w:val="000E2A66"/>
    <w:pPr>
      <w:spacing w:before="100" w:beforeAutospacing="1" w:after="142" w:line="288"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0E2A66"/>
    <w:rPr>
      <w:color w:val="000080"/>
      <w:u w:val="single"/>
    </w:rPr>
  </w:style>
  <w:style w:type="paragraph" w:styleId="Encabezado">
    <w:name w:val="header"/>
    <w:basedOn w:val="Normal"/>
    <w:link w:val="EncabezadoCar"/>
    <w:uiPriority w:val="99"/>
    <w:unhideWhenUsed/>
    <w:qFormat/>
    <w:rsid w:val="000E2A6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qFormat/>
    <w:rsid w:val="000E2A66"/>
  </w:style>
  <w:style w:type="paragraph" w:styleId="Piedepgina">
    <w:name w:val="footer"/>
    <w:basedOn w:val="Normal"/>
    <w:link w:val="PiedepginaCar"/>
    <w:uiPriority w:val="99"/>
    <w:unhideWhenUsed/>
    <w:qFormat/>
    <w:rsid w:val="000E2A6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qFormat/>
    <w:rsid w:val="000E2A66"/>
  </w:style>
  <w:style w:type="paragraph" w:styleId="Prrafodelista">
    <w:name w:val="List Paragraph"/>
    <w:basedOn w:val="Normal"/>
    <w:qFormat/>
    <w:rsid w:val="00A46175"/>
    <w:pPr>
      <w:ind w:left="720"/>
      <w:contextualSpacing/>
    </w:pPr>
  </w:style>
  <w:style w:type="paragraph" w:styleId="Sinespaciado">
    <w:name w:val="No Spacing"/>
    <w:link w:val="SinespaciadoCar"/>
    <w:uiPriority w:val="1"/>
    <w:qFormat/>
    <w:rsid w:val="00B474AC"/>
    <w:pPr>
      <w:spacing w:after="0" w:line="240" w:lineRule="auto"/>
    </w:pPr>
  </w:style>
  <w:style w:type="character" w:customStyle="1" w:styleId="SinespaciadoCar">
    <w:name w:val="Sin espaciado Car"/>
    <w:basedOn w:val="Fuentedeprrafopredeter"/>
    <w:link w:val="Sinespaciado"/>
    <w:uiPriority w:val="1"/>
    <w:rsid w:val="008846F6"/>
  </w:style>
  <w:style w:type="character" w:customStyle="1" w:styleId="Ttulo1Car">
    <w:name w:val="Título 1 Car"/>
    <w:basedOn w:val="Fuentedeprrafopredeter"/>
    <w:link w:val="Ttulo1"/>
    <w:uiPriority w:val="9"/>
    <w:qFormat/>
    <w:rsid w:val="00B474AC"/>
    <w:rPr>
      <w:rFonts w:asciiTheme="majorHAnsi" w:eastAsiaTheme="majorEastAsia" w:hAnsiTheme="majorHAnsi" w:cstheme="majorBidi"/>
      <w:color w:val="4E111A" w:themeColor="accent1" w:themeShade="80"/>
      <w:sz w:val="36"/>
      <w:szCs w:val="36"/>
    </w:rPr>
  </w:style>
  <w:style w:type="character" w:customStyle="1" w:styleId="Ttulo2Car">
    <w:name w:val="Título 2 Car"/>
    <w:basedOn w:val="Fuentedeprrafopredeter"/>
    <w:link w:val="Ttulo2"/>
    <w:uiPriority w:val="9"/>
    <w:qFormat/>
    <w:rsid w:val="00B474AC"/>
    <w:rPr>
      <w:rFonts w:asciiTheme="majorHAnsi" w:eastAsiaTheme="majorEastAsia" w:hAnsiTheme="majorHAnsi" w:cstheme="majorBidi"/>
      <w:color w:val="751927" w:themeColor="accent1" w:themeShade="BF"/>
      <w:sz w:val="32"/>
      <w:szCs w:val="32"/>
    </w:rPr>
  </w:style>
  <w:style w:type="character" w:customStyle="1" w:styleId="Ttulo3Car">
    <w:name w:val="Título 3 Car"/>
    <w:basedOn w:val="Fuentedeprrafopredeter"/>
    <w:link w:val="Ttulo3"/>
    <w:uiPriority w:val="9"/>
    <w:qFormat/>
    <w:rsid w:val="00B474AC"/>
    <w:rPr>
      <w:rFonts w:asciiTheme="majorHAnsi" w:eastAsiaTheme="majorEastAsia" w:hAnsiTheme="majorHAnsi" w:cstheme="majorBidi"/>
      <w:color w:val="751927" w:themeColor="accent1" w:themeShade="BF"/>
      <w:sz w:val="28"/>
      <w:szCs w:val="28"/>
    </w:rPr>
  </w:style>
  <w:style w:type="character" w:customStyle="1" w:styleId="Ttulo4Car">
    <w:name w:val="Título 4 Car"/>
    <w:basedOn w:val="Fuentedeprrafopredeter"/>
    <w:link w:val="Ttulo4"/>
    <w:uiPriority w:val="9"/>
    <w:qFormat/>
    <w:rsid w:val="00B474AC"/>
    <w:rPr>
      <w:rFonts w:asciiTheme="majorHAnsi" w:eastAsiaTheme="majorEastAsia" w:hAnsiTheme="majorHAnsi" w:cstheme="majorBidi"/>
      <w:color w:val="751927" w:themeColor="accent1" w:themeShade="BF"/>
      <w:sz w:val="24"/>
      <w:szCs w:val="24"/>
    </w:rPr>
  </w:style>
  <w:style w:type="character" w:customStyle="1" w:styleId="Ttulo5Car">
    <w:name w:val="Título 5 Car"/>
    <w:basedOn w:val="Fuentedeprrafopredeter"/>
    <w:link w:val="Ttulo5"/>
    <w:uiPriority w:val="9"/>
    <w:qFormat/>
    <w:rsid w:val="00B474AC"/>
    <w:rPr>
      <w:rFonts w:asciiTheme="majorHAnsi" w:eastAsiaTheme="majorEastAsia" w:hAnsiTheme="majorHAnsi" w:cstheme="majorBidi"/>
      <w:caps/>
      <w:color w:val="751927" w:themeColor="accent1" w:themeShade="BF"/>
    </w:rPr>
  </w:style>
  <w:style w:type="character" w:customStyle="1" w:styleId="Ttulo6Car">
    <w:name w:val="Título 6 Car"/>
    <w:basedOn w:val="Fuentedeprrafopredeter"/>
    <w:link w:val="Ttulo6"/>
    <w:uiPriority w:val="9"/>
    <w:semiHidden/>
    <w:qFormat/>
    <w:rsid w:val="00B474AC"/>
    <w:rPr>
      <w:rFonts w:asciiTheme="majorHAnsi" w:eastAsiaTheme="majorEastAsia" w:hAnsiTheme="majorHAnsi" w:cstheme="majorBidi"/>
      <w:i/>
      <w:iCs/>
      <w:caps/>
      <w:color w:val="4E111A" w:themeColor="accent1" w:themeShade="80"/>
    </w:rPr>
  </w:style>
  <w:style w:type="character" w:customStyle="1" w:styleId="Ttulo7Car">
    <w:name w:val="Título 7 Car"/>
    <w:basedOn w:val="Fuentedeprrafopredeter"/>
    <w:link w:val="Ttulo7"/>
    <w:uiPriority w:val="9"/>
    <w:semiHidden/>
    <w:qFormat/>
    <w:rsid w:val="00B474AC"/>
    <w:rPr>
      <w:rFonts w:asciiTheme="majorHAnsi" w:eastAsiaTheme="majorEastAsia" w:hAnsiTheme="majorHAnsi" w:cstheme="majorBidi"/>
      <w:b/>
      <w:bCs/>
      <w:color w:val="4E111A" w:themeColor="accent1" w:themeShade="80"/>
    </w:rPr>
  </w:style>
  <w:style w:type="character" w:customStyle="1" w:styleId="Ttulo8Car">
    <w:name w:val="Título 8 Car"/>
    <w:basedOn w:val="Fuentedeprrafopredeter"/>
    <w:link w:val="Ttulo8"/>
    <w:uiPriority w:val="9"/>
    <w:semiHidden/>
    <w:qFormat/>
    <w:rsid w:val="00B474AC"/>
    <w:rPr>
      <w:rFonts w:asciiTheme="majorHAnsi" w:eastAsiaTheme="majorEastAsia" w:hAnsiTheme="majorHAnsi" w:cstheme="majorBidi"/>
      <w:b/>
      <w:bCs/>
      <w:i/>
      <w:iCs/>
      <w:color w:val="4E111A" w:themeColor="accent1" w:themeShade="80"/>
    </w:rPr>
  </w:style>
  <w:style w:type="character" w:customStyle="1" w:styleId="Ttulo9Car">
    <w:name w:val="Título 9 Car"/>
    <w:basedOn w:val="Fuentedeprrafopredeter"/>
    <w:link w:val="Ttulo9"/>
    <w:uiPriority w:val="9"/>
    <w:semiHidden/>
    <w:qFormat/>
    <w:rsid w:val="00B474AC"/>
    <w:rPr>
      <w:rFonts w:asciiTheme="majorHAnsi" w:eastAsiaTheme="majorEastAsia" w:hAnsiTheme="majorHAnsi" w:cstheme="majorBidi"/>
      <w:i/>
      <w:iCs/>
      <w:color w:val="4E111A" w:themeColor="accent1" w:themeShade="80"/>
    </w:rPr>
  </w:style>
  <w:style w:type="paragraph" w:styleId="Descripcin">
    <w:name w:val="caption"/>
    <w:basedOn w:val="Normal"/>
    <w:next w:val="Normal"/>
    <w:uiPriority w:val="35"/>
    <w:unhideWhenUsed/>
    <w:qFormat/>
    <w:rsid w:val="00B474AC"/>
    <w:pPr>
      <w:spacing w:line="240" w:lineRule="auto"/>
    </w:pPr>
    <w:rPr>
      <w:b/>
      <w:bCs/>
      <w:smallCaps/>
      <w:color w:val="39302A" w:themeColor="text2"/>
    </w:rPr>
  </w:style>
  <w:style w:type="paragraph" w:styleId="Ttulo">
    <w:name w:val="Title"/>
    <w:basedOn w:val="Normal"/>
    <w:next w:val="Normal"/>
    <w:link w:val="TtuloCar"/>
    <w:uiPriority w:val="10"/>
    <w:qFormat/>
    <w:rsid w:val="00B474AC"/>
    <w:pPr>
      <w:spacing w:after="0" w:line="204" w:lineRule="auto"/>
      <w:contextualSpacing/>
    </w:pPr>
    <w:rPr>
      <w:rFonts w:asciiTheme="majorHAnsi" w:eastAsiaTheme="majorEastAsia" w:hAnsiTheme="majorHAnsi" w:cstheme="majorBidi"/>
      <w:caps/>
      <w:color w:val="39302A" w:themeColor="text2"/>
      <w:spacing w:val="-15"/>
      <w:sz w:val="72"/>
      <w:szCs w:val="72"/>
    </w:rPr>
  </w:style>
  <w:style w:type="character" w:customStyle="1" w:styleId="TtuloCar">
    <w:name w:val="Título Car"/>
    <w:basedOn w:val="Fuentedeprrafopredeter"/>
    <w:link w:val="Ttulo"/>
    <w:uiPriority w:val="10"/>
    <w:qFormat/>
    <w:rsid w:val="00B474AC"/>
    <w:rPr>
      <w:rFonts w:asciiTheme="majorHAnsi" w:eastAsiaTheme="majorEastAsia" w:hAnsiTheme="majorHAnsi" w:cstheme="majorBidi"/>
      <w:caps/>
      <w:color w:val="39302A" w:themeColor="text2"/>
      <w:spacing w:val="-15"/>
      <w:sz w:val="72"/>
      <w:szCs w:val="72"/>
    </w:rPr>
  </w:style>
  <w:style w:type="paragraph" w:styleId="Subttulo">
    <w:name w:val="Subtitle"/>
    <w:basedOn w:val="Normal"/>
    <w:next w:val="Normal"/>
    <w:link w:val="SubttuloCar"/>
    <w:uiPriority w:val="11"/>
    <w:qFormat/>
    <w:rsid w:val="00B474AC"/>
    <w:pPr>
      <w:numPr>
        <w:ilvl w:val="1"/>
      </w:numPr>
      <w:spacing w:after="240" w:line="240" w:lineRule="auto"/>
    </w:pPr>
    <w:rPr>
      <w:rFonts w:asciiTheme="majorHAnsi" w:eastAsiaTheme="majorEastAsia" w:hAnsiTheme="majorHAnsi" w:cstheme="majorBidi"/>
      <w:color w:val="9D2235" w:themeColor="accent1"/>
      <w:sz w:val="28"/>
      <w:szCs w:val="28"/>
    </w:rPr>
  </w:style>
  <w:style w:type="character" w:customStyle="1" w:styleId="SubttuloCar">
    <w:name w:val="Subtítulo Car"/>
    <w:basedOn w:val="Fuentedeprrafopredeter"/>
    <w:link w:val="Subttulo"/>
    <w:uiPriority w:val="11"/>
    <w:qFormat/>
    <w:rsid w:val="00B474AC"/>
    <w:rPr>
      <w:rFonts w:asciiTheme="majorHAnsi" w:eastAsiaTheme="majorEastAsia" w:hAnsiTheme="majorHAnsi" w:cstheme="majorBidi"/>
      <w:color w:val="9D2235" w:themeColor="accent1"/>
      <w:sz w:val="28"/>
      <w:szCs w:val="28"/>
    </w:rPr>
  </w:style>
  <w:style w:type="character" w:styleId="Textoennegrita">
    <w:name w:val="Strong"/>
    <w:basedOn w:val="Fuentedeprrafopredeter"/>
    <w:uiPriority w:val="22"/>
    <w:qFormat/>
    <w:rsid w:val="00B474AC"/>
    <w:rPr>
      <w:b/>
      <w:bCs/>
    </w:rPr>
  </w:style>
  <w:style w:type="character" w:styleId="nfasis">
    <w:name w:val="Emphasis"/>
    <w:basedOn w:val="Fuentedeprrafopredeter"/>
    <w:qFormat/>
    <w:rsid w:val="00B474AC"/>
    <w:rPr>
      <w:i/>
      <w:iCs/>
    </w:rPr>
  </w:style>
  <w:style w:type="paragraph" w:styleId="Cita">
    <w:name w:val="Quote"/>
    <w:basedOn w:val="Normal"/>
    <w:next w:val="Normal"/>
    <w:link w:val="CitaCar"/>
    <w:uiPriority w:val="29"/>
    <w:qFormat/>
    <w:rsid w:val="00B474AC"/>
    <w:pPr>
      <w:spacing w:before="120" w:after="120"/>
      <w:ind w:left="720"/>
    </w:pPr>
    <w:rPr>
      <w:color w:val="39302A" w:themeColor="text2"/>
      <w:sz w:val="24"/>
      <w:szCs w:val="24"/>
    </w:rPr>
  </w:style>
  <w:style w:type="character" w:customStyle="1" w:styleId="CitaCar">
    <w:name w:val="Cita Car"/>
    <w:basedOn w:val="Fuentedeprrafopredeter"/>
    <w:link w:val="Cita"/>
    <w:uiPriority w:val="29"/>
    <w:qFormat/>
    <w:rsid w:val="00B474AC"/>
    <w:rPr>
      <w:color w:val="39302A" w:themeColor="text2"/>
      <w:sz w:val="24"/>
      <w:szCs w:val="24"/>
    </w:rPr>
  </w:style>
  <w:style w:type="paragraph" w:styleId="Citadestacada">
    <w:name w:val="Intense Quote"/>
    <w:basedOn w:val="Normal"/>
    <w:next w:val="Normal"/>
    <w:link w:val="CitadestacadaCar"/>
    <w:uiPriority w:val="30"/>
    <w:qFormat/>
    <w:rsid w:val="00B474AC"/>
    <w:pPr>
      <w:spacing w:before="100" w:beforeAutospacing="1" w:after="240" w:line="240" w:lineRule="auto"/>
      <w:ind w:left="720"/>
      <w:jc w:val="center"/>
    </w:pPr>
    <w:rPr>
      <w:rFonts w:asciiTheme="majorHAnsi" w:eastAsiaTheme="majorEastAsia" w:hAnsiTheme="majorHAnsi" w:cstheme="majorBidi"/>
      <w:color w:val="39302A" w:themeColor="text2"/>
      <w:spacing w:val="-6"/>
      <w:sz w:val="32"/>
      <w:szCs w:val="32"/>
    </w:rPr>
  </w:style>
  <w:style w:type="character" w:customStyle="1" w:styleId="CitadestacadaCar">
    <w:name w:val="Cita destacada Car"/>
    <w:basedOn w:val="Fuentedeprrafopredeter"/>
    <w:link w:val="Citadestacada"/>
    <w:uiPriority w:val="30"/>
    <w:qFormat/>
    <w:rsid w:val="00B474AC"/>
    <w:rPr>
      <w:rFonts w:asciiTheme="majorHAnsi" w:eastAsiaTheme="majorEastAsia" w:hAnsiTheme="majorHAnsi" w:cstheme="majorBidi"/>
      <w:color w:val="39302A" w:themeColor="text2"/>
      <w:spacing w:val="-6"/>
      <w:sz w:val="32"/>
      <w:szCs w:val="32"/>
    </w:rPr>
  </w:style>
  <w:style w:type="character" w:styleId="nfasissutil">
    <w:name w:val="Subtle Emphasis"/>
    <w:basedOn w:val="Fuentedeprrafopredeter"/>
    <w:uiPriority w:val="19"/>
    <w:qFormat/>
    <w:rsid w:val="00B474AC"/>
    <w:rPr>
      <w:i/>
      <w:iCs/>
      <w:color w:val="595959" w:themeColor="text1" w:themeTint="A6"/>
    </w:rPr>
  </w:style>
  <w:style w:type="character" w:styleId="nfasisintenso">
    <w:name w:val="Intense Emphasis"/>
    <w:basedOn w:val="Fuentedeprrafopredeter"/>
    <w:uiPriority w:val="21"/>
    <w:qFormat/>
    <w:rsid w:val="00B474AC"/>
    <w:rPr>
      <w:b/>
      <w:bCs/>
      <w:i/>
      <w:iCs/>
    </w:rPr>
  </w:style>
  <w:style w:type="character" w:styleId="Referenciasutil">
    <w:name w:val="Subtle Reference"/>
    <w:basedOn w:val="Fuentedeprrafopredeter"/>
    <w:uiPriority w:val="31"/>
    <w:qFormat/>
    <w:rsid w:val="00B474AC"/>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B474AC"/>
    <w:rPr>
      <w:b/>
      <w:bCs/>
      <w:smallCaps/>
      <w:color w:val="39302A" w:themeColor="text2"/>
      <w:u w:val="single"/>
    </w:rPr>
  </w:style>
  <w:style w:type="character" w:styleId="Ttulodellibro">
    <w:name w:val="Book Title"/>
    <w:basedOn w:val="Fuentedeprrafopredeter"/>
    <w:uiPriority w:val="33"/>
    <w:qFormat/>
    <w:rsid w:val="00B474AC"/>
    <w:rPr>
      <w:b/>
      <w:bCs/>
      <w:smallCaps/>
      <w:spacing w:val="10"/>
    </w:rPr>
  </w:style>
  <w:style w:type="paragraph" w:styleId="TtuloTDC">
    <w:name w:val="TOC Heading"/>
    <w:basedOn w:val="Ttulo1"/>
    <w:next w:val="Normal"/>
    <w:link w:val="TtuloTDCCar"/>
    <w:uiPriority w:val="39"/>
    <w:unhideWhenUsed/>
    <w:qFormat/>
    <w:rsid w:val="00B474AC"/>
    <w:pPr>
      <w:outlineLvl w:val="9"/>
    </w:pPr>
  </w:style>
  <w:style w:type="table" w:styleId="Tablaconcuadrcula">
    <w:name w:val="Table Grid"/>
    <w:basedOn w:val="Tablanormal"/>
    <w:uiPriority w:val="39"/>
    <w:rsid w:val="007226B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7226B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CB1947"/>
  </w:style>
  <w:style w:type="character" w:customStyle="1" w:styleId="EnlacedeInternet">
    <w:name w:val="Enlace de Internet"/>
    <w:rsid w:val="00CB1947"/>
    <w:rPr>
      <w:color w:val="000080"/>
      <w:u w:val="single"/>
    </w:rPr>
  </w:style>
  <w:style w:type="paragraph" w:styleId="Textodeglobo">
    <w:name w:val="Balloon Text"/>
    <w:basedOn w:val="Normal"/>
    <w:link w:val="TextodegloboCar"/>
    <w:uiPriority w:val="99"/>
    <w:semiHidden/>
    <w:unhideWhenUsed/>
    <w:qFormat/>
    <w:rsid w:val="00CB1947"/>
    <w:pPr>
      <w:spacing w:after="0" w:line="240" w:lineRule="auto"/>
    </w:pPr>
    <w:rPr>
      <w:rFonts w:ascii="Tahoma" w:eastAsia="NSimSun" w:hAnsi="Tahoma" w:cs="Mangal"/>
      <w:kern w:val="2"/>
      <w:sz w:val="16"/>
      <w:szCs w:val="14"/>
      <w:lang w:eastAsia="zh-CN" w:bidi="hi-IN"/>
    </w:rPr>
  </w:style>
  <w:style w:type="character" w:customStyle="1" w:styleId="TextodegloboCar">
    <w:name w:val="Texto de globo Car"/>
    <w:basedOn w:val="Fuentedeprrafopredeter"/>
    <w:link w:val="Textodeglobo"/>
    <w:uiPriority w:val="99"/>
    <w:semiHidden/>
    <w:qFormat/>
    <w:rsid w:val="00CB1947"/>
    <w:rPr>
      <w:rFonts w:ascii="Tahoma" w:eastAsia="NSimSun" w:hAnsi="Tahoma" w:cs="Mangal"/>
      <w:kern w:val="2"/>
      <w:sz w:val="16"/>
      <w:szCs w:val="14"/>
      <w:lang w:eastAsia="zh-CN" w:bidi="hi-IN"/>
    </w:rPr>
  </w:style>
  <w:style w:type="paragraph" w:styleId="Textoindependiente">
    <w:name w:val="Body Text"/>
    <w:basedOn w:val="Normal"/>
    <w:link w:val="TextoindependienteCar"/>
    <w:qFormat/>
    <w:rsid w:val="00CB1947"/>
    <w:pPr>
      <w:spacing w:after="140" w:line="276" w:lineRule="auto"/>
    </w:pPr>
    <w:rPr>
      <w:rFonts w:ascii="Open Sans" w:eastAsia="NSimSun" w:hAnsi="Open Sans" w:cs="Arial"/>
      <w:kern w:val="2"/>
      <w:sz w:val="24"/>
      <w:szCs w:val="24"/>
      <w:lang w:eastAsia="zh-CN" w:bidi="hi-IN"/>
    </w:rPr>
  </w:style>
  <w:style w:type="character" w:customStyle="1" w:styleId="TextoindependienteCar">
    <w:name w:val="Texto independiente Car"/>
    <w:basedOn w:val="Fuentedeprrafopredeter"/>
    <w:link w:val="Textoindependiente"/>
    <w:qFormat/>
    <w:rsid w:val="00CB1947"/>
    <w:rPr>
      <w:rFonts w:ascii="Open Sans" w:eastAsia="NSimSun" w:hAnsi="Open Sans" w:cs="Arial"/>
      <w:kern w:val="2"/>
      <w:sz w:val="24"/>
      <w:szCs w:val="24"/>
      <w:lang w:eastAsia="zh-CN" w:bidi="hi-IN"/>
    </w:rPr>
  </w:style>
  <w:style w:type="paragraph" w:customStyle="1" w:styleId="western">
    <w:name w:val="western"/>
    <w:basedOn w:val="Normal"/>
    <w:qFormat/>
    <w:rsid w:val="00A21AB4"/>
    <w:pPr>
      <w:spacing w:before="100" w:beforeAutospacing="1" w:after="142" w:line="276" w:lineRule="auto"/>
    </w:pPr>
    <w:rPr>
      <w:rFonts w:ascii="Calibri" w:eastAsia="Times New Roman" w:hAnsi="Calibri" w:cs="Calibri"/>
      <w:color w:val="000000"/>
      <w:lang w:eastAsia="es-ES"/>
    </w:rPr>
  </w:style>
  <w:style w:type="character" w:customStyle="1" w:styleId="WW8Num1z0">
    <w:name w:val="WW8Num1z0"/>
    <w:qFormat/>
    <w:rsid w:val="00671CE2"/>
  </w:style>
  <w:style w:type="character" w:customStyle="1" w:styleId="WW8Num1z1">
    <w:name w:val="WW8Num1z1"/>
    <w:qFormat/>
    <w:rsid w:val="00671CE2"/>
  </w:style>
  <w:style w:type="character" w:customStyle="1" w:styleId="WW8Num1z2">
    <w:name w:val="WW8Num1z2"/>
    <w:qFormat/>
    <w:rsid w:val="00671CE2"/>
  </w:style>
  <w:style w:type="character" w:customStyle="1" w:styleId="WW8Num1z3">
    <w:name w:val="WW8Num1z3"/>
    <w:qFormat/>
    <w:rsid w:val="00671CE2"/>
  </w:style>
  <w:style w:type="character" w:customStyle="1" w:styleId="WW8Num1z4">
    <w:name w:val="WW8Num1z4"/>
    <w:qFormat/>
    <w:rsid w:val="00671CE2"/>
  </w:style>
  <w:style w:type="character" w:customStyle="1" w:styleId="WW8Num1z5">
    <w:name w:val="WW8Num1z5"/>
    <w:qFormat/>
    <w:rsid w:val="00671CE2"/>
  </w:style>
  <w:style w:type="character" w:customStyle="1" w:styleId="WW8Num1z6">
    <w:name w:val="WW8Num1z6"/>
    <w:qFormat/>
    <w:rsid w:val="00671CE2"/>
  </w:style>
  <w:style w:type="character" w:customStyle="1" w:styleId="WW8Num1z7">
    <w:name w:val="WW8Num1z7"/>
    <w:qFormat/>
    <w:rsid w:val="00671CE2"/>
  </w:style>
  <w:style w:type="character" w:customStyle="1" w:styleId="WW8Num1z8">
    <w:name w:val="WW8Num1z8"/>
    <w:qFormat/>
    <w:rsid w:val="00671CE2"/>
  </w:style>
  <w:style w:type="character" w:customStyle="1" w:styleId="WW8Num2z0">
    <w:name w:val="WW8Num2z0"/>
    <w:qFormat/>
    <w:rsid w:val="00671CE2"/>
    <w:rPr>
      <w:rFonts w:ascii="Symbol" w:hAnsi="Symbol" w:cs="Symbol"/>
      <w:sz w:val="20"/>
    </w:rPr>
  </w:style>
  <w:style w:type="character" w:customStyle="1" w:styleId="WW8Num2z1">
    <w:name w:val="WW8Num2z1"/>
    <w:qFormat/>
    <w:rsid w:val="00671CE2"/>
    <w:rPr>
      <w:rFonts w:ascii="Courier New" w:hAnsi="Courier New" w:cs="Courier New"/>
      <w:sz w:val="20"/>
    </w:rPr>
  </w:style>
  <w:style w:type="character" w:customStyle="1" w:styleId="WW8Num2z2">
    <w:name w:val="WW8Num2z2"/>
    <w:qFormat/>
    <w:rsid w:val="00671CE2"/>
    <w:rPr>
      <w:rFonts w:ascii="Wingdings" w:hAnsi="Wingdings" w:cs="Wingdings"/>
      <w:sz w:val="20"/>
    </w:rPr>
  </w:style>
  <w:style w:type="character" w:customStyle="1" w:styleId="WW8Num3z0">
    <w:name w:val="WW8Num3z0"/>
    <w:qFormat/>
    <w:rsid w:val="00671CE2"/>
    <w:rPr>
      <w:rFonts w:ascii="Symbol" w:hAnsi="Symbol" w:cs="Symbol"/>
      <w:sz w:val="20"/>
    </w:rPr>
  </w:style>
  <w:style w:type="character" w:customStyle="1" w:styleId="WW8Num3z1">
    <w:name w:val="WW8Num3z1"/>
    <w:qFormat/>
    <w:rsid w:val="00671CE2"/>
    <w:rPr>
      <w:rFonts w:ascii="Courier New" w:hAnsi="Courier New" w:cs="Courier New"/>
      <w:sz w:val="20"/>
    </w:rPr>
  </w:style>
  <w:style w:type="character" w:customStyle="1" w:styleId="WW8Num3z2">
    <w:name w:val="WW8Num3z2"/>
    <w:qFormat/>
    <w:rsid w:val="00671CE2"/>
    <w:rPr>
      <w:rFonts w:ascii="Wingdings" w:hAnsi="Wingdings" w:cs="Wingdings"/>
      <w:sz w:val="20"/>
    </w:rPr>
  </w:style>
  <w:style w:type="character" w:customStyle="1" w:styleId="WW8Num4z0">
    <w:name w:val="WW8Num4z0"/>
    <w:qFormat/>
    <w:rsid w:val="00671CE2"/>
    <w:rPr>
      <w:rFonts w:ascii="Symbol" w:hAnsi="Symbol" w:cs="Symbol"/>
      <w:sz w:val="20"/>
      <w:szCs w:val="24"/>
      <w:lang w:eastAsia="es-ES"/>
    </w:rPr>
  </w:style>
  <w:style w:type="character" w:customStyle="1" w:styleId="WW8Num4z1">
    <w:name w:val="WW8Num4z1"/>
    <w:qFormat/>
    <w:rsid w:val="00671CE2"/>
    <w:rPr>
      <w:rFonts w:ascii="Courier New" w:hAnsi="Courier New" w:cs="Courier New"/>
      <w:sz w:val="20"/>
    </w:rPr>
  </w:style>
  <w:style w:type="character" w:customStyle="1" w:styleId="WW8Num4z2">
    <w:name w:val="WW8Num4z2"/>
    <w:qFormat/>
    <w:rsid w:val="00671CE2"/>
    <w:rPr>
      <w:rFonts w:ascii="Wingdings" w:hAnsi="Wingdings" w:cs="Wingdings"/>
      <w:sz w:val="20"/>
    </w:rPr>
  </w:style>
  <w:style w:type="character" w:customStyle="1" w:styleId="WW8Num5z0">
    <w:name w:val="WW8Num5z0"/>
    <w:qFormat/>
    <w:rsid w:val="00671CE2"/>
    <w:rPr>
      <w:rFonts w:ascii="Symbol" w:hAnsi="Symbol" w:cs="Symbol"/>
      <w:sz w:val="20"/>
    </w:rPr>
  </w:style>
  <w:style w:type="character" w:customStyle="1" w:styleId="WW8Num5z1">
    <w:name w:val="WW8Num5z1"/>
    <w:qFormat/>
    <w:rsid w:val="00671CE2"/>
    <w:rPr>
      <w:rFonts w:ascii="Courier New" w:hAnsi="Courier New" w:cs="Courier New"/>
      <w:sz w:val="20"/>
    </w:rPr>
  </w:style>
  <w:style w:type="character" w:customStyle="1" w:styleId="WW8Num5z2">
    <w:name w:val="WW8Num5z2"/>
    <w:qFormat/>
    <w:rsid w:val="00671CE2"/>
    <w:rPr>
      <w:rFonts w:ascii="Wingdings" w:hAnsi="Wingdings" w:cs="Wingdings"/>
      <w:sz w:val="20"/>
    </w:rPr>
  </w:style>
  <w:style w:type="character" w:customStyle="1" w:styleId="WW8Num6z0">
    <w:name w:val="WW8Num6z0"/>
    <w:qFormat/>
    <w:rsid w:val="00671CE2"/>
    <w:rPr>
      <w:rFonts w:ascii="Symbol" w:hAnsi="Symbol" w:cs="Symbol"/>
      <w:sz w:val="20"/>
    </w:rPr>
  </w:style>
  <w:style w:type="character" w:customStyle="1" w:styleId="WW8Num6z1">
    <w:name w:val="WW8Num6z1"/>
    <w:qFormat/>
    <w:rsid w:val="00671CE2"/>
    <w:rPr>
      <w:rFonts w:ascii="Courier New" w:hAnsi="Courier New" w:cs="Courier New"/>
      <w:sz w:val="20"/>
    </w:rPr>
  </w:style>
  <w:style w:type="character" w:customStyle="1" w:styleId="WW8Num6z2">
    <w:name w:val="WW8Num6z2"/>
    <w:qFormat/>
    <w:rsid w:val="00671CE2"/>
    <w:rPr>
      <w:rFonts w:ascii="Wingdings" w:hAnsi="Wingdings" w:cs="Wingdings"/>
      <w:sz w:val="20"/>
    </w:rPr>
  </w:style>
  <w:style w:type="character" w:customStyle="1" w:styleId="WW8Num7z0">
    <w:name w:val="WW8Num7z0"/>
    <w:qFormat/>
    <w:rsid w:val="00671CE2"/>
    <w:rPr>
      <w:rFonts w:ascii="Symbol" w:eastAsia="Times New Roman" w:hAnsi="Symbol" w:cs="Symbol"/>
      <w:color w:val="C9211E"/>
      <w:sz w:val="20"/>
      <w:szCs w:val="24"/>
      <w:lang w:eastAsia="es-ES"/>
    </w:rPr>
  </w:style>
  <w:style w:type="character" w:customStyle="1" w:styleId="WW8Num7z1">
    <w:name w:val="WW8Num7z1"/>
    <w:qFormat/>
    <w:rsid w:val="00671CE2"/>
    <w:rPr>
      <w:rFonts w:ascii="Courier New" w:hAnsi="Courier New" w:cs="Courier New"/>
      <w:sz w:val="20"/>
    </w:rPr>
  </w:style>
  <w:style w:type="character" w:customStyle="1" w:styleId="WW8Num7z2">
    <w:name w:val="WW8Num7z2"/>
    <w:qFormat/>
    <w:rsid w:val="00671CE2"/>
    <w:rPr>
      <w:rFonts w:ascii="Wingdings" w:hAnsi="Wingdings" w:cs="Wingdings"/>
      <w:sz w:val="20"/>
    </w:rPr>
  </w:style>
  <w:style w:type="character" w:customStyle="1" w:styleId="WW8Num8z0">
    <w:name w:val="WW8Num8z0"/>
    <w:qFormat/>
    <w:rsid w:val="00671CE2"/>
    <w:rPr>
      <w:rFonts w:ascii="Symbol" w:hAnsi="Symbol" w:cs="OpenSymbol;Arial Unicode MS"/>
      <w:strike w:val="0"/>
      <w:dstrike w:val="0"/>
      <w:color w:val="000000"/>
      <w:sz w:val="21"/>
      <w:szCs w:val="21"/>
    </w:rPr>
  </w:style>
  <w:style w:type="character" w:customStyle="1" w:styleId="WW8Num8z1">
    <w:name w:val="WW8Num8z1"/>
    <w:qFormat/>
    <w:rsid w:val="00671CE2"/>
    <w:rPr>
      <w:rFonts w:ascii="OpenSymbol;Arial Unicode MS" w:hAnsi="OpenSymbol;Arial Unicode MS" w:cs="OpenSymbol;Arial Unicode MS"/>
    </w:rPr>
  </w:style>
  <w:style w:type="character" w:customStyle="1" w:styleId="WW8Num9z0">
    <w:name w:val="WW8Num9z0"/>
    <w:qFormat/>
    <w:rsid w:val="00671CE2"/>
    <w:rPr>
      <w:rFonts w:ascii="Symbol" w:hAnsi="Symbol" w:cs="OpenSymbol;Arial Unicode MS"/>
      <w:sz w:val="21"/>
      <w:szCs w:val="21"/>
    </w:rPr>
  </w:style>
  <w:style w:type="character" w:customStyle="1" w:styleId="WW8Num9z1">
    <w:name w:val="WW8Num9z1"/>
    <w:qFormat/>
    <w:rsid w:val="00671CE2"/>
    <w:rPr>
      <w:rFonts w:ascii="OpenSymbol;Arial Unicode MS" w:hAnsi="OpenSymbol;Arial Unicode MS" w:cs="OpenSymbol;Arial Unicode MS"/>
    </w:rPr>
  </w:style>
  <w:style w:type="character" w:customStyle="1" w:styleId="WW8Num10z0">
    <w:name w:val="WW8Num10z0"/>
    <w:qFormat/>
    <w:rsid w:val="00671CE2"/>
    <w:rPr>
      <w:rFonts w:ascii="Symbol" w:hAnsi="Symbol" w:cs="OpenSymbol;Arial Unicode MS"/>
      <w:sz w:val="21"/>
      <w:szCs w:val="21"/>
    </w:rPr>
  </w:style>
  <w:style w:type="character" w:customStyle="1" w:styleId="WW8Num10z1">
    <w:name w:val="WW8Num10z1"/>
    <w:qFormat/>
    <w:rsid w:val="00671CE2"/>
    <w:rPr>
      <w:rFonts w:ascii="OpenSymbol;Arial Unicode MS" w:hAnsi="OpenSymbol;Arial Unicode MS" w:cs="OpenSymbol;Arial Unicode MS"/>
    </w:rPr>
  </w:style>
  <w:style w:type="character" w:customStyle="1" w:styleId="WW8Num11z0">
    <w:name w:val="WW8Num11z0"/>
    <w:qFormat/>
    <w:rsid w:val="00671CE2"/>
    <w:rPr>
      <w:rFonts w:ascii="Symbol" w:hAnsi="Symbol" w:cs="OpenSymbol;Arial Unicode MS"/>
      <w:color w:val="000000"/>
      <w:sz w:val="21"/>
      <w:szCs w:val="21"/>
    </w:rPr>
  </w:style>
  <w:style w:type="character" w:customStyle="1" w:styleId="WW8Num11z1">
    <w:name w:val="WW8Num11z1"/>
    <w:qFormat/>
    <w:rsid w:val="00671CE2"/>
    <w:rPr>
      <w:rFonts w:ascii="OpenSymbol;Arial Unicode MS" w:hAnsi="OpenSymbol;Arial Unicode MS" w:cs="OpenSymbol;Arial Unicode MS"/>
    </w:rPr>
  </w:style>
  <w:style w:type="character" w:customStyle="1" w:styleId="WW8Num12z0">
    <w:name w:val="WW8Num12z0"/>
    <w:qFormat/>
    <w:rsid w:val="00671CE2"/>
    <w:rPr>
      <w:rFonts w:ascii="Symbol" w:hAnsi="Symbol" w:cs="OpenSymbol;Arial Unicode MS"/>
      <w:color w:val="000000"/>
      <w:sz w:val="21"/>
      <w:szCs w:val="21"/>
    </w:rPr>
  </w:style>
  <w:style w:type="character" w:customStyle="1" w:styleId="WW8Num12z1">
    <w:name w:val="WW8Num12z1"/>
    <w:qFormat/>
    <w:rsid w:val="00671CE2"/>
    <w:rPr>
      <w:rFonts w:ascii="OpenSymbol;Arial Unicode MS" w:hAnsi="OpenSymbol;Arial Unicode MS" w:cs="OpenSymbol;Arial Unicode MS"/>
    </w:rPr>
  </w:style>
  <w:style w:type="character" w:customStyle="1" w:styleId="WW8Num13z0">
    <w:name w:val="WW8Num13z0"/>
    <w:qFormat/>
    <w:rsid w:val="00671CE2"/>
    <w:rPr>
      <w:rFonts w:ascii="Symbol" w:hAnsi="Symbol" w:cs="OpenSymbol;Arial Unicode MS"/>
      <w:color w:val="000000"/>
      <w:sz w:val="21"/>
      <w:szCs w:val="21"/>
    </w:rPr>
  </w:style>
  <w:style w:type="character" w:customStyle="1" w:styleId="WW8Num13z1">
    <w:name w:val="WW8Num13z1"/>
    <w:qFormat/>
    <w:rsid w:val="00671CE2"/>
    <w:rPr>
      <w:rFonts w:ascii="OpenSymbol;Arial Unicode MS" w:hAnsi="OpenSymbol;Arial Unicode MS" w:cs="OpenSymbol;Arial Unicode MS"/>
    </w:rPr>
  </w:style>
  <w:style w:type="character" w:customStyle="1" w:styleId="WW8Num14z0">
    <w:name w:val="WW8Num14z0"/>
    <w:qFormat/>
    <w:rsid w:val="00671CE2"/>
    <w:rPr>
      <w:rFonts w:ascii="Symbol" w:hAnsi="Symbol" w:cs="OpenSymbol;Arial Unicode MS"/>
      <w:color w:val="000000"/>
      <w:sz w:val="21"/>
      <w:szCs w:val="21"/>
    </w:rPr>
  </w:style>
  <w:style w:type="character" w:customStyle="1" w:styleId="WW8Num14z1">
    <w:name w:val="WW8Num14z1"/>
    <w:qFormat/>
    <w:rsid w:val="00671CE2"/>
    <w:rPr>
      <w:rFonts w:ascii="OpenSymbol;Arial Unicode MS" w:hAnsi="OpenSymbol;Arial Unicode MS" w:cs="OpenSymbol;Arial Unicode MS"/>
    </w:rPr>
  </w:style>
  <w:style w:type="character" w:customStyle="1" w:styleId="WW8Num15z0">
    <w:name w:val="WW8Num15z0"/>
    <w:qFormat/>
    <w:rsid w:val="00671CE2"/>
    <w:rPr>
      <w:rFonts w:ascii="Symbol" w:hAnsi="Symbol" w:cs="OpenSymbol;Arial Unicode MS"/>
      <w:color w:val="000000"/>
      <w:sz w:val="21"/>
      <w:szCs w:val="21"/>
    </w:rPr>
  </w:style>
  <w:style w:type="character" w:customStyle="1" w:styleId="WW8Num15z1">
    <w:name w:val="WW8Num15z1"/>
    <w:qFormat/>
    <w:rsid w:val="00671CE2"/>
    <w:rPr>
      <w:rFonts w:ascii="OpenSymbol;Arial Unicode MS" w:hAnsi="OpenSymbol;Arial Unicode MS" w:cs="OpenSymbol;Arial Unicode MS"/>
    </w:rPr>
  </w:style>
  <w:style w:type="character" w:customStyle="1" w:styleId="WW8Num16z0">
    <w:name w:val="WW8Num16z0"/>
    <w:qFormat/>
    <w:rsid w:val="00671CE2"/>
    <w:rPr>
      <w:rFonts w:ascii="Symbol" w:hAnsi="Symbol" w:cs="OpenSymbol;Arial Unicode MS"/>
      <w:color w:val="000000"/>
      <w:sz w:val="21"/>
      <w:szCs w:val="21"/>
    </w:rPr>
  </w:style>
  <w:style w:type="character" w:customStyle="1" w:styleId="WW8Num16z1">
    <w:name w:val="WW8Num16z1"/>
    <w:qFormat/>
    <w:rsid w:val="00671CE2"/>
    <w:rPr>
      <w:rFonts w:ascii="OpenSymbol;Arial Unicode MS" w:hAnsi="OpenSymbol;Arial Unicode MS" w:cs="OpenSymbol;Arial Unicode MS"/>
    </w:rPr>
  </w:style>
  <w:style w:type="character" w:customStyle="1" w:styleId="WW8Num17z0">
    <w:name w:val="WW8Num17z0"/>
    <w:qFormat/>
    <w:rsid w:val="00671CE2"/>
    <w:rPr>
      <w:rFonts w:ascii="Symbol" w:hAnsi="Symbol" w:cs="OpenSymbol;Arial Unicode MS"/>
      <w:color w:val="000000"/>
      <w:sz w:val="21"/>
      <w:szCs w:val="21"/>
    </w:rPr>
  </w:style>
  <w:style w:type="character" w:customStyle="1" w:styleId="WW8Num17z1">
    <w:name w:val="WW8Num17z1"/>
    <w:qFormat/>
    <w:rsid w:val="00671CE2"/>
    <w:rPr>
      <w:rFonts w:ascii="OpenSymbol;Arial Unicode MS" w:hAnsi="OpenSymbol;Arial Unicode MS" w:cs="OpenSymbol;Arial Unicode MS"/>
    </w:rPr>
  </w:style>
  <w:style w:type="character" w:customStyle="1" w:styleId="WW8Num18z0">
    <w:name w:val="WW8Num18z0"/>
    <w:qFormat/>
    <w:rsid w:val="00671CE2"/>
    <w:rPr>
      <w:rFonts w:ascii="Symbol" w:hAnsi="Symbol" w:cs="OpenSymbol;Arial Unicode MS"/>
      <w:strike w:val="0"/>
      <w:dstrike w:val="0"/>
      <w:color w:val="000000"/>
      <w:sz w:val="21"/>
      <w:szCs w:val="21"/>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8z1">
    <w:name w:val="WW8Num18z1"/>
    <w:qFormat/>
    <w:rsid w:val="00671CE2"/>
    <w:rPr>
      <w:rFonts w:ascii="OpenSymbol;Arial Unicode MS" w:hAnsi="OpenSymbol;Arial Unicode MS" w:cs="OpenSymbol;Arial Unicode MS"/>
    </w:rPr>
  </w:style>
  <w:style w:type="character" w:customStyle="1" w:styleId="WW8Num19z0">
    <w:name w:val="WW8Num19z0"/>
    <w:qFormat/>
    <w:rsid w:val="00671CE2"/>
    <w:rPr>
      <w:rFonts w:ascii="Symbol" w:hAnsi="Symbol" w:cs="OpenSymbol;Arial Unicode MS"/>
      <w:strike w:val="0"/>
      <w:dstrike w:val="0"/>
      <w:color w:val="000000"/>
      <w:sz w:val="21"/>
      <w:szCs w:val="21"/>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9z1">
    <w:name w:val="WW8Num19z1"/>
    <w:qFormat/>
    <w:rsid w:val="00671CE2"/>
    <w:rPr>
      <w:rFonts w:ascii="OpenSymbol;Arial Unicode MS" w:hAnsi="OpenSymbol;Arial Unicode MS" w:cs="OpenSymbol;Arial Unicode MS"/>
    </w:rPr>
  </w:style>
  <w:style w:type="character" w:customStyle="1" w:styleId="WW8Num20z0">
    <w:name w:val="WW8Num20z0"/>
    <w:qFormat/>
    <w:rsid w:val="00671CE2"/>
    <w:rPr>
      <w:rFonts w:ascii="Symbol" w:hAnsi="Symbol" w:cs="OpenSymbol;Arial Unicode MS"/>
      <w:color w:val="000000"/>
      <w:sz w:val="21"/>
      <w:szCs w:val="21"/>
    </w:rPr>
  </w:style>
  <w:style w:type="character" w:customStyle="1" w:styleId="WW8Num20z1">
    <w:name w:val="WW8Num20z1"/>
    <w:qFormat/>
    <w:rsid w:val="00671CE2"/>
    <w:rPr>
      <w:rFonts w:ascii="OpenSymbol;Arial Unicode MS" w:hAnsi="OpenSymbol;Arial Unicode MS" w:cs="OpenSymbol;Arial Unicode MS"/>
    </w:rPr>
  </w:style>
  <w:style w:type="character" w:customStyle="1" w:styleId="WW8Num21z0">
    <w:name w:val="WW8Num21z0"/>
    <w:qFormat/>
    <w:rsid w:val="00671CE2"/>
    <w:rPr>
      <w:rFonts w:ascii="Symbol" w:hAnsi="Symbol" w:cs="OpenSymbol;Arial Unicode MS"/>
      <w:color w:val="000000"/>
      <w:sz w:val="21"/>
      <w:szCs w:val="21"/>
    </w:rPr>
  </w:style>
  <w:style w:type="character" w:customStyle="1" w:styleId="WW8Num21z1">
    <w:name w:val="WW8Num21z1"/>
    <w:qFormat/>
    <w:rsid w:val="00671CE2"/>
    <w:rPr>
      <w:rFonts w:ascii="OpenSymbol;Arial Unicode MS" w:hAnsi="OpenSymbol;Arial Unicode MS" w:cs="OpenSymbol;Arial Unicode MS"/>
    </w:rPr>
  </w:style>
  <w:style w:type="character" w:customStyle="1" w:styleId="WW8Num22z0">
    <w:name w:val="WW8Num22z0"/>
    <w:qFormat/>
    <w:rsid w:val="00671CE2"/>
    <w:rPr>
      <w:rFonts w:ascii="Symbol" w:hAnsi="Symbol" w:cs="OpenSymbol;Arial Unicode MS"/>
      <w:color w:val="000000"/>
      <w:sz w:val="21"/>
      <w:szCs w:val="21"/>
    </w:rPr>
  </w:style>
  <w:style w:type="character" w:customStyle="1" w:styleId="WW8Num22z1">
    <w:name w:val="WW8Num22z1"/>
    <w:qFormat/>
    <w:rsid w:val="00671CE2"/>
    <w:rPr>
      <w:rFonts w:ascii="OpenSymbol;Arial Unicode MS" w:hAnsi="OpenSymbol;Arial Unicode MS" w:cs="OpenSymbol;Arial Unicode MS"/>
    </w:rPr>
  </w:style>
  <w:style w:type="character" w:customStyle="1" w:styleId="WW8Num23z0">
    <w:name w:val="WW8Num23z0"/>
    <w:qFormat/>
    <w:rsid w:val="00671CE2"/>
    <w:rPr>
      <w:rFonts w:ascii="Symbol" w:hAnsi="Symbol" w:cs="OpenSymbol;Arial Unicode MS"/>
      <w:color w:val="000000"/>
      <w:sz w:val="21"/>
      <w:szCs w:val="21"/>
    </w:rPr>
  </w:style>
  <w:style w:type="character" w:customStyle="1" w:styleId="WW8Num23z1">
    <w:name w:val="WW8Num23z1"/>
    <w:qFormat/>
    <w:rsid w:val="00671CE2"/>
    <w:rPr>
      <w:rFonts w:ascii="OpenSymbol;Arial Unicode MS" w:hAnsi="OpenSymbol;Arial Unicode MS" w:cs="OpenSymbol;Arial Unicode MS"/>
    </w:rPr>
  </w:style>
  <w:style w:type="character" w:customStyle="1" w:styleId="WW8Num24z0">
    <w:name w:val="WW8Num24z0"/>
    <w:qFormat/>
    <w:rsid w:val="00671CE2"/>
    <w:rPr>
      <w:rFonts w:ascii="Symbol" w:hAnsi="Symbol" w:cs="OpenSymbol;Arial Unicode MS"/>
      <w:color w:val="000000"/>
      <w:sz w:val="21"/>
      <w:szCs w:val="21"/>
    </w:rPr>
  </w:style>
  <w:style w:type="character" w:customStyle="1" w:styleId="WW8Num24z1">
    <w:name w:val="WW8Num24z1"/>
    <w:qFormat/>
    <w:rsid w:val="00671CE2"/>
    <w:rPr>
      <w:rFonts w:ascii="OpenSymbol;Arial Unicode MS" w:hAnsi="OpenSymbol;Arial Unicode MS" w:cs="OpenSymbol;Arial Unicode MS"/>
    </w:rPr>
  </w:style>
  <w:style w:type="character" w:customStyle="1" w:styleId="WW8Num25z0">
    <w:name w:val="WW8Num25z0"/>
    <w:qFormat/>
    <w:rsid w:val="00671CE2"/>
    <w:rPr>
      <w:rFonts w:ascii="Symbol" w:hAnsi="Symbol" w:cs="OpenSymbol;Arial Unicode MS"/>
      <w:color w:val="000000"/>
      <w:sz w:val="21"/>
      <w:szCs w:val="21"/>
    </w:rPr>
  </w:style>
  <w:style w:type="character" w:customStyle="1" w:styleId="WW8Num25z1">
    <w:name w:val="WW8Num25z1"/>
    <w:qFormat/>
    <w:rsid w:val="00671CE2"/>
    <w:rPr>
      <w:rFonts w:ascii="OpenSymbol;Arial Unicode MS" w:hAnsi="OpenSymbol;Arial Unicode MS" w:cs="OpenSymbol;Arial Unicode MS"/>
    </w:rPr>
  </w:style>
  <w:style w:type="character" w:customStyle="1" w:styleId="WW8Num26z0">
    <w:name w:val="WW8Num26z0"/>
    <w:qFormat/>
    <w:rsid w:val="00671CE2"/>
    <w:rPr>
      <w:rFonts w:ascii="Symbol" w:hAnsi="Symbol" w:cs="OpenSymbol;Arial Unicode MS"/>
      <w:color w:val="000000"/>
      <w:sz w:val="21"/>
      <w:szCs w:val="21"/>
    </w:rPr>
  </w:style>
  <w:style w:type="character" w:customStyle="1" w:styleId="WW8Num26z1">
    <w:name w:val="WW8Num26z1"/>
    <w:qFormat/>
    <w:rsid w:val="00671CE2"/>
    <w:rPr>
      <w:rFonts w:ascii="OpenSymbol;Arial Unicode MS" w:hAnsi="OpenSymbol;Arial Unicode MS" w:cs="OpenSymbol;Arial Unicode MS"/>
    </w:rPr>
  </w:style>
  <w:style w:type="character" w:customStyle="1" w:styleId="WW8Num27z0">
    <w:name w:val="WW8Num27z0"/>
    <w:qFormat/>
    <w:rsid w:val="00671CE2"/>
    <w:rPr>
      <w:rFonts w:ascii="Symbol" w:hAnsi="Symbol" w:cs="OpenSymbol;Arial Unicode MS"/>
      <w:color w:val="000000"/>
      <w:sz w:val="21"/>
      <w:szCs w:val="21"/>
    </w:rPr>
  </w:style>
  <w:style w:type="character" w:customStyle="1" w:styleId="WW8Num27z1">
    <w:name w:val="WW8Num27z1"/>
    <w:qFormat/>
    <w:rsid w:val="00671CE2"/>
    <w:rPr>
      <w:rFonts w:ascii="OpenSymbol;Arial Unicode MS" w:hAnsi="OpenSymbol;Arial Unicode MS" w:cs="OpenSymbol;Arial Unicode MS"/>
    </w:rPr>
  </w:style>
  <w:style w:type="character" w:customStyle="1" w:styleId="WW8Num28z0">
    <w:name w:val="WW8Num28z0"/>
    <w:qFormat/>
    <w:rsid w:val="00671CE2"/>
    <w:rPr>
      <w:rFonts w:ascii="Symbol" w:hAnsi="Symbol" w:cs="OpenSymbol;Arial Unicode MS"/>
      <w:color w:val="000000"/>
      <w:sz w:val="21"/>
      <w:szCs w:val="21"/>
    </w:rPr>
  </w:style>
  <w:style w:type="character" w:customStyle="1" w:styleId="WW8Num28z1">
    <w:name w:val="WW8Num28z1"/>
    <w:qFormat/>
    <w:rsid w:val="00671CE2"/>
    <w:rPr>
      <w:rFonts w:ascii="OpenSymbol;Arial Unicode MS" w:hAnsi="OpenSymbol;Arial Unicode MS" w:cs="OpenSymbol;Arial Unicode MS"/>
    </w:rPr>
  </w:style>
  <w:style w:type="character" w:customStyle="1" w:styleId="WW8Num29z0">
    <w:name w:val="WW8Num29z0"/>
    <w:qFormat/>
    <w:rsid w:val="00671CE2"/>
    <w:rPr>
      <w:rFonts w:ascii="Symbol" w:hAnsi="Symbol" w:cs="OpenSymbol;Arial Unicode MS"/>
      <w:color w:val="000000"/>
      <w:sz w:val="21"/>
      <w:szCs w:val="21"/>
    </w:rPr>
  </w:style>
  <w:style w:type="character" w:customStyle="1" w:styleId="WW8Num29z1">
    <w:name w:val="WW8Num29z1"/>
    <w:qFormat/>
    <w:rsid w:val="00671CE2"/>
    <w:rPr>
      <w:rFonts w:ascii="OpenSymbol;Arial Unicode MS" w:hAnsi="OpenSymbol;Arial Unicode MS" w:cs="OpenSymbol;Arial Unicode MS"/>
    </w:rPr>
  </w:style>
  <w:style w:type="character" w:customStyle="1" w:styleId="WW8Num30z0">
    <w:name w:val="WW8Num30z0"/>
    <w:qFormat/>
    <w:rsid w:val="00671CE2"/>
    <w:rPr>
      <w:rFonts w:ascii="Symbol" w:hAnsi="Symbol" w:cs="OpenSymbol;Arial Unicode MS"/>
      <w:caps w:val="0"/>
      <w:smallCaps w:val="0"/>
      <w:color w:val="000000"/>
      <w:spacing w:val="0"/>
      <w:sz w:val="21"/>
      <w:szCs w:val="21"/>
    </w:rPr>
  </w:style>
  <w:style w:type="character" w:customStyle="1" w:styleId="WW8Num30z1">
    <w:name w:val="WW8Num30z1"/>
    <w:qFormat/>
    <w:rsid w:val="00671CE2"/>
    <w:rPr>
      <w:rFonts w:ascii="OpenSymbol;Arial Unicode MS" w:hAnsi="OpenSymbol;Arial Unicode MS" w:cs="OpenSymbol;Arial Unicode MS"/>
    </w:rPr>
  </w:style>
  <w:style w:type="character" w:customStyle="1" w:styleId="WW8Num31z0">
    <w:name w:val="WW8Num31z0"/>
    <w:qFormat/>
    <w:rsid w:val="00671CE2"/>
    <w:rPr>
      <w:rFonts w:ascii="Symbol" w:hAnsi="Symbol" w:cs="OpenSymbol;Arial Unicode MS"/>
      <w:color w:val="000000"/>
      <w:sz w:val="21"/>
      <w:szCs w:val="21"/>
    </w:rPr>
  </w:style>
  <w:style w:type="character" w:customStyle="1" w:styleId="WW8Num31z1">
    <w:name w:val="WW8Num31z1"/>
    <w:qFormat/>
    <w:rsid w:val="00671CE2"/>
    <w:rPr>
      <w:rFonts w:ascii="OpenSymbol;Arial Unicode MS" w:hAnsi="OpenSymbol;Arial Unicode MS" w:cs="OpenSymbol;Arial Unicode MS"/>
    </w:rPr>
  </w:style>
  <w:style w:type="character" w:customStyle="1" w:styleId="WW8Num32z0">
    <w:name w:val="WW8Num32z0"/>
    <w:qFormat/>
    <w:rsid w:val="00671CE2"/>
    <w:rPr>
      <w:rFonts w:ascii="Symbol" w:eastAsia="Times New Roman" w:hAnsi="Symbol" w:cs="OpenSymbol;Arial Unicode MS"/>
      <w:color w:val="000000"/>
      <w:sz w:val="21"/>
      <w:szCs w:val="21"/>
      <w:lang w:eastAsia="es-ES"/>
    </w:rPr>
  </w:style>
  <w:style w:type="character" w:customStyle="1" w:styleId="WW8Num8z2">
    <w:name w:val="WW8Num8z2"/>
    <w:qFormat/>
    <w:rsid w:val="00671CE2"/>
    <w:rPr>
      <w:rFonts w:ascii="Wingdings" w:hAnsi="Wingdings" w:cs="Wingdings"/>
      <w:sz w:val="20"/>
    </w:rPr>
  </w:style>
  <w:style w:type="character" w:customStyle="1" w:styleId="WW8Num9z2">
    <w:name w:val="WW8Num9z2"/>
    <w:qFormat/>
    <w:rsid w:val="00671CE2"/>
  </w:style>
  <w:style w:type="character" w:customStyle="1" w:styleId="WW8Num9z3">
    <w:name w:val="WW8Num9z3"/>
    <w:qFormat/>
    <w:rsid w:val="00671CE2"/>
  </w:style>
  <w:style w:type="character" w:customStyle="1" w:styleId="WW8Num9z4">
    <w:name w:val="WW8Num9z4"/>
    <w:qFormat/>
    <w:rsid w:val="00671CE2"/>
  </w:style>
  <w:style w:type="character" w:customStyle="1" w:styleId="WW8Num9z5">
    <w:name w:val="WW8Num9z5"/>
    <w:qFormat/>
    <w:rsid w:val="00671CE2"/>
  </w:style>
  <w:style w:type="character" w:customStyle="1" w:styleId="WW8Num9z6">
    <w:name w:val="WW8Num9z6"/>
    <w:qFormat/>
    <w:rsid w:val="00671CE2"/>
  </w:style>
  <w:style w:type="character" w:customStyle="1" w:styleId="WW8Num9z7">
    <w:name w:val="WW8Num9z7"/>
    <w:qFormat/>
    <w:rsid w:val="00671CE2"/>
  </w:style>
  <w:style w:type="character" w:customStyle="1" w:styleId="WW8Num9z8">
    <w:name w:val="WW8Num9z8"/>
    <w:qFormat/>
    <w:rsid w:val="00671CE2"/>
  </w:style>
  <w:style w:type="character" w:customStyle="1" w:styleId="WW8Num10z2">
    <w:name w:val="WW8Num10z2"/>
    <w:qFormat/>
    <w:rsid w:val="00671CE2"/>
    <w:rPr>
      <w:rFonts w:ascii="Wingdings" w:hAnsi="Wingdings" w:cs="Wingdings"/>
      <w:sz w:val="20"/>
    </w:rPr>
  </w:style>
  <w:style w:type="character" w:customStyle="1" w:styleId="WW8Num11z2">
    <w:name w:val="WW8Num11z2"/>
    <w:qFormat/>
    <w:rsid w:val="00671CE2"/>
    <w:rPr>
      <w:rFonts w:ascii="Wingdings" w:hAnsi="Wingdings" w:cs="Wingdings"/>
      <w:sz w:val="20"/>
    </w:rPr>
  </w:style>
  <w:style w:type="character" w:customStyle="1" w:styleId="WW8Num12z2">
    <w:name w:val="WW8Num12z2"/>
    <w:qFormat/>
    <w:rsid w:val="00671CE2"/>
    <w:rPr>
      <w:rFonts w:ascii="Wingdings" w:hAnsi="Wingdings" w:cs="Wingdings"/>
      <w:sz w:val="20"/>
    </w:rPr>
  </w:style>
  <w:style w:type="character" w:customStyle="1" w:styleId="WW8Num13z2">
    <w:name w:val="WW8Num13z2"/>
    <w:qFormat/>
    <w:rsid w:val="00671CE2"/>
    <w:rPr>
      <w:rFonts w:ascii="Wingdings" w:hAnsi="Wingdings" w:cs="Wingdings"/>
      <w:sz w:val="20"/>
    </w:rPr>
  </w:style>
  <w:style w:type="character" w:customStyle="1" w:styleId="WW8Num14z2">
    <w:name w:val="WW8Num14z2"/>
    <w:qFormat/>
    <w:rsid w:val="00671CE2"/>
    <w:rPr>
      <w:rFonts w:ascii="Wingdings" w:hAnsi="Wingdings" w:cs="Wingdings"/>
      <w:sz w:val="20"/>
    </w:rPr>
  </w:style>
  <w:style w:type="character" w:customStyle="1" w:styleId="WW8Num6z3">
    <w:name w:val="WW8Num6z3"/>
    <w:qFormat/>
    <w:rsid w:val="00671CE2"/>
  </w:style>
  <w:style w:type="character" w:customStyle="1" w:styleId="WW8Num6z4">
    <w:name w:val="WW8Num6z4"/>
    <w:qFormat/>
    <w:rsid w:val="00671CE2"/>
  </w:style>
  <w:style w:type="character" w:customStyle="1" w:styleId="WW8Num6z5">
    <w:name w:val="WW8Num6z5"/>
    <w:qFormat/>
    <w:rsid w:val="00671CE2"/>
  </w:style>
  <w:style w:type="character" w:customStyle="1" w:styleId="WW8Num6z6">
    <w:name w:val="WW8Num6z6"/>
    <w:qFormat/>
    <w:rsid w:val="00671CE2"/>
  </w:style>
  <w:style w:type="character" w:customStyle="1" w:styleId="WW8Num6z7">
    <w:name w:val="WW8Num6z7"/>
    <w:qFormat/>
    <w:rsid w:val="00671CE2"/>
  </w:style>
  <w:style w:type="character" w:customStyle="1" w:styleId="WW8Num6z8">
    <w:name w:val="WW8Num6z8"/>
    <w:qFormat/>
    <w:rsid w:val="00671CE2"/>
  </w:style>
  <w:style w:type="character" w:customStyle="1" w:styleId="WW8Num7z3">
    <w:name w:val="WW8Num7z3"/>
    <w:qFormat/>
    <w:rsid w:val="00671CE2"/>
  </w:style>
  <w:style w:type="character" w:customStyle="1" w:styleId="WW8Num7z4">
    <w:name w:val="WW8Num7z4"/>
    <w:qFormat/>
    <w:rsid w:val="00671CE2"/>
  </w:style>
  <w:style w:type="character" w:customStyle="1" w:styleId="WW8Num7z5">
    <w:name w:val="WW8Num7z5"/>
    <w:qFormat/>
    <w:rsid w:val="00671CE2"/>
  </w:style>
  <w:style w:type="character" w:customStyle="1" w:styleId="WW8Num7z6">
    <w:name w:val="WW8Num7z6"/>
    <w:qFormat/>
    <w:rsid w:val="00671CE2"/>
  </w:style>
  <w:style w:type="character" w:customStyle="1" w:styleId="WW8Num7z7">
    <w:name w:val="WW8Num7z7"/>
    <w:qFormat/>
    <w:rsid w:val="00671CE2"/>
  </w:style>
  <w:style w:type="character" w:customStyle="1" w:styleId="WW8Num7z8">
    <w:name w:val="WW8Num7z8"/>
    <w:qFormat/>
    <w:rsid w:val="00671CE2"/>
  </w:style>
  <w:style w:type="character" w:customStyle="1" w:styleId="WW8Num10z3">
    <w:name w:val="WW8Num10z3"/>
    <w:qFormat/>
    <w:rsid w:val="00671CE2"/>
  </w:style>
  <w:style w:type="character" w:customStyle="1" w:styleId="WW8Num10z4">
    <w:name w:val="WW8Num10z4"/>
    <w:qFormat/>
    <w:rsid w:val="00671CE2"/>
  </w:style>
  <w:style w:type="character" w:customStyle="1" w:styleId="WW8Num10z5">
    <w:name w:val="WW8Num10z5"/>
    <w:qFormat/>
    <w:rsid w:val="00671CE2"/>
  </w:style>
  <w:style w:type="character" w:customStyle="1" w:styleId="WW8Num10z6">
    <w:name w:val="WW8Num10z6"/>
    <w:qFormat/>
    <w:rsid w:val="00671CE2"/>
  </w:style>
  <w:style w:type="character" w:customStyle="1" w:styleId="WW8Num10z7">
    <w:name w:val="WW8Num10z7"/>
    <w:qFormat/>
    <w:rsid w:val="00671CE2"/>
  </w:style>
  <w:style w:type="character" w:customStyle="1" w:styleId="WW8Num10z8">
    <w:name w:val="WW8Num10z8"/>
    <w:qFormat/>
    <w:rsid w:val="00671CE2"/>
  </w:style>
  <w:style w:type="character" w:customStyle="1" w:styleId="WW8Num11z3">
    <w:name w:val="WW8Num11z3"/>
    <w:qFormat/>
    <w:rsid w:val="00671CE2"/>
  </w:style>
  <w:style w:type="character" w:customStyle="1" w:styleId="WW8Num11z4">
    <w:name w:val="WW8Num11z4"/>
    <w:qFormat/>
    <w:rsid w:val="00671CE2"/>
  </w:style>
  <w:style w:type="character" w:customStyle="1" w:styleId="WW8Num11z5">
    <w:name w:val="WW8Num11z5"/>
    <w:qFormat/>
    <w:rsid w:val="00671CE2"/>
  </w:style>
  <w:style w:type="character" w:customStyle="1" w:styleId="WW8Num11z6">
    <w:name w:val="WW8Num11z6"/>
    <w:qFormat/>
    <w:rsid w:val="00671CE2"/>
  </w:style>
  <w:style w:type="character" w:customStyle="1" w:styleId="WW8Num11z7">
    <w:name w:val="WW8Num11z7"/>
    <w:qFormat/>
    <w:rsid w:val="00671CE2"/>
  </w:style>
  <w:style w:type="character" w:customStyle="1" w:styleId="WW8Num11z8">
    <w:name w:val="WW8Num11z8"/>
    <w:qFormat/>
    <w:rsid w:val="00671CE2"/>
  </w:style>
  <w:style w:type="character" w:customStyle="1" w:styleId="WW8Num12z3">
    <w:name w:val="WW8Num12z3"/>
    <w:qFormat/>
    <w:rsid w:val="00671CE2"/>
  </w:style>
  <w:style w:type="character" w:customStyle="1" w:styleId="WW8Num12z4">
    <w:name w:val="WW8Num12z4"/>
    <w:qFormat/>
    <w:rsid w:val="00671CE2"/>
  </w:style>
  <w:style w:type="character" w:customStyle="1" w:styleId="WW8Num12z5">
    <w:name w:val="WW8Num12z5"/>
    <w:qFormat/>
    <w:rsid w:val="00671CE2"/>
  </w:style>
  <w:style w:type="character" w:customStyle="1" w:styleId="WW8Num12z6">
    <w:name w:val="WW8Num12z6"/>
    <w:qFormat/>
    <w:rsid w:val="00671CE2"/>
  </w:style>
  <w:style w:type="character" w:customStyle="1" w:styleId="WW8Num12z7">
    <w:name w:val="WW8Num12z7"/>
    <w:qFormat/>
    <w:rsid w:val="00671CE2"/>
  </w:style>
  <w:style w:type="character" w:customStyle="1" w:styleId="WW8Num12z8">
    <w:name w:val="WW8Num12z8"/>
    <w:qFormat/>
    <w:rsid w:val="00671CE2"/>
  </w:style>
  <w:style w:type="character" w:customStyle="1" w:styleId="WW8Num15z2">
    <w:name w:val="WW8Num15z2"/>
    <w:qFormat/>
    <w:rsid w:val="00671CE2"/>
    <w:rPr>
      <w:rFonts w:ascii="Wingdings" w:hAnsi="Wingdings" w:cs="Wingdings"/>
      <w:sz w:val="20"/>
    </w:rPr>
  </w:style>
  <w:style w:type="character" w:customStyle="1" w:styleId="WW8Num16z2">
    <w:name w:val="WW8Num16z2"/>
    <w:qFormat/>
    <w:rsid w:val="00671CE2"/>
    <w:rPr>
      <w:rFonts w:ascii="Wingdings" w:hAnsi="Wingdings" w:cs="Wingdings"/>
      <w:sz w:val="20"/>
    </w:rPr>
  </w:style>
  <w:style w:type="character" w:customStyle="1" w:styleId="WW8Num17z2">
    <w:name w:val="WW8Num17z2"/>
    <w:qFormat/>
    <w:rsid w:val="00671CE2"/>
    <w:rPr>
      <w:rFonts w:ascii="Wingdings" w:hAnsi="Wingdings" w:cs="Wingdings"/>
      <w:sz w:val="20"/>
    </w:rPr>
  </w:style>
  <w:style w:type="character" w:customStyle="1" w:styleId="Fuentedeprrafopredeter1">
    <w:name w:val="Fuente de párrafo predeter.1"/>
    <w:qFormat/>
    <w:rsid w:val="00671CE2"/>
  </w:style>
  <w:style w:type="character" w:customStyle="1" w:styleId="EnlacedeInternetvisitado">
    <w:name w:val="Enlace de Internet visitado"/>
    <w:rsid w:val="00671CE2"/>
    <w:rPr>
      <w:color w:val="800000"/>
      <w:u w:val="single"/>
    </w:rPr>
  </w:style>
  <w:style w:type="character" w:customStyle="1" w:styleId="Muydestacado">
    <w:name w:val="Muy destacado"/>
    <w:qFormat/>
    <w:rsid w:val="00671CE2"/>
    <w:rPr>
      <w:b/>
      <w:bCs/>
    </w:rPr>
  </w:style>
  <w:style w:type="character" w:customStyle="1" w:styleId="Destacado">
    <w:name w:val="Destacado"/>
    <w:qFormat/>
    <w:rsid w:val="00671CE2"/>
    <w:rPr>
      <w:i/>
      <w:iCs/>
    </w:rPr>
  </w:style>
  <w:style w:type="character" w:customStyle="1" w:styleId="Vietas">
    <w:name w:val="Viñetas"/>
    <w:qFormat/>
    <w:rsid w:val="00671CE2"/>
    <w:rPr>
      <w:rFonts w:ascii="OpenSymbol;Arial Unicode MS" w:eastAsia="OpenSymbol;Arial Unicode MS" w:hAnsi="OpenSymbol;Arial Unicode MS" w:cs="OpenSymbol;Arial Unicode MS"/>
    </w:rPr>
  </w:style>
  <w:style w:type="character" w:customStyle="1" w:styleId="ListLabel53">
    <w:name w:val="ListLabel 53"/>
    <w:qFormat/>
    <w:rsid w:val="00671CE2"/>
    <w:rPr>
      <w:b/>
      <w:sz w:val="20"/>
    </w:rPr>
  </w:style>
  <w:style w:type="character" w:customStyle="1" w:styleId="Tipusdelletraperdefectedelpargraf">
    <w:name w:val="Tipus de lletra per defecte del paràgraf"/>
    <w:qFormat/>
    <w:rsid w:val="00671CE2"/>
  </w:style>
  <w:style w:type="character" w:customStyle="1" w:styleId="Fuentedeprrafopredeter2">
    <w:name w:val="Fuente de párrafo predeter.2"/>
    <w:qFormat/>
    <w:rsid w:val="00671CE2"/>
  </w:style>
  <w:style w:type="character" w:customStyle="1" w:styleId="WWCharLFO2LVL1">
    <w:name w:val="WW_CharLFO2LVL1"/>
    <w:qFormat/>
    <w:rsid w:val="00671CE2"/>
    <w:rPr>
      <w:rFonts w:ascii="OpenSymbol" w:eastAsia="OpenSymbol" w:hAnsi="OpenSymbol" w:cs="OpenSymbol"/>
      <w:color w:val="993333"/>
    </w:rPr>
  </w:style>
  <w:style w:type="character" w:customStyle="1" w:styleId="WWCharLFO2LVL2">
    <w:name w:val="WW_CharLFO2LVL2"/>
    <w:qFormat/>
    <w:rsid w:val="00671CE2"/>
    <w:rPr>
      <w:rFonts w:ascii="OpenSymbol" w:eastAsia="OpenSymbol" w:hAnsi="OpenSymbol" w:cs="OpenSymbol"/>
      <w:color w:val="993333"/>
    </w:rPr>
  </w:style>
  <w:style w:type="character" w:customStyle="1" w:styleId="WWCharLFO2LVL3">
    <w:name w:val="WW_CharLFO2LVL3"/>
    <w:qFormat/>
    <w:rsid w:val="00671CE2"/>
    <w:rPr>
      <w:rFonts w:ascii="OpenSymbol" w:eastAsia="OpenSymbol" w:hAnsi="OpenSymbol" w:cs="OpenSymbol"/>
      <w:color w:val="993333"/>
    </w:rPr>
  </w:style>
  <w:style w:type="character" w:customStyle="1" w:styleId="WWCharLFO2LVL4">
    <w:name w:val="WW_CharLFO2LVL4"/>
    <w:qFormat/>
    <w:rsid w:val="00671CE2"/>
    <w:rPr>
      <w:rFonts w:ascii="OpenSymbol" w:eastAsia="OpenSymbol" w:hAnsi="OpenSymbol" w:cs="OpenSymbol"/>
      <w:color w:val="993333"/>
    </w:rPr>
  </w:style>
  <w:style w:type="character" w:customStyle="1" w:styleId="WWCharLFO2LVL5">
    <w:name w:val="WW_CharLFO2LVL5"/>
    <w:qFormat/>
    <w:rsid w:val="00671CE2"/>
    <w:rPr>
      <w:rFonts w:ascii="OpenSymbol" w:eastAsia="OpenSymbol" w:hAnsi="OpenSymbol" w:cs="OpenSymbol"/>
      <w:color w:val="993333"/>
    </w:rPr>
  </w:style>
  <w:style w:type="character" w:customStyle="1" w:styleId="WWCharLFO2LVL6">
    <w:name w:val="WW_CharLFO2LVL6"/>
    <w:qFormat/>
    <w:rsid w:val="00671CE2"/>
    <w:rPr>
      <w:rFonts w:ascii="OpenSymbol" w:eastAsia="OpenSymbol" w:hAnsi="OpenSymbol" w:cs="OpenSymbol"/>
      <w:color w:val="993333"/>
    </w:rPr>
  </w:style>
  <w:style w:type="character" w:customStyle="1" w:styleId="WWCharLFO2LVL7">
    <w:name w:val="WW_CharLFO2LVL7"/>
    <w:qFormat/>
    <w:rsid w:val="00671CE2"/>
    <w:rPr>
      <w:rFonts w:ascii="OpenSymbol" w:eastAsia="OpenSymbol" w:hAnsi="OpenSymbol" w:cs="OpenSymbol"/>
      <w:color w:val="993333"/>
    </w:rPr>
  </w:style>
  <w:style w:type="character" w:customStyle="1" w:styleId="WWCharLFO2LVL8">
    <w:name w:val="WW_CharLFO2LVL8"/>
    <w:qFormat/>
    <w:rsid w:val="00671CE2"/>
    <w:rPr>
      <w:rFonts w:ascii="OpenSymbol" w:eastAsia="OpenSymbol" w:hAnsi="OpenSymbol" w:cs="OpenSymbol"/>
      <w:color w:val="993333"/>
    </w:rPr>
  </w:style>
  <w:style w:type="character" w:customStyle="1" w:styleId="WWCharLFO2LVL9">
    <w:name w:val="WW_CharLFO2LVL9"/>
    <w:qFormat/>
    <w:rsid w:val="00671CE2"/>
    <w:rPr>
      <w:rFonts w:ascii="OpenSymbol" w:eastAsia="OpenSymbol" w:hAnsi="OpenSymbol" w:cs="OpenSymbol"/>
      <w:color w:val="993333"/>
    </w:rPr>
  </w:style>
  <w:style w:type="character" w:customStyle="1" w:styleId="WWCharLFO3LVL1">
    <w:name w:val="WW_CharLFO3LVL1"/>
    <w:qFormat/>
    <w:rsid w:val="00671CE2"/>
    <w:rPr>
      <w:rFonts w:ascii="OpenSymbol" w:eastAsia="OpenSymbol" w:hAnsi="OpenSymbol" w:cs="OpenSymbol"/>
      <w:color w:val="993333"/>
    </w:rPr>
  </w:style>
  <w:style w:type="character" w:customStyle="1" w:styleId="WWCharLFO3LVL2">
    <w:name w:val="WW_CharLFO3LVL2"/>
    <w:qFormat/>
    <w:rsid w:val="00671CE2"/>
    <w:rPr>
      <w:rFonts w:ascii="OpenSymbol" w:eastAsia="OpenSymbol" w:hAnsi="OpenSymbol" w:cs="OpenSymbol"/>
      <w:color w:val="993333"/>
    </w:rPr>
  </w:style>
  <w:style w:type="character" w:customStyle="1" w:styleId="WWCharLFO3LVL3">
    <w:name w:val="WW_CharLFO3LVL3"/>
    <w:qFormat/>
    <w:rsid w:val="00671CE2"/>
    <w:rPr>
      <w:rFonts w:ascii="OpenSymbol" w:eastAsia="OpenSymbol" w:hAnsi="OpenSymbol" w:cs="OpenSymbol"/>
      <w:color w:val="993333"/>
    </w:rPr>
  </w:style>
  <w:style w:type="character" w:customStyle="1" w:styleId="WWCharLFO3LVL4">
    <w:name w:val="WW_CharLFO3LVL4"/>
    <w:qFormat/>
    <w:rsid w:val="00671CE2"/>
    <w:rPr>
      <w:rFonts w:ascii="OpenSymbol" w:eastAsia="OpenSymbol" w:hAnsi="OpenSymbol" w:cs="OpenSymbol"/>
      <w:color w:val="993333"/>
    </w:rPr>
  </w:style>
  <w:style w:type="character" w:customStyle="1" w:styleId="WWCharLFO3LVL5">
    <w:name w:val="WW_CharLFO3LVL5"/>
    <w:qFormat/>
    <w:rsid w:val="00671CE2"/>
    <w:rPr>
      <w:rFonts w:ascii="OpenSymbol" w:eastAsia="OpenSymbol" w:hAnsi="OpenSymbol" w:cs="OpenSymbol"/>
      <w:color w:val="993333"/>
    </w:rPr>
  </w:style>
  <w:style w:type="character" w:customStyle="1" w:styleId="WWCharLFO3LVL6">
    <w:name w:val="WW_CharLFO3LVL6"/>
    <w:qFormat/>
    <w:rsid w:val="00671CE2"/>
    <w:rPr>
      <w:rFonts w:ascii="OpenSymbol" w:eastAsia="OpenSymbol" w:hAnsi="OpenSymbol" w:cs="OpenSymbol"/>
      <w:color w:val="993333"/>
    </w:rPr>
  </w:style>
  <w:style w:type="character" w:customStyle="1" w:styleId="WWCharLFO3LVL7">
    <w:name w:val="WW_CharLFO3LVL7"/>
    <w:qFormat/>
    <w:rsid w:val="00671CE2"/>
    <w:rPr>
      <w:rFonts w:ascii="OpenSymbol" w:eastAsia="OpenSymbol" w:hAnsi="OpenSymbol" w:cs="OpenSymbol"/>
      <w:color w:val="993333"/>
    </w:rPr>
  </w:style>
  <w:style w:type="character" w:customStyle="1" w:styleId="WWCharLFO3LVL8">
    <w:name w:val="WW_CharLFO3LVL8"/>
    <w:qFormat/>
    <w:rsid w:val="00671CE2"/>
    <w:rPr>
      <w:rFonts w:ascii="OpenSymbol" w:eastAsia="OpenSymbol" w:hAnsi="OpenSymbol" w:cs="OpenSymbol"/>
      <w:color w:val="993333"/>
    </w:rPr>
  </w:style>
  <w:style w:type="character" w:customStyle="1" w:styleId="WWCharLFO3LVL9">
    <w:name w:val="WW_CharLFO3LVL9"/>
    <w:qFormat/>
    <w:rsid w:val="00671CE2"/>
    <w:rPr>
      <w:rFonts w:ascii="OpenSymbol" w:eastAsia="OpenSymbol" w:hAnsi="OpenSymbol" w:cs="OpenSymbol"/>
      <w:color w:val="993333"/>
    </w:rPr>
  </w:style>
  <w:style w:type="paragraph" w:styleId="Lista">
    <w:name w:val="List"/>
    <w:basedOn w:val="Textoindependiente"/>
    <w:uiPriority w:val="99"/>
    <w:qFormat/>
    <w:rsid w:val="00671CE2"/>
    <w:pPr>
      <w:suppressAutoHyphens/>
    </w:pPr>
    <w:rPr>
      <w:rFonts w:ascii="Calibri" w:eastAsia="Calibri" w:hAnsi="Calibri"/>
      <w:kern w:val="0"/>
      <w:sz w:val="22"/>
      <w:szCs w:val="22"/>
      <w:lang w:bidi="ar-SA"/>
    </w:rPr>
  </w:style>
  <w:style w:type="paragraph" w:customStyle="1" w:styleId="ndice">
    <w:name w:val="Índice"/>
    <w:basedOn w:val="Normal"/>
    <w:uiPriority w:val="99"/>
    <w:qFormat/>
    <w:rsid w:val="00671CE2"/>
    <w:pPr>
      <w:suppressLineNumbers/>
      <w:suppressAutoHyphens/>
      <w:spacing w:line="252" w:lineRule="auto"/>
    </w:pPr>
    <w:rPr>
      <w:rFonts w:ascii="Calibri" w:eastAsia="Calibri" w:hAnsi="Calibri" w:cs="Arial"/>
      <w:lang w:eastAsia="zh-CN"/>
    </w:rPr>
  </w:style>
  <w:style w:type="paragraph" w:customStyle="1" w:styleId="Ttulo10">
    <w:name w:val="Título1"/>
    <w:basedOn w:val="Normal"/>
    <w:next w:val="Textoindependiente"/>
    <w:uiPriority w:val="99"/>
    <w:qFormat/>
    <w:rsid w:val="00671CE2"/>
    <w:pPr>
      <w:keepNext/>
      <w:suppressAutoHyphens/>
      <w:spacing w:before="240" w:after="120" w:line="252" w:lineRule="auto"/>
    </w:pPr>
    <w:rPr>
      <w:rFonts w:ascii="Liberation Sans;Arial" w:eastAsia="Microsoft YaHei" w:hAnsi="Liberation Sans;Arial" w:cs="Arial"/>
      <w:sz w:val="28"/>
      <w:szCs w:val="28"/>
      <w:lang w:eastAsia="zh-CN"/>
    </w:rPr>
  </w:style>
  <w:style w:type="paragraph" w:customStyle="1" w:styleId="msonormal0">
    <w:name w:val="msonormal"/>
    <w:basedOn w:val="Normal"/>
    <w:qFormat/>
    <w:rsid w:val="00671CE2"/>
    <w:pPr>
      <w:suppressAutoHyphens/>
      <w:spacing w:before="280" w:after="142" w:line="288" w:lineRule="auto"/>
    </w:pPr>
    <w:rPr>
      <w:rFonts w:ascii="Times New Roman" w:eastAsia="Times New Roman" w:hAnsi="Times New Roman" w:cs="Times New Roman"/>
      <w:sz w:val="24"/>
      <w:szCs w:val="24"/>
      <w:lang w:eastAsia="zh-CN"/>
    </w:rPr>
  </w:style>
  <w:style w:type="paragraph" w:customStyle="1" w:styleId="Default">
    <w:name w:val="Default"/>
    <w:qFormat/>
    <w:rsid w:val="00671CE2"/>
    <w:pPr>
      <w:widowControl w:val="0"/>
      <w:suppressAutoHyphens/>
      <w:spacing w:after="0" w:line="240" w:lineRule="auto"/>
    </w:pPr>
    <w:rPr>
      <w:rFonts w:ascii="Arial" w:eastAsia="NSimSun" w:hAnsi="Arial" w:cs="Arial"/>
      <w:color w:val="000000"/>
      <w:sz w:val="24"/>
      <w:szCs w:val="24"/>
      <w:lang w:eastAsia="zh-CN" w:bidi="hi-IN"/>
    </w:rPr>
  </w:style>
  <w:style w:type="paragraph" w:customStyle="1" w:styleId="Contenidodelatabla">
    <w:name w:val="Contenido de la tabla"/>
    <w:basedOn w:val="Normal"/>
    <w:qFormat/>
    <w:rsid w:val="00671CE2"/>
    <w:pPr>
      <w:suppressLineNumbers/>
      <w:suppressAutoHyphens/>
      <w:spacing w:line="252" w:lineRule="auto"/>
    </w:pPr>
    <w:rPr>
      <w:rFonts w:ascii="Calibri" w:eastAsia="Calibri" w:hAnsi="Calibri" w:cs="Calibri"/>
      <w:lang w:eastAsia="zh-CN"/>
    </w:rPr>
  </w:style>
  <w:style w:type="paragraph" w:customStyle="1" w:styleId="ndicedeusuario4">
    <w:name w:val="Índice de usuario 4"/>
    <w:basedOn w:val="ndice"/>
    <w:uiPriority w:val="99"/>
    <w:qFormat/>
    <w:rsid w:val="00671CE2"/>
    <w:pPr>
      <w:tabs>
        <w:tab w:val="right" w:leader="dot" w:pos="8789"/>
      </w:tabs>
      <w:ind w:left="849"/>
    </w:pPr>
  </w:style>
  <w:style w:type="paragraph" w:customStyle="1" w:styleId="Standard">
    <w:name w:val="Standard"/>
    <w:qFormat/>
    <w:rsid w:val="00671CE2"/>
    <w:pPr>
      <w:widowControl w:val="0"/>
      <w:suppressAutoHyphens/>
      <w:spacing w:after="0" w:line="240" w:lineRule="auto"/>
      <w:textAlignment w:val="baseline"/>
    </w:pPr>
    <w:rPr>
      <w:rFonts w:ascii="Liberation Serif" w:eastAsia="NSimSun" w:hAnsi="Liberation Serif" w:cs="Arial"/>
      <w:sz w:val="24"/>
      <w:szCs w:val="24"/>
      <w:lang w:eastAsia="zh-CN" w:bidi="hi-IN"/>
    </w:rPr>
  </w:style>
  <w:style w:type="paragraph" w:customStyle="1" w:styleId="Textbody">
    <w:name w:val="Text body"/>
    <w:basedOn w:val="Standard"/>
    <w:qFormat/>
    <w:rsid w:val="00671CE2"/>
    <w:pPr>
      <w:spacing w:after="140" w:line="288" w:lineRule="auto"/>
    </w:pPr>
  </w:style>
  <w:style w:type="paragraph" w:customStyle="1" w:styleId="ndicedeusuario3">
    <w:name w:val="Índice de usuario 3"/>
    <w:basedOn w:val="ndice"/>
    <w:uiPriority w:val="99"/>
    <w:qFormat/>
    <w:rsid w:val="00671CE2"/>
    <w:pPr>
      <w:tabs>
        <w:tab w:val="right" w:leader="dot" w:pos="9072"/>
      </w:tabs>
      <w:ind w:left="566"/>
    </w:pPr>
  </w:style>
  <w:style w:type="numbering" w:customStyle="1" w:styleId="WW8Num1">
    <w:name w:val="WW8Num1"/>
    <w:qFormat/>
    <w:rsid w:val="00671CE2"/>
  </w:style>
  <w:style w:type="numbering" w:customStyle="1" w:styleId="WW8Num2">
    <w:name w:val="WW8Num2"/>
    <w:qFormat/>
    <w:rsid w:val="00671CE2"/>
  </w:style>
  <w:style w:type="numbering" w:customStyle="1" w:styleId="WW8Num3">
    <w:name w:val="WW8Num3"/>
    <w:qFormat/>
    <w:rsid w:val="00671CE2"/>
    <w:pPr>
      <w:numPr>
        <w:numId w:val="17"/>
      </w:numPr>
    </w:pPr>
  </w:style>
  <w:style w:type="numbering" w:customStyle="1" w:styleId="WW8Num4">
    <w:name w:val="WW8Num4"/>
    <w:qFormat/>
    <w:rsid w:val="00671CE2"/>
  </w:style>
  <w:style w:type="numbering" w:customStyle="1" w:styleId="WW8Num5">
    <w:name w:val="WW8Num5"/>
    <w:qFormat/>
    <w:rsid w:val="00671CE2"/>
  </w:style>
  <w:style w:type="numbering" w:customStyle="1" w:styleId="WW8Num6">
    <w:name w:val="WW8Num6"/>
    <w:qFormat/>
    <w:rsid w:val="00671CE2"/>
  </w:style>
  <w:style w:type="numbering" w:customStyle="1" w:styleId="WW8Num7">
    <w:name w:val="WW8Num7"/>
    <w:qFormat/>
    <w:rsid w:val="00671CE2"/>
  </w:style>
  <w:style w:type="numbering" w:customStyle="1" w:styleId="WW8Num8">
    <w:name w:val="WW8Num8"/>
    <w:qFormat/>
    <w:rsid w:val="00671CE2"/>
  </w:style>
  <w:style w:type="numbering" w:customStyle="1" w:styleId="WW8Num9">
    <w:name w:val="WW8Num9"/>
    <w:qFormat/>
    <w:rsid w:val="00671CE2"/>
  </w:style>
  <w:style w:type="numbering" w:customStyle="1" w:styleId="WW8Num10">
    <w:name w:val="WW8Num10"/>
    <w:qFormat/>
    <w:rsid w:val="00671CE2"/>
  </w:style>
  <w:style w:type="numbering" w:customStyle="1" w:styleId="WW8Num11">
    <w:name w:val="WW8Num11"/>
    <w:qFormat/>
    <w:rsid w:val="00671CE2"/>
  </w:style>
  <w:style w:type="numbering" w:customStyle="1" w:styleId="WW8Num12">
    <w:name w:val="WW8Num12"/>
    <w:qFormat/>
    <w:rsid w:val="00671CE2"/>
  </w:style>
  <w:style w:type="numbering" w:customStyle="1" w:styleId="WW8Num13">
    <w:name w:val="WW8Num13"/>
    <w:qFormat/>
    <w:rsid w:val="00671CE2"/>
  </w:style>
  <w:style w:type="numbering" w:customStyle="1" w:styleId="WW8Num14">
    <w:name w:val="WW8Num14"/>
    <w:qFormat/>
    <w:rsid w:val="00671CE2"/>
  </w:style>
  <w:style w:type="numbering" w:customStyle="1" w:styleId="WW8Num15">
    <w:name w:val="WW8Num15"/>
    <w:qFormat/>
    <w:rsid w:val="00671CE2"/>
  </w:style>
  <w:style w:type="numbering" w:customStyle="1" w:styleId="WW8Num16">
    <w:name w:val="WW8Num16"/>
    <w:qFormat/>
    <w:rsid w:val="00671CE2"/>
  </w:style>
  <w:style w:type="numbering" w:customStyle="1" w:styleId="WW8Num17">
    <w:name w:val="WW8Num17"/>
    <w:qFormat/>
    <w:rsid w:val="00671CE2"/>
  </w:style>
  <w:style w:type="numbering" w:customStyle="1" w:styleId="WW8Num18">
    <w:name w:val="WW8Num18"/>
    <w:qFormat/>
    <w:rsid w:val="00671CE2"/>
  </w:style>
  <w:style w:type="numbering" w:customStyle="1" w:styleId="WW8Num19">
    <w:name w:val="WW8Num19"/>
    <w:qFormat/>
    <w:rsid w:val="00671CE2"/>
  </w:style>
  <w:style w:type="numbering" w:customStyle="1" w:styleId="WW8Num20">
    <w:name w:val="WW8Num20"/>
    <w:qFormat/>
    <w:rsid w:val="00671CE2"/>
  </w:style>
  <w:style w:type="numbering" w:customStyle="1" w:styleId="WW8Num21">
    <w:name w:val="WW8Num21"/>
    <w:qFormat/>
    <w:rsid w:val="00671CE2"/>
  </w:style>
  <w:style w:type="numbering" w:customStyle="1" w:styleId="WW8Num22">
    <w:name w:val="WW8Num22"/>
    <w:qFormat/>
    <w:rsid w:val="00671CE2"/>
  </w:style>
  <w:style w:type="numbering" w:customStyle="1" w:styleId="WW8Num23">
    <w:name w:val="WW8Num23"/>
    <w:qFormat/>
    <w:rsid w:val="00671CE2"/>
  </w:style>
  <w:style w:type="numbering" w:customStyle="1" w:styleId="WW8Num24">
    <w:name w:val="WW8Num24"/>
    <w:qFormat/>
    <w:rsid w:val="00671CE2"/>
  </w:style>
  <w:style w:type="numbering" w:customStyle="1" w:styleId="WW8Num25">
    <w:name w:val="WW8Num25"/>
    <w:qFormat/>
    <w:rsid w:val="00671CE2"/>
  </w:style>
  <w:style w:type="numbering" w:customStyle="1" w:styleId="WW8Num26">
    <w:name w:val="WW8Num26"/>
    <w:qFormat/>
    <w:rsid w:val="00671CE2"/>
  </w:style>
  <w:style w:type="numbering" w:customStyle="1" w:styleId="WW8Num27">
    <w:name w:val="WW8Num27"/>
    <w:qFormat/>
    <w:rsid w:val="00671CE2"/>
  </w:style>
  <w:style w:type="numbering" w:customStyle="1" w:styleId="WW8Num28">
    <w:name w:val="WW8Num28"/>
    <w:qFormat/>
    <w:rsid w:val="00671CE2"/>
  </w:style>
  <w:style w:type="numbering" w:customStyle="1" w:styleId="WW8Num29">
    <w:name w:val="WW8Num29"/>
    <w:qFormat/>
    <w:rsid w:val="00671CE2"/>
  </w:style>
  <w:style w:type="numbering" w:customStyle="1" w:styleId="WW8Num30">
    <w:name w:val="WW8Num30"/>
    <w:qFormat/>
    <w:rsid w:val="00671CE2"/>
  </w:style>
  <w:style w:type="numbering" w:customStyle="1" w:styleId="WW8Num31">
    <w:name w:val="WW8Num31"/>
    <w:qFormat/>
    <w:rsid w:val="00671CE2"/>
  </w:style>
  <w:style w:type="numbering" w:customStyle="1" w:styleId="WW8Num32">
    <w:name w:val="WW8Num32"/>
    <w:qFormat/>
    <w:rsid w:val="00671CE2"/>
  </w:style>
  <w:style w:type="table" w:customStyle="1" w:styleId="Tablaconcuadrcula2">
    <w:name w:val="Tabla con cuadrícula2"/>
    <w:basedOn w:val="Tablanormal"/>
    <w:next w:val="Tablaconcuadrcula"/>
    <w:uiPriority w:val="39"/>
    <w:rsid w:val="0080128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9568B0"/>
  </w:style>
  <w:style w:type="numbering" w:customStyle="1" w:styleId="Sinlista3">
    <w:name w:val="Sin lista3"/>
    <w:next w:val="Sinlista"/>
    <w:uiPriority w:val="99"/>
    <w:semiHidden/>
    <w:unhideWhenUsed/>
    <w:rsid w:val="000952B8"/>
  </w:style>
  <w:style w:type="character" w:styleId="Mencinsinresolver">
    <w:name w:val="Unresolved Mention"/>
    <w:basedOn w:val="Fuentedeprrafopredeter"/>
    <w:uiPriority w:val="99"/>
    <w:semiHidden/>
    <w:unhideWhenUsed/>
    <w:qFormat/>
    <w:rsid w:val="000952B8"/>
    <w:rPr>
      <w:color w:val="605E5C"/>
      <w:shd w:val="clear" w:color="auto" w:fill="E1DFDD"/>
    </w:rPr>
  </w:style>
  <w:style w:type="character" w:customStyle="1" w:styleId="ListLabel1">
    <w:name w:val="ListLabel 1"/>
    <w:qFormat/>
    <w:rsid w:val="000952B8"/>
    <w:rPr>
      <w:rFonts w:ascii="Times New Roman" w:hAnsi="Times New Roman"/>
      <w:sz w:val="24"/>
    </w:rPr>
  </w:style>
  <w:style w:type="character" w:customStyle="1" w:styleId="ListLabel2">
    <w:name w:val="ListLabel 2"/>
    <w:qFormat/>
    <w:rsid w:val="000952B8"/>
    <w:rPr>
      <w:sz w:val="20"/>
    </w:rPr>
  </w:style>
  <w:style w:type="character" w:customStyle="1" w:styleId="ListLabel3">
    <w:name w:val="ListLabel 3"/>
    <w:qFormat/>
    <w:rsid w:val="000952B8"/>
    <w:rPr>
      <w:sz w:val="20"/>
    </w:rPr>
  </w:style>
  <w:style w:type="character" w:customStyle="1" w:styleId="ListLabel4">
    <w:name w:val="ListLabel 4"/>
    <w:qFormat/>
    <w:rsid w:val="000952B8"/>
    <w:rPr>
      <w:sz w:val="20"/>
    </w:rPr>
  </w:style>
  <w:style w:type="character" w:customStyle="1" w:styleId="ListLabel5">
    <w:name w:val="ListLabel 5"/>
    <w:qFormat/>
    <w:rsid w:val="000952B8"/>
    <w:rPr>
      <w:sz w:val="20"/>
    </w:rPr>
  </w:style>
  <w:style w:type="character" w:customStyle="1" w:styleId="ListLabel6">
    <w:name w:val="ListLabel 6"/>
    <w:qFormat/>
    <w:rsid w:val="000952B8"/>
    <w:rPr>
      <w:sz w:val="20"/>
    </w:rPr>
  </w:style>
  <w:style w:type="character" w:customStyle="1" w:styleId="ListLabel7">
    <w:name w:val="ListLabel 7"/>
    <w:qFormat/>
    <w:rsid w:val="000952B8"/>
    <w:rPr>
      <w:sz w:val="20"/>
    </w:rPr>
  </w:style>
  <w:style w:type="character" w:customStyle="1" w:styleId="ListLabel8">
    <w:name w:val="ListLabel 8"/>
    <w:qFormat/>
    <w:rsid w:val="000952B8"/>
    <w:rPr>
      <w:sz w:val="20"/>
    </w:rPr>
  </w:style>
  <w:style w:type="character" w:customStyle="1" w:styleId="ListLabel9">
    <w:name w:val="ListLabel 9"/>
    <w:qFormat/>
    <w:rsid w:val="000952B8"/>
    <w:rPr>
      <w:sz w:val="20"/>
    </w:rPr>
  </w:style>
  <w:style w:type="character" w:customStyle="1" w:styleId="ListLabel10">
    <w:name w:val="ListLabel 10"/>
    <w:qFormat/>
    <w:rsid w:val="000952B8"/>
    <w:rPr>
      <w:rFonts w:ascii="Times New Roman" w:hAnsi="Times New Roman"/>
      <w:sz w:val="24"/>
    </w:rPr>
  </w:style>
  <w:style w:type="character" w:customStyle="1" w:styleId="ListLabel11">
    <w:name w:val="ListLabel 11"/>
    <w:qFormat/>
    <w:rsid w:val="000952B8"/>
    <w:rPr>
      <w:sz w:val="20"/>
    </w:rPr>
  </w:style>
  <w:style w:type="character" w:customStyle="1" w:styleId="ListLabel12">
    <w:name w:val="ListLabel 12"/>
    <w:qFormat/>
    <w:rsid w:val="000952B8"/>
    <w:rPr>
      <w:sz w:val="20"/>
    </w:rPr>
  </w:style>
  <w:style w:type="character" w:customStyle="1" w:styleId="ListLabel13">
    <w:name w:val="ListLabel 13"/>
    <w:qFormat/>
    <w:rsid w:val="000952B8"/>
    <w:rPr>
      <w:sz w:val="20"/>
    </w:rPr>
  </w:style>
  <w:style w:type="character" w:customStyle="1" w:styleId="ListLabel14">
    <w:name w:val="ListLabel 14"/>
    <w:qFormat/>
    <w:rsid w:val="000952B8"/>
    <w:rPr>
      <w:sz w:val="20"/>
    </w:rPr>
  </w:style>
  <w:style w:type="character" w:customStyle="1" w:styleId="ListLabel15">
    <w:name w:val="ListLabel 15"/>
    <w:qFormat/>
    <w:rsid w:val="000952B8"/>
    <w:rPr>
      <w:sz w:val="20"/>
    </w:rPr>
  </w:style>
  <w:style w:type="character" w:customStyle="1" w:styleId="ListLabel16">
    <w:name w:val="ListLabel 16"/>
    <w:qFormat/>
    <w:rsid w:val="000952B8"/>
    <w:rPr>
      <w:sz w:val="20"/>
    </w:rPr>
  </w:style>
  <w:style w:type="character" w:customStyle="1" w:styleId="ListLabel17">
    <w:name w:val="ListLabel 17"/>
    <w:qFormat/>
    <w:rsid w:val="000952B8"/>
    <w:rPr>
      <w:sz w:val="20"/>
    </w:rPr>
  </w:style>
  <w:style w:type="character" w:customStyle="1" w:styleId="ListLabel18">
    <w:name w:val="ListLabel 18"/>
    <w:qFormat/>
    <w:rsid w:val="000952B8"/>
    <w:rPr>
      <w:sz w:val="20"/>
    </w:rPr>
  </w:style>
  <w:style w:type="character" w:customStyle="1" w:styleId="ListLabel19">
    <w:name w:val="ListLabel 19"/>
    <w:qFormat/>
    <w:rsid w:val="000952B8"/>
    <w:rPr>
      <w:rFonts w:ascii="Times New Roman" w:hAnsi="Times New Roman"/>
      <w:sz w:val="24"/>
    </w:rPr>
  </w:style>
  <w:style w:type="character" w:customStyle="1" w:styleId="ListLabel20">
    <w:name w:val="ListLabel 20"/>
    <w:qFormat/>
    <w:rsid w:val="000952B8"/>
    <w:rPr>
      <w:sz w:val="20"/>
    </w:rPr>
  </w:style>
  <w:style w:type="character" w:customStyle="1" w:styleId="ListLabel21">
    <w:name w:val="ListLabel 21"/>
    <w:qFormat/>
    <w:rsid w:val="000952B8"/>
    <w:rPr>
      <w:sz w:val="20"/>
    </w:rPr>
  </w:style>
  <w:style w:type="character" w:customStyle="1" w:styleId="ListLabel22">
    <w:name w:val="ListLabel 22"/>
    <w:qFormat/>
    <w:rsid w:val="000952B8"/>
    <w:rPr>
      <w:sz w:val="20"/>
    </w:rPr>
  </w:style>
  <w:style w:type="character" w:customStyle="1" w:styleId="ListLabel23">
    <w:name w:val="ListLabel 23"/>
    <w:qFormat/>
    <w:rsid w:val="000952B8"/>
    <w:rPr>
      <w:sz w:val="20"/>
    </w:rPr>
  </w:style>
  <w:style w:type="character" w:customStyle="1" w:styleId="ListLabel24">
    <w:name w:val="ListLabel 24"/>
    <w:qFormat/>
    <w:rsid w:val="000952B8"/>
    <w:rPr>
      <w:sz w:val="20"/>
    </w:rPr>
  </w:style>
  <w:style w:type="character" w:customStyle="1" w:styleId="ListLabel25">
    <w:name w:val="ListLabel 25"/>
    <w:qFormat/>
    <w:rsid w:val="000952B8"/>
    <w:rPr>
      <w:sz w:val="20"/>
    </w:rPr>
  </w:style>
  <w:style w:type="character" w:customStyle="1" w:styleId="ListLabel26">
    <w:name w:val="ListLabel 26"/>
    <w:qFormat/>
    <w:rsid w:val="000952B8"/>
    <w:rPr>
      <w:sz w:val="20"/>
    </w:rPr>
  </w:style>
  <w:style w:type="character" w:customStyle="1" w:styleId="ListLabel27">
    <w:name w:val="ListLabel 27"/>
    <w:qFormat/>
    <w:rsid w:val="000952B8"/>
    <w:rPr>
      <w:sz w:val="20"/>
    </w:rPr>
  </w:style>
  <w:style w:type="character" w:customStyle="1" w:styleId="ListLabel28">
    <w:name w:val="ListLabel 28"/>
    <w:qFormat/>
    <w:rsid w:val="000952B8"/>
    <w:rPr>
      <w:rFonts w:ascii="Open Sans" w:eastAsia="Times New Roman" w:hAnsi="Open Sans" w:cs="Open Sans"/>
      <w:color w:val="000080"/>
      <w:sz w:val="20"/>
      <w:szCs w:val="20"/>
      <w:u w:val="single"/>
      <w:lang w:val="ca-ES-valencia" w:eastAsia="es-ES"/>
    </w:rPr>
  </w:style>
  <w:style w:type="character" w:styleId="Refdecomentario">
    <w:name w:val="annotation reference"/>
    <w:basedOn w:val="Fuentedeprrafopredeter"/>
    <w:uiPriority w:val="99"/>
    <w:semiHidden/>
    <w:unhideWhenUsed/>
    <w:qFormat/>
    <w:rsid w:val="000952B8"/>
    <w:rPr>
      <w:sz w:val="16"/>
      <w:szCs w:val="16"/>
    </w:rPr>
  </w:style>
  <w:style w:type="character" w:customStyle="1" w:styleId="TextocomentarioCar">
    <w:name w:val="Texto comentario Car"/>
    <w:basedOn w:val="Fuentedeprrafopredeter"/>
    <w:link w:val="Textocomentario"/>
    <w:qFormat/>
    <w:rsid w:val="000952B8"/>
    <w:rPr>
      <w:sz w:val="20"/>
      <w:szCs w:val="20"/>
    </w:rPr>
  </w:style>
  <w:style w:type="character" w:customStyle="1" w:styleId="AsuntodelcomentarioCar">
    <w:name w:val="Asunto del comentario Car"/>
    <w:basedOn w:val="TextocomentarioCar"/>
    <w:link w:val="Asuntodelcomentario"/>
    <w:uiPriority w:val="99"/>
    <w:semiHidden/>
    <w:qFormat/>
    <w:rsid w:val="000952B8"/>
    <w:rPr>
      <w:b/>
      <w:bCs/>
      <w:sz w:val="20"/>
      <w:szCs w:val="20"/>
    </w:rPr>
  </w:style>
  <w:style w:type="character" w:customStyle="1" w:styleId="ListLabel29">
    <w:name w:val="ListLabel 29"/>
    <w:qFormat/>
    <w:rsid w:val="000952B8"/>
    <w:rPr>
      <w:rFonts w:ascii="Times New Roman" w:hAnsi="Times New Roman" w:cs="Symbol"/>
      <w:sz w:val="24"/>
    </w:rPr>
  </w:style>
  <w:style w:type="character" w:customStyle="1" w:styleId="ListLabel30">
    <w:name w:val="ListLabel 30"/>
    <w:qFormat/>
    <w:rsid w:val="000952B8"/>
    <w:rPr>
      <w:rFonts w:cs="Courier New"/>
      <w:sz w:val="20"/>
    </w:rPr>
  </w:style>
  <w:style w:type="character" w:customStyle="1" w:styleId="ListLabel31">
    <w:name w:val="ListLabel 31"/>
    <w:qFormat/>
    <w:rsid w:val="000952B8"/>
    <w:rPr>
      <w:rFonts w:cs="Wingdings"/>
      <w:sz w:val="20"/>
    </w:rPr>
  </w:style>
  <w:style w:type="character" w:customStyle="1" w:styleId="ListLabel32">
    <w:name w:val="ListLabel 32"/>
    <w:qFormat/>
    <w:rsid w:val="000952B8"/>
    <w:rPr>
      <w:rFonts w:cs="Wingdings"/>
      <w:sz w:val="20"/>
    </w:rPr>
  </w:style>
  <w:style w:type="character" w:customStyle="1" w:styleId="ListLabel33">
    <w:name w:val="ListLabel 33"/>
    <w:qFormat/>
    <w:rsid w:val="000952B8"/>
    <w:rPr>
      <w:rFonts w:cs="Wingdings"/>
      <w:sz w:val="20"/>
    </w:rPr>
  </w:style>
  <w:style w:type="character" w:customStyle="1" w:styleId="ListLabel34">
    <w:name w:val="ListLabel 34"/>
    <w:qFormat/>
    <w:rsid w:val="000952B8"/>
    <w:rPr>
      <w:rFonts w:cs="Wingdings"/>
      <w:sz w:val="20"/>
    </w:rPr>
  </w:style>
  <w:style w:type="character" w:customStyle="1" w:styleId="ListLabel35">
    <w:name w:val="ListLabel 35"/>
    <w:qFormat/>
    <w:rsid w:val="000952B8"/>
    <w:rPr>
      <w:rFonts w:cs="Wingdings"/>
      <w:sz w:val="20"/>
    </w:rPr>
  </w:style>
  <w:style w:type="character" w:customStyle="1" w:styleId="ListLabel36">
    <w:name w:val="ListLabel 36"/>
    <w:qFormat/>
    <w:rsid w:val="000952B8"/>
    <w:rPr>
      <w:rFonts w:cs="Wingdings"/>
      <w:sz w:val="20"/>
    </w:rPr>
  </w:style>
  <w:style w:type="character" w:customStyle="1" w:styleId="ListLabel37">
    <w:name w:val="ListLabel 37"/>
    <w:qFormat/>
    <w:rsid w:val="000952B8"/>
    <w:rPr>
      <w:rFonts w:cs="Wingdings"/>
      <w:sz w:val="20"/>
    </w:rPr>
  </w:style>
  <w:style w:type="character" w:customStyle="1" w:styleId="ListLabel38">
    <w:name w:val="ListLabel 38"/>
    <w:qFormat/>
    <w:rsid w:val="000952B8"/>
    <w:rPr>
      <w:rFonts w:ascii="Times New Roman" w:hAnsi="Times New Roman" w:cs="Symbol"/>
      <w:sz w:val="24"/>
    </w:rPr>
  </w:style>
  <w:style w:type="character" w:customStyle="1" w:styleId="ListLabel39">
    <w:name w:val="ListLabel 39"/>
    <w:qFormat/>
    <w:rsid w:val="000952B8"/>
    <w:rPr>
      <w:rFonts w:cs="Courier New"/>
      <w:sz w:val="20"/>
    </w:rPr>
  </w:style>
  <w:style w:type="character" w:customStyle="1" w:styleId="ListLabel40">
    <w:name w:val="ListLabel 40"/>
    <w:qFormat/>
    <w:rsid w:val="000952B8"/>
    <w:rPr>
      <w:rFonts w:cs="Wingdings"/>
      <w:sz w:val="20"/>
    </w:rPr>
  </w:style>
  <w:style w:type="character" w:customStyle="1" w:styleId="ListLabel41">
    <w:name w:val="ListLabel 41"/>
    <w:qFormat/>
    <w:rsid w:val="000952B8"/>
    <w:rPr>
      <w:rFonts w:cs="Wingdings"/>
      <w:sz w:val="20"/>
    </w:rPr>
  </w:style>
  <w:style w:type="character" w:customStyle="1" w:styleId="ListLabel42">
    <w:name w:val="ListLabel 42"/>
    <w:qFormat/>
    <w:rsid w:val="000952B8"/>
    <w:rPr>
      <w:rFonts w:cs="Wingdings"/>
      <w:sz w:val="20"/>
    </w:rPr>
  </w:style>
  <w:style w:type="character" w:customStyle="1" w:styleId="ListLabel43">
    <w:name w:val="ListLabel 43"/>
    <w:qFormat/>
    <w:rsid w:val="000952B8"/>
    <w:rPr>
      <w:rFonts w:cs="Wingdings"/>
      <w:sz w:val="20"/>
    </w:rPr>
  </w:style>
  <w:style w:type="character" w:customStyle="1" w:styleId="ListLabel44">
    <w:name w:val="ListLabel 44"/>
    <w:qFormat/>
    <w:rsid w:val="000952B8"/>
    <w:rPr>
      <w:rFonts w:cs="Wingdings"/>
      <w:sz w:val="20"/>
    </w:rPr>
  </w:style>
  <w:style w:type="character" w:customStyle="1" w:styleId="ListLabel45">
    <w:name w:val="ListLabel 45"/>
    <w:qFormat/>
    <w:rsid w:val="000952B8"/>
    <w:rPr>
      <w:rFonts w:cs="Wingdings"/>
      <w:sz w:val="20"/>
    </w:rPr>
  </w:style>
  <w:style w:type="character" w:customStyle="1" w:styleId="ListLabel46">
    <w:name w:val="ListLabel 46"/>
    <w:qFormat/>
    <w:rsid w:val="000952B8"/>
    <w:rPr>
      <w:rFonts w:cs="Wingdings"/>
      <w:sz w:val="20"/>
    </w:rPr>
  </w:style>
  <w:style w:type="character" w:customStyle="1" w:styleId="ListLabel47">
    <w:name w:val="ListLabel 47"/>
    <w:qFormat/>
    <w:rsid w:val="000952B8"/>
    <w:rPr>
      <w:rFonts w:ascii="Times New Roman" w:hAnsi="Times New Roman" w:cs="Symbol"/>
      <w:sz w:val="24"/>
    </w:rPr>
  </w:style>
  <w:style w:type="character" w:customStyle="1" w:styleId="ListLabel48">
    <w:name w:val="ListLabel 48"/>
    <w:qFormat/>
    <w:rsid w:val="000952B8"/>
    <w:rPr>
      <w:rFonts w:cs="Courier New"/>
      <w:sz w:val="20"/>
    </w:rPr>
  </w:style>
  <w:style w:type="character" w:customStyle="1" w:styleId="ListLabel49">
    <w:name w:val="ListLabel 49"/>
    <w:qFormat/>
    <w:rsid w:val="000952B8"/>
    <w:rPr>
      <w:rFonts w:cs="Wingdings"/>
      <w:sz w:val="20"/>
    </w:rPr>
  </w:style>
  <w:style w:type="character" w:customStyle="1" w:styleId="ListLabel50">
    <w:name w:val="ListLabel 50"/>
    <w:qFormat/>
    <w:rsid w:val="000952B8"/>
    <w:rPr>
      <w:rFonts w:cs="Wingdings"/>
      <w:sz w:val="20"/>
    </w:rPr>
  </w:style>
  <w:style w:type="character" w:customStyle="1" w:styleId="ListLabel51">
    <w:name w:val="ListLabel 51"/>
    <w:qFormat/>
    <w:rsid w:val="000952B8"/>
    <w:rPr>
      <w:rFonts w:cs="Wingdings"/>
      <w:sz w:val="20"/>
    </w:rPr>
  </w:style>
  <w:style w:type="character" w:customStyle="1" w:styleId="ListLabel52">
    <w:name w:val="ListLabel 52"/>
    <w:qFormat/>
    <w:rsid w:val="000952B8"/>
    <w:rPr>
      <w:rFonts w:cs="Wingdings"/>
      <w:sz w:val="20"/>
    </w:rPr>
  </w:style>
  <w:style w:type="character" w:customStyle="1" w:styleId="ListLabel54">
    <w:name w:val="ListLabel 54"/>
    <w:qFormat/>
    <w:rsid w:val="000952B8"/>
    <w:rPr>
      <w:rFonts w:cs="Wingdings"/>
      <w:sz w:val="20"/>
    </w:rPr>
  </w:style>
  <w:style w:type="character" w:customStyle="1" w:styleId="ListLabel55">
    <w:name w:val="ListLabel 55"/>
    <w:qFormat/>
    <w:rsid w:val="000952B8"/>
    <w:rPr>
      <w:rFonts w:cs="Wingdings"/>
      <w:sz w:val="20"/>
    </w:rPr>
  </w:style>
  <w:style w:type="character" w:customStyle="1" w:styleId="ListLabel56">
    <w:name w:val="ListLabel 56"/>
    <w:qFormat/>
    <w:rsid w:val="000952B8"/>
  </w:style>
  <w:style w:type="character" w:customStyle="1" w:styleId="ListLabel57">
    <w:name w:val="ListLabel 57"/>
    <w:qFormat/>
    <w:rsid w:val="000952B8"/>
    <w:rPr>
      <w:rFonts w:cs="Symbol"/>
      <w:sz w:val="24"/>
    </w:rPr>
  </w:style>
  <w:style w:type="character" w:customStyle="1" w:styleId="ListLabel58">
    <w:name w:val="ListLabel 58"/>
    <w:qFormat/>
    <w:rsid w:val="000952B8"/>
    <w:rPr>
      <w:rFonts w:cs="Courier New"/>
      <w:sz w:val="20"/>
    </w:rPr>
  </w:style>
  <w:style w:type="character" w:customStyle="1" w:styleId="ListLabel59">
    <w:name w:val="ListLabel 59"/>
    <w:qFormat/>
    <w:rsid w:val="000952B8"/>
    <w:rPr>
      <w:rFonts w:cs="Wingdings"/>
      <w:sz w:val="20"/>
    </w:rPr>
  </w:style>
  <w:style w:type="character" w:customStyle="1" w:styleId="ListLabel60">
    <w:name w:val="ListLabel 60"/>
    <w:qFormat/>
    <w:rsid w:val="000952B8"/>
    <w:rPr>
      <w:rFonts w:cs="Wingdings"/>
      <w:sz w:val="20"/>
    </w:rPr>
  </w:style>
  <w:style w:type="character" w:customStyle="1" w:styleId="ListLabel61">
    <w:name w:val="ListLabel 61"/>
    <w:qFormat/>
    <w:rsid w:val="000952B8"/>
    <w:rPr>
      <w:rFonts w:cs="Wingdings"/>
      <w:sz w:val="20"/>
    </w:rPr>
  </w:style>
  <w:style w:type="character" w:customStyle="1" w:styleId="ListLabel62">
    <w:name w:val="ListLabel 62"/>
    <w:qFormat/>
    <w:rsid w:val="000952B8"/>
    <w:rPr>
      <w:rFonts w:cs="Wingdings"/>
      <w:sz w:val="20"/>
    </w:rPr>
  </w:style>
  <w:style w:type="character" w:customStyle="1" w:styleId="ListLabel63">
    <w:name w:val="ListLabel 63"/>
    <w:qFormat/>
    <w:rsid w:val="000952B8"/>
    <w:rPr>
      <w:rFonts w:cs="Wingdings"/>
      <w:sz w:val="20"/>
    </w:rPr>
  </w:style>
  <w:style w:type="character" w:customStyle="1" w:styleId="ListLabel64">
    <w:name w:val="ListLabel 64"/>
    <w:qFormat/>
    <w:rsid w:val="000952B8"/>
    <w:rPr>
      <w:rFonts w:cs="Wingdings"/>
      <w:sz w:val="20"/>
    </w:rPr>
  </w:style>
  <w:style w:type="character" w:customStyle="1" w:styleId="ListLabel65">
    <w:name w:val="ListLabel 65"/>
    <w:qFormat/>
    <w:rsid w:val="000952B8"/>
    <w:rPr>
      <w:rFonts w:cs="Wingdings"/>
      <w:sz w:val="20"/>
    </w:rPr>
  </w:style>
  <w:style w:type="character" w:customStyle="1" w:styleId="ListLabel66">
    <w:name w:val="ListLabel 66"/>
    <w:qFormat/>
    <w:rsid w:val="000952B8"/>
    <w:rPr>
      <w:rFonts w:ascii="Open Sans" w:hAnsi="Open Sans" w:cs="Symbol"/>
      <w:sz w:val="20"/>
    </w:rPr>
  </w:style>
  <w:style w:type="character" w:customStyle="1" w:styleId="ListLabel67">
    <w:name w:val="ListLabel 67"/>
    <w:qFormat/>
    <w:rsid w:val="000952B8"/>
    <w:rPr>
      <w:rFonts w:cs="Courier New"/>
      <w:sz w:val="20"/>
    </w:rPr>
  </w:style>
  <w:style w:type="character" w:customStyle="1" w:styleId="ListLabel68">
    <w:name w:val="ListLabel 68"/>
    <w:qFormat/>
    <w:rsid w:val="000952B8"/>
    <w:rPr>
      <w:rFonts w:cs="Wingdings"/>
      <w:sz w:val="20"/>
    </w:rPr>
  </w:style>
  <w:style w:type="character" w:customStyle="1" w:styleId="ListLabel69">
    <w:name w:val="ListLabel 69"/>
    <w:qFormat/>
    <w:rsid w:val="000952B8"/>
    <w:rPr>
      <w:rFonts w:cs="Wingdings"/>
      <w:sz w:val="20"/>
    </w:rPr>
  </w:style>
  <w:style w:type="character" w:customStyle="1" w:styleId="ListLabel70">
    <w:name w:val="ListLabel 70"/>
    <w:qFormat/>
    <w:rsid w:val="000952B8"/>
    <w:rPr>
      <w:rFonts w:cs="Wingdings"/>
      <w:sz w:val="20"/>
    </w:rPr>
  </w:style>
  <w:style w:type="character" w:customStyle="1" w:styleId="ListLabel71">
    <w:name w:val="ListLabel 71"/>
    <w:qFormat/>
    <w:rsid w:val="000952B8"/>
    <w:rPr>
      <w:rFonts w:cs="Wingdings"/>
      <w:sz w:val="20"/>
    </w:rPr>
  </w:style>
  <w:style w:type="character" w:customStyle="1" w:styleId="ListLabel72">
    <w:name w:val="ListLabel 72"/>
    <w:qFormat/>
    <w:rsid w:val="000952B8"/>
    <w:rPr>
      <w:rFonts w:cs="Wingdings"/>
      <w:sz w:val="20"/>
    </w:rPr>
  </w:style>
  <w:style w:type="character" w:customStyle="1" w:styleId="ListLabel73">
    <w:name w:val="ListLabel 73"/>
    <w:qFormat/>
    <w:rsid w:val="000952B8"/>
    <w:rPr>
      <w:rFonts w:cs="Wingdings"/>
      <w:sz w:val="20"/>
    </w:rPr>
  </w:style>
  <w:style w:type="character" w:customStyle="1" w:styleId="ListLabel74">
    <w:name w:val="ListLabel 74"/>
    <w:qFormat/>
    <w:rsid w:val="000952B8"/>
    <w:rPr>
      <w:rFonts w:cs="Wingdings"/>
      <w:sz w:val="20"/>
    </w:rPr>
  </w:style>
  <w:style w:type="character" w:customStyle="1" w:styleId="ListLabel75">
    <w:name w:val="ListLabel 75"/>
    <w:qFormat/>
    <w:rsid w:val="000952B8"/>
    <w:rPr>
      <w:rFonts w:ascii="Times New Roman" w:hAnsi="Times New Roman" w:cs="Symbol"/>
      <w:sz w:val="24"/>
    </w:rPr>
  </w:style>
  <w:style w:type="character" w:customStyle="1" w:styleId="ListLabel76">
    <w:name w:val="ListLabel 76"/>
    <w:qFormat/>
    <w:rsid w:val="000952B8"/>
    <w:rPr>
      <w:rFonts w:cs="Courier New"/>
      <w:sz w:val="20"/>
    </w:rPr>
  </w:style>
  <w:style w:type="character" w:customStyle="1" w:styleId="ListLabel77">
    <w:name w:val="ListLabel 77"/>
    <w:qFormat/>
    <w:rsid w:val="000952B8"/>
    <w:rPr>
      <w:rFonts w:cs="Wingdings"/>
      <w:sz w:val="20"/>
    </w:rPr>
  </w:style>
  <w:style w:type="character" w:customStyle="1" w:styleId="ListLabel78">
    <w:name w:val="ListLabel 78"/>
    <w:qFormat/>
    <w:rsid w:val="000952B8"/>
    <w:rPr>
      <w:rFonts w:cs="Wingdings"/>
      <w:sz w:val="20"/>
    </w:rPr>
  </w:style>
  <w:style w:type="character" w:customStyle="1" w:styleId="ListLabel79">
    <w:name w:val="ListLabel 79"/>
    <w:qFormat/>
    <w:rsid w:val="000952B8"/>
    <w:rPr>
      <w:rFonts w:cs="Wingdings"/>
      <w:sz w:val="20"/>
    </w:rPr>
  </w:style>
  <w:style w:type="character" w:customStyle="1" w:styleId="ListLabel80">
    <w:name w:val="ListLabel 80"/>
    <w:qFormat/>
    <w:rsid w:val="000952B8"/>
    <w:rPr>
      <w:rFonts w:cs="Wingdings"/>
      <w:sz w:val="20"/>
    </w:rPr>
  </w:style>
  <w:style w:type="character" w:customStyle="1" w:styleId="ListLabel81">
    <w:name w:val="ListLabel 81"/>
    <w:qFormat/>
    <w:rsid w:val="000952B8"/>
    <w:rPr>
      <w:rFonts w:cs="Wingdings"/>
      <w:sz w:val="20"/>
    </w:rPr>
  </w:style>
  <w:style w:type="character" w:customStyle="1" w:styleId="ListLabel82">
    <w:name w:val="ListLabel 82"/>
    <w:qFormat/>
    <w:rsid w:val="000952B8"/>
    <w:rPr>
      <w:rFonts w:cs="Wingdings"/>
      <w:sz w:val="20"/>
    </w:rPr>
  </w:style>
  <w:style w:type="character" w:customStyle="1" w:styleId="ListLabel83">
    <w:name w:val="ListLabel 83"/>
    <w:qFormat/>
    <w:rsid w:val="000952B8"/>
    <w:rPr>
      <w:rFonts w:cs="Wingdings"/>
      <w:sz w:val="20"/>
    </w:rPr>
  </w:style>
  <w:style w:type="character" w:customStyle="1" w:styleId="ListLabel84">
    <w:name w:val="ListLabel 84"/>
    <w:qFormat/>
    <w:rsid w:val="000952B8"/>
    <w:rPr>
      <w:rFonts w:eastAsia="Times New Roman" w:cs="Open Sans"/>
      <w:color w:val="000000"/>
      <w:sz w:val="20"/>
    </w:rPr>
  </w:style>
  <w:style w:type="character" w:customStyle="1" w:styleId="ListLabel85">
    <w:name w:val="ListLabel 85"/>
    <w:qFormat/>
    <w:rsid w:val="000952B8"/>
    <w:rPr>
      <w:rFonts w:cs="Courier New"/>
    </w:rPr>
  </w:style>
  <w:style w:type="character" w:customStyle="1" w:styleId="ListLabel86">
    <w:name w:val="ListLabel 86"/>
    <w:qFormat/>
    <w:rsid w:val="000952B8"/>
    <w:rPr>
      <w:rFonts w:cs="Courier New"/>
    </w:rPr>
  </w:style>
  <w:style w:type="character" w:customStyle="1" w:styleId="ListLabel87">
    <w:name w:val="ListLabel 87"/>
    <w:qFormat/>
    <w:rsid w:val="000952B8"/>
    <w:rPr>
      <w:rFonts w:cs="Courier New"/>
    </w:rPr>
  </w:style>
  <w:style w:type="character" w:customStyle="1" w:styleId="ListLabel88">
    <w:name w:val="ListLabel 88"/>
    <w:qFormat/>
    <w:rsid w:val="000952B8"/>
    <w:rPr>
      <w:rFonts w:ascii="Open Sans" w:eastAsia="Times New Roman" w:hAnsi="Open Sans" w:cs="Open Sans"/>
      <w:sz w:val="20"/>
    </w:rPr>
  </w:style>
  <w:style w:type="character" w:customStyle="1" w:styleId="ListLabel89">
    <w:name w:val="ListLabel 89"/>
    <w:qFormat/>
    <w:rsid w:val="000952B8"/>
    <w:rPr>
      <w:rFonts w:cs="Courier New"/>
    </w:rPr>
  </w:style>
  <w:style w:type="character" w:customStyle="1" w:styleId="ListLabel90">
    <w:name w:val="ListLabel 90"/>
    <w:qFormat/>
    <w:rsid w:val="000952B8"/>
    <w:rPr>
      <w:rFonts w:cs="Courier New"/>
    </w:rPr>
  </w:style>
  <w:style w:type="character" w:customStyle="1" w:styleId="ListLabel91">
    <w:name w:val="ListLabel 91"/>
    <w:qFormat/>
    <w:rsid w:val="000952B8"/>
    <w:rPr>
      <w:rFonts w:cs="Courier New"/>
    </w:rPr>
  </w:style>
  <w:style w:type="character" w:customStyle="1" w:styleId="ListLabel92">
    <w:name w:val="ListLabel 92"/>
    <w:qFormat/>
    <w:rsid w:val="000952B8"/>
    <w:rPr>
      <w:rFonts w:cs="Courier New"/>
    </w:rPr>
  </w:style>
  <w:style w:type="character" w:customStyle="1" w:styleId="ListLabel93">
    <w:name w:val="ListLabel 93"/>
    <w:qFormat/>
    <w:rsid w:val="000952B8"/>
    <w:rPr>
      <w:rFonts w:cs="Courier New"/>
    </w:rPr>
  </w:style>
  <w:style w:type="character" w:customStyle="1" w:styleId="ListLabel94">
    <w:name w:val="ListLabel 94"/>
    <w:qFormat/>
    <w:rsid w:val="000952B8"/>
    <w:rPr>
      <w:rFonts w:cs="Courier New"/>
    </w:rPr>
  </w:style>
  <w:style w:type="character" w:customStyle="1" w:styleId="ListLabel95">
    <w:name w:val="ListLabel 95"/>
    <w:qFormat/>
    <w:rsid w:val="000952B8"/>
    <w:rPr>
      <w:rFonts w:ascii="Open Sans" w:eastAsia="Times New Roman" w:hAnsi="Open Sans" w:cs="Open Sans"/>
      <w:sz w:val="20"/>
    </w:rPr>
  </w:style>
  <w:style w:type="character" w:customStyle="1" w:styleId="ListLabel96">
    <w:name w:val="ListLabel 96"/>
    <w:qFormat/>
    <w:rsid w:val="000952B8"/>
    <w:rPr>
      <w:rFonts w:cs="Courier New"/>
    </w:rPr>
  </w:style>
  <w:style w:type="character" w:customStyle="1" w:styleId="ListLabel97">
    <w:name w:val="ListLabel 97"/>
    <w:qFormat/>
    <w:rsid w:val="000952B8"/>
    <w:rPr>
      <w:rFonts w:cs="Courier New"/>
    </w:rPr>
  </w:style>
  <w:style w:type="character" w:customStyle="1" w:styleId="ListLabel98">
    <w:name w:val="ListLabel 98"/>
    <w:qFormat/>
    <w:rsid w:val="000952B8"/>
    <w:rPr>
      <w:rFonts w:cs="Courier New"/>
    </w:rPr>
  </w:style>
  <w:style w:type="character" w:customStyle="1" w:styleId="ListLabel99">
    <w:name w:val="ListLabel 99"/>
    <w:qFormat/>
    <w:rsid w:val="000952B8"/>
    <w:rPr>
      <w:rFonts w:eastAsia="Times New Roman" w:cs="Open Sans"/>
    </w:rPr>
  </w:style>
  <w:style w:type="character" w:customStyle="1" w:styleId="ListLabel100">
    <w:name w:val="ListLabel 100"/>
    <w:qFormat/>
    <w:rsid w:val="000952B8"/>
    <w:rPr>
      <w:rFonts w:cs="Courier New"/>
    </w:rPr>
  </w:style>
  <w:style w:type="character" w:customStyle="1" w:styleId="ListLabel101">
    <w:name w:val="ListLabel 101"/>
    <w:qFormat/>
    <w:rsid w:val="000952B8"/>
    <w:rPr>
      <w:rFonts w:cs="Courier New"/>
    </w:rPr>
  </w:style>
  <w:style w:type="character" w:customStyle="1" w:styleId="ListLabel102">
    <w:name w:val="ListLabel 102"/>
    <w:qFormat/>
    <w:rsid w:val="000952B8"/>
    <w:rPr>
      <w:rFonts w:cs="Courier New"/>
    </w:rPr>
  </w:style>
  <w:style w:type="character" w:customStyle="1" w:styleId="ListLabel103">
    <w:name w:val="ListLabel 103"/>
    <w:qFormat/>
    <w:rsid w:val="000952B8"/>
    <w:rPr>
      <w:rFonts w:eastAsia="Calibri"/>
      <w:lang w:val="ca-ES"/>
    </w:rPr>
  </w:style>
  <w:style w:type="character" w:customStyle="1" w:styleId="Hipervnculovisitado1">
    <w:name w:val="Hipervínculo visitado1"/>
    <w:basedOn w:val="Fuentedeprrafopredeter"/>
    <w:uiPriority w:val="99"/>
    <w:semiHidden/>
    <w:unhideWhenUsed/>
    <w:qFormat/>
    <w:rsid w:val="000952B8"/>
    <w:rPr>
      <w:color w:val="954F72"/>
      <w:u w:val="single"/>
    </w:rPr>
  </w:style>
  <w:style w:type="character" w:customStyle="1" w:styleId="ListLabel104">
    <w:name w:val="ListLabel 104"/>
    <w:qFormat/>
    <w:rsid w:val="000952B8"/>
    <w:rPr>
      <w:rFonts w:ascii="Open Sans" w:hAnsi="Open Sans" w:cs="Symbol"/>
      <w:sz w:val="20"/>
    </w:rPr>
  </w:style>
  <w:style w:type="character" w:customStyle="1" w:styleId="ListLabel105">
    <w:name w:val="ListLabel 105"/>
    <w:qFormat/>
    <w:rsid w:val="000952B8"/>
    <w:rPr>
      <w:rFonts w:cs="Courier New"/>
      <w:sz w:val="20"/>
    </w:rPr>
  </w:style>
  <w:style w:type="character" w:customStyle="1" w:styleId="ListLabel106">
    <w:name w:val="ListLabel 106"/>
    <w:qFormat/>
    <w:rsid w:val="000952B8"/>
    <w:rPr>
      <w:rFonts w:cs="Wingdings"/>
      <w:sz w:val="20"/>
    </w:rPr>
  </w:style>
  <w:style w:type="character" w:customStyle="1" w:styleId="ListLabel107">
    <w:name w:val="ListLabel 107"/>
    <w:qFormat/>
    <w:rsid w:val="000952B8"/>
    <w:rPr>
      <w:rFonts w:cs="Wingdings"/>
      <w:sz w:val="20"/>
    </w:rPr>
  </w:style>
  <w:style w:type="character" w:customStyle="1" w:styleId="ListLabel108">
    <w:name w:val="ListLabel 108"/>
    <w:qFormat/>
    <w:rsid w:val="000952B8"/>
    <w:rPr>
      <w:rFonts w:cs="Wingdings"/>
      <w:sz w:val="20"/>
    </w:rPr>
  </w:style>
  <w:style w:type="character" w:customStyle="1" w:styleId="ListLabel109">
    <w:name w:val="ListLabel 109"/>
    <w:qFormat/>
    <w:rsid w:val="000952B8"/>
    <w:rPr>
      <w:rFonts w:cs="Wingdings"/>
      <w:sz w:val="20"/>
    </w:rPr>
  </w:style>
  <w:style w:type="character" w:customStyle="1" w:styleId="ListLabel110">
    <w:name w:val="ListLabel 110"/>
    <w:qFormat/>
    <w:rsid w:val="000952B8"/>
    <w:rPr>
      <w:rFonts w:cs="Wingdings"/>
      <w:sz w:val="20"/>
    </w:rPr>
  </w:style>
  <w:style w:type="character" w:customStyle="1" w:styleId="ListLabel111">
    <w:name w:val="ListLabel 111"/>
    <w:qFormat/>
    <w:rsid w:val="000952B8"/>
    <w:rPr>
      <w:rFonts w:cs="Wingdings"/>
      <w:sz w:val="20"/>
    </w:rPr>
  </w:style>
  <w:style w:type="character" w:customStyle="1" w:styleId="ListLabel112">
    <w:name w:val="ListLabel 112"/>
    <w:qFormat/>
    <w:rsid w:val="000952B8"/>
    <w:rPr>
      <w:rFonts w:cs="Wingdings"/>
      <w:sz w:val="20"/>
    </w:rPr>
  </w:style>
  <w:style w:type="character" w:customStyle="1" w:styleId="ListLabel113">
    <w:name w:val="ListLabel 113"/>
    <w:qFormat/>
    <w:rsid w:val="000952B8"/>
    <w:rPr>
      <w:rFonts w:cs="Symbol"/>
      <w:sz w:val="24"/>
    </w:rPr>
  </w:style>
  <w:style w:type="character" w:customStyle="1" w:styleId="ListLabel114">
    <w:name w:val="ListLabel 114"/>
    <w:qFormat/>
    <w:rsid w:val="000952B8"/>
    <w:rPr>
      <w:rFonts w:cs="Courier New"/>
      <w:sz w:val="20"/>
    </w:rPr>
  </w:style>
  <w:style w:type="character" w:customStyle="1" w:styleId="ListLabel115">
    <w:name w:val="ListLabel 115"/>
    <w:qFormat/>
    <w:rsid w:val="000952B8"/>
    <w:rPr>
      <w:rFonts w:cs="Wingdings"/>
      <w:sz w:val="20"/>
    </w:rPr>
  </w:style>
  <w:style w:type="character" w:customStyle="1" w:styleId="ListLabel116">
    <w:name w:val="ListLabel 116"/>
    <w:qFormat/>
    <w:rsid w:val="000952B8"/>
    <w:rPr>
      <w:rFonts w:cs="Wingdings"/>
      <w:sz w:val="20"/>
    </w:rPr>
  </w:style>
  <w:style w:type="character" w:customStyle="1" w:styleId="ListLabel117">
    <w:name w:val="ListLabel 117"/>
    <w:qFormat/>
    <w:rsid w:val="000952B8"/>
    <w:rPr>
      <w:rFonts w:cs="Wingdings"/>
      <w:sz w:val="20"/>
    </w:rPr>
  </w:style>
  <w:style w:type="character" w:customStyle="1" w:styleId="ListLabel118">
    <w:name w:val="ListLabel 118"/>
    <w:qFormat/>
    <w:rsid w:val="000952B8"/>
    <w:rPr>
      <w:rFonts w:cs="Wingdings"/>
      <w:sz w:val="20"/>
    </w:rPr>
  </w:style>
  <w:style w:type="character" w:customStyle="1" w:styleId="ListLabel119">
    <w:name w:val="ListLabel 119"/>
    <w:qFormat/>
    <w:rsid w:val="000952B8"/>
    <w:rPr>
      <w:rFonts w:cs="Wingdings"/>
      <w:sz w:val="20"/>
    </w:rPr>
  </w:style>
  <w:style w:type="character" w:customStyle="1" w:styleId="ListLabel120">
    <w:name w:val="ListLabel 120"/>
    <w:qFormat/>
    <w:rsid w:val="000952B8"/>
    <w:rPr>
      <w:rFonts w:cs="Wingdings"/>
      <w:sz w:val="20"/>
    </w:rPr>
  </w:style>
  <w:style w:type="character" w:customStyle="1" w:styleId="ListLabel121">
    <w:name w:val="ListLabel 121"/>
    <w:qFormat/>
    <w:rsid w:val="000952B8"/>
    <w:rPr>
      <w:rFonts w:cs="Wingdings"/>
      <w:sz w:val="20"/>
    </w:rPr>
  </w:style>
  <w:style w:type="character" w:customStyle="1" w:styleId="ListLabel122">
    <w:name w:val="ListLabel 122"/>
    <w:qFormat/>
    <w:rsid w:val="000952B8"/>
    <w:rPr>
      <w:rFonts w:ascii="Open Sans" w:hAnsi="Open Sans" w:cs="Open Sans"/>
      <w:sz w:val="20"/>
    </w:rPr>
  </w:style>
  <w:style w:type="character" w:customStyle="1" w:styleId="ListLabel123">
    <w:name w:val="ListLabel 123"/>
    <w:qFormat/>
    <w:rsid w:val="000952B8"/>
    <w:rPr>
      <w:rFonts w:cs="Courier New"/>
    </w:rPr>
  </w:style>
  <w:style w:type="character" w:customStyle="1" w:styleId="ListLabel124">
    <w:name w:val="ListLabel 124"/>
    <w:qFormat/>
    <w:rsid w:val="000952B8"/>
    <w:rPr>
      <w:rFonts w:cs="Wingdings"/>
    </w:rPr>
  </w:style>
  <w:style w:type="character" w:customStyle="1" w:styleId="ListLabel125">
    <w:name w:val="ListLabel 125"/>
    <w:qFormat/>
    <w:rsid w:val="000952B8"/>
    <w:rPr>
      <w:rFonts w:cs="Symbol"/>
    </w:rPr>
  </w:style>
  <w:style w:type="character" w:customStyle="1" w:styleId="ListLabel126">
    <w:name w:val="ListLabel 126"/>
    <w:qFormat/>
    <w:rsid w:val="000952B8"/>
    <w:rPr>
      <w:rFonts w:cs="Courier New"/>
    </w:rPr>
  </w:style>
  <w:style w:type="character" w:customStyle="1" w:styleId="ListLabel127">
    <w:name w:val="ListLabel 127"/>
    <w:qFormat/>
    <w:rsid w:val="000952B8"/>
    <w:rPr>
      <w:rFonts w:cs="Wingdings"/>
    </w:rPr>
  </w:style>
  <w:style w:type="character" w:customStyle="1" w:styleId="ListLabel128">
    <w:name w:val="ListLabel 128"/>
    <w:qFormat/>
    <w:rsid w:val="000952B8"/>
    <w:rPr>
      <w:rFonts w:cs="Symbol"/>
    </w:rPr>
  </w:style>
  <w:style w:type="character" w:customStyle="1" w:styleId="ListLabel129">
    <w:name w:val="ListLabel 129"/>
    <w:qFormat/>
    <w:rsid w:val="000952B8"/>
    <w:rPr>
      <w:rFonts w:cs="Courier New"/>
    </w:rPr>
  </w:style>
  <w:style w:type="character" w:customStyle="1" w:styleId="ListLabel130">
    <w:name w:val="ListLabel 130"/>
    <w:qFormat/>
    <w:rsid w:val="000952B8"/>
    <w:rPr>
      <w:rFonts w:cs="Wingdings"/>
    </w:rPr>
  </w:style>
  <w:style w:type="character" w:customStyle="1" w:styleId="ListLabel131">
    <w:name w:val="ListLabel 131"/>
    <w:qFormat/>
    <w:rsid w:val="000952B8"/>
    <w:rPr>
      <w:rFonts w:cs="Open Sans"/>
      <w:sz w:val="20"/>
    </w:rPr>
  </w:style>
  <w:style w:type="character" w:customStyle="1" w:styleId="ListLabel132">
    <w:name w:val="ListLabel 132"/>
    <w:qFormat/>
    <w:rsid w:val="000952B8"/>
    <w:rPr>
      <w:rFonts w:cs="Courier New"/>
    </w:rPr>
  </w:style>
  <w:style w:type="character" w:customStyle="1" w:styleId="ListLabel133">
    <w:name w:val="ListLabel 133"/>
    <w:qFormat/>
    <w:rsid w:val="000952B8"/>
    <w:rPr>
      <w:rFonts w:cs="Wingdings"/>
    </w:rPr>
  </w:style>
  <w:style w:type="character" w:customStyle="1" w:styleId="ListLabel134">
    <w:name w:val="ListLabel 134"/>
    <w:qFormat/>
    <w:rsid w:val="000952B8"/>
    <w:rPr>
      <w:rFonts w:cs="Symbol"/>
    </w:rPr>
  </w:style>
  <w:style w:type="character" w:customStyle="1" w:styleId="ListLabel135">
    <w:name w:val="ListLabel 135"/>
    <w:qFormat/>
    <w:rsid w:val="000952B8"/>
    <w:rPr>
      <w:rFonts w:cs="Courier New"/>
    </w:rPr>
  </w:style>
  <w:style w:type="character" w:customStyle="1" w:styleId="ListLabel136">
    <w:name w:val="ListLabel 136"/>
    <w:qFormat/>
    <w:rsid w:val="000952B8"/>
    <w:rPr>
      <w:rFonts w:cs="Wingdings"/>
    </w:rPr>
  </w:style>
  <w:style w:type="character" w:customStyle="1" w:styleId="ListLabel137">
    <w:name w:val="ListLabel 137"/>
    <w:qFormat/>
    <w:rsid w:val="000952B8"/>
    <w:rPr>
      <w:rFonts w:cs="Symbol"/>
    </w:rPr>
  </w:style>
  <w:style w:type="character" w:customStyle="1" w:styleId="ListLabel138">
    <w:name w:val="ListLabel 138"/>
    <w:qFormat/>
    <w:rsid w:val="000952B8"/>
    <w:rPr>
      <w:rFonts w:cs="Courier New"/>
    </w:rPr>
  </w:style>
  <w:style w:type="character" w:customStyle="1" w:styleId="ListLabel139">
    <w:name w:val="ListLabel 139"/>
    <w:qFormat/>
    <w:rsid w:val="000952B8"/>
    <w:rPr>
      <w:rFonts w:cs="Wingdings"/>
    </w:rPr>
  </w:style>
  <w:style w:type="character" w:customStyle="1" w:styleId="ListLabel140">
    <w:name w:val="ListLabel 140"/>
    <w:qFormat/>
    <w:rsid w:val="000952B8"/>
    <w:rPr>
      <w:rFonts w:eastAsia="Times New Roman" w:cs="Open Sans"/>
    </w:rPr>
  </w:style>
  <w:style w:type="character" w:customStyle="1" w:styleId="ListLabel141">
    <w:name w:val="ListLabel 141"/>
    <w:qFormat/>
    <w:rsid w:val="000952B8"/>
    <w:rPr>
      <w:rFonts w:cs="Courier New"/>
    </w:rPr>
  </w:style>
  <w:style w:type="character" w:customStyle="1" w:styleId="ListLabel142">
    <w:name w:val="ListLabel 142"/>
    <w:qFormat/>
    <w:rsid w:val="000952B8"/>
    <w:rPr>
      <w:rFonts w:cs="Courier New"/>
    </w:rPr>
  </w:style>
  <w:style w:type="character" w:customStyle="1" w:styleId="ListLabel143">
    <w:name w:val="ListLabel 143"/>
    <w:qFormat/>
    <w:rsid w:val="000952B8"/>
    <w:rPr>
      <w:rFonts w:ascii="Open Sans" w:eastAsia="Times New Roman" w:hAnsi="Open Sans" w:cs="Open Sans"/>
      <w:b/>
      <w:sz w:val="18"/>
      <w:szCs w:val="18"/>
      <w:lang w:eastAsia="es-ES"/>
    </w:rPr>
  </w:style>
  <w:style w:type="character" w:customStyle="1" w:styleId="ListLabel144">
    <w:name w:val="ListLabel 144"/>
    <w:qFormat/>
    <w:rsid w:val="000952B8"/>
    <w:rPr>
      <w:rFonts w:ascii="Open Sans" w:eastAsia="Times New Roman" w:hAnsi="Open Sans" w:cs="Open Sans"/>
      <w:sz w:val="18"/>
      <w:szCs w:val="18"/>
      <w:lang w:eastAsia="es-ES"/>
    </w:rPr>
  </w:style>
  <w:style w:type="character" w:customStyle="1" w:styleId="ListLabel145">
    <w:name w:val="ListLabel 145"/>
    <w:qFormat/>
    <w:rsid w:val="000952B8"/>
    <w:rPr>
      <w:rFonts w:ascii="Open Sans" w:hAnsi="Open Sans" w:cs="Open Sans"/>
      <w:b/>
    </w:rPr>
  </w:style>
  <w:style w:type="character" w:customStyle="1" w:styleId="ListLabel146">
    <w:name w:val="ListLabel 146"/>
    <w:qFormat/>
    <w:rsid w:val="000952B8"/>
    <w:rPr>
      <w:rFonts w:ascii="Open Sans" w:eastAsia="Times New Roman" w:hAnsi="Open Sans" w:cs="Open Sans"/>
      <w:sz w:val="20"/>
      <w:szCs w:val="20"/>
      <w:lang w:eastAsia="es-ES"/>
    </w:rPr>
  </w:style>
  <w:style w:type="character" w:customStyle="1" w:styleId="ListLabel147">
    <w:name w:val="ListLabel 147"/>
    <w:qFormat/>
    <w:rsid w:val="000952B8"/>
    <w:rPr>
      <w:rFonts w:ascii="Open Sans" w:eastAsia="Times New Roman" w:hAnsi="Open Sans" w:cs="Open Sans"/>
      <w:i/>
      <w:sz w:val="18"/>
      <w:szCs w:val="18"/>
      <w:lang w:eastAsia="es-ES"/>
    </w:rPr>
  </w:style>
  <w:style w:type="character" w:customStyle="1" w:styleId="ListLabel148">
    <w:name w:val="ListLabel 148"/>
    <w:qFormat/>
    <w:rsid w:val="000952B8"/>
    <w:rPr>
      <w:rFonts w:ascii="Open Sans" w:hAnsi="Open Sans" w:cs="Open Sans"/>
    </w:rPr>
  </w:style>
  <w:style w:type="character" w:customStyle="1" w:styleId="ListLabel149">
    <w:name w:val="ListLabel 149"/>
    <w:qFormat/>
    <w:rsid w:val="000952B8"/>
    <w:rPr>
      <w:rFonts w:ascii="Open Sans" w:hAnsi="Open Sans" w:cs="Open Sans"/>
    </w:rPr>
  </w:style>
  <w:style w:type="character" w:customStyle="1" w:styleId="ListLabel150">
    <w:name w:val="ListLabel 150"/>
    <w:qFormat/>
    <w:rsid w:val="000952B8"/>
    <w:rPr>
      <w:rFonts w:ascii="Open Sans" w:hAnsi="Open Sans" w:cs="Symbol"/>
      <w:sz w:val="21"/>
    </w:rPr>
  </w:style>
  <w:style w:type="character" w:customStyle="1" w:styleId="ListLabel151">
    <w:name w:val="ListLabel 151"/>
    <w:qFormat/>
    <w:rsid w:val="000952B8"/>
    <w:rPr>
      <w:rFonts w:cs="Courier New"/>
      <w:sz w:val="20"/>
    </w:rPr>
  </w:style>
  <w:style w:type="character" w:customStyle="1" w:styleId="ListLabel152">
    <w:name w:val="ListLabel 152"/>
    <w:qFormat/>
    <w:rsid w:val="000952B8"/>
    <w:rPr>
      <w:rFonts w:cs="Wingdings"/>
      <w:sz w:val="20"/>
    </w:rPr>
  </w:style>
  <w:style w:type="character" w:customStyle="1" w:styleId="ListLabel153">
    <w:name w:val="ListLabel 153"/>
    <w:qFormat/>
    <w:rsid w:val="000952B8"/>
    <w:rPr>
      <w:rFonts w:cs="Wingdings"/>
      <w:sz w:val="20"/>
    </w:rPr>
  </w:style>
  <w:style w:type="character" w:customStyle="1" w:styleId="ListLabel154">
    <w:name w:val="ListLabel 154"/>
    <w:qFormat/>
    <w:rsid w:val="000952B8"/>
    <w:rPr>
      <w:rFonts w:cs="Wingdings"/>
      <w:sz w:val="20"/>
    </w:rPr>
  </w:style>
  <w:style w:type="character" w:customStyle="1" w:styleId="ListLabel155">
    <w:name w:val="ListLabel 155"/>
    <w:qFormat/>
    <w:rsid w:val="000952B8"/>
    <w:rPr>
      <w:rFonts w:cs="Wingdings"/>
      <w:sz w:val="20"/>
    </w:rPr>
  </w:style>
  <w:style w:type="character" w:customStyle="1" w:styleId="ListLabel156">
    <w:name w:val="ListLabel 156"/>
    <w:qFormat/>
    <w:rsid w:val="000952B8"/>
    <w:rPr>
      <w:rFonts w:cs="Wingdings"/>
      <w:sz w:val="20"/>
    </w:rPr>
  </w:style>
  <w:style w:type="character" w:customStyle="1" w:styleId="ListLabel157">
    <w:name w:val="ListLabel 157"/>
    <w:qFormat/>
    <w:rsid w:val="000952B8"/>
    <w:rPr>
      <w:rFonts w:cs="Wingdings"/>
      <w:sz w:val="20"/>
    </w:rPr>
  </w:style>
  <w:style w:type="character" w:customStyle="1" w:styleId="ListLabel158">
    <w:name w:val="ListLabel 158"/>
    <w:qFormat/>
    <w:rsid w:val="000952B8"/>
    <w:rPr>
      <w:rFonts w:cs="Wingdings"/>
      <w:sz w:val="20"/>
    </w:rPr>
  </w:style>
  <w:style w:type="character" w:customStyle="1" w:styleId="ListLabel159">
    <w:name w:val="ListLabel 159"/>
    <w:qFormat/>
    <w:rsid w:val="000952B8"/>
    <w:rPr>
      <w:rFonts w:ascii="Open Sans" w:hAnsi="Open Sans" w:cs="Open Sans"/>
      <w:sz w:val="21"/>
    </w:rPr>
  </w:style>
  <w:style w:type="character" w:customStyle="1" w:styleId="ListLabel160">
    <w:name w:val="ListLabel 160"/>
    <w:qFormat/>
    <w:rsid w:val="000952B8"/>
    <w:rPr>
      <w:rFonts w:cs="Courier New"/>
    </w:rPr>
  </w:style>
  <w:style w:type="character" w:customStyle="1" w:styleId="ListLabel161">
    <w:name w:val="ListLabel 161"/>
    <w:qFormat/>
    <w:rsid w:val="000952B8"/>
    <w:rPr>
      <w:rFonts w:cs="Wingdings"/>
    </w:rPr>
  </w:style>
  <w:style w:type="character" w:customStyle="1" w:styleId="ListLabel162">
    <w:name w:val="ListLabel 162"/>
    <w:qFormat/>
    <w:rsid w:val="000952B8"/>
    <w:rPr>
      <w:rFonts w:cs="Symbol"/>
    </w:rPr>
  </w:style>
  <w:style w:type="character" w:customStyle="1" w:styleId="ListLabel163">
    <w:name w:val="ListLabel 163"/>
    <w:qFormat/>
    <w:rsid w:val="000952B8"/>
    <w:rPr>
      <w:rFonts w:cs="Courier New"/>
    </w:rPr>
  </w:style>
  <w:style w:type="character" w:customStyle="1" w:styleId="ListLabel164">
    <w:name w:val="ListLabel 164"/>
    <w:qFormat/>
    <w:rsid w:val="000952B8"/>
    <w:rPr>
      <w:rFonts w:cs="Wingdings"/>
    </w:rPr>
  </w:style>
  <w:style w:type="character" w:customStyle="1" w:styleId="ListLabel165">
    <w:name w:val="ListLabel 165"/>
    <w:qFormat/>
    <w:rsid w:val="000952B8"/>
    <w:rPr>
      <w:rFonts w:cs="Symbol"/>
    </w:rPr>
  </w:style>
  <w:style w:type="character" w:customStyle="1" w:styleId="ListLabel166">
    <w:name w:val="ListLabel 166"/>
    <w:qFormat/>
    <w:rsid w:val="000952B8"/>
    <w:rPr>
      <w:rFonts w:cs="Courier New"/>
    </w:rPr>
  </w:style>
  <w:style w:type="character" w:customStyle="1" w:styleId="ListLabel167">
    <w:name w:val="ListLabel 167"/>
    <w:qFormat/>
    <w:rsid w:val="000952B8"/>
    <w:rPr>
      <w:rFonts w:cs="Wingdings"/>
    </w:rPr>
  </w:style>
  <w:style w:type="character" w:customStyle="1" w:styleId="ListLabel168">
    <w:name w:val="ListLabel 168"/>
    <w:qFormat/>
    <w:rsid w:val="000952B8"/>
    <w:rPr>
      <w:rFonts w:ascii="Open Sans" w:hAnsi="Open Sans" w:cs="Symbol"/>
      <w:sz w:val="21"/>
    </w:rPr>
  </w:style>
  <w:style w:type="character" w:customStyle="1" w:styleId="ListLabel169">
    <w:name w:val="ListLabel 169"/>
    <w:qFormat/>
    <w:rsid w:val="000952B8"/>
    <w:rPr>
      <w:rFonts w:cs="Open Sans"/>
    </w:rPr>
  </w:style>
  <w:style w:type="character" w:customStyle="1" w:styleId="ListLabel170">
    <w:name w:val="ListLabel 170"/>
    <w:qFormat/>
    <w:rsid w:val="000952B8"/>
    <w:rPr>
      <w:rFonts w:cs="Wingdings"/>
    </w:rPr>
  </w:style>
  <w:style w:type="character" w:customStyle="1" w:styleId="ListLabel171">
    <w:name w:val="ListLabel 171"/>
    <w:qFormat/>
    <w:rsid w:val="000952B8"/>
    <w:rPr>
      <w:rFonts w:cs="Symbol"/>
    </w:rPr>
  </w:style>
  <w:style w:type="character" w:customStyle="1" w:styleId="ListLabel172">
    <w:name w:val="ListLabel 172"/>
    <w:qFormat/>
    <w:rsid w:val="000952B8"/>
    <w:rPr>
      <w:rFonts w:cs="Courier New"/>
    </w:rPr>
  </w:style>
  <w:style w:type="character" w:customStyle="1" w:styleId="ListLabel173">
    <w:name w:val="ListLabel 173"/>
    <w:qFormat/>
    <w:rsid w:val="000952B8"/>
    <w:rPr>
      <w:rFonts w:cs="Wingdings"/>
    </w:rPr>
  </w:style>
  <w:style w:type="character" w:customStyle="1" w:styleId="ListLabel174">
    <w:name w:val="ListLabel 174"/>
    <w:qFormat/>
    <w:rsid w:val="000952B8"/>
    <w:rPr>
      <w:rFonts w:cs="Symbol"/>
    </w:rPr>
  </w:style>
  <w:style w:type="character" w:customStyle="1" w:styleId="ListLabel175">
    <w:name w:val="ListLabel 175"/>
    <w:qFormat/>
    <w:rsid w:val="000952B8"/>
    <w:rPr>
      <w:rFonts w:cs="Courier New"/>
    </w:rPr>
  </w:style>
  <w:style w:type="character" w:customStyle="1" w:styleId="ListLabel176">
    <w:name w:val="ListLabel 176"/>
    <w:qFormat/>
    <w:rsid w:val="000952B8"/>
    <w:rPr>
      <w:rFonts w:cs="Wingdings"/>
    </w:rPr>
  </w:style>
  <w:style w:type="character" w:customStyle="1" w:styleId="ListLabel177">
    <w:name w:val="ListLabel 177"/>
    <w:qFormat/>
    <w:rsid w:val="000952B8"/>
    <w:rPr>
      <w:rFonts w:cs="Courier New"/>
    </w:rPr>
  </w:style>
  <w:style w:type="character" w:customStyle="1" w:styleId="ListLabel178">
    <w:name w:val="ListLabel 178"/>
    <w:qFormat/>
    <w:rsid w:val="000952B8"/>
    <w:rPr>
      <w:rFonts w:cs="Courier New"/>
    </w:rPr>
  </w:style>
  <w:style w:type="character" w:customStyle="1" w:styleId="ListLabel179">
    <w:name w:val="ListLabel 179"/>
    <w:qFormat/>
    <w:rsid w:val="000952B8"/>
    <w:rPr>
      <w:rFonts w:cs="Courier New"/>
    </w:rPr>
  </w:style>
  <w:style w:type="character" w:customStyle="1" w:styleId="ListLabel180">
    <w:name w:val="ListLabel 180"/>
    <w:qFormat/>
    <w:rsid w:val="000952B8"/>
    <w:rPr>
      <w:rFonts w:cs="Courier New"/>
    </w:rPr>
  </w:style>
  <w:style w:type="character" w:customStyle="1" w:styleId="ListLabel181">
    <w:name w:val="ListLabel 181"/>
    <w:qFormat/>
    <w:rsid w:val="000952B8"/>
    <w:rPr>
      <w:rFonts w:cs="Courier New"/>
    </w:rPr>
  </w:style>
  <w:style w:type="character" w:customStyle="1" w:styleId="ListLabel182">
    <w:name w:val="ListLabel 182"/>
    <w:qFormat/>
    <w:rsid w:val="000952B8"/>
    <w:rPr>
      <w:rFonts w:cs="Courier New"/>
    </w:rPr>
  </w:style>
  <w:style w:type="character" w:customStyle="1" w:styleId="ListLabel183">
    <w:name w:val="ListLabel 183"/>
    <w:qFormat/>
    <w:rsid w:val="000952B8"/>
    <w:rPr>
      <w:rFonts w:ascii="Open Sans" w:eastAsia="Times New Roman" w:hAnsi="Open Sans" w:cs="Open Sans"/>
      <w:b/>
      <w:sz w:val="21"/>
      <w:szCs w:val="21"/>
      <w:lang w:eastAsia="es-ES"/>
    </w:rPr>
  </w:style>
  <w:style w:type="character" w:customStyle="1" w:styleId="ListLabel184">
    <w:name w:val="ListLabel 184"/>
    <w:qFormat/>
    <w:rsid w:val="000952B8"/>
    <w:rPr>
      <w:rFonts w:ascii="Open Sans" w:eastAsia="Times New Roman" w:hAnsi="Open Sans" w:cs="Open Sans"/>
      <w:b/>
      <w:sz w:val="21"/>
      <w:szCs w:val="21"/>
      <w:lang w:eastAsia="es-ES"/>
    </w:rPr>
  </w:style>
  <w:style w:type="character" w:customStyle="1" w:styleId="ListLabel185">
    <w:name w:val="ListLabel 185"/>
    <w:qFormat/>
    <w:rsid w:val="000952B8"/>
    <w:rPr>
      <w:rFonts w:ascii="Open Sans" w:eastAsia="Times New Roman" w:hAnsi="Open Sans" w:cs="Open Sans"/>
      <w:sz w:val="21"/>
      <w:szCs w:val="21"/>
      <w:lang w:eastAsia="es-ES"/>
    </w:rPr>
  </w:style>
  <w:style w:type="character" w:customStyle="1" w:styleId="ListLabel186">
    <w:name w:val="ListLabel 186"/>
    <w:qFormat/>
    <w:rsid w:val="000952B8"/>
    <w:rPr>
      <w:rFonts w:ascii="Open Sans" w:hAnsi="Open Sans" w:cs="Open Sans"/>
      <w:b/>
      <w:sz w:val="21"/>
      <w:szCs w:val="21"/>
    </w:rPr>
  </w:style>
  <w:style w:type="character" w:customStyle="1" w:styleId="ListLabel187">
    <w:name w:val="ListLabel 187"/>
    <w:qFormat/>
    <w:rsid w:val="000952B8"/>
    <w:rPr>
      <w:rFonts w:ascii="Open Sans" w:eastAsia="Times New Roman" w:hAnsi="Open Sans" w:cs="Open Sans"/>
      <w:sz w:val="21"/>
      <w:szCs w:val="21"/>
      <w:lang w:eastAsia="es-ES"/>
    </w:rPr>
  </w:style>
  <w:style w:type="character" w:customStyle="1" w:styleId="ListLabel188">
    <w:name w:val="ListLabel 188"/>
    <w:qFormat/>
    <w:rsid w:val="000952B8"/>
    <w:rPr>
      <w:rFonts w:ascii="Open Sans" w:hAnsi="Open Sans" w:cs="Open Sans"/>
      <w:sz w:val="21"/>
      <w:szCs w:val="21"/>
    </w:rPr>
  </w:style>
  <w:style w:type="character" w:customStyle="1" w:styleId="ListLabel189">
    <w:name w:val="ListLabel 189"/>
    <w:qFormat/>
    <w:rsid w:val="000952B8"/>
    <w:rPr>
      <w:rFonts w:ascii="Open Sans" w:eastAsia="Times New Roman" w:hAnsi="Open Sans" w:cs="Open Sans"/>
      <w:i/>
      <w:sz w:val="21"/>
      <w:szCs w:val="21"/>
      <w:lang w:eastAsia="es-ES"/>
    </w:rPr>
  </w:style>
  <w:style w:type="character" w:customStyle="1" w:styleId="ListLabel190">
    <w:name w:val="ListLabel 190"/>
    <w:qFormat/>
    <w:rsid w:val="000952B8"/>
    <w:rPr>
      <w:rFonts w:eastAsia="Calibri"/>
      <w:sz w:val="21"/>
      <w:szCs w:val="21"/>
    </w:rPr>
  </w:style>
  <w:style w:type="character" w:customStyle="1" w:styleId="ListLabel191">
    <w:name w:val="ListLabel 191"/>
    <w:qFormat/>
    <w:rsid w:val="000952B8"/>
    <w:rPr>
      <w:rFonts w:ascii="Open Sans" w:eastAsia="Times New Roman" w:hAnsi="Open Sans" w:cs="Open Sans"/>
      <w:sz w:val="21"/>
      <w:szCs w:val="21"/>
      <w:u w:val="none"/>
      <w:lang w:eastAsia="es-ES"/>
    </w:rPr>
  </w:style>
  <w:style w:type="character" w:customStyle="1" w:styleId="ListLabel192">
    <w:name w:val="ListLabel 192"/>
    <w:qFormat/>
    <w:rsid w:val="000952B8"/>
    <w:rPr>
      <w:rFonts w:ascii="Open Sans" w:hAnsi="Open Sans" w:cs="Open Sans"/>
      <w:sz w:val="21"/>
      <w:szCs w:val="21"/>
    </w:rPr>
  </w:style>
  <w:style w:type="character" w:customStyle="1" w:styleId="ListLabel193">
    <w:name w:val="ListLabel 193"/>
    <w:qFormat/>
    <w:rsid w:val="000952B8"/>
    <w:rPr>
      <w:rFonts w:ascii="Open Sans" w:hAnsi="Open Sans" w:cs="Symbol"/>
      <w:sz w:val="21"/>
    </w:rPr>
  </w:style>
  <w:style w:type="character" w:customStyle="1" w:styleId="ListLabel194">
    <w:name w:val="ListLabel 194"/>
    <w:qFormat/>
    <w:rsid w:val="000952B8"/>
    <w:rPr>
      <w:rFonts w:cs="Courier New"/>
      <w:sz w:val="20"/>
    </w:rPr>
  </w:style>
  <w:style w:type="character" w:customStyle="1" w:styleId="ListLabel195">
    <w:name w:val="ListLabel 195"/>
    <w:qFormat/>
    <w:rsid w:val="000952B8"/>
    <w:rPr>
      <w:rFonts w:cs="Wingdings"/>
      <w:sz w:val="20"/>
    </w:rPr>
  </w:style>
  <w:style w:type="character" w:customStyle="1" w:styleId="ListLabel196">
    <w:name w:val="ListLabel 196"/>
    <w:qFormat/>
    <w:rsid w:val="000952B8"/>
    <w:rPr>
      <w:rFonts w:cs="Wingdings"/>
      <w:sz w:val="20"/>
    </w:rPr>
  </w:style>
  <w:style w:type="character" w:customStyle="1" w:styleId="ListLabel197">
    <w:name w:val="ListLabel 197"/>
    <w:qFormat/>
    <w:rsid w:val="000952B8"/>
    <w:rPr>
      <w:rFonts w:cs="Wingdings"/>
      <w:sz w:val="20"/>
    </w:rPr>
  </w:style>
  <w:style w:type="character" w:customStyle="1" w:styleId="ListLabel198">
    <w:name w:val="ListLabel 198"/>
    <w:qFormat/>
    <w:rsid w:val="000952B8"/>
    <w:rPr>
      <w:rFonts w:cs="Wingdings"/>
      <w:sz w:val="20"/>
    </w:rPr>
  </w:style>
  <w:style w:type="character" w:customStyle="1" w:styleId="ListLabel199">
    <w:name w:val="ListLabel 199"/>
    <w:qFormat/>
    <w:rsid w:val="000952B8"/>
    <w:rPr>
      <w:rFonts w:cs="Wingdings"/>
      <w:sz w:val="20"/>
    </w:rPr>
  </w:style>
  <w:style w:type="character" w:customStyle="1" w:styleId="ListLabel200">
    <w:name w:val="ListLabel 200"/>
    <w:qFormat/>
    <w:rsid w:val="000952B8"/>
    <w:rPr>
      <w:rFonts w:cs="Wingdings"/>
      <w:sz w:val="20"/>
    </w:rPr>
  </w:style>
  <w:style w:type="character" w:customStyle="1" w:styleId="ListLabel201">
    <w:name w:val="ListLabel 201"/>
    <w:qFormat/>
    <w:rsid w:val="000952B8"/>
    <w:rPr>
      <w:rFonts w:cs="Wingdings"/>
      <w:sz w:val="20"/>
    </w:rPr>
  </w:style>
  <w:style w:type="character" w:customStyle="1" w:styleId="ListLabel202">
    <w:name w:val="ListLabel 202"/>
    <w:qFormat/>
    <w:rsid w:val="000952B8"/>
    <w:rPr>
      <w:rFonts w:ascii="Open Sans" w:hAnsi="Open Sans" w:cs="Open Sans"/>
      <w:sz w:val="21"/>
    </w:rPr>
  </w:style>
  <w:style w:type="character" w:customStyle="1" w:styleId="ListLabel203">
    <w:name w:val="ListLabel 203"/>
    <w:qFormat/>
    <w:rsid w:val="000952B8"/>
    <w:rPr>
      <w:rFonts w:cs="Courier New"/>
    </w:rPr>
  </w:style>
  <w:style w:type="character" w:customStyle="1" w:styleId="ListLabel204">
    <w:name w:val="ListLabel 204"/>
    <w:qFormat/>
    <w:rsid w:val="000952B8"/>
    <w:rPr>
      <w:rFonts w:cs="Wingdings"/>
    </w:rPr>
  </w:style>
  <w:style w:type="character" w:customStyle="1" w:styleId="ListLabel205">
    <w:name w:val="ListLabel 205"/>
    <w:qFormat/>
    <w:rsid w:val="000952B8"/>
    <w:rPr>
      <w:rFonts w:cs="Symbol"/>
    </w:rPr>
  </w:style>
  <w:style w:type="character" w:customStyle="1" w:styleId="ListLabel206">
    <w:name w:val="ListLabel 206"/>
    <w:qFormat/>
    <w:rsid w:val="000952B8"/>
    <w:rPr>
      <w:rFonts w:cs="Courier New"/>
    </w:rPr>
  </w:style>
  <w:style w:type="character" w:customStyle="1" w:styleId="ListLabel207">
    <w:name w:val="ListLabel 207"/>
    <w:qFormat/>
    <w:rsid w:val="000952B8"/>
    <w:rPr>
      <w:rFonts w:cs="Wingdings"/>
    </w:rPr>
  </w:style>
  <w:style w:type="character" w:customStyle="1" w:styleId="ListLabel208">
    <w:name w:val="ListLabel 208"/>
    <w:qFormat/>
    <w:rsid w:val="000952B8"/>
    <w:rPr>
      <w:rFonts w:cs="Symbol"/>
    </w:rPr>
  </w:style>
  <w:style w:type="character" w:customStyle="1" w:styleId="ListLabel209">
    <w:name w:val="ListLabel 209"/>
    <w:qFormat/>
    <w:rsid w:val="000952B8"/>
    <w:rPr>
      <w:rFonts w:cs="Courier New"/>
    </w:rPr>
  </w:style>
  <w:style w:type="character" w:customStyle="1" w:styleId="ListLabel210">
    <w:name w:val="ListLabel 210"/>
    <w:qFormat/>
    <w:rsid w:val="000952B8"/>
    <w:rPr>
      <w:rFonts w:cs="Wingdings"/>
    </w:rPr>
  </w:style>
  <w:style w:type="character" w:customStyle="1" w:styleId="ListLabel211">
    <w:name w:val="ListLabel 211"/>
    <w:qFormat/>
    <w:rsid w:val="000952B8"/>
    <w:rPr>
      <w:rFonts w:ascii="Open Sans" w:hAnsi="Open Sans" w:cs="Symbol"/>
      <w:sz w:val="21"/>
    </w:rPr>
  </w:style>
  <w:style w:type="character" w:customStyle="1" w:styleId="ListLabel212">
    <w:name w:val="ListLabel 212"/>
    <w:qFormat/>
    <w:rsid w:val="000952B8"/>
    <w:rPr>
      <w:rFonts w:cs="Open Sans"/>
    </w:rPr>
  </w:style>
  <w:style w:type="character" w:customStyle="1" w:styleId="ListLabel213">
    <w:name w:val="ListLabel 213"/>
    <w:qFormat/>
    <w:rsid w:val="000952B8"/>
    <w:rPr>
      <w:rFonts w:cs="Wingdings"/>
    </w:rPr>
  </w:style>
  <w:style w:type="character" w:customStyle="1" w:styleId="ListLabel214">
    <w:name w:val="ListLabel 214"/>
    <w:qFormat/>
    <w:rsid w:val="000952B8"/>
    <w:rPr>
      <w:rFonts w:cs="Symbol"/>
    </w:rPr>
  </w:style>
  <w:style w:type="character" w:customStyle="1" w:styleId="ListLabel215">
    <w:name w:val="ListLabel 215"/>
    <w:qFormat/>
    <w:rsid w:val="000952B8"/>
    <w:rPr>
      <w:rFonts w:cs="Courier New"/>
    </w:rPr>
  </w:style>
  <w:style w:type="character" w:customStyle="1" w:styleId="ListLabel216">
    <w:name w:val="ListLabel 216"/>
    <w:qFormat/>
    <w:rsid w:val="000952B8"/>
    <w:rPr>
      <w:rFonts w:cs="Wingdings"/>
    </w:rPr>
  </w:style>
  <w:style w:type="character" w:customStyle="1" w:styleId="ListLabel217">
    <w:name w:val="ListLabel 217"/>
    <w:qFormat/>
    <w:rsid w:val="000952B8"/>
    <w:rPr>
      <w:rFonts w:cs="Symbol"/>
    </w:rPr>
  </w:style>
  <w:style w:type="character" w:customStyle="1" w:styleId="ListLabel218">
    <w:name w:val="ListLabel 218"/>
    <w:qFormat/>
    <w:rsid w:val="000952B8"/>
    <w:rPr>
      <w:rFonts w:cs="Courier New"/>
    </w:rPr>
  </w:style>
  <w:style w:type="character" w:customStyle="1" w:styleId="ListLabel219">
    <w:name w:val="ListLabel 219"/>
    <w:qFormat/>
    <w:rsid w:val="000952B8"/>
    <w:rPr>
      <w:rFonts w:cs="Wingdings"/>
    </w:rPr>
  </w:style>
  <w:style w:type="character" w:customStyle="1" w:styleId="ListLabel220">
    <w:name w:val="ListLabel 220"/>
    <w:qFormat/>
    <w:rsid w:val="000952B8"/>
    <w:rPr>
      <w:rFonts w:cs="Courier New"/>
    </w:rPr>
  </w:style>
  <w:style w:type="character" w:customStyle="1" w:styleId="ListLabel221">
    <w:name w:val="ListLabel 221"/>
    <w:qFormat/>
    <w:rsid w:val="000952B8"/>
    <w:rPr>
      <w:rFonts w:cs="Wingdings"/>
    </w:rPr>
  </w:style>
  <w:style w:type="character" w:customStyle="1" w:styleId="ListLabel222">
    <w:name w:val="ListLabel 222"/>
    <w:qFormat/>
    <w:rsid w:val="000952B8"/>
    <w:rPr>
      <w:rFonts w:cs="Symbol"/>
    </w:rPr>
  </w:style>
  <w:style w:type="character" w:customStyle="1" w:styleId="ListLabel223">
    <w:name w:val="ListLabel 223"/>
    <w:qFormat/>
    <w:rsid w:val="000952B8"/>
    <w:rPr>
      <w:rFonts w:cs="Courier New"/>
    </w:rPr>
  </w:style>
  <w:style w:type="character" w:customStyle="1" w:styleId="ListLabel224">
    <w:name w:val="ListLabel 224"/>
    <w:qFormat/>
    <w:rsid w:val="000952B8"/>
    <w:rPr>
      <w:rFonts w:cs="Wingdings"/>
    </w:rPr>
  </w:style>
  <w:style w:type="character" w:customStyle="1" w:styleId="ListLabel225">
    <w:name w:val="ListLabel 225"/>
    <w:qFormat/>
    <w:rsid w:val="000952B8"/>
    <w:rPr>
      <w:rFonts w:cs="Symbol"/>
    </w:rPr>
  </w:style>
  <w:style w:type="character" w:customStyle="1" w:styleId="ListLabel226">
    <w:name w:val="ListLabel 226"/>
    <w:qFormat/>
    <w:rsid w:val="000952B8"/>
    <w:rPr>
      <w:rFonts w:cs="Courier New"/>
    </w:rPr>
  </w:style>
  <w:style w:type="character" w:customStyle="1" w:styleId="ListLabel227">
    <w:name w:val="ListLabel 227"/>
    <w:qFormat/>
    <w:rsid w:val="000952B8"/>
    <w:rPr>
      <w:rFonts w:cs="Wingdings"/>
    </w:rPr>
  </w:style>
  <w:style w:type="character" w:customStyle="1" w:styleId="ListLabel228">
    <w:name w:val="ListLabel 228"/>
    <w:qFormat/>
    <w:rsid w:val="000952B8"/>
    <w:rPr>
      <w:rFonts w:ascii="Open Sans" w:eastAsia="Times New Roman" w:hAnsi="Open Sans" w:cs="Open Sans"/>
      <w:b/>
      <w:sz w:val="21"/>
      <w:szCs w:val="21"/>
      <w:lang w:eastAsia="es-ES"/>
    </w:rPr>
  </w:style>
  <w:style w:type="character" w:customStyle="1" w:styleId="ListLabel229">
    <w:name w:val="ListLabel 229"/>
    <w:qFormat/>
    <w:rsid w:val="000952B8"/>
    <w:rPr>
      <w:rFonts w:ascii="Open Sans" w:eastAsia="Times New Roman" w:hAnsi="Open Sans" w:cs="Open Sans"/>
      <w:sz w:val="21"/>
      <w:szCs w:val="21"/>
      <w:lang w:eastAsia="es-ES"/>
    </w:rPr>
  </w:style>
  <w:style w:type="character" w:customStyle="1" w:styleId="ListLabel230">
    <w:name w:val="ListLabel 230"/>
    <w:qFormat/>
    <w:rsid w:val="000952B8"/>
    <w:rPr>
      <w:rFonts w:ascii="Open Sans" w:hAnsi="Open Sans" w:cs="Open Sans"/>
      <w:b/>
      <w:sz w:val="21"/>
      <w:szCs w:val="21"/>
    </w:rPr>
  </w:style>
  <w:style w:type="character" w:customStyle="1" w:styleId="ListLabel231">
    <w:name w:val="ListLabel 231"/>
    <w:qFormat/>
    <w:rsid w:val="000952B8"/>
    <w:rPr>
      <w:rFonts w:ascii="Open Sans" w:hAnsi="Open Sans" w:cs="Open Sans"/>
      <w:sz w:val="21"/>
      <w:szCs w:val="21"/>
    </w:rPr>
  </w:style>
  <w:style w:type="character" w:customStyle="1" w:styleId="ListLabel232">
    <w:name w:val="ListLabel 232"/>
    <w:qFormat/>
    <w:rsid w:val="000952B8"/>
    <w:rPr>
      <w:rFonts w:ascii="Open Sans" w:eastAsia="Times New Roman" w:hAnsi="Open Sans" w:cs="Open Sans"/>
      <w:i/>
      <w:sz w:val="21"/>
      <w:szCs w:val="21"/>
      <w:lang w:eastAsia="es-ES"/>
    </w:rPr>
  </w:style>
  <w:style w:type="character" w:customStyle="1" w:styleId="ListLabel233">
    <w:name w:val="ListLabel 233"/>
    <w:qFormat/>
    <w:rsid w:val="000952B8"/>
    <w:rPr>
      <w:rFonts w:eastAsia="Calibri"/>
      <w:sz w:val="21"/>
      <w:szCs w:val="21"/>
    </w:rPr>
  </w:style>
  <w:style w:type="character" w:customStyle="1" w:styleId="ListLabel234">
    <w:name w:val="ListLabel 234"/>
    <w:qFormat/>
    <w:rsid w:val="000952B8"/>
    <w:rPr>
      <w:rFonts w:ascii="Open Sans" w:eastAsia="Times New Roman" w:hAnsi="Open Sans" w:cs="Open Sans"/>
      <w:sz w:val="21"/>
      <w:szCs w:val="21"/>
      <w:u w:val="none"/>
      <w:lang w:eastAsia="es-ES"/>
    </w:rPr>
  </w:style>
  <w:style w:type="character" w:customStyle="1" w:styleId="ListLabel235">
    <w:name w:val="ListLabel 235"/>
    <w:qFormat/>
    <w:rsid w:val="000952B8"/>
    <w:rPr>
      <w:rFonts w:ascii="Open Sans" w:hAnsi="Open Sans" w:cs="Symbol"/>
      <w:sz w:val="21"/>
    </w:rPr>
  </w:style>
  <w:style w:type="character" w:customStyle="1" w:styleId="ListLabel236">
    <w:name w:val="ListLabel 236"/>
    <w:qFormat/>
    <w:rsid w:val="000952B8"/>
    <w:rPr>
      <w:rFonts w:cs="Courier New"/>
      <w:sz w:val="20"/>
    </w:rPr>
  </w:style>
  <w:style w:type="character" w:customStyle="1" w:styleId="ListLabel237">
    <w:name w:val="ListLabel 237"/>
    <w:qFormat/>
    <w:rsid w:val="000952B8"/>
    <w:rPr>
      <w:rFonts w:cs="Wingdings"/>
      <w:sz w:val="20"/>
    </w:rPr>
  </w:style>
  <w:style w:type="character" w:customStyle="1" w:styleId="ListLabel238">
    <w:name w:val="ListLabel 238"/>
    <w:qFormat/>
    <w:rsid w:val="000952B8"/>
    <w:rPr>
      <w:rFonts w:cs="Wingdings"/>
      <w:sz w:val="20"/>
    </w:rPr>
  </w:style>
  <w:style w:type="character" w:customStyle="1" w:styleId="ListLabel239">
    <w:name w:val="ListLabel 239"/>
    <w:qFormat/>
    <w:rsid w:val="000952B8"/>
    <w:rPr>
      <w:rFonts w:cs="Wingdings"/>
      <w:sz w:val="20"/>
    </w:rPr>
  </w:style>
  <w:style w:type="character" w:customStyle="1" w:styleId="ListLabel240">
    <w:name w:val="ListLabel 240"/>
    <w:qFormat/>
    <w:rsid w:val="000952B8"/>
    <w:rPr>
      <w:rFonts w:cs="Wingdings"/>
      <w:sz w:val="20"/>
    </w:rPr>
  </w:style>
  <w:style w:type="character" w:customStyle="1" w:styleId="ListLabel241">
    <w:name w:val="ListLabel 241"/>
    <w:qFormat/>
    <w:rsid w:val="000952B8"/>
    <w:rPr>
      <w:rFonts w:cs="Wingdings"/>
      <w:sz w:val="20"/>
    </w:rPr>
  </w:style>
  <w:style w:type="character" w:customStyle="1" w:styleId="ListLabel242">
    <w:name w:val="ListLabel 242"/>
    <w:qFormat/>
    <w:rsid w:val="000952B8"/>
    <w:rPr>
      <w:rFonts w:cs="Wingdings"/>
      <w:sz w:val="20"/>
    </w:rPr>
  </w:style>
  <w:style w:type="character" w:customStyle="1" w:styleId="ListLabel243">
    <w:name w:val="ListLabel 243"/>
    <w:qFormat/>
    <w:rsid w:val="000952B8"/>
    <w:rPr>
      <w:rFonts w:cs="Wingdings"/>
      <w:sz w:val="20"/>
    </w:rPr>
  </w:style>
  <w:style w:type="character" w:customStyle="1" w:styleId="ListLabel244">
    <w:name w:val="ListLabel 244"/>
    <w:qFormat/>
    <w:rsid w:val="000952B8"/>
    <w:rPr>
      <w:rFonts w:ascii="Open Sans" w:hAnsi="Open Sans" w:cs="Open Sans"/>
      <w:sz w:val="21"/>
    </w:rPr>
  </w:style>
  <w:style w:type="character" w:customStyle="1" w:styleId="ListLabel245">
    <w:name w:val="ListLabel 245"/>
    <w:qFormat/>
    <w:rsid w:val="000952B8"/>
    <w:rPr>
      <w:rFonts w:cs="Courier New"/>
    </w:rPr>
  </w:style>
  <w:style w:type="character" w:customStyle="1" w:styleId="ListLabel246">
    <w:name w:val="ListLabel 246"/>
    <w:qFormat/>
    <w:rsid w:val="000952B8"/>
    <w:rPr>
      <w:rFonts w:cs="Wingdings"/>
    </w:rPr>
  </w:style>
  <w:style w:type="character" w:customStyle="1" w:styleId="ListLabel247">
    <w:name w:val="ListLabel 247"/>
    <w:qFormat/>
    <w:rsid w:val="000952B8"/>
    <w:rPr>
      <w:rFonts w:cs="Symbol"/>
    </w:rPr>
  </w:style>
  <w:style w:type="character" w:customStyle="1" w:styleId="ListLabel248">
    <w:name w:val="ListLabel 248"/>
    <w:qFormat/>
    <w:rsid w:val="000952B8"/>
    <w:rPr>
      <w:rFonts w:cs="Courier New"/>
    </w:rPr>
  </w:style>
  <w:style w:type="character" w:customStyle="1" w:styleId="ListLabel249">
    <w:name w:val="ListLabel 249"/>
    <w:qFormat/>
    <w:rsid w:val="000952B8"/>
    <w:rPr>
      <w:rFonts w:cs="Wingdings"/>
    </w:rPr>
  </w:style>
  <w:style w:type="character" w:customStyle="1" w:styleId="ListLabel250">
    <w:name w:val="ListLabel 250"/>
    <w:qFormat/>
    <w:rsid w:val="000952B8"/>
    <w:rPr>
      <w:rFonts w:cs="Symbol"/>
    </w:rPr>
  </w:style>
  <w:style w:type="character" w:customStyle="1" w:styleId="ListLabel251">
    <w:name w:val="ListLabel 251"/>
    <w:qFormat/>
    <w:rsid w:val="000952B8"/>
    <w:rPr>
      <w:rFonts w:cs="Courier New"/>
    </w:rPr>
  </w:style>
  <w:style w:type="character" w:customStyle="1" w:styleId="ListLabel252">
    <w:name w:val="ListLabel 252"/>
    <w:qFormat/>
    <w:rsid w:val="000952B8"/>
    <w:rPr>
      <w:rFonts w:cs="Wingdings"/>
    </w:rPr>
  </w:style>
  <w:style w:type="character" w:customStyle="1" w:styleId="ListLabel253">
    <w:name w:val="ListLabel 253"/>
    <w:qFormat/>
    <w:rsid w:val="000952B8"/>
    <w:rPr>
      <w:rFonts w:ascii="Open Sans" w:hAnsi="Open Sans" w:cs="Symbol"/>
      <w:sz w:val="21"/>
    </w:rPr>
  </w:style>
  <w:style w:type="character" w:customStyle="1" w:styleId="ListLabel254">
    <w:name w:val="ListLabel 254"/>
    <w:qFormat/>
    <w:rsid w:val="000952B8"/>
    <w:rPr>
      <w:rFonts w:cs="Open Sans"/>
    </w:rPr>
  </w:style>
  <w:style w:type="character" w:customStyle="1" w:styleId="ListLabel255">
    <w:name w:val="ListLabel 255"/>
    <w:qFormat/>
    <w:rsid w:val="000952B8"/>
    <w:rPr>
      <w:rFonts w:cs="Wingdings"/>
    </w:rPr>
  </w:style>
  <w:style w:type="character" w:customStyle="1" w:styleId="ListLabel256">
    <w:name w:val="ListLabel 256"/>
    <w:qFormat/>
    <w:rsid w:val="000952B8"/>
    <w:rPr>
      <w:rFonts w:cs="Symbol"/>
    </w:rPr>
  </w:style>
  <w:style w:type="character" w:customStyle="1" w:styleId="ListLabel257">
    <w:name w:val="ListLabel 257"/>
    <w:qFormat/>
    <w:rsid w:val="000952B8"/>
    <w:rPr>
      <w:rFonts w:cs="Courier New"/>
    </w:rPr>
  </w:style>
  <w:style w:type="character" w:customStyle="1" w:styleId="ListLabel258">
    <w:name w:val="ListLabel 258"/>
    <w:qFormat/>
    <w:rsid w:val="000952B8"/>
    <w:rPr>
      <w:rFonts w:cs="Wingdings"/>
    </w:rPr>
  </w:style>
  <w:style w:type="character" w:customStyle="1" w:styleId="ListLabel259">
    <w:name w:val="ListLabel 259"/>
    <w:qFormat/>
    <w:rsid w:val="000952B8"/>
    <w:rPr>
      <w:rFonts w:cs="Symbol"/>
    </w:rPr>
  </w:style>
  <w:style w:type="character" w:customStyle="1" w:styleId="ListLabel260">
    <w:name w:val="ListLabel 260"/>
    <w:qFormat/>
    <w:rsid w:val="000952B8"/>
    <w:rPr>
      <w:rFonts w:cs="Courier New"/>
    </w:rPr>
  </w:style>
  <w:style w:type="character" w:customStyle="1" w:styleId="ListLabel261">
    <w:name w:val="ListLabel 261"/>
    <w:qFormat/>
    <w:rsid w:val="000952B8"/>
    <w:rPr>
      <w:rFonts w:cs="Wingdings"/>
    </w:rPr>
  </w:style>
  <w:style w:type="character" w:customStyle="1" w:styleId="ListLabel262">
    <w:name w:val="ListLabel 262"/>
    <w:qFormat/>
    <w:rsid w:val="000952B8"/>
    <w:rPr>
      <w:rFonts w:cs="Courier New"/>
    </w:rPr>
  </w:style>
  <w:style w:type="character" w:customStyle="1" w:styleId="ListLabel263">
    <w:name w:val="ListLabel 263"/>
    <w:qFormat/>
    <w:rsid w:val="000952B8"/>
    <w:rPr>
      <w:rFonts w:cs="Wingdings"/>
    </w:rPr>
  </w:style>
  <w:style w:type="character" w:customStyle="1" w:styleId="ListLabel264">
    <w:name w:val="ListLabel 264"/>
    <w:qFormat/>
    <w:rsid w:val="000952B8"/>
    <w:rPr>
      <w:rFonts w:cs="Symbol"/>
    </w:rPr>
  </w:style>
  <w:style w:type="character" w:customStyle="1" w:styleId="ListLabel265">
    <w:name w:val="ListLabel 265"/>
    <w:qFormat/>
    <w:rsid w:val="000952B8"/>
    <w:rPr>
      <w:rFonts w:cs="Courier New"/>
    </w:rPr>
  </w:style>
  <w:style w:type="character" w:customStyle="1" w:styleId="ListLabel266">
    <w:name w:val="ListLabel 266"/>
    <w:qFormat/>
    <w:rsid w:val="000952B8"/>
    <w:rPr>
      <w:rFonts w:cs="Wingdings"/>
    </w:rPr>
  </w:style>
  <w:style w:type="character" w:customStyle="1" w:styleId="ListLabel267">
    <w:name w:val="ListLabel 267"/>
    <w:qFormat/>
    <w:rsid w:val="000952B8"/>
    <w:rPr>
      <w:rFonts w:cs="Symbol"/>
    </w:rPr>
  </w:style>
  <w:style w:type="character" w:customStyle="1" w:styleId="ListLabel268">
    <w:name w:val="ListLabel 268"/>
    <w:qFormat/>
    <w:rsid w:val="000952B8"/>
    <w:rPr>
      <w:rFonts w:cs="Courier New"/>
    </w:rPr>
  </w:style>
  <w:style w:type="character" w:customStyle="1" w:styleId="ListLabel269">
    <w:name w:val="ListLabel 269"/>
    <w:qFormat/>
    <w:rsid w:val="000952B8"/>
    <w:rPr>
      <w:rFonts w:cs="Wingdings"/>
    </w:rPr>
  </w:style>
  <w:style w:type="character" w:customStyle="1" w:styleId="ListLabel270">
    <w:name w:val="ListLabel 270"/>
    <w:qFormat/>
    <w:rsid w:val="000952B8"/>
    <w:rPr>
      <w:rFonts w:cs="Courier New"/>
    </w:rPr>
  </w:style>
  <w:style w:type="character" w:customStyle="1" w:styleId="ListLabel271">
    <w:name w:val="ListLabel 271"/>
    <w:qFormat/>
    <w:rsid w:val="000952B8"/>
    <w:rPr>
      <w:rFonts w:cs="Courier New"/>
    </w:rPr>
  </w:style>
  <w:style w:type="character" w:customStyle="1" w:styleId="ListLabel272">
    <w:name w:val="ListLabel 272"/>
    <w:qFormat/>
    <w:rsid w:val="000952B8"/>
    <w:rPr>
      <w:rFonts w:cs="Courier New"/>
    </w:rPr>
  </w:style>
  <w:style w:type="character" w:customStyle="1" w:styleId="ListLabel273">
    <w:name w:val="ListLabel 273"/>
    <w:qFormat/>
    <w:rsid w:val="000952B8"/>
    <w:rPr>
      <w:rFonts w:ascii="Open Sans" w:eastAsia="Times New Roman" w:hAnsi="Open Sans" w:cs="Open Sans"/>
      <w:b/>
      <w:sz w:val="21"/>
      <w:szCs w:val="21"/>
      <w:lang w:eastAsia="es-ES"/>
    </w:rPr>
  </w:style>
  <w:style w:type="character" w:customStyle="1" w:styleId="ListLabel274">
    <w:name w:val="ListLabel 274"/>
    <w:qFormat/>
    <w:rsid w:val="000952B8"/>
    <w:rPr>
      <w:rFonts w:ascii="Open Sans" w:eastAsia="Times New Roman" w:hAnsi="Open Sans" w:cs="Open Sans"/>
      <w:sz w:val="21"/>
      <w:szCs w:val="21"/>
      <w:lang w:eastAsia="es-ES"/>
    </w:rPr>
  </w:style>
  <w:style w:type="character" w:customStyle="1" w:styleId="ListLabel275">
    <w:name w:val="ListLabel 275"/>
    <w:qFormat/>
    <w:rsid w:val="000952B8"/>
    <w:rPr>
      <w:rFonts w:ascii="Open Sans" w:hAnsi="Open Sans" w:cs="Open Sans"/>
      <w:b/>
      <w:sz w:val="21"/>
      <w:szCs w:val="21"/>
    </w:rPr>
  </w:style>
  <w:style w:type="character" w:customStyle="1" w:styleId="ListLabel276">
    <w:name w:val="ListLabel 276"/>
    <w:qFormat/>
    <w:rsid w:val="000952B8"/>
    <w:rPr>
      <w:rFonts w:ascii="Open Sans" w:hAnsi="Open Sans" w:cs="Open Sans"/>
      <w:sz w:val="21"/>
      <w:szCs w:val="21"/>
    </w:rPr>
  </w:style>
  <w:style w:type="character" w:customStyle="1" w:styleId="ListLabel277">
    <w:name w:val="ListLabel 277"/>
    <w:qFormat/>
    <w:rsid w:val="000952B8"/>
    <w:rPr>
      <w:rFonts w:ascii="Open Sans" w:hAnsi="Open Sans" w:cs="Open Sans"/>
      <w:sz w:val="21"/>
      <w:szCs w:val="21"/>
    </w:rPr>
  </w:style>
  <w:style w:type="character" w:customStyle="1" w:styleId="ListLabel278">
    <w:name w:val="ListLabel 278"/>
    <w:qFormat/>
    <w:rsid w:val="000952B8"/>
    <w:rPr>
      <w:rFonts w:ascii="Open Sans" w:eastAsia="Times New Roman" w:hAnsi="Open Sans" w:cs="Open Sans"/>
      <w:i/>
      <w:sz w:val="21"/>
      <w:szCs w:val="21"/>
      <w:lang w:eastAsia="es-ES"/>
    </w:rPr>
  </w:style>
  <w:style w:type="character" w:customStyle="1" w:styleId="ListLabel279">
    <w:name w:val="ListLabel 279"/>
    <w:qFormat/>
    <w:rsid w:val="000952B8"/>
    <w:rPr>
      <w:rFonts w:eastAsia="Calibri"/>
      <w:sz w:val="21"/>
      <w:szCs w:val="21"/>
    </w:rPr>
  </w:style>
  <w:style w:type="character" w:customStyle="1" w:styleId="ListLabel280">
    <w:name w:val="ListLabel 280"/>
    <w:qFormat/>
    <w:rsid w:val="000952B8"/>
    <w:rPr>
      <w:rFonts w:ascii="Open Sans" w:eastAsia="Times New Roman" w:hAnsi="Open Sans" w:cs="Open Sans"/>
      <w:sz w:val="21"/>
      <w:szCs w:val="21"/>
      <w:u w:val="none"/>
      <w:lang w:eastAsia="es-ES"/>
    </w:rPr>
  </w:style>
  <w:style w:type="character" w:customStyle="1" w:styleId="ListLabel281">
    <w:name w:val="ListLabel 281"/>
    <w:qFormat/>
    <w:rsid w:val="000952B8"/>
    <w:rPr>
      <w:b/>
      <w:color w:val="932224"/>
      <w:sz w:val="21"/>
      <w:szCs w:val="21"/>
      <w:lang w:val="es-ES"/>
    </w:rPr>
  </w:style>
  <w:style w:type="character" w:customStyle="1" w:styleId="ListLabel282">
    <w:name w:val="ListLabel 282"/>
    <w:qFormat/>
    <w:rsid w:val="000952B8"/>
    <w:rPr>
      <w:color w:val="932224"/>
      <w:sz w:val="21"/>
      <w:szCs w:val="21"/>
      <w:shd w:val="clear" w:color="auto" w:fill="FFFFFF"/>
      <w:lang w:val="es-ES"/>
    </w:rPr>
  </w:style>
  <w:style w:type="character" w:customStyle="1" w:styleId="TextocomentarioCar1">
    <w:name w:val="Texto comentario Car1"/>
    <w:basedOn w:val="Fuentedeprrafopredeter"/>
    <w:uiPriority w:val="99"/>
    <w:semiHidden/>
    <w:qFormat/>
    <w:rsid w:val="000952B8"/>
    <w:rPr>
      <w:sz w:val="20"/>
      <w:szCs w:val="20"/>
    </w:rPr>
  </w:style>
  <w:style w:type="character" w:customStyle="1" w:styleId="AsuntodelcomentarioCar1">
    <w:name w:val="Asunto del comentario Car1"/>
    <w:basedOn w:val="TextocomentarioCar1"/>
    <w:uiPriority w:val="99"/>
    <w:semiHidden/>
    <w:qFormat/>
    <w:rsid w:val="000952B8"/>
    <w:rPr>
      <w:b/>
      <w:bCs/>
      <w:sz w:val="20"/>
      <w:szCs w:val="20"/>
    </w:rPr>
  </w:style>
  <w:style w:type="character" w:customStyle="1" w:styleId="TextodegloboCar1">
    <w:name w:val="Texto de globo Car1"/>
    <w:basedOn w:val="Fuentedeprrafopredeter"/>
    <w:uiPriority w:val="99"/>
    <w:semiHidden/>
    <w:qFormat/>
    <w:rsid w:val="000952B8"/>
    <w:rPr>
      <w:rFonts w:ascii="Segoe UI" w:hAnsi="Segoe UI" w:cs="Segoe UI"/>
      <w:sz w:val="18"/>
      <w:szCs w:val="18"/>
    </w:rPr>
  </w:style>
  <w:style w:type="character" w:customStyle="1" w:styleId="ListLabel283">
    <w:name w:val="ListLabel 283"/>
    <w:qFormat/>
    <w:rsid w:val="000952B8"/>
    <w:rPr>
      <w:rFonts w:ascii="Open Sans" w:hAnsi="Open Sans" w:cs="Symbol"/>
      <w:sz w:val="21"/>
    </w:rPr>
  </w:style>
  <w:style w:type="character" w:customStyle="1" w:styleId="ListLabel284">
    <w:name w:val="ListLabel 284"/>
    <w:qFormat/>
    <w:rsid w:val="000952B8"/>
    <w:rPr>
      <w:rFonts w:cs="Courier New"/>
      <w:sz w:val="20"/>
    </w:rPr>
  </w:style>
  <w:style w:type="character" w:customStyle="1" w:styleId="ListLabel285">
    <w:name w:val="ListLabel 285"/>
    <w:qFormat/>
    <w:rsid w:val="000952B8"/>
    <w:rPr>
      <w:rFonts w:cs="Wingdings"/>
      <w:sz w:val="20"/>
    </w:rPr>
  </w:style>
  <w:style w:type="character" w:customStyle="1" w:styleId="ListLabel286">
    <w:name w:val="ListLabel 286"/>
    <w:qFormat/>
    <w:rsid w:val="000952B8"/>
    <w:rPr>
      <w:rFonts w:cs="Wingdings"/>
      <w:sz w:val="20"/>
    </w:rPr>
  </w:style>
  <w:style w:type="character" w:customStyle="1" w:styleId="ListLabel287">
    <w:name w:val="ListLabel 287"/>
    <w:qFormat/>
    <w:rsid w:val="000952B8"/>
    <w:rPr>
      <w:rFonts w:cs="Wingdings"/>
      <w:sz w:val="20"/>
    </w:rPr>
  </w:style>
  <w:style w:type="character" w:customStyle="1" w:styleId="ListLabel288">
    <w:name w:val="ListLabel 288"/>
    <w:qFormat/>
    <w:rsid w:val="000952B8"/>
    <w:rPr>
      <w:rFonts w:cs="Wingdings"/>
      <w:sz w:val="20"/>
    </w:rPr>
  </w:style>
  <w:style w:type="character" w:customStyle="1" w:styleId="ListLabel289">
    <w:name w:val="ListLabel 289"/>
    <w:qFormat/>
    <w:rsid w:val="000952B8"/>
    <w:rPr>
      <w:rFonts w:cs="Wingdings"/>
      <w:sz w:val="20"/>
    </w:rPr>
  </w:style>
  <w:style w:type="character" w:customStyle="1" w:styleId="ListLabel290">
    <w:name w:val="ListLabel 290"/>
    <w:qFormat/>
    <w:rsid w:val="000952B8"/>
    <w:rPr>
      <w:rFonts w:cs="Wingdings"/>
      <w:sz w:val="20"/>
    </w:rPr>
  </w:style>
  <w:style w:type="character" w:customStyle="1" w:styleId="ListLabel291">
    <w:name w:val="ListLabel 291"/>
    <w:qFormat/>
    <w:rsid w:val="000952B8"/>
    <w:rPr>
      <w:rFonts w:cs="Wingdings"/>
      <w:sz w:val="20"/>
    </w:rPr>
  </w:style>
  <w:style w:type="character" w:customStyle="1" w:styleId="ListLabel292">
    <w:name w:val="ListLabel 292"/>
    <w:qFormat/>
    <w:rsid w:val="000952B8"/>
    <w:rPr>
      <w:rFonts w:cs="Open Sans"/>
      <w:sz w:val="21"/>
    </w:rPr>
  </w:style>
  <w:style w:type="character" w:customStyle="1" w:styleId="ListLabel293">
    <w:name w:val="ListLabel 293"/>
    <w:qFormat/>
    <w:rsid w:val="000952B8"/>
    <w:rPr>
      <w:rFonts w:cs="Courier New"/>
    </w:rPr>
  </w:style>
  <w:style w:type="character" w:customStyle="1" w:styleId="ListLabel294">
    <w:name w:val="ListLabel 294"/>
    <w:qFormat/>
    <w:rsid w:val="000952B8"/>
    <w:rPr>
      <w:rFonts w:cs="Wingdings"/>
    </w:rPr>
  </w:style>
  <w:style w:type="character" w:customStyle="1" w:styleId="ListLabel295">
    <w:name w:val="ListLabel 295"/>
    <w:qFormat/>
    <w:rsid w:val="000952B8"/>
    <w:rPr>
      <w:rFonts w:cs="Symbol"/>
    </w:rPr>
  </w:style>
  <w:style w:type="character" w:customStyle="1" w:styleId="ListLabel296">
    <w:name w:val="ListLabel 296"/>
    <w:qFormat/>
    <w:rsid w:val="000952B8"/>
    <w:rPr>
      <w:rFonts w:cs="Courier New"/>
    </w:rPr>
  </w:style>
  <w:style w:type="character" w:customStyle="1" w:styleId="ListLabel297">
    <w:name w:val="ListLabel 297"/>
    <w:qFormat/>
    <w:rsid w:val="000952B8"/>
    <w:rPr>
      <w:rFonts w:cs="Wingdings"/>
    </w:rPr>
  </w:style>
  <w:style w:type="character" w:customStyle="1" w:styleId="ListLabel298">
    <w:name w:val="ListLabel 298"/>
    <w:qFormat/>
    <w:rsid w:val="000952B8"/>
    <w:rPr>
      <w:rFonts w:cs="Symbol"/>
    </w:rPr>
  </w:style>
  <w:style w:type="character" w:customStyle="1" w:styleId="ListLabel299">
    <w:name w:val="ListLabel 299"/>
    <w:qFormat/>
    <w:rsid w:val="000952B8"/>
    <w:rPr>
      <w:rFonts w:cs="Courier New"/>
    </w:rPr>
  </w:style>
  <w:style w:type="character" w:customStyle="1" w:styleId="ListLabel300">
    <w:name w:val="ListLabel 300"/>
    <w:qFormat/>
    <w:rsid w:val="000952B8"/>
    <w:rPr>
      <w:rFonts w:cs="Wingdings"/>
    </w:rPr>
  </w:style>
  <w:style w:type="character" w:customStyle="1" w:styleId="ListLabel301">
    <w:name w:val="ListLabel 301"/>
    <w:qFormat/>
    <w:rsid w:val="000952B8"/>
    <w:rPr>
      <w:rFonts w:ascii="Open Sans" w:hAnsi="Open Sans" w:cs="Symbol"/>
      <w:sz w:val="21"/>
    </w:rPr>
  </w:style>
  <w:style w:type="character" w:customStyle="1" w:styleId="ListLabel302">
    <w:name w:val="ListLabel 302"/>
    <w:qFormat/>
    <w:rsid w:val="000952B8"/>
    <w:rPr>
      <w:rFonts w:cs="Open Sans"/>
    </w:rPr>
  </w:style>
  <w:style w:type="character" w:customStyle="1" w:styleId="ListLabel303">
    <w:name w:val="ListLabel 303"/>
    <w:qFormat/>
    <w:rsid w:val="000952B8"/>
    <w:rPr>
      <w:rFonts w:cs="Wingdings"/>
    </w:rPr>
  </w:style>
  <w:style w:type="character" w:customStyle="1" w:styleId="ListLabel304">
    <w:name w:val="ListLabel 304"/>
    <w:qFormat/>
    <w:rsid w:val="000952B8"/>
    <w:rPr>
      <w:rFonts w:cs="Symbol"/>
    </w:rPr>
  </w:style>
  <w:style w:type="character" w:customStyle="1" w:styleId="ListLabel305">
    <w:name w:val="ListLabel 305"/>
    <w:qFormat/>
    <w:rsid w:val="000952B8"/>
    <w:rPr>
      <w:rFonts w:cs="Courier New"/>
    </w:rPr>
  </w:style>
  <w:style w:type="character" w:customStyle="1" w:styleId="ListLabel306">
    <w:name w:val="ListLabel 306"/>
    <w:qFormat/>
    <w:rsid w:val="000952B8"/>
    <w:rPr>
      <w:rFonts w:cs="Wingdings"/>
    </w:rPr>
  </w:style>
  <w:style w:type="character" w:customStyle="1" w:styleId="ListLabel307">
    <w:name w:val="ListLabel 307"/>
    <w:qFormat/>
    <w:rsid w:val="000952B8"/>
    <w:rPr>
      <w:rFonts w:cs="Symbol"/>
    </w:rPr>
  </w:style>
  <w:style w:type="character" w:customStyle="1" w:styleId="ListLabel308">
    <w:name w:val="ListLabel 308"/>
    <w:qFormat/>
    <w:rsid w:val="000952B8"/>
    <w:rPr>
      <w:rFonts w:cs="Courier New"/>
    </w:rPr>
  </w:style>
  <w:style w:type="character" w:customStyle="1" w:styleId="ListLabel309">
    <w:name w:val="ListLabel 309"/>
    <w:qFormat/>
    <w:rsid w:val="000952B8"/>
    <w:rPr>
      <w:rFonts w:cs="Wingdings"/>
    </w:rPr>
  </w:style>
  <w:style w:type="character" w:customStyle="1" w:styleId="ListLabel310">
    <w:name w:val="ListLabel 310"/>
    <w:qFormat/>
    <w:rsid w:val="000952B8"/>
    <w:rPr>
      <w:rFonts w:cs="Courier New"/>
    </w:rPr>
  </w:style>
  <w:style w:type="character" w:customStyle="1" w:styleId="ListLabel311">
    <w:name w:val="ListLabel 311"/>
    <w:qFormat/>
    <w:rsid w:val="000952B8"/>
    <w:rPr>
      <w:rFonts w:cs="Wingdings"/>
    </w:rPr>
  </w:style>
  <w:style w:type="character" w:customStyle="1" w:styleId="ListLabel312">
    <w:name w:val="ListLabel 312"/>
    <w:qFormat/>
    <w:rsid w:val="000952B8"/>
    <w:rPr>
      <w:rFonts w:cs="Symbol"/>
    </w:rPr>
  </w:style>
  <w:style w:type="character" w:customStyle="1" w:styleId="ListLabel313">
    <w:name w:val="ListLabel 313"/>
    <w:qFormat/>
    <w:rsid w:val="000952B8"/>
    <w:rPr>
      <w:rFonts w:cs="Courier New"/>
    </w:rPr>
  </w:style>
  <w:style w:type="character" w:customStyle="1" w:styleId="ListLabel314">
    <w:name w:val="ListLabel 314"/>
    <w:qFormat/>
    <w:rsid w:val="000952B8"/>
    <w:rPr>
      <w:rFonts w:cs="Wingdings"/>
    </w:rPr>
  </w:style>
  <w:style w:type="character" w:customStyle="1" w:styleId="ListLabel315">
    <w:name w:val="ListLabel 315"/>
    <w:qFormat/>
    <w:rsid w:val="000952B8"/>
    <w:rPr>
      <w:rFonts w:cs="Symbol"/>
    </w:rPr>
  </w:style>
  <w:style w:type="character" w:customStyle="1" w:styleId="ListLabel316">
    <w:name w:val="ListLabel 316"/>
    <w:qFormat/>
    <w:rsid w:val="000952B8"/>
    <w:rPr>
      <w:rFonts w:cs="Courier New"/>
    </w:rPr>
  </w:style>
  <w:style w:type="character" w:customStyle="1" w:styleId="ListLabel317">
    <w:name w:val="ListLabel 317"/>
    <w:qFormat/>
    <w:rsid w:val="000952B8"/>
    <w:rPr>
      <w:rFonts w:cs="Wingdings"/>
    </w:rPr>
  </w:style>
  <w:style w:type="character" w:customStyle="1" w:styleId="ListLabel318">
    <w:name w:val="ListLabel 318"/>
    <w:qFormat/>
    <w:rsid w:val="000952B8"/>
    <w:rPr>
      <w:rFonts w:ascii="Open Sans" w:hAnsi="Open Sans" w:cs="Symbol"/>
      <w:sz w:val="21"/>
    </w:rPr>
  </w:style>
  <w:style w:type="character" w:customStyle="1" w:styleId="ListLabel319">
    <w:name w:val="ListLabel 319"/>
    <w:qFormat/>
    <w:rsid w:val="000952B8"/>
    <w:rPr>
      <w:rFonts w:cs="Courier New"/>
    </w:rPr>
  </w:style>
  <w:style w:type="character" w:customStyle="1" w:styleId="ListLabel320">
    <w:name w:val="ListLabel 320"/>
    <w:qFormat/>
    <w:rsid w:val="000952B8"/>
    <w:rPr>
      <w:rFonts w:cs="Wingdings"/>
    </w:rPr>
  </w:style>
  <w:style w:type="character" w:customStyle="1" w:styleId="ListLabel321">
    <w:name w:val="ListLabel 321"/>
    <w:qFormat/>
    <w:rsid w:val="000952B8"/>
    <w:rPr>
      <w:rFonts w:cs="Symbol"/>
    </w:rPr>
  </w:style>
  <w:style w:type="character" w:customStyle="1" w:styleId="ListLabel322">
    <w:name w:val="ListLabel 322"/>
    <w:qFormat/>
    <w:rsid w:val="000952B8"/>
    <w:rPr>
      <w:rFonts w:cs="Courier New"/>
    </w:rPr>
  </w:style>
  <w:style w:type="character" w:customStyle="1" w:styleId="ListLabel323">
    <w:name w:val="ListLabel 323"/>
    <w:qFormat/>
    <w:rsid w:val="000952B8"/>
    <w:rPr>
      <w:rFonts w:cs="Wingdings"/>
    </w:rPr>
  </w:style>
  <w:style w:type="character" w:customStyle="1" w:styleId="ListLabel324">
    <w:name w:val="ListLabel 324"/>
    <w:qFormat/>
    <w:rsid w:val="000952B8"/>
    <w:rPr>
      <w:rFonts w:cs="Symbol"/>
    </w:rPr>
  </w:style>
  <w:style w:type="character" w:customStyle="1" w:styleId="ListLabel325">
    <w:name w:val="ListLabel 325"/>
    <w:qFormat/>
    <w:rsid w:val="000952B8"/>
    <w:rPr>
      <w:rFonts w:cs="Courier New"/>
    </w:rPr>
  </w:style>
  <w:style w:type="character" w:customStyle="1" w:styleId="ListLabel326">
    <w:name w:val="ListLabel 326"/>
    <w:qFormat/>
    <w:rsid w:val="000952B8"/>
    <w:rPr>
      <w:rFonts w:cs="Wingdings"/>
    </w:rPr>
  </w:style>
  <w:style w:type="character" w:customStyle="1" w:styleId="ListLabel327">
    <w:name w:val="ListLabel 327"/>
    <w:qFormat/>
    <w:rsid w:val="000952B8"/>
    <w:rPr>
      <w:rFonts w:ascii="Open Sans" w:hAnsi="Open Sans"/>
      <w:sz w:val="21"/>
    </w:rPr>
  </w:style>
  <w:style w:type="character" w:customStyle="1" w:styleId="ListLabel328">
    <w:name w:val="ListLabel 328"/>
    <w:qFormat/>
    <w:rsid w:val="000952B8"/>
    <w:rPr>
      <w:rFonts w:cs="Courier New"/>
    </w:rPr>
  </w:style>
  <w:style w:type="character" w:customStyle="1" w:styleId="ListLabel329">
    <w:name w:val="ListLabel 329"/>
    <w:qFormat/>
    <w:rsid w:val="000952B8"/>
    <w:rPr>
      <w:rFonts w:cs="Wingdings"/>
    </w:rPr>
  </w:style>
  <w:style w:type="character" w:customStyle="1" w:styleId="ListLabel330">
    <w:name w:val="ListLabel 330"/>
    <w:qFormat/>
    <w:rsid w:val="000952B8"/>
    <w:rPr>
      <w:rFonts w:cs="Symbol"/>
    </w:rPr>
  </w:style>
  <w:style w:type="character" w:customStyle="1" w:styleId="ListLabel331">
    <w:name w:val="ListLabel 331"/>
    <w:qFormat/>
    <w:rsid w:val="000952B8"/>
    <w:rPr>
      <w:rFonts w:cs="Courier New"/>
    </w:rPr>
  </w:style>
  <w:style w:type="character" w:customStyle="1" w:styleId="ListLabel332">
    <w:name w:val="ListLabel 332"/>
    <w:qFormat/>
    <w:rsid w:val="000952B8"/>
    <w:rPr>
      <w:rFonts w:cs="Wingdings"/>
    </w:rPr>
  </w:style>
  <w:style w:type="character" w:customStyle="1" w:styleId="ListLabel333">
    <w:name w:val="ListLabel 333"/>
    <w:qFormat/>
    <w:rsid w:val="000952B8"/>
    <w:rPr>
      <w:rFonts w:cs="Symbol"/>
    </w:rPr>
  </w:style>
  <w:style w:type="character" w:customStyle="1" w:styleId="ListLabel334">
    <w:name w:val="ListLabel 334"/>
    <w:qFormat/>
    <w:rsid w:val="000952B8"/>
    <w:rPr>
      <w:rFonts w:cs="Courier New"/>
    </w:rPr>
  </w:style>
  <w:style w:type="character" w:customStyle="1" w:styleId="ListLabel335">
    <w:name w:val="ListLabel 335"/>
    <w:qFormat/>
    <w:rsid w:val="000952B8"/>
    <w:rPr>
      <w:rFonts w:cs="Wingdings"/>
    </w:rPr>
  </w:style>
  <w:style w:type="character" w:customStyle="1" w:styleId="ListLabel336">
    <w:name w:val="ListLabel 336"/>
    <w:qFormat/>
    <w:rsid w:val="000952B8"/>
    <w:rPr>
      <w:rFonts w:ascii="Open Sans" w:hAnsi="Open Sans"/>
      <w:sz w:val="21"/>
    </w:rPr>
  </w:style>
  <w:style w:type="character" w:customStyle="1" w:styleId="ListLabel337">
    <w:name w:val="ListLabel 337"/>
    <w:qFormat/>
    <w:rsid w:val="000952B8"/>
    <w:rPr>
      <w:rFonts w:cs="Courier New"/>
    </w:rPr>
  </w:style>
  <w:style w:type="character" w:customStyle="1" w:styleId="ListLabel338">
    <w:name w:val="ListLabel 338"/>
    <w:qFormat/>
    <w:rsid w:val="000952B8"/>
    <w:rPr>
      <w:rFonts w:cs="Wingdings"/>
    </w:rPr>
  </w:style>
  <w:style w:type="character" w:customStyle="1" w:styleId="ListLabel339">
    <w:name w:val="ListLabel 339"/>
    <w:qFormat/>
    <w:rsid w:val="000952B8"/>
    <w:rPr>
      <w:rFonts w:cs="Symbol"/>
    </w:rPr>
  </w:style>
  <w:style w:type="character" w:customStyle="1" w:styleId="ListLabel340">
    <w:name w:val="ListLabel 340"/>
    <w:qFormat/>
    <w:rsid w:val="000952B8"/>
    <w:rPr>
      <w:rFonts w:cs="Courier New"/>
    </w:rPr>
  </w:style>
  <w:style w:type="character" w:customStyle="1" w:styleId="ListLabel341">
    <w:name w:val="ListLabel 341"/>
    <w:qFormat/>
    <w:rsid w:val="000952B8"/>
    <w:rPr>
      <w:rFonts w:cs="Wingdings"/>
    </w:rPr>
  </w:style>
  <w:style w:type="character" w:customStyle="1" w:styleId="ListLabel342">
    <w:name w:val="ListLabel 342"/>
    <w:qFormat/>
    <w:rsid w:val="000952B8"/>
    <w:rPr>
      <w:rFonts w:cs="Symbol"/>
    </w:rPr>
  </w:style>
  <w:style w:type="character" w:customStyle="1" w:styleId="ListLabel343">
    <w:name w:val="ListLabel 343"/>
    <w:qFormat/>
    <w:rsid w:val="000952B8"/>
    <w:rPr>
      <w:rFonts w:cs="Courier New"/>
    </w:rPr>
  </w:style>
  <w:style w:type="character" w:customStyle="1" w:styleId="ListLabel344">
    <w:name w:val="ListLabel 344"/>
    <w:qFormat/>
    <w:rsid w:val="000952B8"/>
    <w:rPr>
      <w:rFonts w:cs="Wingdings"/>
    </w:rPr>
  </w:style>
  <w:style w:type="character" w:customStyle="1" w:styleId="ListLabel345">
    <w:name w:val="ListLabel 345"/>
    <w:qFormat/>
    <w:rsid w:val="000952B8"/>
    <w:rPr>
      <w:rFonts w:ascii="Open Sans" w:eastAsia="Times New Roman" w:hAnsi="Open Sans" w:cs="Open Sans"/>
      <w:b/>
      <w:sz w:val="21"/>
      <w:szCs w:val="21"/>
      <w:lang w:eastAsia="es-ES"/>
    </w:rPr>
  </w:style>
  <w:style w:type="character" w:customStyle="1" w:styleId="ListLabel346">
    <w:name w:val="ListLabel 346"/>
    <w:qFormat/>
    <w:rsid w:val="000952B8"/>
    <w:rPr>
      <w:rFonts w:ascii="Open Sans" w:eastAsia="Times New Roman" w:hAnsi="Open Sans" w:cs="Open Sans"/>
      <w:sz w:val="21"/>
      <w:szCs w:val="21"/>
      <w:lang w:eastAsia="es-ES"/>
    </w:rPr>
  </w:style>
  <w:style w:type="character" w:customStyle="1" w:styleId="ListLabel347">
    <w:name w:val="ListLabel 347"/>
    <w:qFormat/>
    <w:rsid w:val="000952B8"/>
    <w:rPr>
      <w:rFonts w:ascii="Open Sans" w:eastAsia="Times New Roman" w:hAnsi="Open Sans" w:cs="Open Sans"/>
      <w:sz w:val="21"/>
      <w:szCs w:val="21"/>
      <w:lang w:eastAsia="es-ES"/>
    </w:rPr>
  </w:style>
  <w:style w:type="character" w:customStyle="1" w:styleId="ListLabel348">
    <w:name w:val="ListLabel 348"/>
    <w:qFormat/>
    <w:rsid w:val="000952B8"/>
    <w:rPr>
      <w:rFonts w:ascii="Open Sans" w:eastAsia="Times New Roman" w:hAnsi="Open Sans" w:cs="Open Sans"/>
      <w:sz w:val="20"/>
      <w:szCs w:val="20"/>
      <w:lang w:eastAsia="es-ES"/>
    </w:rPr>
  </w:style>
  <w:style w:type="character" w:customStyle="1" w:styleId="ListLabel349">
    <w:name w:val="ListLabel 349"/>
    <w:qFormat/>
    <w:rsid w:val="000952B8"/>
    <w:rPr>
      <w:rFonts w:ascii="Open Sans" w:hAnsi="Open Sans" w:cs="Open Sans"/>
      <w:sz w:val="21"/>
      <w:szCs w:val="21"/>
    </w:rPr>
  </w:style>
  <w:style w:type="character" w:customStyle="1" w:styleId="ListLabel350">
    <w:name w:val="ListLabel 350"/>
    <w:qFormat/>
    <w:rsid w:val="000952B8"/>
    <w:rPr>
      <w:rFonts w:ascii="Open Sans" w:eastAsia="Times New Roman" w:hAnsi="Open Sans" w:cs="Open Sans"/>
      <w:i/>
      <w:sz w:val="21"/>
      <w:szCs w:val="21"/>
      <w:lang w:eastAsia="es-ES"/>
    </w:rPr>
  </w:style>
  <w:style w:type="character" w:customStyle="1" w:styleId="ListLabel351">
    <w:name w:val="ListLabel 351"/>
    <w:qFormat/>
    <w:rsid w:val="000952B8"/>
    <w:rPr>
      <w:rFonts w:eastAsia="Calibri"/>
      <w:sz w:val="21"/>
      <w:szCs w:val="21"/>
    </w:rPr>
  </w:style>
  <w:style w:type="character" w:customStyle="1" w:styleId="ListLabel352">
    <w:name w:val="ListLabel 352"/>
    <w:qFormat/>
    <w:rsid w:val="000952B8"/>
    <w:rPr>
      <w:rFonts w:ascii="Open Sans" w:hAnsi="Open Sans" w:cs="Open Sans"/>
      <w:sz w:val="21"/>
      <w:szCs w:val="21"/>
    </w:rPr>
  </w:style>
  <w:style w:type="character" w:customStyle="1" w:styleId="ListLabel353">
    <w:name w:val="ListLabel 353"/>
    <w:qFormat/>
    <w:rsid w:val="000952B8"/>
  </w:style>
  <w:style w:type="character" w:customStyle="1" w:styleId="ListLabel354">
    <w:name w:val="ListLabel 354"/>
    <w:qFormat/>
    <w:rsid w:val="000952B8"/>
  </w:style>
  <w:style w:type="character" w:customStyle="1" w:styleId="ListLabel355">
    <w:name w:val="ListLabel 355"/>
    <w:qFormat/>
    <w:rsid w:val="000952B8"/>
    <w:rPr>
      <w:rFonts w:ascii="Open Sans" w:hAnsi="Open Sans" w:cs="Symbol"/>
      <w:sz w:val="21"/>
    </w:rPr>
  </w:style>
  <w:style w:type="character" w:customStyle="1" w:styleId="ListLabel356">
    <w:name w:val="ListLabel 356"/>
    <w:qFormat/>
    <w:rsid w:val="000952B8"/>
    <w:rPr>
      <w:rFonts w:cs="Courier New"/>
      <w:sz w:val="20"/>
    </w:rPr>
  </w:style>
  <w:style w:type="character" w:customStyle="1" w:styleId="ListLabel357">
    <w:name w:val="ListLabel 357"/>
    <w:qFormat/>
    <w:rsid w:val="000952B8"/>
    <w:rPr>
      <w:rFonts w:cs="Wingdings"/>
      <w:sz w:val="20"/>
    </w:rPr>
  </w:style>
  <w:style w:type="character" w:customStyle="1" w:styleId="ListLabel358">
    <w:name w:val="ListLabel 358"/>
    <w:qFormat/>
    <w:rsid w:val="000952B8"/>
    <w:rPr>
      <w:rFonts w:cs="Wingdings"/>
      <w:sz w:val="20"/>
    </w:rPr>
  </w:style>
  <w:style w:type="character" w:customStyle="1" w:styleId="ListLabel359">
    <w:name w:val="ListLabel 359"/>
    <w:qFormat/>
    <w:rsid w:val="000952B8"/>
    <w:rPr>
      <w:rFonts w:cs="Wingdings"/>
      <w:sz w:val="20"/>
    </w:rPr>
  </w:style>
  <w:style w:type="character" w:customStyle="1" w:styleId="ListLabel360">
    <w:name w:val="ListLabel 360"/>
    <w:qFormat/>
    <w:rsid w:val="000952B8"/>
    <w:rPr>
      <w:rFonts w:cs="Wingdings"/>
      <w:sz w:val="20"/>
    </w:rPr>
  </w:style>
  <w:style w:type="character" w:customStyle="1" w:styleId="ListLabel361">
    <w:name w:val="ListLabel 361"/>
    <w:qFormat/>
    <w:rsid w:val="000952B8"/>
    <w:rPr>
      <w:rFonts w:cs="Wingdings"/>
      <w:sz w:val="20"/>
    </w:rPr>
  </w:style>
  <w:style w:type="character" w:customStyle="1" w:styleId="ListLabel362">
    <w:name w:val="ListLabel 362"/>
    <w:qFormat/>
    <w:rsid w:val="000952B8"/>
    <w:rPr>
      <w:rFonts w:cs="Wingdings"/>
      <w:sz w:val="20"/>
    </w:rPr>
  </w:style>
  <w:style w:type="character" w:customStyle="1" w:styleId="ListLabel363">
    <w:name w:val="ListLabel 363"/>
    <w:qFormat/>
    <w:rsid w:val="000952B8"/>
    <w:rPr>
      <w:rFonts w:cs="Wingdings"/>
      <w:sz w:val="20"/>
    </w:rPr>
  </w:style>
  <w:style w:type="character" w:customStyle="1" w:styleId="ListLabel364">
    <w:name w:val="ListLabel 364"/>
    <w:qFormat/>
    <w:rsid w:val="000952B8"/>
    <w:rPr>
      <w:rFonts w:ascii="Open Sans" w:hAnsi="Open Sans" w:cs="Symbol"/>
      <w:sz w:val="21"/>
    </w:rPr>
  </w:style>
  <w:style w:type="character" w:customStyle="1" w:styleId="ListLabel365">
    <w:name w:val="ListLabel 365"/>
    <w:qFormat/>
    <w:rsid w:val="000952B8"/>
    <w:rPr>
      <w:rFonts w:cs="Open Sans"/>
    </w:rPr>
  </w:style>
  <w:style w:type="character" w:customStyle="1" w:styleId="ListLabel366">
    <w:name w:val="ListLabel 366"/>
    <w:qFormat/>
    <w:rsid w:val="000952B8"/>
    <w:rPr>
      <w:rFonts w:cs="Wingdings"/>
    </w:rPr>
  </w:style>
  <w:style w:type="character" w:customStyle="1" w:styleId="ListLabel367">
    <w:name w:val="ListLabel 367"/>
    <w:qFormat/>
    <w:rsid w:val="000952B8"/>
    <w:rPr>
      <w:rFonts w:cs="Symbol"/>
    </w:rPr>
  </w:style>
  <w:style w:type="character" w:customStyle="1" w:styleId="ListLabel368">
    <w:name w:val="ListLabel 368"/>
    <w:qFormat/>
    <w:rsid w:val="000952B8"/>
    <w:rPr>
      <w:rFonts w:cs="Courier New"/>
    </w:rPr>
  </w:style>
  <w:style w:type="character" w:customStyle="1" w:styleId="ListLabel369">
    <w:name w:val="ListLabel 369"/>
    <w:qFormat/>
    <w:rsid w:val="000952B8"/>
    <w:rPr>
      <w:rFonts w:cs="Wingdings"/>
    </w:rPr>
  </w:style>
  <w:style w:type="character" w:customStyle="1" w:styleId="ListLabel370">
    <w:name w:val="ListLabel 370"/>
    <w:qFormat/>
    <w:rsid w:val="000952B8"/>
    <w:rPr>
      <w:rFonts w:cs="Symbol"/>
    </w:rPr>
  </w:style>
  <w:style w:type="character" w:customStyle="1" w:styleId="ListLabel371">
    <w:name w:val="ListLabel 371"/>
    <w:qFormat/>
    <w:rsid w:val="000952B8"/>
    <w:rPr>
      <w:rFonts w:cs="Courier New"/>
    </w:rPr>
  </w:style>
  <w:style w:type="character" w:customStyle="1" w:styleId="ListLabel372">
    <w:name w:val="ListLabel 372"/>
    <w:qFormat/>
    <w:rsid w:val="000952B8"/>
    <w:rPr>
      <w:rFonts w:cs="Wingdings"/>
    </w:rPr>
  </w:style>
  <w:style w:type="character" w:customStyle="1" w:styleId="ListLabel373">
    <w:name w:val="ListLabel 373"/>
    <w:qFormat/>
    <w:rsid w:val="000952B8"/>
    <w:rPr>
      <w:rFonts w:ascii="Open Sans" w:hAnsi="Open Sans" w:cs="Symbol"/>
      <w:sz w:val="21"/>
    </w:rPr>
  </w:style>
  <w:style w:type="character" w:customStyle="1" w:styleId="ListLabel374">
    <w:name w:val="ListLabel 374"/>
    <w:qFormat/>
    <w:rsid w:val="000952B8"/>
    <w:rPr>
      <w:rFonts w:cs="Courier New"/>
    </w:rPr>
  </w:style>
  <w:style w:type="character" w:customStyle="1" w:styleId="ListLabel375">
    <w:name w:val="ListLabel 375"/>
    <w:qFormat/>
    <w:rsid w:val="000952B8"/>
    <w:rPr>
      <w:rFonts w:cs="Wingdings"/>
    </w:rPr>
  </w:style>
  <w:style w:type="character" w:customStyle="1" w:styleId="ListLabel376">
    <w:name w:val="ListLabel 376"/>
    <w:qFormat/>
    <w:rsid w:val="000952B8"/>
    <w:rPr>
      <w:rFonts w:cs="Symbol"/>
    </w:rPr>
  </w:style>
  <w:style w:type="character" w:customStyle="1" w:styleId="ListLabel377">
    <w:name w:val="ListLabel 377"/>
    <w:qFormat/>
    <w:rsid w:val="000952B8"/>
    <w:rPr>
      <w:rFonts w:cs="Courier New"/>
    </w:rPr>
  </w:style>
  <w:style w:type="character" w:customStyle="1" w:styleId="ListLabel378">
    <w:name w:val="ListLabel 378"/>
    <w:qFormat/>
    <w:rsid w:val="000952B8"/>
    <w:rPr>
      <w:rFonts w:cs="Wingdings"/>
    </w:rPr>
  </w:style>
  <w:style w:type="character" w:customStyle="1" w:styleId="ListLabel379">
    <w:name w:val="ListLabel 379"/>
    <w:qFormat/>
    <w:rsid w:val="000952B8"/>
    <w:rPr>
      <w:rFonts w:cs="Symbol"/>
    </w:rPr>
  </w:style>
  <w:style w:type="character" w:customStyle="1" w:styleId="ListLabel380">
    <w:name w:val="ListLabel 380"/>
    <w:qFormat/>
    <w:rsid w:val="000952B8"/>
    <w:rPr>
      <w:rFonts w:cs="Courier New"/>
    </w:rPr>
  </w:style>
  <w:style w:type="character" w:customStyle="1" w:styleId="ListLabel381">
    <w:name w:val="ListLabel 381"/>
    <w:qFormat/>
    <w:rsid w:val="000952B8"/>
    <w:rPr>
      <w:rFonts w:cs="Wingdings"/>
    </w:rPr>
  </w:style>
  <w:style w:type="character" w:customStyle="1" w:styleId="ListLabel382">
    <w:name w:val="ListLabel 382"/>
    <w:qFormat/>
    <w:rsid w:val="000952B8"/>
    <w:rPr>
      <w:rFonts w:ascii="Open Sans" w:hAnsi="Open Sans" w:cs="Symbol"/>
      <w:sz w:val="21"/>
    </w:rPr>
  </w:style>
  <w:style w:type="character" w:customStyle="1" w:styleId="ListLabel383">
    <w:name w:val="ListLabel 383"/>
    <w:qFormat/>
    <w:rsid w:val="000952B8"/>
    <w:rPr>
      <w:rFonts w:cs="Courier New"/>
    </w:rPr>
  </w:style>
  <w:style w:type="character" w:customStyle="1" w:styleId="ListLabel384">
    <w:name w:val="ListLabel 384"/>
    <w:qFormat/>
    <w:rsid w:val="000952B8"/>
    <w:rPr>
      <w:rFonts w:cs="Wingdings"/>
    </w:rPr>
  </w:style>
  <w:style w:type="character" w:customStyle="1" w:styleId="ListLabel385">
    <w:name w:val="ListLabel 385"/>
    <w:qFormat/>
    <w:rsid w:val="000952B8"/>
    <w:rPr>
      <w:rFonts w:cs="Symbol"/>
    </w:rPr>
  </w:style>
  <w:style w:type="character" w:customStyle="1" w:styleId="ListLabel386">
    <w:name w:val="ListLabel 386"/>
    <w:qFormat/>
    <w:rsid w:val="000952B8"/>
    <w:rPr>
      <w:rFonts w:cs="Courier New"/>
    </w:rPr>
  </w:style>
  <w:style w:type="character" w:customStyle="1" w:styleId="ListLabel387">
    <w:name w:val="ListLabel 387"/>
    <w:qFormat/>
    <w:rsid w:val="000952B8"/>
    <w:rPr>
      <w:rFonts w:cs="Wingdings"/>
    </w:rPr>
  </w:style>
  <w:style w:type="character" w:customStyle="1" w:styleId="ListLabel388">
    <w:name w:val="ListLabel 388"/>
    <w:qFormat/>
    <w:rsid w:val="000952B8"/>
    <w:rPr>
      <w:rFonts w:cs="Symbol"/>
    </w:rPr>
  </w:style>
  <w:style w:type="character" w:customStyle="1" w:styleId="ListLabel389">
    <w:name w:val="ListLabel 389"/>
    <w:qFormat/>
    <w:rsid w:val="000952B8"/>
    <w:rPr>
      <w:rFonts w:cs="Courier New"/>
    </w:rPr>
  </w:style>
  <w:style w:type="character" w:customStyle="1" w:styleId="ListLabel390">
    <w:name w:val="ListLabel 390"/>
    <w:qFormat/>
    <w:rsid w:val="000952B8"/>
    <w:rPr>
      <w:rFonts w:cs="Wingdings"/>
    </w:rPr>
  </w:style>
  <w:style w:type="character" w:customStyle="1" w:styleId="ListLabel391">
    <w:name w:val="ListLabel 391"/>
    <w:qFormat/>
    <w:rsid w:val="000952B8"/>
    <w:rPr>
      <w:rFonts w:ascii="Open Sans" w:hAnsi="Open Sans" w:cs="Symbol"/>
      <w:sz w:val="21"/>
    </w:rPr>
  </w:style>
  <w:style w:type="character" w:customStyle="1" w:styleId="ListLabel392">
    <w:name w:val="ListLabel 392"/>
    <w:qFormat/>
    <w:rsid w:val="000952B8"/>
    <w:rPr>
      <w:rFonts w:cs="Courier New"/>
    </w:rPr>
  </w:style>
  <w:style w:type="character" w:customStyle="1" w:styleId="ListLabel393">
    <w:name w:val="ListLabel 393"/>
    <w:qFormat/>
    <w:rsid w:val="000952B8"/>
    <w:rPr>
      <w:rFonts w:cs="Wingdings"/>
    </w:rPr>
  </w:style>
  <w:style w:type="character" w:customStyle="1" w:styleId="ListLabel394">
    <w:name w:val="ListLabel 394"/>
    <w:qFormat/>
    <w:rsid w:val="000952B8"/>
    <w:rPr>
      <w:rFonts w:cs="Symbol"/>
    </w:rPr>
  </w:style>
  <w:style w:type="character" w:customStyle="1" w:styleId="ListLabel395">
    <w:name w:val="ListLabel 395"/>
    <w:qFormat/>
    <w:rsid w:val="000952B8"/>
    <w:rPr>
      <w:rFonts w:cs="Courier New"/>
    </w:rPr>
  </w:style>
  <w:style w:type="character" w:customStyle="1" w:styleId="ListLabel396">
    <w:name w:val="ListLabel 396"/>
    <w:qFormat/>
    <w:rsid w:val="000952B8"/>
    <w:rPr>
      <w:rFonts w:cs="Wingdings"/>
    </w:rPr>
  </w:style>
  <w:style w:type="character" w:customStyle="1" w:styleId="ListLabel397">
    <w:name w:val="ListLabel 397"/>
    <w:qFormat/>
    <w:rsid w:val="000952B8"/>
    <w:rPr>
      <w:rFonts w:cs="Symbol"/>
    </w:rPr>
  </w:style>
  <w:style w:type="character" w:customStyle="1" w:styleId="ListLabel398">
    <w:name w:val="ListLabel 398"/>
    <w:qFormat/>
    <w:rsid w:val="000952B8"/>
    <w:rPr>
      <w:rFonts w:cs="Courier New"/>
    </w:rPr>
  </w:style>
  <w:style w:type="character" w:customStyle="1" w:styleId="ListLabel399">
    <w:name w:val="ListLabel 399"/>
    <w:qFormat/>
    <w:rsid w:val="000952B8"/>
    <w:rPr>
      <w:rFonts w:cs="Wingdings"/>
    </w:rPr>
  </w:style>
  <w:style w:type="character" w:customStyle="1" w:styleId="ListLabel400">
    <w:name w:val="ListLabel 400"/>
    <w:qFormat/>
    <w:rsid w:val="000952B8"/>
    <w:rPr>
      <w:rFonts w:ascii="Open Sans" w:eastAsia="Times New Roman" w:hAnsi="Open Sans" w:cs="Open Sans"/>
      <w:b/>
      <w:sz w:val="21"/>
      <w:szCs w:val="21"/>
      <w:lang w:eastAsia="es-ES"/>
    </w:rPr>
  </w:style>
  <w:style w:type="character" w:customStyle="1" w:styleId="ListLabel401">
    <w:name w:val="ListLabel 401"/>
    <w:qFormat/>
    <w:rsid w:val="000952B8"/>
    <w:rPr>
      <w:rFonts w:ascii="Open Sans" w:eastAsia="Times New Roman" w:hAnsi="Open Sans" w:cs="Open Sans"/>
      <w:sz w:val="21"/>
      <w:szCs w:val="21"/>
      <w:lang w:eastAsia="es-ES"/>
    </w:rPr>
  </w:style>
  <w:style w:type="character" w:customStyle="1" w:styleId="ListLabel402">
    <w:name w:val="ListLabel 402"/>
    <w:qFormat/>
    <w:rsid w:val="000952B8"/>
    <w:rPr>
      <w:rFonts w:ascii="Open Sans" w:eastAsia="Times New Roman" w:hAnsi="Open Sans" w:cs="Open Sans"/>
      <w:sz w:val="20"/>
      <w:szCs w:val="20"/>
      <w:lang w:eastAsia="es-ES"/>
    </w:rPr>
  </w:style>
  <w:style w:type="character" w:customStyle="1" w:styleId="ListLabel403">
    <w:name w:val="ListLabel 403"/>
    <w:qFormat/>
    <w:rsid w:val="000952B8"/>
    <w:rPr>
      <w:rFonts w:ascii="Open Sans" w:hAnsi="Open Sans" w:cs="Open Sans"/>
      <w:sz w:val="21"/>
      <w:szCs w:val="21"/>
    </w:rPr>
  </w:style>
  <w:style w:type="character" w:customStyle="1" w:styleId="ListLabel404">
    <w:name w:val="ListLabel 404"/>
    <w:qFormat/>
    <w:rsid w:val="000952B8"/>
    <w:rPr>
      <w:rFonts w:ascii="Open Sans" w:eastAsia="Times New Roman" w:hAnsi="Open Sans" w:cs="Open Sans"/>
      <w:i/>
      <w:sz w:val="21"/>
      <w:szCs w:val="21"/>
      <w:lang w:eastAsia="es-ES"/>
    </w:rPr>
  </w:style>
  <w:style w:type="character" w:customStyle="1" w:styleId="ListLabel405">
    <w:name w:val="ListLabel 405"/>
    <w:qFormat/>
    <w:rsid w:val="000952B8"/>
    <w:rPr>
      <w:rFonts w:eastAsia="Calibri"/>
      <w:sz w:val="21"/>
      <w:szCs w:val="21"/>
    </w:rPr>
  </w:style>
  <w:style w:type="character" w:customStyle="1" w:styleId="ListLabel406">
    <w:name w:val="ListLabel 406"/>
    <w:qFormat/>
    <w:rsid w:val="000952B8"/>
  </w:style>
  <w:style w:type="character" w:customStyle="1" w:styleId="ListLabel407">
    <w:name w:val="ListLabel 407"/>
    <w:qFormat/>
    <w:rsid w:val="000952B8"/>
  </w:style>
  <w:style w:type="character" w:customStyle="1" w:styleId="ListLabel408">
    <w:name w:val="ListLabel 408"/>
    <w:qFormat/>
    <w:rsid w:val="000952B8"/>
    <w:rPr>
      <w:rFonts w:ascii="Open Sans" w:hAnsi="Open Sans" w:cs="Symbol"/>
      <w:sz w:val="21"/>
    </w:rPr>
  </w:style>
  <w:style w:type="character" w:customStyle="1" w:styleId="ListLabel409">
    <w:name w:val="ListLabel 409"/>
    <w:qFormat/>
    <w:rsid w:val="000952B8"/>
    <w:rPr>
      <w:rFonts w:cs="Courier New"/>
      <w:sz w:val="20"/>
    </w:rPr>
  </w:style>
  <w:style w:type="character" w:customStyle="1" w:styleId="ListLabel410">
    <w:name w:val="ListLabel 410"/>
    <w:qFormat/>
    <w:rsid w:val="000952B8"/>
    <w:rPr>
      <w:rFonts w:cs="Wingdings"/>
      <w:sz w:val="20"/>
    </w:rPr>
  </w:style>
  <w:style w:type="character" w:customStyle="1" w:styleId="ListLabel411">
    <w:name w:val="ListLabel 411"/>
    <w:qFormat/>
    <w:rsid w:val="000952B8"/>
    <w:rPr>
      <w:rFonts w:cs="Wingdings"/>
      <w:sz w:val="20"/>
    </w:rPr>
  </w:style>
  <w:style w:type="character" w:customStyle="1" w:styleId="ListLabel412">
    <w:name w:val="ListLabel 412"/>
    <w:qFormat/>
    <w:rsid w:val="000952B8"/>
    <w:rPr>
      <w:rFonts w:cs="Wingdings"/>
      <w:sz w:val="20"/>
    </w:rPr>
  </w:style>
  <w:style w:type="character" w:customStyle="1" w:styleId="ListLabel413">
    <w:name w:val="ListLabel 413"/>
    <w:qFormat/>
    <w:rsid w:val="000952B8"/>
    <w:rPr>
      <w:rFonts w:cs="Wingdings"/>
      <w:sz w:val="20"/>
    </w:rPr>
  </w:style>
  <w:style w:type="character" w:customStyle="1" w:styleId="ListLabel414">
    <w:name w:val="ListLabel 414"/>
    <w:qFormat/>
    <w:rsid w:val="000952B8"/>
    <w:rPr>
      <w:rFonts w:cs="Wingdings"/>
      <w:sz w:val="20"/>
    </w:rPr>
  </w:style>
  <w:style w:type="character" w:customStyle="1" w:styleId="ListLabel415">
    <w:name w:val="ListLabel 415"/>
    <w:qFormat/>
    <w:rsid w:val="000952B8"/>
    <w:rPr>
      <w:rFonts w:cs="Wingdings"/>
      <w:sz w:val="20"/>
    </w:rPr>
  </w:style>
  <w:style w:type="character" w:customStyle="1" w:styleId="ListLabel416">
    <w:name w:val="ListLabel 416"/>
    <w:qFormat/>
    <w:rsid w:val="000952B8"/>
    <w:rPr>
      <w:rFonts w:cs="Wingdings"/>
      <w:sz w:val="20"/>
    </w:rPr>
  </w:style>
  <w:style w:type="character" w:customStyle="1" w:styleId="ListLabel417">
    <w:name w:val="ListLabel 417"/>
    <w:qFormat/>
    <w:rsid w:val="000952B8"/>
    <w:rPr>
      <w:rFonts w:ascii="Open Sans" w:hAnsi="Open Sans" w:cs="Symbol"/>
      <w:sz w:val="21"/>
    </w:rPr>
  </w:style>
  <w:style w:type="character" w:customStyle="1" w:styleId="ListLabel418">
    <w:name w:val="ListLabel 418"/>
    <w:qFormat/>
    <w:rsid w:val="000952B8"/>
    <w:rPr>
      <w:rFonts w:cs="Open Sans"/>
    </w:rPr>
  </w:style>
  <w:style w:type="character" w:customStyle="1" w:styleId="ListLabel419">
    <w:name w:val="ListLabel 419"/>
    <w:qFormat/>
    <w:rsid w:val="000952B8"/>
    <w:rPr>
      <w:rFonts w:cs="Wingdings"/>
    </w:rPr>
  </w:style>
  <w:style w:type="character" w:customStyle="1" w:styleId="ListLabel420">
    <w:name w:val="ListLabel 420"/>
    <w:qFormat/>
    <w:rsid w:val="000952B8"/>
    <w:rPr>
      <w:rFonts w:cs="Symbol"/>
    </w:rPr>
  </w:style>
  <w:style w:type="character" w:customStyle="1" w:styleId="ListLabel421">
    <w:name w:val="ListLabel 421"/>
    <w:qFormat/>
    <w:rsid w:val="000952B8"/>
    <w:rPr>
      <w:rFonts w:cs="Courier New"/>
    </w:rPr>
  </w:style>
  <w:style w:type="character" w:customStyle="1" w:styleId="ListLabel422">
    <w:name w:val="ListLabel 422"/>
    <w:qFormat/>
    <w:rsid w:val="000952B8"/>
    <w:rPr>
      <w:rFonts w:cs="Wingdings"/>
    </w:rPr>
  </w:style>
  <w:style w:type="character" w:customStyle="1" w:styleId="ListLabel423">
    <w:name w:val="ListLabel 423"/>
    <w:qFormat/>
    <w:rsid w:val="000952B8"/>
    <w:rPr>
      <w:rFonts w:cs="Symbol"/>
    </w:rPr>
  </w:style>
  <w:style w:type="character" w:customStyle="1" w:styleId="ListLabel424">
    <w:name w:val="ListLabel 424"/>
    <w:qFormat/>
    <w:rsid w:val="000952B8"/>
    <w:rPr>
      <w:rFonts w:cs="Courier New"/>
    </w:rPr>
  </w:style>
  <w:style w:type="character" w:customStyle="1" w:styleId="ListLabel425">
    <w:name w:val="ListLabel 425"/>
    <w:qFormat/>
    <w:rsid w:val="000952B8"/>
    <w:rPr>
      <w:rFonts w:cs="Wingdings"/>
    </w:rPr>
  </w:style>
  <w:style w:type="character" w:customStyle="1" w:styleId="ListLabel426">
    <w:name w:val="ListLabel 426"/>
    <w:qFormat/>
    <w:rsid w:val="000952B8"/>
    <w:rPr>
      <w:rFonts w:ascii="Open Sans" w:hAnsi="Open Sans" w:cs="Symbol"/>
      <w:sz w:val="21"/>
    </w:rPr>
  </w:style>
  <w:style w:type="character" w:customStyle="1" w:styleId="ListLabel427">
    <w:name w:val="ListLabel 427"/>
    <w:qFormat/>
    <w:rsid w:val="000952B8"/>
    <w:rPr>
      <w:rFonts w:cs="Courier New"/>
    </w:rPr>
  </w:style>
  <w:style w:type="character" w:customStyle="1" w:styleId="ListLabel428">
    <w:name w:val="ListLabel 428"/>
    <w:qFormat/>
    <w:rsid w:val="000952B8"/>
    <w:rPr>
      <w:rFonts w:cs="Wingdings"/>
    </w:rPr>
  </w:style>
  <w:style w:type="character" w:customStyle="1" w:styleId="ListLabel429">
    <w:name w:val="ListLabel 429"/>
    <w:qFormat/>
    <w:rsid w:val="000952B8"/>
    <w:rPr>
      <w:rFonts w:cs="Symbol"/>
    </w:rPr>
  </w:style>
  <w:style w:type="character" w:customStyle="1" w:styleId="ListLabel430">
    <w:name w:val="ListLabel 430"/>
    <w:qFormat/>
    <w:rsid w:val="000952B8"/>
    <w:rPr>
      <w:rFonts w:cs="Courier New"/>
    </w:rPr>
  </w:style>
  <w:style w:type="character" w:customStyle="1" w:styleId="ListLabel431">
    <w:name w:val="ListLabel 431"/>
    <w:qFormat/>
    <w:rsid w:val="000952B8"/>
    <w:rPr>
      <w:rFonts w:cs="Wingdings"/>
    </w:rPr>
  </w:style>
  <w:style w:type="character" w:customStyle="1" w:styleId="ListLabel432">
    <w:name w:val="ListLabel 432"/>
    <w:qFormat/>
    <w:rsid w:val="000952B8"/>
    <w:rPr>
      <w:rFonts w:cs="Symbol"/>
    </w:rPr>
  </w:style>
  <w:style w:type="character" w:customStyle="1" w:styleId="ListLabel433">
    <w:name w:val="ListLabel 433"/>
    <w:qFormat/>
    <w:rsid w:val="000952B8"/>
    <w:rPr>
      <w:rFonts w:cs="Courier New"/>
    </w:rPr>
  </w:style>
  <w:style w:type="character" w:customStyle="1" w:styleId="ListLabel434">
    <w:name w:val="ListLabel 434"/>
    <w:qFormat/>
    <w:rsid w:val="000952B8"/>
    <w:rPr>
      <w:rFonts w:cs="Wingdings"/>
    </w:rPr>
  </w:style>
  <w:style w:type="character" w:customStyle="1" w:styleId="ListLabel435">
    <w:name w:val="ListLabel 435"/>
    <w:qFormat/>
    <w:rsid w:val="000952B8"/>
    <w:rPr>
      <w:rFonts w:ascii="Open Sans" w:hAnsi="Open Sans" w:cs="Symbol"/>
      <w:sz w:val="21"/>
    </w:rPr>
  </w:style>
  <w:style w:type="character" w:customStyle="1" w:styleId="ListLabel436">
    <w:name w:val="ListLabel 436"/>
    <w:qFormat/>
    <w:rsid w:val="000952B8"/>
    <w:rPr>
      <w:rFonts w:cs="Courier New"/>
    </w:rPr>
  </w:style>
  <w:style w:type="character" w:customStyle="1" w:styleId="ListLabel437">
    <w:name w:val="ListLabel 437"/>
    <w:qFormat/>
    <w:rsid w:val="000952B8"/>
    <w:rPr>
      <w:rFonts w:cs="Wingdings"/>
    </w:rPr>
  </w:style>
  <w:style w:type="character" w:customStyle="1" w:styleId="ListLabel438">
    <w:name w:val="ListLabel 438"/>
    <w:qFormat/>
    <w:rsid w:val="000952B8"/>
    <w:rPr>
      <w:rFonts w:cs="Symbol"/>
    </w:rPr>
  </w:style>
  <w:style w:type="character" w:customStyle="1" w:styleId="ListLabel439">
    <w:name w:val="ListLabel 439"/>
    <w:qFormat/>
    <w:rsid w:val="000952B8"/>
    <w:rPr>
      <w:rFonts w:cs="Courier New"/>
    </w:rPr>
  </w:style>
  <w:style w:type="character" w:customStyle="1" w:styleId="ListLabel440">
    <w:name w:val="ListLabel 440"/>
    <w:qFormat/>
    <w:rsid w:val="000952B8"/>
    <w:rPr>
      <w:rFonts w:cs="Wingdings"/>
    </w:rPr>
  </w:style>
  <w:style w:type="character" w:customStyle="1" w:styleId="ListLabel441">
    <w:name w:val="ListLabel 441"/>
    <w:qFormat/>
    <w:rsid w:val="000952B8"/>
    <w:rPr>
      <w:rFonts w:cs="Symbol"/>
    </w:rPr>
  </w:style>
  <w:style w:type="character" w:customStyle="1" w:styleId="ListLabel442">
    <w:name w:val="ListLabel 442"/>
    <w:qFormat/>
    <w:rsid w:val="000952B8"/>
    <w:rPr>
      <w:rFonts w:cs="Courier New"/>
    </w:rPr>
  </w:style>
  <w:style w:type="character" w:customStyle="1" w:styleId="ListLabel443">
    <w:name w:val="ListLabel 443"/>
    <w:qFormat/>
    <w:rsid w:val="000952B8"/>
    <w:rPr>
      <w:rFonts w:cs="Wingdings"/>
    </w:rPr>
  </w:style>
  <w:style w:type="character" w:customStyle="1" w:styleId="ListLabel444">
    <w:name w:val="ListLabel 444"/>
    <w:qFormat/>
    <w:rsid w:val="000952B8"/>
    <w:rPr>
      <w:rFonts w:ascii="Open Sans" w:hAnsi="Open Sans" w:cs="Symbol"/>
      <w:sz w:val="21"/>
    </w:rPr>
  </w:style>
  <w:style w:type="character" w:customStyle="1" w:styleId="ListLabel445">
    <w:name w:val="ListLabel 445"/>
    <w:qFormat/>
    <w:rsid w:val="000952B8"/>
    <w:rPr>
      <w:rFonts w:cs="Courier New"/>
    </w:rPr>
  </w:style>
  <w:style w:type="character" w:customStyle="1" w:styleId="ListLabel446">
    <w:name w:val="ListLabel 446"/>
    <w:qFormat/>
    <w:rsid w:val="000952B8"/>
    <w:rPr>
      <w:rFonts w:cs="Wingdings"/>
    </w:rPr>
  </w:style>
  <w:style w:type="character" w:customStyle="1" w:styleId="ListLabel447">
    <w:name w:val="ListLabel 447"/>
    <w:qFormat/>
    <w:rsid w:val="000952B8"/>
    <w:rPr>
      <w:rFonts w:cs="Symbol"/>
    </w:rPr>
  </w:style>
  <w:style w:type="character" w:customStyle="1" w:styleId="ListLabel448">
    <w:name w:val="ListLabel 448"/>
    <w:qFormat/>
    <w:rsid w:val="000952B8"/>
    <w:rPr>
      <w:rFonts w:cs="Courier New"/>
    </w:rPr>
  </w:style>
  <w:style w:type="character" w:customStyle="1" w:styleId="ListLabel449">
    <w:name w:val="ListLabel 449"/>
    <w:qFormat/>
    <w:rsid w:val="000952B8"/>
    <w:rPr>
      <w:rFonts w:cs="Wingdings"/>
    </w:rPr>
  </w:style>
  <w:style w:type="character" w:customStyle="1" w:styleId="ListLabel450">
    <w:name w:val="ListLabel 450"/>
    <w:qFormat/>
    <w:rsid w:val="000952B8"/>
    <w:rPr>
      <w:rFonts w:cs="Symbol"/>
    </w:rPr>
  </w:style>
  <w:style w:type="character" w:customStyle="1" w:styleId="ListLabel451">
    <w:name w:val="ListLabel 451"/>
    <w:qFormat/>
    <w:rsid w:val="000952B8"/>
    <w:rPr>
      <w:rFonts w:cs="Courier New"/>
    </w:rPr>
  </w:style>
  <w:style w:type="character" w:customStyle="1" w:styleId="ListLabel452">
    <w:name w:val="ListLabel 452"/>
    <w:qFormat/>
    <w:rsid w:val="000952B8"/>
    <w:rPr>
      <w:rFonts w:cs="Wingdings"/>
    </w:rPr>
  </w:style>
  <w:style w:type="character" w:customStyle="1" w:styleId="ListLabel453">
    <w:name w:val="ListLabel 453"/>
    <w:qFormat/>
    <w:rsid w:val="000952B8"/>
    <w:rPr>
      <w:rFonts w:ascii="Open Sans" w:eastAsia="Times New Roman" w:hAnsi="Open Sans" w:cs="Open Sans"/>
      <w:b/>
      <w:sz w:val="21"/>
      <w:szCs w:val="21"/>
      <w:lang w:eastAsia="es-ES"/>
    </w:rPr>
  </w:style>
  <w:style w:type="character" w:customStyle="1" w:styleId="ListLabel454">
    <w:name w:val="ListLabel 454"/>
    <w:qFormat/>
    <w:rsid w:val="000952B8"/>
    <w:rPr>
      <w:rFonts w:ascii="Open Sans" w:eastAsia="Times New Roman" w:hAnsi="Open Sans" w:cs="Open Sans"/>
      <w:sz w:val="21"/>
      <w:szCs w:val="21"/>
      <w:lang w:eastAsia="es-ES"/>
    </w:rPr>
  </w:style>
  <w:style w:type="character" w:customStyle="1" w:styleId="ListLabel455">
    <w:name w:val="ListLabel 455"/>
    <w:qFormat/>
    <w:rsid w:val="000952B8"/>
    <w:rPr>
      <w:rFonts w:ascii="Open Sans" w:eastAsia="Times New Roman" w:hAnsi="Open Sans" w:cs="Open Sans"/>
      <w:sz w:val="20"/>
      <w:szCs w:val="20"/>
      <w:lang w:eastAsia="es-ES"/>
    </w:rPr>
  </w:style>
  <w:style w:type="character" w:customStyle="1" w:styleId="ListLabel456">
    <w:name w:val="ListLabel 456"/>
    <w:qFormat/>
    <w:rsid w:val="000952B8"/>
    <w:rPr>
      <w:rFonts w:ascii="Open Sans" w:hAnsi="Open Sans" w:cs="Open Sans"/>
      <w:sz w:val="21"/>
      <w:szCs w:val="21"/>
    </w:rPr>
  </w:style>
  <w:style w:type="character" w:customStyle="1" w:styleId="ListLabel457">
    <w:name w:val="ListLabel 457"/>
    <w:qFormat/>
    <w:rsid w:val="000952B8"/>
    <w:rPr>
      <w:rFonts w:ascii="Open Sans" w:eastAsia="Times New Roman" w:hAnsi="Open Sans" w:cs="Open Sans"/>
      <w:i/>
      <w:sz w:val="21"/>
      <w:szCs w:val="21"/>
      <w:lang w:eastAsia="es-ES"/>
    </w:rPr>
  </w:style>
  <w:style w:type="character" w:customStyle="1" w:styleId="ListLabel458">
    <w:name w:val="ListLabel 458"/>
    <w:qFormat/>
    <w:rsid w:val="000952B8"/>
    <w:rPr>
      <w:rFonts w:eastAsia="Calibri"/>
      <w:sz w:val="21"/>
      <w:szCs w:val="21"/>
    </w:rPr>
  </w:style>
  <w:style w:type="character" w:customStyle="1" w:styleId="ListLabel459">
    <w:name w:val="ListLabel 459"/>
    <w:qFormat/>
    <w:rsid w:val="000952B8"/>
  </w:style>
  <w:style w:type="character" w:customStyle="1" w:styleId="ListLabel460">
    <w:name w:val="ListLabel 460"/>
    <w:qFormat/>
    <w:rsid w:val="000952B8"/>
  </w:style>
  <w:style w:type="character" w:customStyle="1" w:styleId="ListLabel461">
    <w:name w:val="ListLabel 461"/>
    <w:qFormat/>
    <w:rsid w:val="000952B8"/>
    <w:rPr>
      <w:rFonts w:ascii="Open Sans" w:hAnsi="Open Sans" w:cs="Symbol"/>
      <w:sz w:val="21"/>
    </w:rPr>
  </w:style>
  <w:style w:type="character" w:customStyle="1" w:styleId="ListLabel462">
    <w:name w:val="ListLabel 462"/>
    <w:qFormat/>
    <w:rsid w:val="000952B8"/>
    <w:rPr>
      <w:rFonts w:cs="Courier New"/>
      <w:sz w:val="20"/>
    </w:rPr>
  </w:style>
  <w:style w:type="character" w:customStyle="1" w:styleId="ListLabel463">
    <w:name w:val="ListLabel 463"/>
    <w:qFormat/>
    <w:rsid w:val="000952B8"/>
    <w:rPr>
      <w:rFonts w:cs="Wingdings"/>
      <w:sz w:val="20"/>
    </w:rPr>
  </w:style>
  <w:style w:type="character" w:customStyle="1" w:styleId="ListLabel464">
    <w:name w:val="ListLabel 464"/>
    <w:qFormat/>
    <w:rsid w:val="000952B8"/>
    <w:rPr>
      <w:rFonts w:cs="Wingdings"/>
      <w:sz w:val="20"/>
    </w:rPr>
  </w:style>
  <w:style w:type="character" w:customStyle="1" w:styleId="ListLabel465">
    <w:name w:val="ListLabel 465"/>
    <w:qFormat/>
    <w:rsid w:val="000952B8"/>
    <w:rPr>
      <w:rFonts w:cs="Wingdings"/>
      <w:sz w:val="20"/>
    </w:rPr>
  </w:style>
  <w:style w:type="character" w:customStyle="1" w:styleId="ListLabel466">
    <w:name w:val="ListLabel 466"/>
    <w:qFormat/>
    <w:rsid w:val="000952B8"/>
    <w:rPr>
      <w:rFonts w:cs="Wingdings"/>
      <w:sz w:val="20"/>
    </w:rPr>
  </w:style>
  <w:style w:type="character" w:customStyle="1" w:styleId="ListLabel467">
    <w:name w:val="ListLabel 467"/>
    <w:qFormat/>
    <w:rsid w:val="000952B8"/>
    <w:rPr>
      <w:rFonts w:cs="Wingdings"/>
      <w:sz w:val="20"/>
    </w:rPr>
  </w:style>
  <w:style w:type="character" w:customStyle="1" w:styleId="ListLabel468">
    <w:name w:val="ListLabel 468"/>
    <w:qFormat/>
    <w:rsid w:val="000952B8"/>
    <w:rPr>
      <w:rFonts w:cs="Wingdings"/>
      <w:sz w:val="20"/>
    </w:rPr>
  </w:style>
  <w:style w:type="character" w:customStyle="1" w:styleId="ListLabel469">
    <w:name w:val="ListLabel 469"/>
    <w:qFormat/>
    <w:rsid w:val="000952B8"/>
    <w:rPr>
      <w:rFonts w:cs="Wingdings"/>
      <w:sz w:val="20"/>
    </w:rPr>
  </w:style>
  <w:style w:type="character" w:customStyle="1" w:styleId="ListLabel470">
    <w:name w:val="ListLabel 470"/>
    <w:qFormat/>
    <w:rsid w:val="000952B8"/>
    <w:rPr>
      <w:rFonts w:ascii="Open Sans" w:hAnsi="Open Sans" w:cs="Symbol"/>
      <w:sz w:val="21"/>
    </w:rPr>
  </w:style>
  <w:style w:type="character" w:customStyle="1" w:styleId="ListLabel471">
    <w:name w:val="ListLabel 471"/>
    <w:qFormat/>
    <w:rsid w:val="000952B8"/>
    <w:rPr>
      <w:rFonts w:cs="Open Sans"/>
    </w:rPr>
  </w:style>
  <w:style w:type="character" w:customStyle="1" w:styleId="ListLabel472">
    <w:name w:val="ListLabel 472"/>
    <w:qFormat/>
    <w:rsid w:val="000952B8"/>
    <w:rPr>
      <w:rFonts w:cs="Wingdings"/>
    </w:rPr>
  </w:style>
  <w:style w:type="character" w:customStyle="1" w:styleId="ListLabel473">
    <w:name w:val="ListLabel 473"/>
    <w:qFormat/>
    <w:rsid w:val="000952B8"/>
    <w:rPr>
      <w:rFonts w:cs="Symbol"/>
    </w:rPr>
  </w:style>
  <w:style w:type="character" w:customStyle="1" w:styleId="ListLabel474">
    <w:name w:val="ListLabel 474"/>
    <w:qFormat/>
    <w:rsid w:val="000952B8"/>
    <w:rPr>
      <w:rFonts w:cs="Courier New"/>
    </w:rPr>
  </w:style>
  <w:style w:type="character" w:customStyle="1" w:styleId="ListLabel475">
    <w:name w:val="ListLabel 475"/>
    <w:qFormat/>
    <w:rsid w:val="000952B8"/>
    <w:rPr>
      <w:rFonts w:cs="Wingdings"/>
    </w:rPr>
  </w:style>
  <w:style w:type="character" w:customStyle="1" w:styleId="ListLabel476">
    <w:name w:val="ListLabel 476"/>
    <w:qFormat/>
    <w:rsid w:val="000952B8"/>
    <w:rPr>
      <w:rFonts w:cs="Symbol"/>
    </w:rPr>
  </w:style>
  <w:style w:type="character" w:customStyle="1" w:styleId="ListLabel477">
    <w:name w:val="ListLabel 477"/>
    <w:qFormat/>
    <w:rsid w:val="000952B8"/>
    <w:rPr>
      <w:rFonts w:cs="Courier New"/>
    </w:rPr>
  </w:style>
  <w:style w:type="character" w:customStyle="1" w:styleId="ListLabel478">
    <w:name w:val="ListLabel 478"/>
    <w:qFormat/>
    <w:rsid w:val="000952B8"/>
    <w:rPr>
      <w:rFonts w:cs="Wingdings"/>
    </w:rPr>
  </w:style>
  <w:style w:type="character" w:customStyle="1" w:styleId="ListLabel479">
    <w:name w:val="ListLabel 479"/>
    <w:qFormat/>
    <w:rsid w:val="000952B8"/>
    <w:rPr>
      <w:rFonts w:ascii="Open Sans" w:hAnsi="Open Sans" w:cs="Symbol"/>
      <w:sz w:val="21"/>
    </w:rPr>
  </w:style>
  <w:style w:type="character" w:customStyle="1" w:styleId="ListLabel480">
    <w:name w:val="ListLabel 480"/>
    <w:qFormat/>
    <w:rsid w:val="000952B8"/>
    <w:rPr>
      <w:rFonts w:cs="Courier New"/>
    </w:rPr>
  </w:style>
  <w:style w:type="character" w:customStyle="1" w:styleId="ListLabel481">
    <w:name w:val="ListLabel 481"/>
    <w:qFormat/>
    <w:rsid w:val="000952B8"/>
    <w:rPr>
      <w:rFonts w:cs="Wingdings"/>
    </w:rPr>
  </w:style>
  <w:style w:type="character" w:customStyle="1" w:styleId="ListLabel482">
    <w:name w:val="ListLabel 482"/>
    <w:qFormat/>
    <w:rsid w:val="000952B8"/>
    <w:rPr>
      <w:rFonts w:cs="Symbol"/>
    </w:rPr>
  </w:style>
  <w:style w:type="character" w:customStyle="1" w:styleId="ListLabel483">
    <w:name w:val="ListLabel 483"/>
    <w:qFormat/>
    <w:rsid w:val="000952B8"/>
    <w:rPr>
      <w:rFonts w:cs="Courier New"/>
    </w:rPr>
  </w:style>
  <w:style w:type="character" w:customStyle="1" w:styleId="ListLabel484">
    <w:name w:val="ListLabel 484"/>
    <w:qFormat/>
    <w:rsid w:val="000952B8"/>
    <w:rPr>
      <w:rFonts w:cs="Wingdings"/>
    </w:rPr>
  </w:style>
  <w:style w:type="character" w:customStyle="1" w:styleId="ListLabel485">
    <w:name w:val="ListLabel 485"/>
    <w:qFormat/>
    <w:rsid w:val="000952B8"/>
    <w:rPr>
      <w:rFonts w:cs="Symbol"/>
    </w:rPr>
  </w:style>
  <w:style w:type="character" w:customStyle="1" w:styleId="ListLabel486">
    <w:name w:val="ListLabel 486"/>
    <w:qFormat/>
    <w:rsid w:val="000952B8"/>
    <w:rPr>
      <w:rFonts w:cs="Courier New"/>
    </w:rPr>
  </w:style>
  <w:style w:type="character" w:customStyle="1" w:styleId="ListLabel487">
    <w:name w:val="ListLabel 487"/>
    <w:qFormat/>
    <w:rsid w:val="000952B8"/>
    <w:rPr>
      <w:rFonts w:cs="Wingdings"/>
    </w:rPr>
  </w:style>
  <w:style w:type="character" w:customStyle="1" w:styleId="ListLabel488">
    <w:name w:val="ListLabel 488"/>
    <w:qFormat/>
    <w:rsid w:val="000952B8"/>
    <w:rPr>
      <w:rFonts w:ascii="Open Sans" w:hAnsi="Open Sans" w:cs="Symbol"/>
      <w:sz w:val="21"/>
    </w:rPr>
  </w:style>
  <w:style w:type="character" w:customStyle="1" w:styleId="ListLabel489">
    <w:name w:val="ListLabel 489"/>
    <w:qFormat/>
    <w:rsid w:val="000952B8"/>
    <w:rPr>
      <w:rFonts w:cs="Courier New"/>
    </w:rPr>
  </w:style>
  <w:style w:type="character" w:customStyle="1" w:styleId="ListLabel490">
    <w:name w:val="ListLabel 490"/>
    <w:qFormat/>
    <w:rsid w:val="000952B8"/>
    <w:rPr>
      <w:rFonts w:cs="Wingdings"/>
    </w:rPr>
  </w:style>
  <w:style w:type="character" w:customStyle="1" w:styleId="ListLabel491">
    <w:name w:val="ListLabel 491"/>
    <w:qFormat/>
    <w:rsid w:val="000952B8"/>
    <w:rPr>
      <w:rFonts w:cs="Symbol"/>
    </w:rPr>
  </w:style>
  <w:style w:type="character" w:customStyle="1" w:styleId="ListLabel492">
    <w:name w:val="ListLabel 492"/>
    <w:qFormat/>
    <w:rsid w:val="000952B8"/>
    <w:rPr>
      <w:rFonts w:cs="Courier New"/>
    </w:rPr>
  </w:style>
  <w:style w:type="character" w:customStyle="1" w:styleId="ListLabel493">
    <w:name w:val="ListLabel 493"/>
    <w:qFormat/>
    <w:rsid w:val="000952B8"/>
    <w:rPr>
      <w:rFonts w:cs="Wingdings"/>
    </w:rPr>
  </w:style>
  <w:style w:type="character" w:customStyle="1" w:styleId="ListLabel494">
    <w:name w:val="ListLabel 494"/>
    <w:qFormat/>
    <w:rsid w:val="000952B8"/>
    <w:rPr>
      <w:rFonts w:cs="Symbol"/>
    </w:rPr>
  </w:style>
  <w:style w:type="character" w:customStyle="1" w:styleId="ListLabel495">
    <w:name w:val="ListLabel 495"/>
    <w:qFormat/>
    <w:rsid w:val="000952B8"/>
    <w:rPr>
      <w:rFonts w:cs="Courier New"/>
    </w:rPr>
  </w:style>
  <w:style w:type="character" w:customStyle="1" w:styleId="ListLabel496">
    <w:name w:val="ListLabel 496"/>
    <w:qFormat/>
    <w:rsid w:val="000952B8"/>
    <w:rPr>
      <w:rFonts w:cs="Wingdings"/>
    </w:rPr>
  </w:style>
  <w:style w:type="character" w:customStyle="1" w:styleId="ListLabel497">
    <w:name w:val="ListLabel 497"/>
    <w:qFormat/>
    <w:rsid w:val="000952B8"/>
    <w:rPr>
      <w:rFonts w:ascii="Open Sans" w:hAnsi="Open Sans" w:cs="Symbol"/>
      <w:sz w:val="21"/>
    </w:rPr>
  </w:style>
  <w:style w:type="character" w:customStyle="1" w:styleId="ListLabel498">
    <w:name w:val="ListLabel 498"/>
    <w:qFormat/>
    <w:rsid w:val="000952B8"/>
    <w:rPr>
      <w:rFonts w:cs="Courier New"/>
    </w:rPr>
  </w:style>
  <w:style w:type="character" w:customStyle="1" w:styleId="ListLabel499">
    <w:name w:val="ListLabel 499"/>
    <w:qFormat/>
    <w:rsid w:val="000952B8"/>
    <w:rPr>
      <w:rFonts w:cs="Wingdings"/>
    </w:rPr>
  </w:style>
  <w:style w:type="character" w:customStyle="1" w:styleId="ListLabel500">
    <w:name w:val="ListLabel 500"/>
    <w:qFormat/>
    <w:rsid w:val="000952B8"/>
    <w:rPr>
      <w:rFonts w:cs="Symbol"/>
    </w:rPr>
  </w:style>
  <w:style w:type="character" w:customStyle="1" w:styleId="ListLabel501">
    <w:name w:val="ListLabel 501"/>
    <w:qFormat/>
    <w:rsid w:val="000952B8"/>
    <w:rPr>
      <w:rFonts w:cs="Courier New"/>
    </w:rPr>
  </w:style>
  <w:style w:type="character" w:customStyle="1" w:styleId="ListLabel502">
    <w:name w:val="ListLabel 502"/>
    <w:qFormat/>
    <w:rsid w:val="000952B8"/>
    <w:rPr>
      <w:rFonts w:cs="Wingdings"/>
    </w:rPr>
  </w:style>
  <w:style w:type="character" w:customStyle="1" w:styleId="ListLabel503">
    <w:name w:val="ListLabel 503"/>
    <w:qFormat/>
    <w:rsid w:val="000952B8"/>
    <w:rPr>
      <w:rFonts w:cs="Symbol"/>
    </w:rPr>
  </w:style>
  <w:style w:type="character" w:customStyle="1" w:styleId="ListLabel504">
    <w:name w:val="ListLabel 504"/>
    <w:qFormat/>
    <w:rsid w:val="000952B8"/>
    <w:rPr>
      <w:rFonts w:cs="Courier New"/>
    </w:rPr>
  </w:style>
  <w:style w:type="character" w:customStyle="1" w:styleId="ListLabel505">
    <w:name w:val="ListLabel 505"/>
    <w:qFormat/>
    <w:rsid w:val="000952B8"/>
    <w:rPr>
      <w:rFonts w:cs="Wingdings"/>
    </w:rPr>
  </w:style>
  <w:style w:type="character" w:customStyle="1" w:styleId="ListLabel506">
    <w:name w:val="ListLabel 506"/>
    <w:qFormat/>
    <w:rsid w:val="000952B8"/>
    <w:rPr>
      <w:rFonts w:ascii="Open Sans" w:eastAsia="Times New Roman" w:hAnsi="Open Sans" w:cs="Open Sans"/>
      <w:b/>
      <w:sz w:val="21"/>
      <w:szCs w:val="21"/>
      <w:lang w:eastAsia="es-ES"/>
    </w:rPr>
  </w:style>
  <w:style w:type="character" w:customStyle="1" w:styleId="ListLabel507">
    <w:name w:val="ListLabel 507"/>
    <w:qFormat/>
    <w:rsid w:val="000952B8"/>
    <w:rPr>
      <w:rFonts w:ascii="Open Sans" w:eastAsia="Times New Roman" w:hAnsi="Open Sans" w:cs="Open Sans"/>
      <w:sz w:val="21"/>
      <w:szCs w:val="21"/>
      <w:lang w:eastAsia="es-ES"/>
    </w:rPr>
  </w:style>
  <w:style w:type="character" w:customStyle="1" w:styleId="ListLabel508">
    <w:name w:val="ListLabel 508"/>
    <w:qFormat/>
    <w:rsid w:val="000952B8"/>
    <w:rPr>
      <w:rFonts w:ascii="Open Sans" w:eastAsia="Times New Roman" w:hAnsi="Open Sans" w:cs="Open Sans"/>
      <w:sz w:val="20"/>
      <w:szCs w:val="20"/>
      <w:lang w:eastAsia="es-ES"/>
    </w:rPr>
  </w:style>
  <w:style w:type="character" w:customStyle="1" w:styleId="ListLabel509">
    <w:name w:val="ListLabel 509"/>
    <w:qFormat/>
    <w:rsid w:val="000952B8"/>
    <w:rPr>
      <w:rFonts w:ascii="Open Sans" w:hAnsi="Open Sans" w:cs="Open Sans"/>
      <w:sz w:val="21"/>
      <w:szCs w:val="21"/>
    </w:rPr>
  </w:style>
  <w:style w:type="character" w:customStyle="1" w:styleId="ListLabel510">
    <w:name w:val="ListLabel 510"/>
    <w:qFormat/>
    <w:rsid w:val="000952B8"/>
    <w:rPr>
      <w:rFonts w:ascii="Open Sans" w:eastAsia="Times New Roman" w:hAnsi="Open Sans" w:cs="Open Sans"/>
      <w:i/>
      <w:sz w:val="21"/>
      <w:szCs w:val="21"/>
      <w:lang w:eastAsia="es-ES"/>
    </w:rPr>
  </w:style>
  <w:style w:type="character" w:customStyle="1" w:styleId="ListLabel511">
    <w:name w:val="ListLabel 511"/>
    <w:qFormat/>
    <w:rsid w:val="000952B8"/>
    <w:rPr>
      <w:rFonts w:eastAsia="Calibri"/>
      <w:sz w:val="21"/>
      <w:szCs w:val="21"/>
    </w:rPr>
  </w:style>
  <w:style w:type="character" w:customStyle="1" w:styleId="ListLabel512">
    <w:name w:val="ListLabel 512"/>
    <w:qFormat/>
    <w:rsid w:val="000952B8"/>
  </w:style>
  <w:style w:type="character" w:customStyle="1" w:styleId="ListLabel513">
    <w:name w:val="ListLabel 513"/>
    <w:qFormat/>
    <w:rsid w:val="000952B8"/>
  </w:style>
  <w:style w:type="character" w:customStyle="1" w:styleId="ListLabel514">
    <w:name w:val="ListLabel 514"/>
    <w:qFormat/>
    <w:rsid w:val="000952B8"/>
    <w:rPr>
      <w:rFonts w:ascii="Open Sans" w:hAnsi="Open Sans" w:cs="Symbol"/>
      <w:sz w:val="21"/>
    </w:rPr>
  </w:style>
  <w:style w:type="character" w:customStyle="1" w:styleId="ListLabel515">
    <w:name w:val="ListLabel 515"/>
    <w:qFormat/>
    <w:rsid w:val="000952B8"/>
    <w:rPr>
      <w:rFonts w:cs="Courier New"/>
      <w:sz w:val="20"/>
    </w:rPr>
  </w:style>
  <w:style w:type="character" w:customStyle="1" w:styleId="ListLabel516">
    <w:name w:val="ListLabel 516"/>
    <w:qFormat/>
    <w:rsid w:val="000952B8"/>
    <w:rPr>
      <w:rFonts w:cs="Wingdings"/>
      <w:sz w:val="20"/>
    </w:rPr>
  </w:style>
  <w:style w:type="character" w:customStyle="1" w:styleId="ListLabel517">
    <w:name w:val="ListLabel 517"/>
    <w:qFormat/>
    <w:rsid w:val="000952B8"/>
    <w:rPr>
      <w:rFonts w:cs="Wingdings"/>
      <w:sz w:val="20"/>
    </w:rPr>
  </w:style>
  <w:style w:type="character" w:customStyle="1" w:styleId="ListLabel518">
    <w:name w:val="ListLabel 518"/>
    <w:qFormat/>
    <w:rsid w:val="000952B8"/>
    <w:rPr>
      <w:rFonts w:cs="Wingdings"/>
      <w:sz w:val="20"/>
    </w:rPr>
  </w:style>
  <w:style w:type="character" w:customStyle="1" w:styleId="ListLabel519">
    <w:name w:val="ListLabel 519"/>
    <w:qFormat/>
    <w:rsid w:val="000952B8"/>
    <w:rPr>
      <w:rFonts w:cs="Wingdings"/>
      <w:sz w:val="20"/>
    </w:rPr>
  </w:style>
  <w:style w:type="character" w:customStyle="1" w:styleId="ListLabel520">
    <w:name w:val="ListLabel 520"/>
    <w:qFormat/>
    <w:rsid w:val="000952B8"/>
    <w:rPr>
      <w:rFonts w:cs="Wingdings"/>
      <w:sz w:val="20"/>
    </w:rPr>
  </w:style>
  <w:style w:type="character" w:customStyle="1" w:styleId="ListLabel521">
    <w:name w:val="ListLabel 521"/>
    <w:qFormat/>
    <w:rsid w:val="000952B8"/>
    <w:rPr>
      <w:rFonts w:cs="Wingdings"/>
      <w:sz w:val="20"/>
    </w:rPr>
  </w:style>
  <w:style w:type="character" w:customStyle="1" w:styleId="ListLabel522">
    <w:name w:val="ListLabel 522"/>
    <w:qFormat/>
    <w:rsid w:val="000952B8"/>
    <w:rPr>
      <w:rFonts w:cs="Wingdings"/>
      <w:sz w:val="20"/>
    </w:rPr>
  </w:style>
  <w:style w:type="character" w:customStyle="1" w:styleId="ListLabel523">
    <w:name w:val="ListLabel 523"/>
    <w:qFormat/>
    <w:rsid w:val="000952B8"/>
    <w:rPr>
      <w:rFonts w:ascii="Open Sans" w:hAnsi="Open Sans" w:cs="Symbol"/>
      <w:sz w:val="21"/>
    </w:rPr>
  </w:style>
  <w:style w:type="character" w:customStyle="1" w:styleId="ListLabel524">
    <w:name w:val="ListLabel 524"/>
    <w:qFormat/>
    <w:rsid w:val="000952B8"/>
    <w:rPr>
      <w:rFonts w:cs="Open Sans"/>
    </w:rPr>
  </w:style>
  <w:style w:type="character" w:customStyle="1" w:styleId="ListLabel525">
    <w:name w:val="ListLabel 525"/>
    <w:qFormat/>
    <w:rsid w:val="000952B8"/>
    <w:rPr>
      <w:rFonts w:cs="Wingdings"/>
    </w:rPr>
  </w:style>
  <w:style w:type="character" w:customStyle="1" w:styleId="ListLabel526">
    <w:name w:val="ListLabel 526"/>
    <w:qFormat/>
    <w:rsid w:val="000952B8"/>
    <w:rPr>
      <w:rFonts w:cs="Symbol"/>
    </w:rPr>
  </w:style>
  <w:style w:type="character" w:customStyle="1" w:styleId="ListLabel527">
    <w:name w:val="ListLabel 527"/>
    <w:qFormat/>
    <w:rsid w:val="000952B8"/>
    <w:rPr>
      <w:rFonts w:cs="Courier New"/>
    </w:rPr>
  </w:style>
  <w:style w:type="character" w:customStyle="1" w:styleId="ListLabel528">
    <w:name w:val="ListLabel 528"/>
    <w:qFormat/>
    <w:rsid w:val="000952B8"/>
    <w:rPr>
      <w:rFonts w:cs="Wingdings"/>
    </w:rPr>
  </w:style>
  <w:style w:type="character" w:customStyle="1" w:styleId="ListLabel529">
    <w:name w:val="ListLabel 529"/>
    <w:qFormat/>
    <w:rsid w:val="000952B8"/>
    <w:rPr>
      <w:rFonts w:cs="Symbol"/>
    </w:rPr>
  </w:style>
  <w:style w:type="character" w:customStyle="1" w:styleId="ListLabel530">
    <w:name w:val="ListLabel 530"/>
    <w:qFormat/>
    <w:rsid w:val="000952B8"/>
    <w:rPr>
      <w:rFonts w:cs="Courier New"/>
    </w:rPr>
  </w:style>
  <w:style w:type="character" w:customStyle="1" w:styleId="ListLabel531">
    <w:name w:val="ListLabel 531"/>
    <w:qFormat/>
    <w:rsid w:val="000952B8"/>
    <w:rPr>
      <w:rFonts w:cs="Wingdings"/>
    </w:rPr>
  </w:style>
  <w:style w:type="character" w:customStyle="1" w:styleId="ListLabel532">
    <w:name w:val="ListLabel 532"/>
    <w:qFormat/>
    <w:rsid w:val="000952B8"/>
    <w:rPr>
      <w:rFonts w:ascii="Open Sans" w:hAnsi="Open Sans" w:cs="Symbol"/>
      <w:sz w:val="21"/>
    </w:rPr>
  </w:style>
  <w:style w:type="character" w:customStyle="1" w:styleId="ListLabel533">
    <w:name w:val="ListLabel 533"/>
    <w:qFormat/>
    <w:rsid w:val="000952B8"/>
    <w:rPr>
      <w:rFonts w:cs="Courier New"/>
    </w:rPr>
  </w:style>
  <w:style w:type="character" w:customStyle="1" w:styleId="ListLabel534">
    <w:name w:val="ListLabel 534"/>
    <w:qFormat/>
    <w:rsid w:val="000952B8"/>
    <w:rPr>
      <w:rFonts w:cs="Wingdings"/>
    </w:rPr>
  </w:style>
  <w:style w:type="character" w:customStyle="1" w:styleId="ListLabel535">
    <w:name w:val="ListLabel 535"/>
    <w:qFormat/>
    <w:rsid w:val="000952B8"/>
    <w:rPr>
      <w:rFonts w:cs="Symbol"/>
    </w:rPr>
  </w:style>
  <w:style w:type="character" w:customStyle="1" w:styleId="ListLabel536">
    <w:name w:val="ListLabel 536"/>
    <w:qFormat/>
    <w:rsid w:val="000952B8"/>
    <w:rPr>
      <w:rFonts w:cs="Courier New"/>
    </w:rPr>
  </w:style>
  <w:style w:type="character" w:customStyle="1" w:styleId="ListLabel537">
    <w:name w:val="ListLabel 537"/>
    <w:qFormat/>
    <w:rsid w:val="000952B8"/>
    <w:rPr>
      <w:rFonts w:cs="Wingdings"/>
    </w:rPr>
  </w:style>
  <w:style w:type="character" w:customStyle="1" w:styleId="ListLabel538">
    <w:name w:val="ListLabel 538"/>
    <w:qFormat/>
    <w:rsid w:val="000952B8"/>
    <w:rPr>
      <w:rFonts w:cs="Symbol"/>
    </w:rPr>
  </w:style>
  <w:style w:type="character" w:customStyle="1" w:styleId="ListLabel539">
    <w:name w:val="ListLabel 539"/>
    <w:qFormat/>
    <w:rsid w:val="000952B8"/>
    <w:rPr>
      <w:rFonts w:cs="Courier New"/>
    </w:rPr>
  </w:style>
  <w:style w:type="character" w:customStyle="1" w:styleId="ListLabel540">
    <w:name w:val="ListLabel 540"/>
    <w:qFormat/>
    <w:rsid w:val="000952B8"/>
    <w:rPr>
      <w:rFonts w:cs="Wingdings"/>
    </w:rPr>
  </w:style>
  <w:style w:type="character" w:customStyle="1" w:styleId="ListLabel541">
    <w:name w:val="ListLabel 541"/>
    <w:qFormat/>
    <w:rsid w:val="000952B8"/>
    <w:rPr>
      <w:rFonts w:cs="Symbol"/>
      <w:sz w:val="21"/>
    </w:rPr>
  </w:style>
  <w:style w:type="character" w:customStyle="1" w:styleId="ListLabel542">
    <w:name w:val="ListLabel 542"/>
    <w:qFormat/>
    <w:rsid w:val="000952B8"/>
    <w:rPr>
      <w:rFonts w:cs="Courier New"/>
    </w:rPr>
  </w:style>
  <w:style w:type="character" w:customStyle="1" w:styleId="ListLabel543">
    <w:name w:val="ListLabel 543"/>
    <w:qFormat/>
    <w:rsid w:val="000952B8"/>
    <w:rPr>
      <w:rFonts w:cs="Wingdings"/>
    </w:rPr>
  </w:style>
  <w:style w:type="character" w:customStyle="1" w:styleId="ListLabel544">
    <w:name w:val="ListLabel 544"/>
    <w:qFormat/>
    <w:rsid w:val="000952B8"/>
    <w:rPr>
      <w:rFonts w:cs="Symbol"/>
    </w:rPr>
  </w:style>
  <w:style w:type="character" w:customStyle="1" w:styleId="ListLabel545">
    <w:name w:val="ListLabel 545"/>
    <w:qFormat/>
    <w:rsid w:val="000952B8"/>
    <w:rPr>
      <w:rFonts w:cs="Courier New"/>
    </w:rPr>
  </w:style>
  <w:style w:type="character" w:customStyle="1" w:styleId="ListLabel546">
    <w:name w:val="ListLabel 546"/>
    <w:qFormat/>
    <w:rsid w:val="000952B8"/>
    <w:rPr>
      <w:rFonts w:cs="Wingdings"/>
    </w:rPr>
  </w:style>
  <w:style w:type="character" w:customStyle="1" w:styleId="ListLabel547">
    <w:name w:val="ListLabel 547"/>
    <w:qFormat/>
    <w:rsid w:val="000952B8"/>
    <w:rPr>
      <w:rFonts w:cs="Symbol"/>
    </w:rPr>
  </w:style>
  <w:style w:type="character" w:customStyle="1" w:styleId="ListLabel548">
    <w:name w:val="ListLabel 548"/>
    <w:qFormat/>
    <w:rsid w:val="000952B8"/>
    <w:rPr>
      <w:rFonts w:cs="Courier New"/>
    </w:rPr>
  </w:style>
  <w:style w:type="character" w:customStyle="1" w:styleId="ListLabel549">
    <w:name w:val="ListLabel 549"/>
    <w:qFormat/>
    <w:rsid w:val="000952B8"/>
    <w:rPr>
      <w:rFonts w:cs="Wingdings"/>
    </w:rPr>
  </w:style>
  <w:style w:type="character" w:customStyle="1" w:styleId="ListLabel550">
    <w:name w:val="ListLabel 550"/>
    <w:qFormat/>
    <w:rsid w:val="000952B8"/>
    <w:rPr>
      <w:rFonts w:ascii="Open Sans" w:hAnsi="Open Sans" w:cs="Symbol"/>
      <w:sz w:val="21"/>
    </w:rPr>
  </w:style>
  <w:style w:type="character" w:customStyle="1" w:styleId="ListLabel551">
    <w:name w:val="ListLabel 551"/>
    <w:qFormat/>
    <w:rsid w:val="000952B8"/>
    <w:rPr>
      <w:rFonts w:cs="Courier New"/>
    </w:rPr>
  </w:style>
  <w:style w:type="character" w:customStyle="1" w:styleId="ListLabel552">
    <w:name w:val="ListLabel 552"/>
    <w:qFormat/>
    <w:rsid w:val="000952B8"/>
    <w:rPr>
      <w:rFonts w:cs="Wingdings"/>
    </w:rPr>
  </w:style>
  <w:style w:type="character" w:customStyle="1" w:styleId="ListLabel553">
    <w:name w:val="ListLabel 553"/>
    <w:qFormat/>
    <w:rsid w:val="000952B8"/>
    <w:rPr>
      <w:rFonts w:cs="Symbol"/>
    </w:rPr>
  </w:style>
  <w:style w:type="character" w:customStyle="1" w:styleId="ListLabel554">
    <w:name w:val="ListLabel 554"/>
    <w:qFormat/>
    <w:rsid w:val="000952B8"/>
    <w:rPr>
      <w:rFonts w:cs="Courier New"/>
    </w:rPr>
  </w:style>
  <w:style w:type="character" w:customStyle="1" w:styleId="ListLabel555">
    <w:name w:val="ListLabel 555"/>
    <w:qFormat/>
    <w:rsid w:val="000952B8"/>
    <w:rPr>
      <w:rFonts w:cs="Wingdings"/>
    </w:rPr>
  </w:style>
  <w:style w:type="character" w:customStyle="1" w:styleId="ListLabel556">
    <w:name w:val="ListLabel 556"/>
    <w:qFormat/>
    <w:rsid w:val="000952B8"/>
    <w:rPr>
      <w:rFonts w:cs="Symbol"/>
    </w:rPr>
  </w:style>
  <w:style w:type="character" w:customStyle="1" w:styleId="ListLabel557">
    <w:name w:val="ListLabel 557"/>
    <w:qFormat/>
    <w:rsid w:val="000952B8"/>
    <w:rPr>
      <w:rFonts w:cs="Courier New"/>
    </w:rPr>
  </w:style>
  <w:style w:type="character" w:customStyle="1" w:styleId="ListLabel558">
    <w:name w:val="ListLabel 558"/>
    <w:qFormat/>
    <w:rsid w:val="000952B8"/>
    <w:rPr>
      <w:rFonts w:cs="Wingdings"/>
    </w:rPr>
  </w:style>
  <w:style w:type="character" w:customStyle="1" w:styleId="ListLabel559">
    <w:name w:val="ListLabel 559"/>
    <w:qFormat/>
    <w:rsid w:val="000952B8"/>
    <w:rPr>
      <w:rFonts w:ascii="Open Sans" w:eastAsia="Times New Roman" w:hAnsi="Open Sans" w:cs="Open Sans"/>
      <w:b/>
      <w:sz w:val="21"/>
      <w:szCs w:val="21"/>
      <w:lang w:eastAsia="es-ES"/>
    </w:rPr>
  </w:style>
  <w:style w:type="character" w:customStyle="1" w:styleId="ListLabel560">
    <w:name w:val="ListLabel 560"/>
    <w:qFormat/>
    <w:rsid w:val="000952B8"/>
    <w:rPr>
      <w:rFonts w:ascii="Open Sans" w:eastAsia="Times New Roman" w:hAnsi="Open Sans" w:cs="Open Sans"/>
      <w:sz w:val="21"/>
      <w:szCs w:val="21"/>
      <w:lang w:eastAsia="es-ES"/>
    </w:rPr>
  </w:style>
  <w:style w:type="character" w:customStyle="1" w:styleId="ListLabel561">
    <w:name w:val="ListLabel 561"/>
    <w:qFormat/>
    <w:rsid w:val="000952B8"/>
    <w:rPr>
      <w:rFonts w:ascii="Open Sans" w:eastAsia="Times New Roman" w:hAnsi="Open Sans" w:cs="Open Sans"/>
      <w:sz w:val="20"/>
      <w:szCs w:val="20"/>
      <w:lang w:eastAsia="es-ES"/>
    </w:rPr>
  </w:style>
  <w:style w:type="character" w:customStyle="1" w:styleId="ListLabel562">
    <w:name w:val="ListLabel 562"/>
    <w:qFormat/>
    <w:rsid w:val="000952B8"/>
    <w:rPr>
      <w:rFonts w:ascii="Open Sans" w:hAnsi="Open Sans" w:cs="Open Sans"/>
      <w:sz w:val="21"/>
      <w:szCs w:val="21"/>
    </w:rPr>
  </w:style>
  <w:style w:type="character" w:customStyle="1" w:styleId="ListLabel563">
    <w:name w:val="ListLabel 563"/>
    <w:qFormat/>
    <w:rsid w:val="000952B8"/>
    <w:rPr>
      <w:rFonts w:ascii="Open Sans" w:eastAsia="Times New Roman" w:hAnsi="Open Sans" w:cs="Open Sans"/>
      <w:i w:val="0"/>
      <w:iCs w:val="0"/>
      <w:sz w:val="21"/>
      <w:szCs w:val="21"/>
      <w:lang w:eastAsia="es-ES"/>
    </w:rPr>
  </w:style>
  <w:style w:type="character" w:customStyle="1" w:styleId="ListLabel564">
    <w:name w:val="ListLabel 564"/>
    <w:qFormat/>
    <w:rsid w:val="000952B8"/>
    <w:rPr>
      <w:rFonts w:ascii="Open Sans" w:eastAsia="Times New Roman" w:hAnsi="Open Sans" w:cs="Open Sans"/>
      <w:i/>
      <w:sz w:val="21"/>
      <w:szCs w:val="21"/>
      <w:lang w:eastAsia="es-ES"/>
    </w:rPr>
  </w:style>
  <w:style w:type="character" w:customStyle="1" w:styleId="ListLabel565">
    <w:name w:val="ListLabel 565"/>
    <w:qFormat/>
    <w:rsid w:val="000952B8"/>
    <w:rPr>
      <w:rFonts w:eastAsia="Calibri"/>
      <w:sz w:val="21"/>
      <w:szCs w:val="21"/>
    </w:rPr>
  </w:style>
  <w:style w:type="character" w:customStyle="1" w:styleId="ListLabel566">
    <w:name w:val="ListLabel 566"/>
    <w:qFormat/>
    <w:rsid w:val="000952B8"/>
  </w:style>
  <w:style w:type="character" w:customStyle="1" w:styleId="ListLabel567">
    <w:name w:val="ListLabel 567"/>
    <w:qFormat/>
    <w:rsid w:val="000952B8"/>
  </w:style>
  <w:style w:type="paragraph" w:styleId="Textocomentario">
    <w:name w:val="annotation text"/>
    <w:basedOn w:val="Normal"/>
    <w:link w:val="TextocomentarioCar"/>
    <w:uiPriority w:val="99"/>
    <w:semiHidden/>
    <w:unhideWhenUsed/>
    <w:qFormat/>
    <w:rsid w:val="000952B8"/>
    <w:pPr>
      <w:spacing w:line="240" w:lineRule="auto"/>
    </w:pPr>
    <w:rPr>
      <w:sz w:val="20"/>
      <w:szCs w:val="20"/>
    </w:rPr>
  </w:style>
  <w:style w:type="character" w:customStyle="1" w:styleId="TextocomentarioCar2">
    <w:name w:val="Texto comentario Car2"/>
    <w:basedOn w:val="Fuentedeprrafopredeter"/>
    <w:uiPriority w:val="99"/>
    <w:semiHidden/>
    <w:rsid w:val="000952B8"/>
    <w:rPr>
      <w:sz w:val="20"/>
      <w:szCs w:val="20"/>
    </w:rPr>
  </w:style>
  <w:style w:type="paragraph" w:styleId="Asuntodelcomentario">
    <w:name w:val="annotation subject"/>
    <w:basedOn w:val="Textocomentario"/>
    <w:next w:val="Textocomentario"/>
    <w:link w:val="AsuntodelcomentarioCar"/>
    <w:uiPriority w:val="99"/>
    <w:semiHidden/>
    <w:unhideWhenUsed/>
    <w:qFormat/>
    <w:rsid w:val="000952B8"/>
    <w:rPr>
      <w:b/>
      <w:bCs/>
    </w:rPr>
  </w:style>
  <w:style w:type="character" w:customStyle="1" w:styleId="AsuntodelcomentarioCar2">
    <w:name w:val="Asunto del comentario Car2"/>
    <w:basedOn w:val="TextocomentarioCar2"/>
    <w:uiPriority w:val="99"/>
    <w:semiHidden/>
    <w:rsid w:val="000952B8"/>
    <w:rPr>
      <w:b/>
      <w:bCs/>
      <w:sz w:val="20"/>
      <w:szCs w:val="20"/>
    </w:rPr>
  </w:style>
  <w:style w:type="paragraph" w:customStyle="1" w:styleId="Ttulodelatabla">
    <w:name w:val="Título de la tabla"/>
    <w:basedOn w:val="Contenidodelatabla"/>
    <w:uiPriority w:val="99"/>
    <w:qFormat/>
    <w:rsid w:val="000952B8"/>
    <w:pPr>
      <w:suppressAutoHyphens w:val="0"/>
      <w:spacing w:line="259" w:lineRule="auto"/>
      <w:jc w:val="center"/>
    </w:pPr>
    <w:rPr>
      <w:b/>
      <w:bCs/>
      <w:lang w:eastAsia="en-US"/>
    </w:rPr>
  </w:style>
  <w:style w:type="character" w:styleId="Hipervnculovisitado">
    <w:name w:val="FollowedHyperlink"/>
    <w:basedOn w:val="Fuentedeprrafopredeter"/>
    <w:uiPriority w:val="99"/>
    <w:semiHidden/>
    <w:unhideWhenUsed/>
    <w:qFormat/>
    <w:rsid w:val="000952B8"/>
    <w:rPr>
      <w:color w:val="9D2235" w:themeColor="followedHyperlink"/>
      <w:u w:val="single"/>
    </w:rPr>
  </w:style>
  <w:style w:type="paragraph" w:customStyle="1" w:styleId="Standarduser">
    <w:name w:val="Standard (user)"/>
    <w:uiPriority w:val="99"/>
    <w:qFormat/>
    <w:rsid w:val="002D0FF9"/>
    <w:pPr>
      <w:widowControl w:val="0"/>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TableContents">
    <w:name w:val="Table Contents"/>
    <w:basedOn w:val="Standard"/>
    <w:uiPriority w:val="99"/>
    <w:qFormat/>
    <w:rsid w:val="00076BFE"/>
    <w:pPr>
      <w:suppressLineNumbers/>
      <w:autoSpaceDN w:val="0"/>
    </w:pPr>
    <w:rPr>
      <w:rFonts w:eastAsia="Droid Sans Fallback" w:cs="FreeSans"/>
      <w:kern w:val="3"/>
    </w:rPr>
  </w:style>
  <w:style w:type="numbering" w:customStyle="1" w:styleId="Sinlista4">
    <w:name w:val="Sin lista4"/>
    <w:next w:val="Sinlista"/>
    <w:uiPriority w:val="99"/>
    <w:semiHidden/>
    <w:unhideWhenUsed/>
    <w:rsid w:val="00D572EA"/>
  </w:style>
  <w:style w:type="paragraph" w:customStyle="1" w:styleId="Heading">
    <w:name w:val="Heading"/>
    <w:basedOn w:val="Standard"/>
    <w:next w:val="Textbody"/>
    <w:uiPriority w:val="99"/>
    <w:qFormat/>
    <w:rsid w:val="00D572EA"/>
    <w:pPr>
      <w:keepNext/>
      <w:autoSpaceDN w:val="0"/>
      <w:spacing w:before="240" w:after="120"/>
    </w:pPr>
    <w:rPr>
      <w:rFonts w:ascii="Liberation Sans" w:eastAsia="Microsoft YaHei" w:hAnsi="Liberation Sans" w:cs="Lucida Sans"/>
      <w:kern w:val="3"/>
      <w:sz w:val="28"/>
      <w:szCs w:val="28"/>
    </w:rPr>
  </w:style>
  <w:style w:type="paragraph" w:customStyle="1" w:styleId="Index">
    <w:name w:val="Index"/>
    <w:basedOn w:val="Standard"/>
    <w:uiPriority w:val="99"/>
    <w:qFormat/>
    <w:rsid w:val="00D572EA"/>
    <w:pPr>
      <w:suppressLineNumbers/>
      <w:autoSpaceDN w:val="0"/>
    </w:pPr>
    <w:rPr>
      <w:rFonts w:eastAsia="Droid Sans Fallback" w:cs="Lucida Sans"/>
      <w:kern w:val="3"/>
    </w:rPr>
  </w:style>
  <w:style w:type="paragraph" w:customStyle="1" w:styleId="LO-Normal">
    <w:name w:val="LO-Normal"/>
    <w:uiPriority w:val="99"/>
    <w:qFormat/>
    <w:rsid w:val="00D572EA"/>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eastAsia="zh-CN" w:bidi="hi-IN"/>
    </w:rPr>
  </w:style>
  <w:style w:type="paragraph" w:customStyle="1" w:styleId="Encabezado1">
    <w:name w:val="Encabezado1"/>
    <w:basedOn w:val="Standard"/>
    <w:uiPriority w:val="99"/>
    <w:qFormat/>
    <w:rsid w:val="00D572EA"/>
    <w:pPr>
      <w:suppressLineNumbers/>
      <w:tabs>
        <w:tab w:val="center" w:pos="4819"/>
        <w:tab w:val="right" w:pos="9638"/>
      </w:tabs>
      <w:autoSpaceDN w:val="0"/>
    </w:pPr>
    <w:rPr>
      <w:rFonts w:eastAsia="Droid Sans Fallback" w:cs="FreeSans"/>
      <w:kern w:val="3"/>
    </w:rPr>
  </w:style>
  <w:style w:type="paragraph" w:customStyle="1" w:styleId="Footnote">
    <w:name w:val="Footnote"/>
    <w:basedOn w:val="Standard"/>
    <w:uiPriority w:val="99"/>
    <w:qFormat/>
    <w:rsid w:val="00D572EA"/>
    <w:pPr>
      <w:suppressLineNumbers/>
      <w:autoSpaceDN w:val="0"/>
      <w:ind w:left="339" w:hanging="339"/>
    </w:pPr>
    <w:rPr>
      <w:rFonts w:eastAsia="Droid Sans Fallback" w:cs="FreeSans"/>
      <w:kern w:val="3"/>
      <w:sz w:val="20"/>
      <w:szCs w:val="20"/>
    </w:rPr>
  </w:style>
  <w:style w:type="paragraph" w:customStyle="1" w:styleId="TableHeading">
    <w:name w:val="Table Heading"/>
    <w:basedOn w:val="TableContents"/>
    <w:uiPriority w:val="99"/>
    <w:qFormat/>
    <w:rsid w:val="00D572EA"/>
    <w:pPr>
      <w:jc w:val="center"/>
    </w:pPr>
    <w:rPr>
      <w:b/>
      <w:bCs/>
    </w:rPr>
  </w:style>
  <w:style w:type="character" w:customStyle="1" w:styleId="Internetlink">
    <w:name w:val="Internet link"/>
    <w:qFormat/>
    <w:rsid w:val="00D572EA"/>
    <w:rPr>
      <w:color w:val="000080"/>
      <w:u w:val="single"/>
    </w:rPr>
  </w:style>
  <w:style w:type="character" w:customStyle="1" w:styleId="FootnoteSymbol">
    <w:name w:val="Footnote Symbol"/>
    <w:rsid w:val="00D572EA"/>
  </w:style>
  <w:style w:type="character" w:customStyle="1" w:styleId="Footnoteanchor">
    <w:name w:val="Footnote anchor"/>
    <w:rsid w:val="00D572EA"/>
    <w:rPr>
      <w:position w:val="0"/>
      <w:vertAlign w:val="superscript"/>
    </w:rPr>
  </w:style>
  <w:style w:type="character" w:customStyle="1" w:styleId="BulletSymbols">
    <w:name w:val="Bullet Symbols"/>
    <w:rsid w:val="00D572EA"/>
    <w:rPr>
      <w:rFonts w:ascii="OpenSymbol" w:eastAsia="OpenSymbol" w:hAnsi="OpenSymbol" w:cs="OpenSymbol"/>
    </w:rPr>
  </w:style>
  <w:style w:type="numbering" w:customStyle="1" w:styleId="Sinlista11">
    <w:name w:val="Sin lista11"/>
    <w:basedOn w:val="Sinlista"/>
    <w:rsid w:val="00D572EA"/>
    <w:pPr>
      <w:numPr>
        <w:numId w:val="1"/>
      </w:numPr>
    </w:pPr>
  </w:style>
  <w:style w:type="numbering" w:customStyle="1" w:styleId="WWNum1">
    <w:name w:val="WWNum1"/>
    <w:basedOn w:val="Sinlista"/>
    <w:rsid w:val="00D572EA"/>
    <w:pPr>
      <w:numPr>
        <w:numId w:val="2"/>
      </w:numPr>
    </w:pPr>
  </w:style>
  <w:style w:type="numbering" w:customStyle="1" w:styleId="WWNum2">
    <w:name w:val="WWNum2"/>
    <w:basedOn w:val="Sinlista"/>
    <w:rsid w:val="00D572EA"/>
    <w:pPr>
      <w:numPr>
        <w:numId w:val="3"/>
      </w:numPr>
    </w:pPr>
  </w:style>
  <w:style w:type="numbering" w:customStyle="1" w:styleId="WWNum3">
    <w:name w:val="WWNum3"/>
    <w:basedOn w:val="Sinlista"/>
    <w:rsid w:val="00D572EA"/>
    <w:pPr>
      <w:numPr>
        <w:numId w:val="4"/>
      </w:numPr>
    </w:pPr>
  </w:style>
  <w:style w:type="numbering" w:customStyle="1" w:styleId="WWNum4">
    <w:name w:val="WWNum4"/>
    <w:basedOn w:val="Sinlista"/>
    <w:rsid w:val="00D572EA"/>
    <w:pPr>
      <w:numPr>
        <w:numId w:val="5"/>
      </w:numPr>
    </w:pPr>
  </w:style>
  <w:style w:type="numbering" w:customStyle="1" w:styleId="WWNum5">
    <w:name w:val="WWNum5"/>
    <w:basedOn w:val="Sinlista"/>
    <w:rsid w:val="00D572EA"/>
    <w:pPr>
      <w:numPr>
        <w:numId w:val="6"/>
      </w:numPr>
    </w:pPr>
  </w:style>
  <w:style w:type="character" w:styleId="Refdenotaalpie">
    <w:name w:val="footnote reference"/>
    <w:basedOn w:val="Fuentedeprrafopredeter"/>
    <w:uiPriority w:val="99"/>
    <w:semiHidden/>
    <w:unhideWhenUsed/>
    <w:rsid w:val="00D572EA"/>
    <w:rPr>
      <w:vertAlign w:val="superscript"/>
    </w:rPr>
  </w:style>
  <w:style w:type="numbering" w:customStyle="1" w:styleId="Sinlista5">
    <w:name w:val="Sin lista5"/>
    <w:next w:val="Sinlista"/>
    <w:uiPriority w:val="99"/>
    <w:semiHidden/>
    <w:unhideWhenUsed/>
    <w:rsid w:val="00BB4994"/>
  </w:style>
  <w:style w:type="paragraph" w:styleId="Revisin">
    <w:name w:val="Revision"/>
    <w:uiPriority w:val="99"/>
    <w:semiHidden/>
    <w:qFormat/>
    <w:rsid w:val="00BB4994"/>
    <w:pPr>
      <w:autoSpaceDN w:val="0"/>
      <w:spacing w:after="0" w:line="240" w:lineRule="auto"/>
    </w:pPr>
    <w:rPr>
      <w:rFonts w:ascii="Calibri" w:eastAsia="Calibri" w:hAnsi="Calibri" w:cs="Tahoma"/>
    </w:rPr>
  </w:style>
  <w:style w:type="character" w:customStyle="1" w:styleId="VietaAVAFCar">
    <w:name w:val="Viñeta AVAF Car"/>
    <w:basedOn w:val="Fuentedeprrafopredeter"/>
    <w:link w:val="VietaAVAF"/>
    <w:locked/>
    <w:rsid w:val="00BB4994"/>
    <w:rPr>
      <w:rFonts w:ascii="Arial" w:hAnsi="Arial" w:cs="Arial"/>
      <w:sz w:val="21"/>
      <w:lang w:val="ca-ES-valencia"/>
    </w:rPr>
  </w:style>
  <w:style w:type="paragraph" w:customStyle="1" w:styleId="VietaAVAF">
    <w:name w:val="Viñeta AVAF"/>
    <w:basedOn w:val="Normal"/>
    <w:link w:val="VietaAVAFCar"/>
    <w:qFormat/>
    <w:rsid w:val="00BB4994"/>
    <w:pPr>
      <w:widowControl w:val="0"/>
      <w:numPr>
        <w:numId w:val="7"/>
      </w:numPr>
      <w:suppressAutoHyphens/>
      <w:autoSpaceDN w:val="0"/>
      <w:spacing w:after="240" w:line="276" w:lineRule="auto"/>
      <w:jc w:val="both"/>
    </w:pPr>
    <w:rPr>
      <w:rFonts w:ascii="Arial" w:hAnsi="Arial" w:cs="Arial"/>
      <w:sz w:val="21"/>
    </w:rPr>
  </w:style>
  <w:style w:type="paragraph" w:customStyle="1" w:styleId="Textoindependiente1">
    <w:name w:val="Texto independiente1"/>
    <w:basedOn w:val="Normal"/>
    <w:next w:val="Textoindependiente"/>
    <w:uiPriority w:val="99"/>
    <w:qFormat/>
    <w:rsid w:val="00BB4994"/>
    <w:pPr>
      <w:suppressAutoHyphens/>
      <w:spacing w:after="140" w:line="276" w:lineRule="auto"/>
    </w:pPr>
    <w:rPr>
      <w:rFonts w:ascii="Arial" w:eastAsia="Calibri" w:hAnsi="Arial" w:cs="Tahoma"/>
      <w:sz w:val="21"/>
    </w:rPr>
  </w:style>
  <w:style w:type="paragraph" w:customStyle="1" w:styleId="Cabeceraypie">
    <w:name w:val="Cabecera y pie"/>
    <w:basedOn w:val="Normal"/>
    <w:uiPriority w:val="99"/>
    <w:qFormat/>
    <w:rsid w:val="00BB4994"/>
    <w:pPr>
      <w:suppressAutoHyphens/>
      <w:spacing w:line="256" w:lineRule="auto"/>
    </w:pPr>
    <w:rPr>
      <w:rFonts w:ascii="Calibri" w:eastAsia="Calibri" w:hAnsi="Calibri" w:cs="Calibri"/>
    </w:rPr>
  </w:style>
  <w:style w:type="paragraph" w:customStyle="1" w:styleId="Piedepgina1">
    <w:name w:val="Pie de página1"/>
    <w:basedOn w:val="Normal"/>
    <w:next w:val="Piedepgina"/>
    <w:uiPriority w:val="99"/>
    <w:qFormat/>
    <w:rsid w:val="00BB4994"/>
    <w:pPr>
      <w:tabs>
        <w:tab w:val="center" w:pos="4252"/>
        <w:tab w:val="right" w:pos="8504"/>
      </w:tabs>
      <w:suppressAutoHyphens/>
      <w:spacing w:after="0" w:line="240" w:lineRule="auto"/>
    </w:pPr>
    <w:rPr>
      <w:rFonts w:ascii="Calibri" w:eastAsia="Calibri" w:hAnsi="Calibri" w:cs="Calibri"/>
    </w:rPr>
  </w:style>
  <w:style w:type="character" w:customStyle="1" w:styleId="TITULOMEMORIACar">
    <w:name w:val="TITULO MEMORIA Car"/>
    <w:basedOn w:val="Ttulo1Car"/>
    <w:link w:val="TITULOMEMORIA"/>
    <w:locked/>
    <w:rsid w:val="00BB4994"/>
    <w:rPr>
      <w:rFonts w:ascii="Arial" w:eastAsia="Times New Roman" w:hAnsi="Arial" w:cs="Times New Roman"/>
      <w:color w:val="9D2235"/>
      <w:sz w:val="32"/>
      <w:szCs w:val="32"/>
    </w:rPr>
  </w:style>
  <w:style w:type="paragraph" w:customStyle="1" w:styleId="TITULOMEMORIA">
    <w:name w:val="TITULO MEMORIA"/>
    <w:basedOn w:val="Ttulo1"/>
    <w:link w:val="TITULOMEMORIACar"/>
    <w:qFormat/>
    <w:rsid w:val="00BB4994"/>
    <w:pPr>
      <w:widowControl w:val="0"/>
      <w:numPr>
        <w:ilvl w:val="1"/>
      </w:numPr>
      <w:suppressAutoHyphens/>
      <w:autoSpaceDN w:val="0"/>
      <w:spacing w:before="360" w:after="240" w:line="276" w:lineRule="auto"/>
      <w:ind w:left="357" w:hanging="357"/>
      <w:jc w:val="both"/>
    </w:pPr>
    <w:rPr>
      <w:rFonts w:ascii="Arial" w:eastAsia="Times New Roman" w:hAnsi="Arial" w:cs="Times New Roman"/>
      <w:color w:val="9D2235"/>
      <w:sz w:val="32"/>
      <w:szCs w:val="32"/>
    </w:rPr>
  </w:style>
  <w:style w:type="character" w:customStyle="1" w:styleId="Titulo5Car">
    <w:name w:val="Titulo 5 Car"/>
    <w:basedOn w:val="Ttulo4Car"/>
    <w:link w:val="Titulo5"/>
    <w:locked/>
    <w:rsid w:val="00BB4994"/>
    <w:rPr>
      <w:rFonts w:ascii="Arial" w:eastAsia="Open Sans" w:hAnsi="Arial" w:cs="Times New Roman"/>
      <w:i/>
      <w:iCs/>
      <w:color w:val="751927" w:themeColor="accent1" w:themeShade="BF"/>
      <w:sz w:val="21"/>
      <w:szCs w:val="24"/>
      <w:lang w:eastAsia="zh-CN" w:bidi="hi-IN"/>
    </w:rPr>
  </w:style>
  <w:style w:type="paragraph" w:customStyle="1" w:styleId="Titulo5">
    <w:name w:val="Titulo 5"/>
    <w:basedOn w:val="Ttulo4"/>
    <w:link w:val="Titulo5Car"/>
    <w:qFormat/>
    <w:rsid w:val="00BB4994"/>
    <w:pPr>
      <w:widowControl w:val="0"/>
      <w:suppressAutoHyphens/>
      <w:autoSpaceDN w:val="0"/>
      <w:spacing w:after="120" w:line="276" w:lineRule="auto"/>
      <w:jc w:val="both"/>
    </w:pPr>
    <w:rPr>
      <w:rFonts w:ascii="Arial" w:eastAsia="Open Sans" w:hAnsi="Arial" w:cs="Times New Roman"/>
      <w:i/>
      <w:iCs/>
      <w:color w:val="auto"/>
      <w:sz w:val="21"/>
      <w:szCs w:val="22"/>
      <w:lang w:eastAsia="zh-CN" w:bidi="hi-IN"/>
    </w:rPr>
  </w:style>
  <w:style w:type="character" w:customStyle="1" w:styleId="email">
    <w:name w:val="email"/>
    <w:basedOn w:val="Fuentedeprrafopredeter"/>
    <w:qFormat/>
    <w:rsid w:val="00BB4994"/>
  </w:style>
  <w:style w:type="character" w:customStyle="1" w:styleId="eml">
    <w:name w:val="eml"/>
    <w:basedOn w:val="Fuentedeprrafopredeter"/>
    <w:qFormat/>
    <w:rsid w:val="00BB4994"/>
  </w:style>
  <w:style w:type="character" w:customStyle="1" w:styleId="EncabezadoCar1">
    <w:name w:val="Encabezado Car1"/>
    <w:basedOn w:val="Fuentedeprrafopredeter"/>
    <w:uiPriority w:val="99"/>
    <w:semiHidden/>
    <w:rsid w:val="00BB4994"/>
  </w:style>
  <w:style w:type="character" w:customStyle="1" w:styleId="PiedepginaCar1">
    <w:name w:val="Pie de página Car1"/>
    <w:basedOn w:val="Fuentedeprrafopredeter"/>
    <w:uiPriority w:val="99"/>
    <w:semiHidden/>
    <w:rsid w:val="00BB4994"/>
  </w:style>
  <w:style w:type="character" w:customStyle="1" w:styleId="EncabezadoCar2">
    <w:name w:val="Encabezado Car2"/>
    <w:basedOn w:val="Fuentedeprrafopredeter"/>
    <w:uiPriority w:val="99"/>
    <w:semiHidden/>
    <w:rsid w:val="00BB4994"/>
    <w:rPr>
      <w:rFonts w:ascii="Arial" w:hAnsi="Arial" w:cs="Arial" w:hint="default"/>
      <w:sz w:val="21"/>
    </w:rPr>
  </w:style>
  <w:style w:type="character" w:customStyle="1" w:styleId="PiedepginaCar2">
    <w:name w:val="Pie de página Car2"/>
    <w:basedOn w:val="Fuentedeprrafopredeter"/>
    <w:uiPriority w:val="99"/>
    <w:semiHidden/>
    <w:rsid w:val="00BB4994"/>
    <w:rPr>
      <w:rFonts w:ascii="Arial" w:hAnsi="Arial" w:cs="Arial" w:hint="default"/>
      <w:sz w:val="21"/>
    </w:rPr>
  </w:style>
  <w:style w:type="character" w:customStyle="1" w:styleId="TextoindependienteCar1">
    <w:name w:val="Texto independiente Car1"/>
    <w:basedOn w:val="Fuentedeprrafopredeter"/>
    <w:uiPriority w:val="99"/>
    <w:semiHidden/>
    <w:locked/>
    <w:rsid w:val="00BB4994"/>
    <w:rPr>
      <w:rFonts w:ascii="Arial" w:eastAsia="Calibri" w:hAnsi="Arial" w:cs="Tahoma"/>
      <w:sz w:val="21"/>
    </w:rPr>
  </w:style>
  <w:style w:type="table" w:customStyle="1" w:styleId="Tablaconcuadrcula3">
    <w:name w:val="Tabla con cuadrícula3"/>
    <w:basedOn w:val="Tablanormal"/>
    <w:next w:val="Tablaconcuadrcula"/>
    <w:uiPriority w:val="39"/>
    <w:rsid w:val="00BB4994"/>
    <w:pPr>
      <w:widowControl w:val="0"/>
      <w:autoSpaceDN w:val="0"/>
      <w:spacing w:after="0" w:line="240" w:lineRule="auto"/>
    </w:pPr>
    <w:rPr>
      <w:rFonts w:ascii="Calibri" w:eastAsia="Calibri" w:hAnsi="Calibri" w:cs="Tahom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39"/>
    <w:rsid w:val="00BB4994"/>
    <w:pPr>
      <w:suppressAutoHyphens/>
      <w:spacing w:after="0" w:line="240" w:lineRule="auto"/>
    </w:pPr>
    <w:rPr>
      <w:rFonts w:ascii="Calibri" w:eastAsia="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1">
    <w:name w:val="WWNum21"/>
    <w:rsid w:val="00BB4994"/>
    <w:pPr>
      <w:numPr>
        <w:numId w:val="8"/>
      </w:numPr>
    </w:pPr>
  </w:style>
  <w:style w:type="numbering" w:customStyle="1" w:styleId="WWNum51">
    <w:name w:val="WWNum51"/>
    <w:rsid w:val="00BB4994"/>
    <w:pPr>
      <w:numPr>
        <w:numId w:val="9"/>
      </w:numPr>
    </w:pPr>
  </w:style>
  <w:style w:type="numbering" w:customStyle="1" w:styleId="WWNum31">
    <w:name w:val="WWNum31"/>
    <w:rsid w:val="00BB4994"/>
    <w:pPr>
      <w:numPr>
        <w:numId w:val="10"/>
      </w:numPr>
    </w:pPr>
  </w:style>
  <w:style w:type="numbering" w:customStyle="1" w:styleId="Sinlista12">
    <w:name w:val="Sin lista12"/>
    <w:rsid w:val="00BB4994"/>
    <w:pPr>
      <w:numPr>
        <w:numId w:val="11"/>
      </w:numPr>
    </w:pPr>
  </w:style>
  <w:style w:type="numbering" w:customStyle="1" w:styleId="WWNum41">
    <w:name w:val="WWNum41"/>
    <w:rsid w:val="00BB4994"/>
    <w:pPr>
      <w:numPr>
        <w:numId w:val="12"/>
      </w:numPr>
    </w:pPr>
  </w:style>
  <w:style w:type="numbering" w:customStyle="1" w:styleId="WWNum11">
    <w:name w:val="WWNum11"/>
    <w:rsid w:val="00BB4994"/>
    <w:pPr>
      <w:numPr>
        <w:numId w:val="13"/>
      </w:numPr>
    </w:pPr>
  </w:style>
  <w:style w:type="numbering" w:customStyle="1" w:styleId="Sinlista6">
    <w:name w:val="Sin lista6"/>
    <w:next w:val="Sinlista"/>
    <w:uiPriority w:val="99"/>
    <w:semiHidden/>
    <w:unhideWhenUsed/>
    <w:rsid w:val="005F230F"/>
  </w:style>
  <w:style w:type="paragraph" w:styleId="ndice1">
    <w:name w:val="index 1"/>
    <w:basedOn w:val="Normal"/>
    <w:next w:val="Normal"/>
    <w:autoRedefine/>
    <w:uiPriority w:val="99"/>
    <w:unhideWhenUsed/>
    <w:qFormat/>
    <w:rsid w:val="005F230F"/>
    <w:pPr>
      <w:spacing w:after="0" w:line="276" w:lineRule="auto"/>
      <w:ind w:left="220" w:hanging="220"/>
      <w:jc w:val="both"/>
    </w:pPr>
    <w:rPr>
      <w:rFonts w:ascii="Arial" w:eastAsia="Calibri" w:hAnsi="Arial" w:cs="Calibri"/>
      <w:sz w:val="20"/>
      <w:szCs w:val="18"/>
    </w:rPr>
  </w:style>
  <w:style w:type="paragraph" w:styleId="ndice2">
    <w:name w:val="index 2"/>
    <w:basedOn w:val="Normal"/>
    <w:next w:val="Normal"/>
    <w:autoRedefine/>
    <w:uiPriority w:val="99"/>
    <w:unhideWhenUsed/>
    <w:qFormat/>
    <w:rsid w:val="005F230F"/>
    <w:pPr>
      <w:spacing w:after="0" w:line="276" w:lineRule="auto"/>
      <w:ind w:left="440" w:hanging="220"/>
      <w:jc w:val="both"/>
    </w:pPr>
    <w:rPr>
      <w:rFonts w:ascii="Calibri" w:eastAsia="Calibri" w:hAnsi="Calibri" w:cs="Calibri"/>
      <w:sz w:val="18"/>
      <w:szCs w:val="18"/>
    </w:rPr>
  </w:style>
  <w:style w:type="paragraph" w:styleId="ndice3">
    <w:name w:val="index 3"/>
    <w:basedOn w:val="Normal"/>
    <w:next w:val="Normal"/>
    <w:autoRedefine/>
    <w:uiPriority w:val="99"/>
    <w:unhideWhenUsed/>
    <w:qFormat/>
    <w:rsid w:val="005F230F"/>
    <w:pPr>
      <w:spacing w:after="0" w:line="276" w:lineRule="auto"/>
      <w:ind w:left="660" w:hanging="220"/>
      <w:jc w:val="both"/>
    </w:pPr>
    <w:rPr>
      <w:rFonts w:ascii="Calibri" w:eastAsia="Calibri" w:hAnsi="Calibri" w:cs="Calibri"/>
      <w:sz w:val="18"/>
      <w:szCs w:val="18"/>
    </w:rPr>
  </w:style>
  <w:style w:type="paragraph" w:styleId="ndice4">
    <w:name w:val="index 4"/>
    <w:basedOn w:val="Normal"/>
    <w:next w:val="Normal"/>
    <w:autoRedefine/>
    <w:uiPriority w:val="99"/>
    <w:unhideWhenUsed/>
    <w:qFormat/>
    <w:rsid w:val="005F230F"/>
    <w:pPr>
      <w:spacing w:after="0" w:line="276" w:lineRule="auto"/>
      <w:ind w:left="880" w:hanging="220"/>
      <w:jc w:val="both"/>
    </w:pPr>
    <w:rPr>
      <w:rFonts w:ascii="Calibri" w:eastAsia="Calibri" w:hAnsi="Calibri" w:cs="Calibri"/>
      <w:sz w:val="18"/>
      <w:szCs w:val="18"/>
    </w:rPr>
  </w:style>
  <w:style w:type="paragraph" w:styleId="ndice5">
    <w:name w:val="index 5"/>
    <w:basedOn w:val="Normal"/>
    <w:next w:val="Normal"/>
    <w:autoRedefine/>
    <w:uiPriority w:val="99"/>
    <w:unhideWhenUsed/>
    <w:qFormat/>
    <w:rsid w:val="005F230F"/>
    <w:pPr>
      <w:spacing w:after="0" w:line="276" w:lineRule="auto"/>
      <w:ind w:left="1100" w:hanging="220"/>
      <w:jc w:val="both"/>
    </w:pPr>
    <w:rPr>
      <w:rFonts w:ascii="Calibri" w:eastAsia="Calibri" w:hAnsi="Calibri" w:cs="Calibri"/>
      <w:sz w:val="18"/>
      <w:szCs w:val="18"/>
    </w:rPr>
  </w:style>
  <w:style w:type="paragraph" w:styleId="ndice6">
    <w:name w:val="index 6"/>
    <w:basedOn w:val="Normal"/>
    <w:next w:val="Normal"/>
    <w:autoRedefine/>
    <w:uiPriority w:val="99"/>
    <w:unhideWhenUsed/>
    <w:qFormat/>
    <w:rsid w:val="005F230F"/>
    <w:pPr>
      <w:spacing w:after="0" w:line="276" w:lineRule="auto"/>
      <w:ind w:left="1320" w:hanging="220"/>
      <w:jc w:val="both"/>
    </w:pPr>
    <w:rPr>
      <w:rFonts w:ascii="Calibri" w:eastAsia="Calibri" w:hAnsi="Calibri" w:cs="Calibri"/>
      <w:sz w:val="18"/>
      <w:szCs w:val="18"/>
    </w:rPr>
  </w:style>
  <w:style w:type="paragraph" w:styleId="ndice7">
    <w:name w:val="index 7"/>
    <w:basedOn w:val="Normal"/>
    <w:next w:val="Normal"/>
    <w:autoRedefine/>
    <w:uiPriority w:val="99"/>
    <w:unhideWhenUsed/>
    <w:qFormat/>
    <w:rsid w:val="005F230F"/>
    <w:pPr>
      <w:spacing w:after="0" w:line="276" w:lineRule="auto"/>
      <w:ind w:left="1540" w:hanging="220"/>
      <w:jc w:val="both"/>
    </w:pPr>
    <w:rPr>
      <w:rFonts w:ascii="Calibri" w:eastAsia="Calibri" w:hAnsi="Calibri" w:cs="Calibri"/>
      <w:sz w:val="18"/>
      <w:szCs w:val="18"/>
    </w:rPr>
  </w:style>
  <w:style w:type="paragraph" w:styleId="ndice8">
    <w:name w:val="index 8"/>
    <w:basedOn w:val="Normal"/>
    <w:next w:val="Normal"/>
    <w:autoRedefine/>
    <w:uiPriority w:val="99"/>
    <w:unhideWhenUsed/>
    <w:qFormat/>
    <w:rsid w:val="005F230F"/>
    <w:pPr>
      <w:spacing w:after="0" w:line="276" w:lineRule="auto"/>
      <w:ind w:left="1760" w:hanging="220"/>
      <w:jc w:val="both"/>
    </w:pPr>
    <w:rPr>
      <w:rFonts w:ascii="Calibri" w:eastAsia="Calibri" w:hAnsi="Calibri" w:cs="Calibri"/>
      <w:sz w:val="18"/>
      <w:szCs w:val="18"/>
    </w:rPr>
  </w:style>
  <w:style w:type="paragraph" w:styleId="ndice9">
    <w:name w:val="index 9"/>
    <w:basedOn w:val="Normal"/>
    <w:next w:val="Normal"/>
    <w:autoRedefine/>
    <w:uiPriority w:val="99"/>
    <w:unhideWhenUsed/>
    <w:qFormat/>
    <w:rsid w:val="005F230F"/>
    <w:pPr>
      <w:spacing w:after="0" w:line="276" w:lineRule="auto"/>
      <w:ind w:left="1980" w:hanging="220"/>
      <w:jc w:val="both"/>
    </w:pPr>
    <w:rPr>
      <w:rFonts w:ascii="Calibri" w:eastAsia="Calibri" w:hAnsi="Calibri" w:cs="Calibri"/>
      <w:sz w:val="18"/>
      <w:szCs w:val="18"/>
    </w:rPr>
  </w:style>
  <w:style w:type="paragraph" w:styleId="TDC1">
    <w:name w:val="toc 1"/>
    <w:basedOn w:val="Normal"/>
    <w:next w:val="Normal"/>
    <w:autoRedefine/>
    <w:uiPriority w:val="39"/>
    <w:unhideWhenUsed/>
    <w:qFormat/>
    <w:rsid w:val="003D3409"/>
    <w:pPr>
      <w:tabs>
        <w:tab w:val="left" w:pos="440"/>
        <w:tab w:val="left" w:pos="1276"/>
        <w:tab w:val="right" w:leader="dot" w:pos="8212"/>
      </w:tabs>
      <w:spacing w:before="120" w:after="120"/>
      <w:ind w:left="851" w:hanging="851"/>
      <w:jc w:val="both"/>
    </w:pPr>
    <w:rPr>
      <w:rFonts w:ascii="Arial" w:eastAsiaTheme="majorEastAsia" w:hAnsi="Arial" w:cs="Arial"/>
      <w:b/>
      <w:bCs/>
      <w:noProof/>
      <w:kern w:val="2"/>
      <w:sz w:val="20"/>
      <w:szCs w:val="20"/>
      <w:lang w:eastAsia="es-ES" w:bidi="hi-IN"/>
    </w:rPr>
  </w:style>
  <w:style w:type="paragraph" w:styleId="TDC2">
    <w:name w:val="toc 2"/>
    <w:basedOn w:val="Normal"/>
    <w:next w:val="Normal"/>
    <w:autoRedefine/>
    <w:uiPriority w:val="39"/>
    <w:unhideWhenUsed/>
    <w:qFormat/>
    <w:rsid w:val="008A26B8"/>
    <w:pPr>
      <w:tabs>
        <w:tab w:val="right" w:leader="dot" w:pos="8212"/>
      </w:tabs>
      <w:spacing w:after="0" w:line="276" w:lineRule="auto"/>
      <w:ind w:left="851" w:hanging="631"/>
    </w:pPr>
    <w:rPr>
      <w:rFonts w:ascii="Arial" w:eastAsia="Times New Roman" w:hAnsi="Arial" w:cs="Arial"/>
      <w:noProof/>
      <w:sz w:val="20"/>
    </w:rPr>
  </w:style>
  <w:style w:type="paragraph" w:styleId="TDC3">
    <w:name w:val="toc 3"/>
    <w:basedOn w:val="Normal"/>
    <w:next w:val="Normal"/>
    <w:autoRedefine/>
    <w:uiPriority w:val="39"/>
    <w:unhideWhenUsed/>
    <w:qFormat/>
    <w:rsid w:val="008A26B8"/>
    <w:pPr>
      <w:tabs>
        <w:tab w:val="left" w:pos="1276"/>
        <w:tab w:val="right" w:leader="dot" w:pos="8212"/>
      </w:tabs>
      <w:spacing w:after="0"/>
      <w:ind w:left="1276" w:hanging="836"/>
    </w:pPr>
    <w:rPr>
      <w:iCs/>
      <w:sz w:val="20"/>
      <w:szCs w:val="20"/>
    </w:rPr>
  </w:style>
  <w:style w:type="paragraph" w:styleId="Ttulodendice">
    <w:name w:val="index heading"/>
    <w:basedOn w:val="Normal"/>
    <w:next w:val="ndice1"/>
    <w:uiPriority w:val="99"/>
    <w:unhideWhenUsed/>
    <w:qFormat/>
    <w:rsid w:val="005F230F"/>
    <w:pPr>
      <w:pBdr>
        <w:top w:val="single" w:sz="12" w:space="0" w:color="000000"/>
      </w:pBdr>
      <w:spacing w:before="360" w:after="240" w:line="276" w:lineRule="auto"/>
      <w:jc w:val="both"/>
    </w:pPr>
    <w:rPr>
      <w:rFonts w:ascii="Calibri" w:eastAsia="Calibri" w:hAnsi="Calibri" w:cs="Calibri"/>
      <w:b/>
      <w:bCs/>
      <w:i/>
      <w:iCs/>
      <w:sz w:val="26"/>
      <w:szCs w:val="26"/>
    </w:rPr>
  </w:style>
  <w:style w:type="paragraph" w:styleId="Tabladeilustraciones">
    <w:name w:val="table of figures"/>
    <w:basedOn w:val="Normal"/>
    <w:next w:val="Normal"/>
    <w:uiPriority w:val="99"/>
    <w:unhideWhenUsed/>
    <w:qFormat/>
    <w:rsid w:val="006F2B42"/>
    <w:pPr>
      <w:spacing w:after="0" w:line="276" w:lineRule="auto"/>
    </w:pPr>
    <w:rPr>
      <w:rFonts w:ascii="Arial" w:eastAsia="Calibri" w:hAnsi="Arial" w:cs="Calibri"/>
      <w:bCs/>
      <w:sz w:val="20"/>
      <w:szCs w:val="20"/>
    </w:rPr>
  </w:style>
  <w:style w:type="character" w:customStyle="1" w:styleId="TtuloTDCCar">
    <w:name w:val="Título TDC Car"/>
    <w:basedOn w:val="Ttulo1Car"/>
    <w:link w:val="TtuloTDC"/>
    <w:uiPriority w:val="39"/>
    <w:qFormat/>
    <w:locked/>
    <w:rsid w:val="005F230F"/>
    <w:rPr>
      <w:rFonts w:asciiTheme="majorHAnsi" w:eastAsiaTheme="majorEastAsia" w:hAnsiTheme="majorHAnsi" w:cstheme="majorBidi"/>
      <w:color w:val="4E111A" w:themeColor="accent1" w:themeShade="80"/>
      <w:sz w:val="36"/>
      <w:szCs w:val="36"/>
    </w:rPr>
  </w:style>
  <w:style w:type="paragraph" w:customStyle="1" w:styleId="Estilo3">
    <w:name w:val="Estilo3"/>
    <w:basedOn w:val="Normal"/>
    <w:uiPriority w:val="99"/>
    <w:qFormat/>
    <w:rsid w:val="005F230F"/>
    <w:pPr>
      <w:spacing w:after="0" w:line="276" w:lineRule="auto"/>
      <w:jc w:val="both"/>
    </w:pPr>
    <w:rPr>
      <w:rFonts w:ascii="Open Sans" w:eastAsia="Times New Roman" w:hAnsi="Open Sans" w:cs="Open Sans"/>
      <w:b/>
      <w:bCs/>
      <w:smallCaps/>
      <w:color w:val="94070A"/>
      <w:sz w:val="24"/>
      <w:szCs w:val="24"/>
      <w:lang w:eastAsia="es-ES"/>
    </w:rPr>
  </w:style>
  <w:style w:type="paragraph" w:customStyle="1" w:styleId="Estilotitulo">
    <w:name w:val="Estilo_titulo"/>
    <w:basedOn w:val="Normal"/>
    <w:uiPriority w:val="99"/>
    <w:qFormat/>
    <w:rsid w:val="005F230F"/>
    <w:pPr>
      <w:spacing w:after="0" w:line="240" w:lineRule="auto"/>
      <w:jc w:val="both"/>
    </w:pPr>
    <w:rPr>
      <w:rFonts w:ascii="Open Sans" w:eastAsia="Times New Roman" w:hAnsi="Open Sans" w:cs="Open Sans"/>
      <w:b/>
      <w:bCs/>
      <w:smallCaps/>
      <w:color w:val="94070A"/>
      <w:spacing w:val="-14"/>
      <w:sz w:val="200"/>
      <w:szCs w:val="200"/>
      <w:lang w:eastAsia="es-ES"/>
    </w:rPr>
  </w:style>
  <w:style w:type="paragraph" w:customStyle="1" w:styleId="Estilo2">
    <w:name w:val="Estilo2"/>
    <w:basedOn w:val="Normal"/>
    <w:uiPriority w:val="99"/>
    <w:qFormat/>
    <w:rsid w:val="005F230F"/>
    <w:pPr>
      <w:spacing w:after="0" w:line="276" w:lineRule="auto"/>
      <w:jc w:val="both"/>
    </w:pPr>
    <w:rPr>
      <w:rFonts w:ascii="Open Sans" w:eastAsia="Times New Roman" w:hAnsi="Open Sans" w:cs="Open Sans"/>
      <w:b/>
      <w:bCs/>
      <w:smallCaps/>
      <w:color w:val="94070A"/>
      <w:sz w:val="28"/>
      <w:szCs w:val="28"/>
      <w:lang w:eastAsia="es-ES"/>
    </w:rPr>
  </w:style>
  <w:style w:type="paragraph" w:customStyle="1" w:styleId="Estilo4Lugaryfecha">
    <w:name w:val="Estilo4_Lugar_y_fecha"/>
    <w:basedOn w:val="Normal"/>
    <w:uiPriority w:val="99"/>
    <w:qFormat/>
    <w:rsid w:val="005F230F"/>
    <w:pPr>
      <w:spacing w:after="0" w:line="276" w:lineRule="auto"/>
      <w:jc w:val="both"/>
    </w:pPr>
    <w:rPr>
      <w:rFonts w:ascii="Open Sans" w:eastAsia="Times New Roman" w:hAnsi="Open Sans" w:cs="Open Sans"/>
      <w:b/>
      <w:color w:val="000000"/>
      <w:sz w:val="21"/>
      <w:szCs w:val="21"/>
      <w:lang w:eastAsia="es-ES"/>
    </w:rPr>
  </w:style>
  <w:style w:type="paragraph" w:customStyle="1" w:styleId="Texto">
    <w:name w:val="Texto"/>
    <w:basedOn w:val="Normal"/>
    <w:qFormat/>
    <w:rsid w:val="005F230F"/>
    <w:pPr>
      <w:spacing w:after="0" w:line="276" w:lineRule="auto"/>
      <w:jc w:val="both"/>
    </w:pPr>
    <w:rPr>
      <w:rFonts w:ascii="Open Sans" w:eastAsia="Times New Roman" w:hAnsi="Open Sans" w:cs="Open Sans"/>
      <w:sz w:val="21"/>
      <w:szCs w:val="21"/>
      <w:lang w:eastAsia="es-ES"/>
    </w:rPr>
  </w:style>
  <w:style w:type="character" w:customStyle="1" w:styleId="INDICESCar">
    <w:name w:val="INDICES Car"/>
    <w:basedOn w:val="TtuloTDCCar"/>
    <w:link w:val="INDICES"/>
    <w:qFormat/>
    <w:locked/>
    <w:rsid w:val="005F230F"/>
    <w:rPr>
      <w:rFonts w:ascii="Open Sans" w:eastAsiaTheme="majorEastAsia" w:hAnsi="Open Sans" w:cs="Open Sans"/>
      <w:smallCaps/>
      <w:color w:val="4E111A" w:themeColor="accent1" w:themeShade="80"/>
      <w:sz w:val="21"/>
      <w:szCs w:val="21"/>
    </w:rPr>
  </w:style>
  <w:style w:type="paragraph" w:customStyle="1" w:styleId="INDICES">
    <w:name w:val="INDICES"/>
    <w:basedOn w:val="Ttulo1"/>
    <w:link w:val="INDICESCar"/>
    <w:qFormat/>
    <w:rsid w:val="005F230F"/>
    <w:pPr>
      <w:keepNext w:val="0"/>
      <w:keepLines w:val="0"/>
      <w:spacing w:before="300" w:line="276" w:lineRule="auto"/>
    </w:pPr>
    <w:rPr>
      <w:rFonts w:ascii="Open Sans" w:hAnsi="Open Sans" w:cs="Open Sans"/>
      <w:smallCaps/>
      <w:sz w:val="21"/>
      <w:szCs w:val="21"/>
    </w:rPr>
  </w:style>
  <w:style w:type="paragraph" w:customStyle="1" w:styleId="text-base">
    <w:name w:val="text-base"/>
    <w:basedOn w:val="Normal"/>
    <w:uiPriority w:val="99"/>
    <w:qFormat/>
    <w:rsid w:val="005F230F"/>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charoverride-1">
    <w:name w:val="charoverride-1"/>
    <w:basedOn w:val="Fuentedeprrafopredeter"/>
    <w:qFormat/>
    <w:rsid w:val="005F230F"/>
  </w:style>
  <w:style w:type="character" w:customStyle="1" w:styleId="charoverride-5">
    <w:name w:val="charoverride-5"/>
    <w:basedOn w:val="Fuentedeprrafopredeter"/>
    <w:qFormat/>
    <w:rsid w:val="005F230F"/>
  </w:style>
  <w:style w:type="character" w:customStyle="1" w:styleId="Enlacedelndice">
    <w:name w:val="Enlace del índice"/>
    <w:qFormat/>
    <w:rsid w:val="005F230F"/>
  </w:style>
  <w:style w:type="character" w:customStyle="1" w:styleId="TtuloCar1">
    <w:name w:val="Título Car1"/>
    <w:basedOn w:val="Fuentedeprrafopredeter"/>
    <w:uiPriority w:val="10"/>
    <w:rsid w:val="005F230F"/>
    <w:rPr>
      <w:rFonts w:ascii="Calibri Light" w:eastAsia="Calibri Light" w:hAnsi="Calibri Light" w:cs="Calibri Light" w:hint="default"/>
      <w:spacing w:val="-10"/>
      <w:kern w:val="28"/>
      <w:sz w:val="56"/>
      <w:szCs w:val="56"/>
    </w:rPr>
  </w:style>
  <w:style w:type="character" w:customStyle="1" w:styleId="TextodegloboCar2">
    <w:name w:val="Texto de globo Car2"/>
    <w:basedOn w:val="Fuentedeprrafopredeter"/>
    <w:uiPriority w:val="99"/>
    <w:semiHidden/>
    <w:rsid w:val="005F230F"/>
    <w:rPr>
      <w:rFonts w:ascii="Segoe UI" w:hAnsi="Segoe UI" w:cs="Segoe UI" w:hint="default"/>
      <w:sz w:val="18"/>
      <w:szCs w:val="18"/>
    </w:rPr>
  </w:style>
  <w:style w:type="character" w:customStyle="1" w:styleId="SubttuloCar1">
    <w:name w:val="Subtítulo Car1"/>
    <w:basedOn w:val="Fuentedeprrafopredeter"/>
    <w:uiPriority w:val="11"/>
    <w:rsid w:val="005F230F"/>
    <w:rPr>
      <w:color w:val="5A5A5A"/>
      <w:spacing w:val="15"/>
      <w:sz w:val="22"/>
      <w:szCs w:val="22"/>
    </w:rPr>
  </w:style>
  <w:style w:type="character" w:customStyle="1" w:styleId="CitaCar1">
    <w:name w:val="Cita Car1"/>
    <w:basedOn w:val="Fuentedeprrafopredeter"/>
    <w:uiPriority w:val="29"/>
    <w:rsid w:val="005F230F"/>
    <w:rPr>
      <w:i/>
      <w:iCs/>
      <w:color w:val="404040"/>
    </w:rPr>
  </w:style>
  <w:style w:type="character" w:customStyle="1" w:styleId="CitadestacadaCar1">
    <w:name w:val="Cita destacada Car1"/>
    <w:basedOn w:val="Fuentedeprrafopredeter"/>
    <w:uiPriority w:val="30"/>
    <w:rsid w:val="005F230F"/>
    <w:rPr>
      <w:i/>
      <w:iCs/>
      <w:color w:val="9D2235"/>
    </w:rPr>
  </w:style>
  <w:style w:type="paragraph" w:styleId="TDC4">
    <w:name w:val="toc 4"/>
    <w:basedOn w:val="Normal"/>
    <w:next w:val="Normal"/>
    <w:autoRedefine/>
    <w:uiPriority w:val="39"/>
    <w:unhideWhenUsed/>
    <w:qFormat/>
    <w:rsid w:val="0046272B"/>
    <w:pPr>
      <w:spacing w:after="0"/>
      <w:ind w:left="660"/>
    </w:pPr>
    <w:rPr>
      <w:sz w:val="20"/>
      <w:szCs w:val="18"/>
    </w:rPr>
  </w:style>
  <w:style w:type="paragraph" w:styleId="TDC5">
    <w:name w:val="toc 5"/>
    <w:basedOn w:val="Normal"/>
    <w:next w:val="Normal"/>
    <w:autoRedefine/>
    <w:uiPriority w:val="39"/>
    <w:unhideWhenUsed/>
    <w:qFormat/>
    <w:rsid w:val="0046272B"/>
    <w:pPr>
      <w:spacing w:after="0"/>
      <w:ind w:left="880"/>
    </w:pPr>
    <w:rPr>
      <w:sz w:val="20"/>
      <w:szCs w:val="18"/>
    </w:rPr>
  </w:style>
  <w:style w:type="paragraph" w:styleId="TDC6">
    <w:name w:val="toc 6"/>
    <w:basedOn w:val="Normal"/>
    <w:next w:val="Normal"/>
    <w:autoRedefine/>
    <w:uiPriority w:val="39"/>
    <w:unhideWhenUsed/>
    <w:qFormat/>
    <w:rsid w:val="0046272B"/>
    <w:pPr>
      <w:spacing w:after="0"/>
      <w:ind w:left="1100"/>
    </w:pPr>
    <w:rPr>
      <w:sz w:val="20"/>
      <w:szCs w:val="18"/>
    </w:rPr>
  </w:style>
  <w:style w:type="paragraph" w:styleId="TDC7">
    <w:name w:val="toc 7"/>
    <w:basedOn w:val="Normal"/>
    <w:next w:val="Normal"/>
    <w:autoRedefine/>
    <w:uiPriority w:val="39"/>
    <w:unhideWhenUsed/>
    <w:qFormat/>
    <w:rsid w:val="00FB44DE"/>
    <w:pPr>
      <w:spacing w:after="0"/>
      <w:ind w:left="1320"/>
    </w:pPr>
    <w:rPr>
      <w:sz w:val="18"/>
      <w:szCs w:val="18"/>
    </w:rPr>
  </w:style>
  <w:style w:type="paragraph" w:styleId="TDC8">
    <w:name w:val="toc 8"/>
    <w:basedOn w:val="Normal"/>
    <w:next w:val="Normal"/>
    <w:autoRedefine/>
    <w:uiPriority w:val="39"/>
    <w:unhideWhenUsed/>
    <w:qFormat/>
    <w:rsid w:val="00FB44DE"/>
    <w:pPr>
      <w:spacing w:after="0"/>
      <w:ind w:left="1540"/>
    </w:pPr>
    <w:rPr>
      <w:sz w:val="18"/>
      <w:szCs w:val="18"/>
    </w:rPr>
  </w:style>
  <w:style w:type="paragraph" w:styleId="TDC9">
    <w:name w:val="toc 9"/>
    <w:basedOn w:val="Normal"/>
    <w:next w:val="Normal"/>
    <w:autoRedefine/>
    <w:uiPriority w:val="39"/>
    <w:unhideWhenUsed/>
    <w:qFormat/>
    <w:rsid w:val="00FB44DE"/>
    <w:pPr>
      <w:spacing w:after="0"/>
      <w:ind w:left="1760"/>
    </w:pPr>
    <w:rPr>
      <w:sz w:val="18"/>
      <w:szCs w:val="18"/>
    </w:rPr>
  </w:style>
  <w:style w:type="character" w:customStyle="1" w:styleId="SourceText">
    <w:name w:val="Source Text"/>
    <w:rsid w:val="002A47AA"/>
    <w:rPr>
      <w:rFonts w:ascii="Liberation Mono" w:eastAsia="NSimSun" w:hAnsi="Liberation Mono" w:cs="Liberation Mono"/>
    </w:rPr>
  </w:style>
  <w:style w:type="character" w:customStyle="1" w:styleId="StrongEmphasis">
    <w:name w:val="Strong Emphasis"/>
    <w:rsid w:val="002A47AA"/>
    <w:rPr>
      <w:b/>
      <w:bCs/>
    </w:rPr>
  </w:style>
  <w:style w:type="character" w:customStyle="1" w:styleId="May">
    <w:name w:val="May"/>
    <w:qFormat/>
    <w:rsid w:val="002A47AA"/>
    <w:rPr>
      <w:rFonts w:ascii="Open Sans" w:eastAsia="Open Sans" w:hAnsi="Open Sans" w:cs="Arial"/>
      <w:b/>
      <w:bCs/>
      <w:caps/>
      <w:sz w:val="20"/>
      <w:szCs w:val="20"/>
    </w:rPr>
  </w:style>
  <w:style w:type="character" w:customStyle="1" w:styleId="Mencinsinresolver1">
    <w:name w:val="Mención sin resolver1"/>
    <w:basedOn w:val="Fuentedeprrafopredeter"/>
    <w:uiPriority w:val="99"/>
    <w:semiHidden/>
    <w:qFormat/>
    <w:rsid w:val="00B012F8"/>
    <w:rPr>
      <w:color w:val="605E5C"/>
      <w:shd w:val="clear" w:color="auto" w:fill="E1DFDD"/>
    </w:rPr>
  </w:style>
  <w:style w:type="character" w:customStyle="1" w:styleId="Tipusdelletraperdefectedelpargraf1">
    <w:name w:val="Tipus de lletra per defecte del paràgraf1"/>
    <w:qFormat/>
    <w:rsid w:val="00873205"/>
  </w:style>
  <w:style w:type="character" w:customStyle="1" w:styleId="Mencisenseresoldre1">
    <w:name w:val="Menció sense resoldre1"/>
    <w:basedOn w:val="Fuentedeprrafopredeter"/>
    <w:uiPriority w:val="99"/>
    <w:semiHidden/>
    <w:unhideWhenUsed/>
    <w:qFormat/>
    <w:rsid w:val="00873205"/>
    <w:rPr>
      <w:color w:val="605E5C"/>
      <w:shd w:val="clear" w:color="auto" w:fill="E1DFDD"/>
    </w:rPr>
  </w:style>
  <w:style w:type="paragraph" w:styleId="HTMLconformatoprevio">
    <w:name w:val="HTML Preformatted"/>
    <w:basedOn w:val="Normal"/>
    <w:link w:val="HTMLconformatoprevioCar"/>
    <w:uiPriority w:val="99"/>
    <w:semiHidden/>
    <w:unhideWhenUsed/>
    <w:rsid w:val="008732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873205"/>
    <w:rPr>
      <w:rFonts w:ascii="Courier New" w:eastAsia="Times New Roman" w:hAnsi="Courier New" w:cs="Courier New"/>
      <w:sz w:val="20"/>
      <w:szCs w:val="20"/>
      <w:lang w:val="ca-ES-valencia" w:eastAsia="es-ES"/>
    </w:rPr>
  </w:style>
  <w:style w:type="paragraph" w:styleId="Textonotaalfinal">
    <w:name w:val="endnote text"/>
    <w:basedOn w:val="Normal"/>
    <w:link w:val="TextonotaalfinalCar"/>
    <w:uiPriority w:val="99"/>
    <w:semiHidden/>
    <w:unhideWhenUsed/>
    <w:qFormat/>
    <w:rsid w:val="00873205"/>
    <w:pPr>
      <w:suppressAutoHyphens/>
      <w:spacing w:after="0" w:line="240" w:lineRule="auto"/>
    </w:pPr>
    <w:rPr>
      <w:rFonts w:ascii="Calibri" w:eastAsia="Calibri" w:hAnsi="Calibri" w:cs="Calibri"/>
      <w:sz w:val="20"/>
      <w:szCs w:val="20"/>
      <w:lang w:eastAsia="zh-CN"/>
    </w:rPr>
  </w:style>
  <w:style w:type="character" w:customStyle="1" w:styleId="TextonotaalfinalCar">
    <w:name w:val="Texto nota al final Car"/>
    <w:basedOn w:val="Fuentedeprrafopredeter"/>
    <w:link w:val="Textonotaalfinal"/>
    <w:uiPriority w:val="99"/>
    <w:semiHidden/>
    <w:rsid w:val="00873205"/>
    <w:rPr>
      <w:rFonts w:ascii="Calibri" w:eastAsia="Calibri" w:hAnsi="Calibri" w:cs="Calibri"/>
      <w:sz w:val="20"/>
      <w:szCs w:val="20"/>
      <w:lang w:val="ca-ES-valencia" w:eastAsia="zh-CN"/>
    </w:rPr>
  </w:style>
  <w:style w:type="character" w:styleId="Refdenotaalfinal">
    <w:name w:val="endnote reference"/>
    <w:basedOn w:val="Fuentedeprrafopredeter"/>
    <w:uiPriority w:val="99"/>
    <w:semiHidden/>
    <w:unhideWhenUsed/>
    <w:rsid w:val="00873205"/>
    <w:rPr>
      <w:vertAlign w:val="superscript"/>
    </w:rPr>
  </w:style>
  <w:style w:type="paragraph" w:styleId="Textonotapie">
    <w:name w:val="footnote text"/>
    <w:basedOn w:val="Normal"/>
    <w:link w:val="TextonotapieCar"/>
    <w:uiPriority w:val="99"/>
    <w:unhideWhenUsed/>
    <w:qFormat/>
    <w:rsid w:val="00873205"/>
    <w:pPr>
      <w:suppressAutoHyphens/>
      <w:spacing w:after="0" w:line="240" w:lineRule="auto"/>
    </w:pPr>
    <w:rPr>
      <w:rFonts w:ascii="Calibri" w:eastAsia="Calibri" w:hAnsi="Calibri" w:cs="Calibri"/>
      <w:sz w:val="20"/>
      <w:szCs w:val="20"/>
      <w:lang w:eastAsia="zh-CN"/>
    </w:rPr>
  </w:style>
  <w:style w:type="character" w:customStyle="1" w:styleId="TextonotapieCar">
    <w:name w:val="Texto nota pie Car"/>
    <w:basedOn w:val="Fuentedeprrafopredeter"/>
    <w:link w:val="Textonotapie"/>
    <w:uiPriority w:val="99"/>
    <w:rsid w:val="00873205"/>
    <w:rPr>
      <w:rFonts w:ascii="Calibri" w:eastAsia="Calibri" w:hAnsi="Calibri" w:cs="Calibri"/>
      <w:sz w:val="20"/>
      <w:szCs w:val="20"/>
      <w:lang w:val="ca-ES-valencia" w:eastAsia="zh-CN"/>
    </w:rPr>
  </w:style>
  <w:style w:type="paragraph" w:customStyle="1" w:styleId="Standarduseruseruser">
    <w:name w:val="Standard (user) (user) (user)"/>
    <w:uiPriority w:val="99"/>
    <w:qFormat/>
    <w:rsid w:val="00873205"/>
    <w:pPr>
      <w:widowControl w:val="0"/>
      <w:suppressAutoHyphens/>
      <w:autoSpaceDN w:val="0"/>
      <w:spacing w:after="0" w:line="240" w:lineRule="auto"/>
      <w:textAlignment w:val="baseline"/>
    </w:pPr>
    <w:rPr>
      <w:rFonts w:ascii="Calibri" w:eastAsia="Calibri" w:hAnsi="Calibri" w:cs="Calibri"/>
      <w:kern w:val="3"/>
      <w:szCs w:val="20"/>
      <w:lang w:val="ca-ES-valencia" w:eastAsia="zh-CN"/>
    </w:rPr>
  </w:style>
  <w:style w:type="table" w:styleId="Tablanormal2">
    <w:name w:val="Plain Table 2"/>
    <w:basedOn w:val="Tablanormal"/>
    <w:uiPriority w:val="42"/>
    <w:rsid w:val="00873205"/>
    <w:pPr>
      <w:spacing w:after="0" w:line="240" w:lineRule="auto"/>
    </w:pPr>
    <w:rPr>
      <w:rFonts w:ascii="Liberation Serif" w:eastAsia="NSimSun" w:hAnsi="Liberation Serif" w:cs="Arial"/>
      <w:sz w:val="24"/>
      <w:szCs w:val="24"/>
      <w:lang w:val="ca-ES-valencia" w:eastAsia="zh-CN" w:bidi="hi-I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EnlladInternet">
    <w:name w:val="Enllaç d'Internet"/>
    <w:basedOn w:val="Fuentedeprrafopredeter"/>
    <w:uiPriority w:val="99"/>
    <w:unhideWhenUsed/>
    <w:rsid w:val="00873205"/>
    <w:rPr>
      <w:color w:val="000080"/>
      <w:u w:val="single"/>
    </w:rPr>
  </w:style>
  <w:style w:type="character" w:styleId="CitaHTML">
    <w:name w:val="HTML Cite"/>
    <w:uiPriority w:val="99"/>
    <w:unhideWhenUsed/>
    <w:rsid w:val="00873205"/>
    <w:rPr>
      <w:i/>
      <w:iCs/>
    </w:rPr>
  </w:style>
  <w:style w:type="character" w:customStyle="1" w:styleId="acopre">
    <w:name w:val="acopre"/>
    <w:basedOn w:val="Fuentedeprrafopredeter"/>
    <w:rsid w:val="00873205"/>
  </w:style>
  <w:style w:type="table" w:customStyle="1" w:styleId="Tablanormal21">
    <w:name w:val="Tabla normal 21"/>
    <w:basedOn w:val="Tablanormal"/>
    <w:next w:val="Tablanormal2"/>
    <w:uiPriority w:val="42"/>
    <w:rsid w:val="00887D1C"/>
    <w:pPr>
      <w:spacing w:after="0" w:line="240" w:lineRule="auto"/>
    </w:pPr>
    <w:rPr>
      <w:rFonts w:ascii="Liberation Serif" w:eastAsia="NSimSun" w:hAnsi="Liberation Serif" w:cs="Arial"/>
      <w:sz w:val="24"/>
      <w:szCs w:val="24"/>
      <w:lang w:eastAsia="zh-CN" w:bidi="hi-I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4">
    <w:name w:val="Tabla con cuadrícula4"/>
    <w:basedOn w:val="Tablanormal"/>
    <w:next w:val="Tablaconcuadrcula"/>
    <w:uiPriority w:val="39"/>
    <w:rsid w:val="00976473"/>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2D4F33"/>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827DD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827DD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E57BB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AD4D3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AD4D3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5F448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
    <w:name w:val="Sin lista7"/>
    <w:next w:val="Sinlista"/>
    <w:uiPriority w:val="99"/>
    <w:semiHidden/>
    <w:unhideWhenUsed/>
    <w:rsid w:val="00CE1C9E"/>
  </w:style>
  <w:style w:type="table" w:customStyle="1" w:styleId="Tablaconcuadrcula12">
    <w:name w:val="Tabla con cuadrícula12"/>
    <w:basedOn w:val="Tablanormal"/>
    <w:next w:val="Tablaconcuadrcula"/>
    <w:uiPriority w:val="39"/>
    <w:rsid w:val="00CE1C9E"/>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CE1C9E"/>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CE1C9E"/>
  </w:style>
  <w:style w:type="numbering" w:customStyle="1" w:styleId="WW8Num110">
    <w:name w:val="WW8Num110"/>
    <w:qFormat/>
    <w:rsid w:val="00CE1C9E"/>
  </w:style>
  <w:style w:type="numbering" w:customStyle="1" w:styleId="WW8Num210">
    <w:name w:val="WW8Num210"/>
    <w:qFormat/>
    <w:rsid w:val="00CE1C9E"/>
  </w:style>
  <w:style w:type="numbering" w:customStyle="1" w:styleId="WW8Num41">
    <w:name w:val="WW8Num41"/>
    <w:qFormat/>
    <w:rsid w:val="00CE1C9E"/>
  </w:style>
  <w:style w:type="numbering" w:customStyle="1" w:styleId="WW8Num51">
    <w:name w:val="WW8Num51"/>
    <w:qFormat/>
    <w:rsid w:val="00CE1C9E"/>
  </w:style>
  <w:style w:type="numbering" w:customStyle="1" w:styleId="WW8Num61">
    <w:name w:val="WW8Num61"/>
    <w:qFormat/>
    <w:rsid w:val="00CE1C9E"/>
  </w:style>
  <w:style w:type="numbering" w:customStyle="1" w:styleId="WW8Num71">
    <w:name w:val="WW8Num71"/>
    <w:qFormat/>
    <w:rsid w:val="00CE1C9E"/>
  </w:style>
  <w:style w:type="numbering" w:customStyle="1" w:styleId="WW8Num81">
    <w:name w:val="WW8Num81"/>
    <w:qFormat/>
    <w:rsid w:val="00CE1C9E"/>
  </w:style>
  <w:style w:type="numbering" w:customStyle="1" w:styleId="WW8Num91">
    <w:name w:val="WW8Num91"/>
    <w:qFormat/>
    <w:rsid w:val="00CE1C9E"/>
  </w:style>
  <w:style w:type="numbering" w:customStyle="1" w:styleId="WW8Num101">
    <w:name w:val="WW8Num101"/>
    <w:qFormat/>
    <w:rsid w:val="00CE1C9E"/>
  </w:style>
  <w:style w:type="numbering" w:customStyle="1" w:styleId="WW8Num111">
    <w:name w:val="WW8Num111"/>
    <w:qFormat/>
    <w:rsid w:val="00CE1C9E"/>
  </w:style>
  <w:style w:type="numbering" w:customStyle="1" w:styleId="WW8Num121">
    <w:name w:val="WW8Num121"/>
    <w:qFormat/>
    <w:rsid w:val="00CE1C9E"/>
  </w:style>
  <w:style w:type="numbering" w:customStyle="1" w:styleId="WW8Num131">
    <w:name w:val="WW8Num131"/>
    <w:qFormat/>
    <w:rsid w:val="00CE1C9E"/>
  </w:style>
  <w:style w:type="numbering" w:customStyle="1" w:styleId="WW8Num141">
    <w:name w:val="WW8Num141"/>
    <w:qFormat/>
    <w:rsid w:val="00CE1C9E"/>
  </w:style>
  <w:style w:type="numbering" w:customStyle="1" w:styleId="WW8Num151">
    <w:name w:val="WW8Num151"/>
    <w:qFormat/>
    <w:rsid w:val="00CE1C9E"/>
  </w:style>
  <w:style w:type="numbering" w:customStyle="1" w:styleId="WW8Num161">
    <w:name w:val="WW8Num161"/>
    <w:qFormat/>
    <w:rsid w:val="00CE1C9E"/>
  </w:style>
  <w:style w:type="numbering" w:customStyle="1" w:styleId="WW8Num171">
    <w:name w:val="WW8Num171"/>
    <w:qFormat/>
    <w:rsid w:val="00CE1C9E"/>
  </w:style>
  <w:style w:type="numbering" w:customStyle="1" w:styleId="WW8Num181">
    <w:name w:val="WW8Num181"/>
    <w:qFormat/>
    <w:rsid w:val="00CE1C9E"/>
  </w:style>
  <w:style w:type="numbering" w:customStyle="1" w:styleId="WW8Num191">
    <w:name w:val="WW8Num191"/>
    <w:qFormat/>
    <w:rsid w:val="00CE1C9E"/>
  </w:style>
  <w:style w:type="numbering" w:customStyle="1" w:styleId="WW8Num201">
    <w:name w:val="WW8Num201"/>
    <w:qFormat/>
    <w:rsid w:val="00CE1C9E"/>
  </w:style>
  <w:style w:type="numbering" w:customStyle="1" w:styleId="WW8Num211">
    <w:name w:val="WW8Num211"/>
    <w:qFormat/>
    <w:rsid w:val="00CE1C9E"/>
  </w:style>
  <w:style w:type="numbering" w:customStyle="1" w:styleId="WW8Num221">
    <w:name w:val="WW8Num221"/>
    <w:qFormat/>
    <w:rsid w:val="00CE1C9E"/>
  </w:style>
  <w:style w:type="numbering" w:customStyle="1" w:styleId="WW8Num231">
    <w:name w:val="WW8Num231"/>
    <w:qFormat/>
    <w:rsid w:val="00CE1C9E"/>
  </w:style>
  <w:style w:type="numbering" w:customStyle="1" w:styleId="WW8Num241">
    <w:name w:val="WW8Num241"/>
    <w:qFormat/>
    <w:rsid w:val="00CE1C9E"/>
  </w:style>
  <w:style w:type="numbering" w:customStyle="1" w:styleId="WW8Num251">
    <w:name w:val="WW8Num251"/>
    <w:qFormat/>
    <w:rsid w:val="00CE1C9E"/>
  </w:style>
  <w:style w:type="numbering" w:customStyle="1" w:styleId="WW8Num261">
    <w:name w:val="WW8Num261"/>
    <w:qFormat/>
    <w:rsid w:val="00CE1C9E"/>
  </w:style>
  <w:style w:type="numbering" w:customStyle="1" w:styleId="WW8Num271">
    <w:name w:val="WW8Num271"/>
    <w:qFormat/>
    <w:rsid w:val="00CE1C9E"/>
  </w:style>
  <w:style w:type="numbering" w:customStyle="1" w:styleId="WW8Num281">
    <w:name w:val="WW8Num281"/>
    <w:qFormat/>
    <w:rsid w:val="00CE1C9E"/>
  </w:style>
  <w:style w:type="numbering" w:customStyle="1" w:styleId="WW8Num291">
    <w:name w:val="WW8Num291"/>
    <w:qFormat/>
    <w:rsid w:val="00CE1C9E"/>
  </w:style>
  <w:style w:type="numbering" w:customStyle="1" w:styleId="WW8Num301">
    <w:name w:val="WW8Num301"/>
    <w:qFormat/>
    <w:rsid w:val="00CE1C9E"/>
  </w:style>
  <w:style w:type="numbering" w:customStyle="1" w:styleId="WW8Num311">
    <w:name w:val="WW8Num311"/>
    <w:qFormat/>
    <w:rsid w:val="00CE1C9E"/>
  </w:style>
  <w:style w:type="numbering" w:customStyle="1" w:styleId="WW8Num321">
    <w:name w:val="WW8Num321"/>
    <w:qFormat/>
    <w:rsid w:val="00CE1C9E"/>
  </w:style>
  <w:style w:type="table" w:customStyle="1" w:styleId="Tablaconcuadrcula21">
    <w:name w:val="Tabla con cuadrícula21"/>
    <w:basedOn w:val="Tablanormal"/>
    <w:next w:val="Tablaconcuadrcula"/>
    <w:uiPriority w:val="39"/>
    <w:rsid w:val="00CE1C9E"/>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CE1C9E"/>
  </w:style>
  <w:style w:type="numbering" w:customStyle="1" w:styleId="Sinlista31">
    <w:name w:val="Sin lista31"/>
    <w:next w:val="Sinlista"/>
    <w:uiPriority w:val="99"/>
    <w:semiHidden/>
    <w:unhideWhenUsed/>
    <w:rsid w:val="00CE1C9E"/>
  </w:style>
  <w:style w:type="numbering" w:customStyle="1" w:styleId="Sinlista41">
    <w:name w:val="Sin lista41"/>
    <w:next w:val="Sinlista"/>
    <w:uiPriority w:val="99"/>
    <w:semiHidden/>
    <w:unhideWhenUsed/>
    <w:rsid w:val="00CE1C9E"/>
  </w:style>
  <w:style w:type="numbering" w:customStyle="1" w:styleId="Sinlista51">
    <w:name w:val="Sin lista51"/>
    <w:next w:val="Sinlista"/>
    <w:uiPriority w:val="99"/>
    <w:semiHidden/>
    <w:unhideWhenUsed/>
    <w:rsid w:val="00CE1C9E"/>
  </w:style>
  <w:style w:type="table" w:customStyle="1" w:styleId="Tablaconcuadrcula31">
    <w:name w:val="Tabla con cuadrícula31"/>
    <w:basedOn w:val="Tablanormal"/>
    <w:next w:val="Tablaconcuadrcula"/>
    <w:uiPriority w:val="39"/>
    <w:rsid w:val="00CE1C9E"/>
    <w:pPr>
      <w:widowControl w:val="0"/>
      <w:autoSpaceDN w:val="0"/>
      <w:spacing w:after="0" w:line="240" w:lineRule="auto"/>
    </w:pPr>
    <w:rPr>
      <w:rFonts w:ascii="Calibri" w:eastAsia="Calibri" w:hAnsi="Calibri" w:cs="Tahom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uiPriority w:val="39"/>
    <w:rsid w:val="00CE1C9E"/>
    <w:pPr>
      <w:suppressAutoHyphens/>
      <w:spacing w:after="0" w:line="240" w:lineRule="auto"/>
    </w:pPr>
    <w:rPr>
      <w:rFonts w:ascii="Calibri" w:eastAsia="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CE1C9E"/>
  </w:style>
  <w:style w:type="table" w:customStyle="1" w:styleId="Tablanormal22">
    <w:name w:val="Tabla normal 22"/>
    <w:basedOn w:val="Tablanormal"/>
    <w:next w:val="Tablanormal2"/>
    <w:uiPriority w:val="42"/>
    <w:rsid w:val="00CE1C9E"/>
    <w:pPr>
      <w:spacing w:after="0" w:line="240" w:lineRule="auto"/>
    </w:pPr>
    <w:rPr>
      <w:rFonts w:ascii="Liberation Serif" w:eastAsia="NSimSun" w:hAnsi="Liberation Serif" w:cs="Arial"/>
      <w:sz w:val="24"/>
      <w:szCs w:val="24"/>
      <w:lang w:eastAsia="zh-CN" w:bidi="hi-I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xmsonormal">
    <w:name w:val="x_msonormal"/>
    <w:basedOn w:val="Normal"/>
    <w:rsid w:val="00CE1C9E"/>
    <w:pPr>
      <w:spacing w:after="0" w:line="240" w:lineRule="auto"/>
    </w:pPr>
    <w:rPr>
      <w:rFonts w:ascii="Calibri" w:eastAsiaTheme="minorHAnsi" w:hAnsi="Calibri" w:cs="Calibri"/>
      <w:lang w:val="es-ES" w:eastAsia="es-ES"/>
    </w:rPr>
  </w:style>
  <w:style w:type="paragraph" w:styleId="Textosinformato">
    <w:name w:val="Plain Text"/>
    <w:basedOn w:val="Normal"/>
    <w:link w:val="TextosinformatoCar"/>
    <w:uiPriority w:val="99"/>
    <w:unhideWhenUsed/>
    <w:rsid w:val="00CE1C9E"/>
    <w:pPr>
      <w:spacing w:after="0" w:line="240" w:lineRule="auto"/>
    </w:pPr>
    <w:rPr>
      <w:rFonts w:ascii="Consolas" w:eastAsiaTheme="minorHAnsi" w:hAnsi="Consolas"/>
      <w:sz w:val="21"/>
      <w:szCs w:val="21"/>
      <w:lang w:val="es-ES"/>
    </w:rPr>
  </w:style>
  <w:style w:type="character" w:customStyle="1" w:styleId="TextosinformatoCar">
    <w:name w:val="Texto sin formato Car"/>
    <w:basedOn w:val="Fuentedeprrafopredeter"/>
    <w:link w:val="Textosinformato"/>
    <w:uiPriority w:val="99"/>
    <w:rsid w:val="00CE1C9E"/>
    <w:rPr>
      <w:rFonts w:ascii="Consolas" w:eastAsiaTheme="minorHAnsi" w:hAnsi="Consolas"/>
      <w:sz w:val="21"/>
      <w:szCs w:val="21"/>
    </w:rPr>
  </w:style>
  <w:style w:type="paragraph" w:customStyle="1" w:styleId="05Prte-resolutiva">
    <w:name w:val="05_Prte-resolutiva"/>
    <w:basedOn w:val="Normal"/>
    <w:qFormat/>
    <w:rsid w:val="00CE1C9E"/>
    <w:pPr>
      <w:suppressAutoHyphens/>
      <w:autoSpaceDN w:val="0"/>
      <w:spacing w:before="360" w:after="240" w:line="276" w:lineRule="auto"/>
      <w:ind w:left="1134" w:hanging="1134"/>
      <w:jc w:val="both"/>
      <w:textAlignment w:val="baseline"/>
    </w:pPr>
    <w:rPr>
      <w:rFonts w:ascii="Arial" w:eastAsia="Times New Roman" w:hAnsi="Arial" w:cs="Arial"/>
      <w:color w:val="222222"/>
      <w:kern w:val="3"/>
      <w:lang w:val="es-ES" w:eastAsia="es-ES" w:bidi="hi-IN"/>
    </w:rPr>
  </w:style>
  <w:style w:type="paragraph" w:customStyle="1" w:styleId="04-06PuntoCuerpoTexto">
    <w:name w:val="04-06_Punto_Cuerpo_Texto"/>
    <w:basedOn w:val="Normal"/>
    <w:qFormat/>
    <w:rsid w:val="00CE1C9E"/>
    <w:pPr>
      <w:tabs>
        <w:tab w:val="left" w:pos="426"/>
      </w:tabs>
      <w:suppressAutoHyphens/>
      <w:autoSpaceDN w:val="0"/>
      <w:spacing w:before="240" w:after="120" w:line="276" w:lineRule="auto"/>
      <w:jc w:val="both"/>
      <w:textAlignment w:val="baseline"/>
    </w:pPr>
    <w:rPr>
      <w:rFonts w:ascii="Arial" w:eastAsia="Arial" w:hAnsi="Arial" w:cs="Arial"/>
      <w:kern w:val="3"/>
      <w:szCs w:val="24"/>
      <w:lang w:val="es-ES" w:eastAsia="zh-CN" w:bidi="hi-IN"/>
    </w:rPr>
  </w:style>
  <w:style w:type="paragraph" w:customStyle="1" w:styleId="CuerpoTexto">
    <w:name w:val="_Cuerpo_Texto"/>
    <w:basedOn w:val="Normal"/>
    <w:rsid w:val="00CE1C9E"/>
    <w:pPr>
      <w:suppressAutoHyphens/>
      <w:autoSpaceDN w:val="0"/>
      <w:spacing w:before="170" w:after="113" w:line="276" w:lineRule="auto"/>
      <w:jc w:val="both"/>
      <w:textAlignment w:val="baseline"/>
    </w:pPr>
    <w:rPr>
      <w:rFonts w:ascii="Arial" w:eastAsia="Arial" w:hAnsi="Arial" w:cs="Arial"/>
      <w:kern w:val="3"/>
      <w:szCs w:val="24"/>
      <w:lang w:val="es-ES" w:eastAsia="zh-CN" w:bidi="hi-IN"/>
    </w:rPr>
  </w:style>
  <w:style w:type="paragraph" w:customStyle="1" w:styleId="xl63">
    <w:name w:val="xl63"/>
    <w:basedOn w:val="Normal"/>
    <w:rsid w:val="00CE1C9E"/>
    <w:pPr>
      <w:pBdr>
        <w:top w:val="single" w:sz="4" w:space="0" w:color="auto"/>
        <w:left w:val="single" w:sz="4" w:space="0" w:color="auto"/>
        <w:bottom w:val="single" w:sz="4" w:space="0" w:color="auto"/>
        <w:right w:val="single" w:sz="4" w:space="0" w:color="auto"/>
      </w:pBdr>
      <w:shd w:val="clear" w:color="000000" w:fill="D1C6C0"/>
      <w:spacing w:before="100" w:beforeAutospacing="1" w:after="100" w:afterAutospacing="1" w:line="240" w:lineRule="auto"/>
      <w:jc w:val="center"/>
      <w:textAlignment w:val="center"/>
    </w:pPr>
    <w:rPr>
      <w:rFonts w:ascii="Arial" w:eastAsia="Times New Roman" w:hAnsi="Arial" w:cs="Arial"/>
      <w:b/>
      <w:bCs/>
      <w:sz w:val="16"/>
      <w:szCs w:val="16"/>
      <w:lang w:val="es-ES" w:eastAsia="es-ES"/>
    </w:rPr>
  </w:style>
  <w:style w:type="paragraph" w:customStyle="1" w:styleId="xl64">
    <w:name w:val="xl64"/>
    <w:basedOn w:val="Normal"/>
    <w:rsid w:val="00CE1C9E"/>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s-ES" w:eastAsia="es-ES"/>
    </w:rPr>
  </w:style>
  <w:style w:type="paragraph" w:customStyle="1" w:styleId="xl65">
    <w:name w:val="xl65"/>
    <w:basedOn w:val="Normal"/>
    <w:rsid w:val="00CE1C9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s-ES" w:eastAsia="es-ES"/>
    </w:rPr>
  </w:style>
  <w:style w:type="paragraph" w:customStyle="1" w:styleId="xl66">
    <w:name w:val="xl66"/>
    <w:basedOn w:val="Normal"/>
    <w:rsid w:val="00CE1C9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val="es-ES" w:eastAsia="es-ES"/>
    </w:rPr>
  </w:style>
  <w:style w:type="paragraph" w:customStyle="1" w:styleId="xl67">
    <w:name w:val="xl67"/>
    <w:basedOn w:val="Normal"/>
    <w:rsid w:val="00CE1C9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val="es-ES" w:eastAsia="es-ES"/>
    </w:rPr>
  </w:style>
  <w:style w:type="paragraph" w:customStyle="1" w:styleId="xl68">
    <w:name w:val="xl68"/>
    <w:basedOn w:val="Normal"/>
    <w:rsid w:val="00CE1C9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lang w:val="es-ES" w:eastAsia="es-ES"/>
    </w:rPr>
  </w:style>
  <w:style w:type="paragraph" w:customStyle="1" w:styleId="xl69">
    <w:name w:val="xl69"/>
    <w:basedOn w:val="Normal"/>
    <w:rsid w:val="00CE1C9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val="es-ES" w:eastAsia="es-ES"/>
    </w:rPr>
  </w:style>
  <w:style w:type="paragraph" w:customStyle="1" w:styleId="xl70">
    <w:name w:val="xl70"/>
    <w:basedOn w:val="Normal"/>
    <w:rsid w:val="00CE1C9E"/>
    <w:pPr>
      <w:spacing w:before="100" w:beforeAutospacing="1" w:after="100" w:afterAutospacing="1" w:line="240" w:lineRule="auto"/>
      <w:textAlignment w:val="center"/>
    </w:pPr>
    <w:rPr>
      <w:rFonts w:ascii="Times New Roman" w:eastAsia="Times New Roman" w:hAnsi="Times New Roman" w:cs="Times New Roman"/>
      <w:sz w:val="24"/>
      <w:szCs w:val="24"/>
      <w:lang w:val="es-ES" w:eastAsia="es-ES"/>
    </w:rPr>
  </w:style>
  <w:style w:type="paragraph" w:customStyle="1" w:styleId="xl71">
    <w:name w:val="xl71"/>
    <w:basedOn w:val="Normal"/>
    <w:rsid w:val="00CE1C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val="es-ES" w:eastAsia="es-ES"/>
    </w:rPr>
  </w:style>
  <w:style w:type="paragraph" w:customStyle="1" w:styleId="xl72">
    <w:name w:val="xl72"/>
    <w:basedOn w:val="Normal"/>
    <w:rsid w:val="00CE1C9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val="es-ES" w:eastAsia="es-ES"/>
    </w:rPr>
  </w:style>
  <w:style w:type="paragraph" w:customStyle="1" w:styleId="xl73">
    <w:name w:val="xl73"/>
    <w:basedOn w:val="Normal"/>
    <w:rsid w:val="00CE1C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6"/>
      <w:szCs w:val="16"/>
      <w:lang w:val="es-ES" w:eastAsia="es-ES"/>
    </w:rPr>
  </w:style>
  <w:style w:type="paragraph" w:customStyle="1" w:styleId="xl74">
    <w:name w:val="xl74"/>
    <w:basedOn w:val="Normal"/>
    <w:rsid w:val="00CE1C9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lang w:val="es-ES" w:eastAsia="es-ES"/>
    </w:rPr>
  </w:style>
  <w:style w:type="paragraph" w:customStyle="1" w:styleId="xl75">
    <w:name w:val="xl75"/>
    <w:basedOn w:val="Normal"/>
    <w:rsid w:val="00CE1C9E"/>
    <w:pPr>
      <w:spacing w:before="100" w:beforeAutospacing="1" w:after="100" w:afterAutospacing="1" w:line="240" w:lineRule="auto"/>
      <w:textAlignment w:val="center"/>
    </w:pPr>
    <w:rPr>
      <w:rFonts w:ascii="Times New Roman" w:eastAsia="Times New Roman" w:hAnsi="Times New Roman" w:cs="Times New Roman"/>
      <w:sz w:val="24"/>
      <w:szCs w:val="24"/>
      <w:lang w:val="es-ES" w:eastAsia="es-ES"/>
    </w:rPr>
  </w:style>
  <w:style w:type="paragraph" w:customStyle="1" w:styleId="F01Titulo-Ficha">
    <w:name w:val="F01_Titulo-Ficha"/>
    <w:basedOn w:val="Prrafodelista"/>
    <w:link w:val="F01Titulo-FichaCar"/>
    <w:qFormat/>
    <w:rsid w:val="00CE1C9E"/>
    <w:pPr>
      <w:keepNext/>
      <w:spacing w:after="0" w:line="276" w:lineRule="auto"/>
      <w:ind w:left="0"/>
      <w:contextualSpacing w:val="0"/>
      <w:jc w:val="both"/>
    </w:pPr>
    <w:rPr>
      <w:rFonts w:ascii="Arial" w:eastAsiaTheme="minorHAnsi" w:hAnsi="Arial"/>
      <w:b/>
      <w:bCs/>
      <w:color w:val="9D2235" w:themeColor="accent1"/>
      <w:sz w:val="28"/>
      <w:szCs w:val="28"/>
      <w:lang w:val="es-ES"/>
    </w:rPr>
  </w:style>
  <w:style w:type="character" w:customStyle="1" w:styleId="F01Titulo-FichaCar">
    <w:name w:val="F01_Titulo-Ficha Car"/>
    <w:basedOn w:val="Fuentedeprrafopredeter"/>
    <w:link w:val="F01Titulo-Ficha"/>
    <w:rsid w:val="00CE1C9E"/>
    <w:rPr>
      <w:rFonts w:ascii="Arial" w:eastAsiaTheme="minorHAnsi" w:hAnsi="Arial"/>
      <w:b/>
      <w:bCs/>
      <w:color w:val="9D2235" w:themeColor="accent1"/>
      <w:sz w:val="28"/>
      <w:szCs w:val="28"/>
    </w:rPr>
  </w:style>
  <w:style w:type="paragraph" w:customStyle="1" w:styleId="M02SubttuloDAI">
    <w:name w:val="M_02_Subtítulo_DAI"/>
    <w:basedOn w:val="F01Titulo-Ficha"/>
    <w:link w:val="M02SubttuloDAICar"/>
    <w:qFormat/>
    <w:rsid w:val="00CE1C9E"/>
    <w:rPr>
      <w:sz w:val="32"/>
      <w:szCs w:val="32"/>
    </w:rPr>
  </w:style>
  <w:style w:type="character" w:customStyle="1" w:styleId="M02SubttuloDAICar">
    <w:name w:val="M_02_Subtítulo_DAI Car"/>
    <w:basedOn w:val="F01Titulo-FichaCar"/>
    <w:link w:val="M02SubttuloDAI"/>
    <w:rsid w:val="00CE1C9E"/>
    <w:rPr>
      <w:rFonts w:ascii="Arial" w:eastAsiaTheme="minorHAnsi" w:hAnsi="Arial"/>
      <w:b/>
      <w:bCs/>
      <w:color w:val="9D2235" w:themeColor="accent1"/>
      <w:sz w:val="32"/>
      <w:szCs w:val="32"/>
    </w:rPr>
  </w:style>
  <w:style w:type="table" w:customStyle="1" w:styleId="Tablaconcuadrcula41">
    <w:name w:val="Tabla con cuadrícula41"/>
    <w:basedOn w:val="Tablanormal"/>
    <w:next w:val="Tablaconcuadrcula"/>
    <w:uiPriority w:val="39"/>
    <w:rsid w:val="00CE1C9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2E168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39"/>
    <w:rsid w:val="00874D7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dengrammarerror">
    <w:name w:val="hiddengrammarerror"/>
    <w:basedOn w:val="Fuentedeprrafopredeter"/>
    <w:rsid w:val="00947D02"/>
  </w:style>
  <w:style w:type="character" w:customStyle="1" w:styleId="hiddenspellerror">
    <w:name w:val="hiddenspellerror"/>
    <w:basedOn w:val="Fuentedeprrafopredeter"/>
    <w:rsid w:val="00DF34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564677">
      <w:bodyDiv w:val="1"/>
      <w:marLeft w:val="0"/>
      <w:marRight w:val="0"/>
      <w:marTop w:val="0"/>
      <w:marBottom w:val="0"/>
      <w:divBdr>
        <w:top w:val="none" w:sz="0" w:space="0" w:color="auto"/>
        <w:left w:val="none" w:sz="0" w:space="0" w:color="auto"/>
        <w:bottom w:val="none" w:sz="0" w:space="0" w:color="auto"/>
        <w:right w:val="none" w:sz="0" w:space="0" w:color="auto"/>
      </w:divBdr>
    </w:div>
    <w:div w:id="248082151">
      <w:bodyDiv w:val="1"/>
      <w:marLeft w:val="0"/>
      <w:marRight w:val="0"/>
      <w:marTop w:val="0"/>
      <w:marBottom w:val="0"/>
      <w:divBdr>
        <w:top w:val="none" w:sz="0" w:space="0" w:color="auto"/>
        <w:left w:val="none" w:sz="0" w:space="0" w:color="auto"/>
        <w:bottom w:val="none" w:sz="0" w:space="0" w:color="auto"/>
        <w:right w:val="none" w:sz="0" w:space="0" w:color="auto"/>
      </w:divBdr>
    </w:div>
    <w:div w:id="295110080">
      <w:bodyDiv w:val="1"/>
      <w:marLeft w:val="0"/>
      <w:marRight w:val="0"/>
      <w:marTop w:val="0"/>
      <w:marBottom w:val="0"/>
      <w:divBdr>
        <w:top w:val="none" w:sz="0" w:space="0" w:color="auto"/>
        <w:left w:val="none" w:sz="0" w:space="0" w:color="auto"/>
        <w:bottom w:val="none" w:sz="0" w:space="0" w:color="auto"/>
        <w:right w:val="none" w:sz="0" w:space="0" w:color="auto"/>
      </w:divBdr>
    </w:div>
    <w:div w:id="371082382">
      <w:bodyDiv w:val="1"/>
      <w:marLeft w:val="0"/>
      <w:marRight w:val="0"/>
      <w:marTop w:val="0"/>
      <w:marBottom w:val="0"/>
      <w:divBdr>
        <w:top w:val="none" w:sz="0" w:space="0" w:color="auto"/>
        <w:left w:val="none" w:sz="0" w:space="0" w:color="auto"/>
        <w:bottom w:val="none" w:sz="0" w:space="0" w:color="auto"/>
        <w:right w:val="none" w:sz="0" w:space="0" w:color="auto"/>
      </w:divBdr>
    </w:div>
    <w:div w:id="595408839">
      <w:bodyDiv w:val="1"/>
      <w:marLeft w:val="0"/>
      <w:marRight w:val="0"/>
      <w:marTop w:val="0"/>
      <w:marBottom w:val="0"/>
      <w:divBdr>
        <w:top w:val="none" w:sz="0" w:space="0" w:color="auto"/>
        <w:left w:val="none" w:sz="0" w:space="0" w:color="auto"/>
        <w:bottom w:val="none" w:sz="0" w:space="0" w:color="auto"/>
        <w:right w:val="none" w:sz="0" w:space="0" w:color="auto"/>
      </w:divBdr>
    </w:div>
    <w:div w:id="1054156374">
      <w:bodyDiv w:val="1"/>
      <w:marLeft w:val="0"/>
      <w:marRight w:val="0"/>
      <w:marTop w:val="0"/>
      <w:marBottom w:val="0"/>
      <w:divBdr>
        <w:top w:val="none" w:sz="0" w:space="0" w:color="auto"/>
        <w:left w:val="none" w:sz="0" w:space="0" w:color="auto"/>
        <w:bottom w:val="none" w:sz="0" w:space="0" w:color="auto"/>
        <w:right w:val="none" w:sz="0" w:space="0" w:color="auto"/>
      </w:divBdr>
    </w:div>
    <w:div w:id="1113675278">
      <w:bodyDiv w:val="1"/>
      <w:marLeft w:val="0"/>
      <w:marRight w:val="0"/>
      <w:marTop w:val="0"/>
      <w:marBottom w:val="0"/>
      <w:divBdr>
        <w:top w:val="none" w:sz="0" w:space="0" w:color="auto"/>
        <w:left w:val="none" w:sz="0" w:space="0" w:color="auto"/>
        <w:bottom w:val="none" w:sz="0" w:space="0" w:color="auto"/>
        <w:right w:val="none" w:sz="0" w:space="0" w:color="auto"/>
      </w:divBdr>
    </w:div>
    <w:div w:id="1140421065">
      <w:bodyDiv w:val="1"/>
      <w:marLeft w:val="0"/>
      <w:marRight w:val="0"/>
      <w:marTop w:val="0"/>
      <w:marBottom w:val="0"/>
      <w:divBdr>
        <w:top w:val="none" w:sz="0" w:space="0" w:color="auto"/>
        <w:left w:val="none" w:sz="0" w:space="0" w:color="auto"/>
        <w:bottom w:val="none" w:sz="0" w:space="0" w:color="auto"/>
        <w:right w:val="none" w:sz="0" w:space="0" w:color="auto"/>
      </w:divBdr>
    </w:div>
    <w:div w:id="1153519705">
      <w:bodyDiv w:val="1"/>
      <w:marLeft w:val="0"/>
      <w:marRight w:val="0"/>
      <w:marTop w:val="0"/>
      <w:marBottom w:val="0"/>
      <w:divBdr>
        <w:top w:val="none" w:sz="0" w:space="0" w:color="auto"/>
        <w:left w:val="none" w:sz="0" w:space="0" w:color="auto"/>
        <w:bottom w:val="none" w:sz="0" w:space="0" w:color="auto"/>
        <w:right w:val="none" w:sz="0" w:space="0" w:color="auto"/>
      </w:divBdr>
    </w:div>
    <w:div w:id="1154875474">
      <w:bodyDiv w:val="1"/>
      <w:marLeft w:val="0"/>
      <w:marRight w:val="0"/>
      <w:marTop w:val="0"/>
      <w:marBottom w:val="0"/>
      <w:divBdr>
        <w:top w:val="none" w:sz="0" w:space="0" w:color="auto"/>
        <w:left w:val="none" w:sz="0" w:space="0" w:color="auto"/>
        <w:bottom w:val="none" w:sz="0" w:space="0" w:color="auto"/>
        <w:right w:val="none" w:sz="0" w:space="0" w:color="auto"/>
      </w:divBdr>
    </w:div>
    <w:div w:id="1161850481">
      <w:bodyDiv w:val="1"/>
      <w:marLeft w:val="0"/>
      <w:marRight w:val="0"/>
      <w:marTop w:val="0"/>
      <w:marBottom w:val="0"/>
      <w:divBdr>
        <w:top w:val="none" w:sz="0" w:space="0" w:color="auto"/>
        <w:left w:val="none" w:sz="0" w:space="0" w:color="auto"/>
        <w:bottom w:val="none" w:sz="0" w:space="0" w:color="auto"/>
        <w:right w:val="none" w:sz="0" w:space="0" w:color="auto"/>
      </w:divBdr>
    </w:div>
    <w:div w:id="1172842067">
      <w:bodyDiv w:val="1"/>
      <w:marLeft w:val="0"/>
      <w:marRight w:val="0"/>
      <w:marTop w:val="0"/>
      <w:marBottom w:val="0"/>
      <w:divBdr>
        <w:top w:val="none" w:sz="0" w:space="0" w:color="auto"/>
        <w:left w:val="none" w:sz="0" w:space="0" w:color="auto"/>
        <w:bottom w:val="none" w:sz="0" w:space="0" w:color="auto"/>
        <w:right w:val="none" w:sz="0" w:space="0" w:color="auto"/>
      </w:divBdr>
    </w:div>
    <w:div w:id="1227910193">
      <w:bodyDiv w:val="1"/>
      <w:marLeft w:val="0"/>
      <w:marRight w:val="0"/>
      <w:marTop w:val="0"/>
      <w:marBottom w:val="0"/>
      <w:divBdr>
        <w:top w:val="none" w:sz="0" w:space="0" w:color="auto"/>
        <w:left w:val="none" w:sz="0" w:space="0" w:color="auto"/>
        <w:bottom w:val="none" w:sz="0" w:space="0" w:color="auto"/>
        <w:right w:val="none" w:sz="0" w:space="0" w:color="auto"/>
      </w:divBdr>
    </w:div>
    <w:div w:id="1271661396">
      <w:bodyDiv w:val="1"/>
      <w:marLeft w:val="0"/>
      <w:marRight w:val="0"/>
      <w:marTop w:val="0"/>
      <w:marBottom w:val="0"/>
      <w:divBdr>
        <w:top w:val="none" w:sz="0" w:space="0" w:color="auto"/>
        <w:left w:val="none" w:sz="0" w:space="0" w:color="auto"/>
        <w:bottom w:val="none" w:sz="0" w:space="0" w:color="auto"/>
        <w:right w:val="none" w:sz="0" w:space="0" w:color="auto"/>
      </w:divBdr>
    </w:div>
    <w:div w:id="1298607866">
      <w:bodyDiv w:val="1"/>
      <w:marLeft w:val="0"/>
      <w:marRight w:val="0"/>
      <w:marTop w:val="0"/>
      <w:marBottom w:val="0"/>
      <w:divBdr>
        <w:top w:val="none" w:sz="0" w:space="0" w:color="auto"/>
        <w:left w:val="none" w:sz="0" w:space="0" w:color="auto"/>
        <w:bottom w:val="none" w:sz="0" w:space="0" w:color="auto"/>
        <w:right w:val="none" w:sz="0" w:space="0" w:color="auto"/>
      </w:divBdr>
    </w:div>
    <w:div w:id="1484395126">
      <w:bodyDiv w:val="1"/>
      <w:marLeft w:val="0"/>
      <w:marRight w:val="0"/>
      <w:marTop w:val="0"/>
      <w:marBottom w:val="0"/>
      <w:divBdr>
        <w:top w:val="none" w:sz="0" w:space="0" w:color="auto"/>
        <w:left w:val="none" w:sz="0" w:space="0" w:color="auto"/>
        <w:bottom w:val="none" w:sz="0" w:space="0" w:color="auto"/>
        <w:right w:val="none" w:sz="0" w:space="0" w:color="auto"/>
      </w:divBdr>
    </w:div>
    <w:div w:id="1593008124">
      <w:bodyDiv w:val="1"/>
      <w:marLeft w:val="0"/>
      <w:marRight w:val="0"/>
      <w:marTop w:val="0"/>
      <w:marBottom w:val="0"/>
      <w:divBdr>
        <w:top w:val="none" w:sz="0" w:space="0" w:color="auto"/>
        <w:left w:val="none" w:sz="0" w:space="0" w:color="auto"/>
        <w:bottom w:val="none" w:sz="0" w:space="0" w:color="auto"/>
        <w:right w:val="none" w:sz="0" w:space="0" w:color="auto"/>
      </w:divBdr>
    </w:div>
    <w:div w:id="1665357419">
      <w:bodyDiv w:val="1"/>
      <w:marLeft w:val="0"/>
      <w:marRight w:val="0"/>
      <w:marTop w:val="0"/>
      <w:marBottom w:val="0"/>
      <w:divBdr>
        <w:top w:val="none" w:sz="0" w:space="0" w:color="auto"/>
        <w:left w:val="none" w:sz="0" w:space="0" w:color="auto"/>
        <w:bottom w:val="none" w:sz="0" w:space="0" w:color="auto"/>
        <w:right w:val="none" w:sz="0" w:space="0" w:color="auto"/>
      </w:divBdr>
    </w:div>
    <w:div w:id="1742831550">
      <w:bodyDiv w:val="1"/>
      <w:marLeft w:val="0"/>
      <w:marRight w:val="0"/>
      <w:marTop w:val="0"/>
      <w:marBottom w:val="0"/>
      <w:divBdr>
        <w:top w:val="none" w:sz="0" w:space="0" w:color="auto"/>
        <w:left w:val="none" w:sz="0" w:space="0" w:color="auto"/>
        <w:bottom w:val="none" w:sz="0" w:space="0" w:color="auto"/>
        <w:right w:val="none" w:sz="0" w:space="0" w:color="auto"/>
      </w:divBdr>
    </w:div>
    <w:div w:id="1798645703">
      <w:bodyDiv w:val="1"/>
      <w:marLeft w:val="0"/>
      <w:marRight w:val="0"/>
      <w:marTop w:val="0"/>
      <w:marBottom w:val="0"/>
      <w:divBdr>
        <w:top w:val="none" w:sz="0" w:space="0" w:color="auto"/>
        <w:left w:val="none" w:sz="0" w:space="0" w:color="auto"/>
        <w:bottom w:val="none" w:sz="0" w:space="0" w:color="auto"/>
        <w:right w:val="none" w:sz="0" w:space="0" w:color="auto"/>
      </w:divBdr>
    </w:div>
    <w:div w:id="1867256065">
      <w:bodyDiv w:val="1"/>
      <w:marLeft w:val="0"/>
      <w:marRight w:val="0"/>
      <w:marTop w:val="0"/>
      <w:marBottom w:val="0"/>
      <w:divBdr>
        <w:top w:val="none" w:sz="0" w:space="0" w:color="auto"/>
        <w:left w:val="none" w:sz="0" w:space="0" w:color="auto"/>
        <w:bottom w:val="none" w:sz="0" w:space="0" w:color="auto"/>
        <w:right w:val="none" w:sz="0" w:space="0" w:color="auto"/>
      </w:divBdr>
    </w:div>
    <w:div w:id="1893420198">
      <w:bodyDiv w:val="1"/>
      <w:marLeft w:val="0"/>
      <w:marRight w:val="0"/>
      <w:marTop w:val="0"/>
      <w:marBottom w:val="0"/>
      <w:divBdr>
        <w:top w:val="none" w:sz="0" w:space="0" w:color="auto"/>
        <w:left w:val="none" w:sz="0" w:space="0" w:color="auto"/>
        <w:bottom w:val="none" w:sz="0" w:space="0" w:color="auto"/>
        <w:right w:val="none" w:sz="0" w:space="0" w:color="auto"/>
      </w:divBdr>
    </w:div>
    <w:div w:id="1895313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GV7pXR2NW_E" TargetMode="External"/><Relationship Id="rId21" Type="http://schemas.openxmlformats.org/officeDocument/2006/relationships/hyperlink" Target="https://www.antifraucv.es/denuncia/bustia-de-denuncies/" TargetMode="External"/><Relationship Id="rId324" Type="http://schemas.openxmlformats.org/officeDocument/2006/relationships/hyperlink" Target="http://www.antifraucv.es/wp-content/uploads/2021/04/Presentacion_Alegaciones_Asturias_CSVRS.pdf" TargetMode="External"/><Relationship Id="rId531" Type="http://schemas.openxmlformats.org/officeDocument/2006/relationships/hyperlink" Target="https://www.antifraucv.es/cursos-formacion/" TargetMode="External"/><Relationship Id="rId170" Type="http://schemas.openxmlformats.org/officeDocument/2006/relationships/hyperlink" Target="https://bit.ly/3IwxYq2" TargetMode="External"/><Relationship Id="rId268" Type="http://schemas.openxmlformats.org/officeDocument/2006/relationships/hyperlink" Target="https://www.antifraucv.es/wp-content/uploads/2022/03/210917-Declaracion-llamamiento-final-ENG-ESP.pdf" TargetMode="External"/><Relationship Id="rId475" Type="http://schemas.openxmlformats.org/officeDocument/2006/relationships/hyperlink" Target="https://www.antifraucv.es/wp-content/uploads/2021/10/20211026_AYUNTAMIENTO_DE_PEDRALBA.pdf" TargetMode="External"/><Relationship Id="rId32" Type="http://schemas.openxmlformats.org/officeDocument/2006/relationships/image" Target="media/image7.png"/><Relationship Id="rId128" Type="http://schemas.openxmlformats.org/officeDocument/2006/relationships/hyperlink" Target="https://open.spotify.com/show/0vqDIp0isZNy8xComIIBjC" TargetMode="External"/><Relationship Id="rId335" Type="http://schemas.openxmlformats.org/officeDocument/2006/relationships/hyperlink" Target="https://ec.europa.eu/anti-fraud/index_es" TargetMode="External"/><Relationship Id="rId542" Type="http://schemas.openxmlformats.org/officeDocument/2006/relationships/image" Target="media/image57.jpeg"/><Relationship Id="rId181" Type="http://schemas.openxmlformats.org/officeDocument/2006/relationships/image" Target="media/image23.jpeg"/><Relationship Id="rId402" Type="http://schemas.openxmlformats.org/officeDocument/2006/relationships/hyperlink" Target="https://www.cortsvalencianes.es/ca-va/consulta_boc" TargetMode="External"/><Relationship Id="rId279" Type="http://schemas.openxmlformats.org/officeDocument/2006/relationships/hyperlink" Target="https://www.antifraucv.es/wp-content/uploads/2022/03/Alegaciones-AVAF-tramite-de-audiencia-APL-Directiva-2019-1937.pdf" TargetMode="External"/><Relationship Id="rId486" Type="http://schemas.openxmlformats.org/officeDocument/2006/relationships/hyperlink" Target="https://www.antifraucv.es/wp-content/uploads/2022/01/20211214_AYUNTAMIENTO-DE-TOUS.pdf" TargetMode="External"/><Relationship Id="rId43" Type="http://schemas.openxmlformats.org/officeDocument/2006/relationships/hyperlink" Target="file:///Q:\MEMORIA\2021_gtm\TEXTO%20PROVISIONAL\MEMORIA%202021_VAL\MEMORIA%20AVAF%202020%20VAL_V15.docx" TargetMode="External"/><Relationship Id="rId139" Type="http://schemas.openxmlformats.org/officeDocument/2006/relationships/hyperlink" Target="https://bit.ly/3IGNPlG" TargetMode="External"/><Relationship Id="rId346" Type="http://schemas.openxmlformats.org/officeDocument/2006/relationships/hyperlink" Target="https://www.transparency.org/en/cpi/2021" TargetMode="External"/><Relationship Id="rId553" Type="http://schemas.openxmlformats.org/officeDocument/2006/relationships/hyperlink" Target="https://www.hacienda.gob.es/Documentacion/Publico/D.G.%20PATRIMONIO/Junta%20Consultiva/informes/Informes2021/instruccionJCCPEurgenciaPRTR.pdf" TargetMode="External"/><Relationship Id="rId192" Type="http://schemas.openxmlformats.org/officeDocument/2006/relationships/hyperlink" Target="https://www.boe.es/boe/dias/2006/07/19/pdfs/A27132-27153.pdf" TargetMode="External"/><Relationship Id="rId206" Type="http://schemas.openxmlformats.org/officeDocument/2006/relationships/hyperlink" Target="https://www.boe.es/doue/2019/305/L00017-00056.pdf" TargetMode="External"/><Relationship Id="rId413" Type="http://schemas.openxmlformats.org/officeDocument/2006/relationships/hyperlink" Target="https://sede.antifraucv.es/opencms/opencms/sede" TargetMode="External"/><Relationship Id="rId497" Type="http://schemas.openxmlformats.org/officeDocument/2006/relationships/footer" Target="footer5.xml"/><Relationship Id="rId357" Type="http://schemas.openxmlformats.org/officeDocument/2006/relationships/chart" Target="charts/chart4.xml"/><Relationship Id="rId54" Type="http://schemas.openxmlformats.org/officeDocument/2006/relationships/hyperlink" Target="file:///Q:\MEMORIA\2021_gtm\TEXTO%20PROVISIONAL\MEMORIA%202021_VAL\MEMORIA%20AVAF%202020%20VAL_V15.docx" TargetMode="External"/><Relationship Id="rId217" Type="http://schemas.openxmlformats.org/officeDocument/2006/relationships/hyperlink" Target="https://www.cortsvalencianes.es/sites/default/files/section_docs/doc/RCV_juny_2021_web_castell%C3%A0.pdf" TargetMode="External"/><Relationship Id="rId564" Type="http://schemas.openxmlformats.org/officeDocument/2006/relationships/image" Target="media/image61.emf"/><Relationship Id="rId424" Type="http://schemas.openxmlformats.org/officeDocument/2006/relationships/hyperlink" Target="http://www.antifraucv.es/wp-content/uploads/2021/03/20210121_DIPUTACION_DE_VALENCIA.pdf" TargetMode="External"/><Relationship Id="rId270" Type="http://schemas.openxmlformats.org/officeDocument/2006/relationships/image" Target="media/image28.png"/><Relationship Id="rId65" Type="http://schemas.openxmlformats.org/officeDocument/2006/relationships/hyperlink" Target="https://www.youtube.com/watch?v=E5S_jPCbkjM" TargetMode="External"/><Relationship Id="rId130" Type="http://schemas.openxmlformats.org/officeDocument/2006/relationships/hyperlink" Target="https://www.antifraucv.es/va/el-nou-blog-de-lagencia-valenciana-antifrau/" TargetMode="External"/><Relationship Id="rId368" Type="http://schemas.openxmlformats.org/officeDocument/2006/relationships/hyperlink" Target="http://www.antifraucv.es/wp-content/uploads/2021/04/Contestacion-recomendacion-Sindic-Greuges-FDORS-copia.pdf" TargetMode="External"/><Relationship Id="rId575" Type="http://schemas.openxmlformats.org/officeDocument/2006/relationships/image" Target="media/image72.emf"/><Relationship Id="rId228" Type="http://schemas.openxmlformats.org/officeDocument/2006/relationships/hyperlink" Target="https://dogv.gva.es/datos/2022/02/18/pdf/2022_1132.pdf" TargetMode="External"/><Relationship Id="rId435" Type="http://schemas.openxmlformats.org/officeDocument/2006/relationships/hyperlink" Target="http://www.antifraucv.es/wp-content/uploads/2021/04/20210316_AYUNTAMIENTO_DE_COFRENTES.pdf" TargetMode="External"/><Relationship Id="rId281" Type="http://schemas.openxmlformats.org/officeDocument/2006/relationships/hyperlink" Target="https://www.boe.es/doue/2019/305/L00017-00056.pdf" TargetMode="External"/><Relationship Id="rId502" Type="http://schemas.openxmlformats.org/officeDocument/2006/relationships/image" Target="media/image300.jpeg"/><Relationship Id="rId76" Type="http://schemas.openxmlformats.org/officeDocument/2006/relationships/hyperlink" Target="https://www.youtube.com/watch?v=EYoCbZYTE4o" TargetMode="External"/><Relationship Id="rId141" Type="http://schemas.openxmlformats.org/officeDocument/2006/relationships/hyperlink" Target="https://bit.ly/3BZBwyp" TargetMode="External"/><Relationship Id="rId379" Type="http://schemas.openxmlformats.org/officeDocument/2006/relationships/hyperlink" Target="http://www.antifraucv.es/wp-content/uploads/2021/03/200508_Guia_tramitacion_de_convenios_FDO.pdf" TargetMode="External"/><Relationship Id="rId586" Type="http://schemas.openxmlformats.org/officeDocument/2006/relationships/image" Target="media/image83.emf"/><Relationship Id="rId7" Type="http://schemas.openxmlformats.org/officeDocument/2006/relationships/endnotes" Target="endnotes.xml"/><Relationship Id="rId239" Type="http://schemas.openxmlformats.org/officeDocument/2006/relationships/hyperlink" Target="https://www.congreso.es/public_oficiales/L14/CONG/BOCG/B/BOCG-14-B-142-1.PDF" TargetMode="External"/><Relationship Id="rId446" Type="http://schemas.openxmlformats.org/officeDocument/2006/relationships/hyperlink" Target="http://www.antifraucv.es/wp-content/uploads/2021/04/20210510_IVAJ_DGFP.pdf" TargetMode="External"/><Relationship Id="rId292" Type="http://schemas.openxmlformats.org/officeDocument/2006/relationships/hyperlink" Target="https://www.boe.es/buscar/pdf/2016/BOE-A-2016-12048-consolidado.pdf" TargetMode="External"/><Relationship Id="rId306" Type="http://schemas.openxmlformats.org/officeDocument/2006/relationships/hyperlink" Target="https://www.boe.es/doue/2019/305/L00017-00056.pdf" TargetMode="External"/><Relationship Id="rId45" Type="http://schemas.openxmlformats.org/officeDocument/2006/relationships/hyperlink" Target="file:///Q:\MEMORIA\2021_gtm\TEXTO%20PROVISIONAL\MEMORIA%202021_VAL\MEMORIA%20AVAF%202020%20VAL_V15.docx" TargetMode="External"/><Relationship Id="rId87" Type="http://schemas.openxmlformats.org/officeDocument/2006/relationships/hyperlink" Target="https://www.antifraucv.es/wp-content/uploads/2021/09/210929-Declaracion-institucional-Agencias-antifraude.pdf" TargetMode="External"/><Relationship Id="rId110" Type="http://schemas.openxmlformats.org/officeDocument/2006/relationships/hyperlink" Target="https://vimeo.com/507994078" TargetMode="External"/><Relationship Id="rId348" Type="http://schemas.openxmlformats.org/officeDocument/2006/relationships/hyperlink" Target="https://dogv.gva.es/auto/dogv/docvpub/rlgv/2019/RAF_20190627_ca_RAF_20190716.pdf" TargetMode="External"/><Relationship Id="rId513" Type="http://schemas.openxmlformats.org/officeDocument/2006/relationships/image" Target="media/image36.png"/><Relationship Id="rId555" Type="http://schemas.openxmlformats.org/officeDocument/2006/relationships/hyperlink" Target="https://curia.europa.eu/juris/document/document_print.jsf;jsessionid=1F0EDFB3398BD51C8F1244AAFD26F962?docid=238164&amp;text=&amp;dir=&amp;doclang=ES&amp;part=1&amp;occ=first&amp;mode=DOC&amp;pageIndex=0&amp;cid=2879626" TargetMode="External"/><Relationship Id="rId152" Type="http://schemas.openxmlformats.org/officeDocument/2006/relationships/hyperlink" Target="https://bit.ly/3BZaIOQ" TargetMode="External"/><Relationship Id="rId194" Type="http://schemas.openxmlformats.org/officeDocument/2006/relationships/hyperlink" Target="https://www.boe.es/doue/2010/083/Z00047-00199.pdf" TargetMode="External"/><Relationship Id="rId208" Type="http://schemas.openxmlformats.org/officeDocument/2006/relationships/hyperlink" Target="https://www.boe.es/buscar/pdf/2016/BOE-A-2016-12048-consolidado.pdf" TargetMode="External"/><Relationship Id="rId415" Type="http://schemas.openxmlformats.org/officeDocument/2006/relationships/chart" Target="charts/chart16.xml"/><Relationship Id="rId457" Type="http://schemas.openxmlformats.org/officeDocument/2006/relationships/hyperlink" Target="https://www.antifraucv.es/wp-content/uploads/2021/07/20210630_-CONSELLERIA_DE_SANITAT.pdf" TargetMode="External"/><Relationship Id="rId261" Type="http://schemas.openxmlformats.org/officeDocument/2006/relationships/hyperlink" Target="https://www.antifraucv.es/va/informacio-de-rellevancia-juridica/" TargetMode="External"/><Relationship Id="rId499" Type="http://schemas.openxmlformats.org/officeDocument/2006/relationships/hyperlink" Target="https://www.antifraucv.es/wp-content/uploads/2021/11/Manual-Didactivo-Visual.pdfjunto" TargetMode="External"/><Relationship Id="rId14" Type="http://schemas.openxmlformats.org/officeDocument/2006/relationships/hyperlink" Target="http://www.antifraucv.es/" TargetMode="External"/><Relationship Id="rId56" Type="http://schemas.openxmlformats.org/officeDocument/2006/relationships/hyperlink" Target="file:///Q:\MEMORIA\2021_gtm\TEXTO%20PROVISIONAL\MEMORIA%202021_VAL\MEMORIA%20AVAF%202020%20VAL_V15.docx" TargetMode="External"/><Relationship Id="rId317" Type="http://schemas.openxmlformats.org/officeDocument/2006/relationships/hyperlink" Target="https://www.poderjudicial.es/search/AN/openDocument/1ef1d8f6e2465047/20190211" TargetMode="External"/><Relationship Id="rId359" Type="http://schemas.openxmlformats.org/officeDocument/2006/relationships/chart" Target="charts/chart6.xml"/><Relationship Id="rId524" Type="http://schemas.openxmlformats.org/officeDocument/2006/relationships/image" Target="media/image47.png"/><Relationship Id="rId566" Type="http://schemas.openxmlformats.org/officeDocument/2006/relationships/image" Target="media/image63.emf"/><Relationship Id="rId98" Type="http://schemas.openxmlformats.org/officeDocument/2006/relationships/hyperlink" Target="https://www.antifraucv.es/va/lajuntament-de-valencia-es-la-primera-institucio-publica-valenciana-que-connectara-el-seu-web-a-la-bustia-de-denuncies-de-lagencia-valenciana-antifrau/" TargetMode="External"/><Relationship Id="rId121" Type="http://schemas.openxmlformats.org/officeDocument/2006/relationships/hyperlink" Target="https://www.uji.es/com/agenda/2021/11/03/jornada-bon-govern/" TargetMode="External"/><Relationship Id="rId163" Type="http://schemas.openxmlformats.org/officeDocument/2006/relationships/hyperlink" Target="https://bit.ly/35zYiRA" TargetMode="External"/><Relationship Id="rId219" Type="http://schemas.openxmlformats.org/officeDocument/2006/relationships/hyperlink" Target="https://www.boe.es/buscar/pdf/2015/BOE-A-2015-4547-consolidado.pdf" TargetMode="External"/><Relationship Id="rId370" Type="http://schemas.openxmlformats.org/officeDocument/2006/relationships/hyperlink" Target="http://www.antifraucv.es/wp-content/uploads/2021/04/Contestacion-s-greuges-queja-21000376-FDORS.pdf" TargetMode="External"/><Relationship Id="rId426" Type="http://schemas.openxmlformats.org/officeDocument/2006/relationships/hyperlink" Target="http://www.antifraucv.es/wp-content/uploads/2021/03/20210127_AYUNTAMIENTO_DE_COFRENTES.pdf" TargetMode="External"/><Relationship Id="rId230" Type="http://schemas.openxmlformats.org/officeDocument/2006/relationships/hyperlink" Target="https://www.antifraucv.es/wp-content/uploads/2022/03/220315_Resolucion_Aprobacion_Rgto_Buzon-interno_CAS_VAL-CSV.pdf" TargetMode="External"/><Relationship Id="rId468" Type="http://schemas.openxmlformats.org/officeDocument/2006/relationships/hyperlink" Target="https://www.antifraucv.es/wp-content/uploads/2021/09/20210914_AYUNTAMIENTO_DE_CASTELLO_DE_RUGAT.pdf" TargetMode="External"/><Relationship Id="rId25" Type="http://schemas.openxmlformats.org/officeDocument/2006/relationships/hyperlink" Target="https://www.facebook.com/AgenciaValencianaAntifraude/" TargetMode="External"/><Relationship Id="rId67" Type="http://schemas.openxmlformats.org/officeDocument/2006/relationships/hyperlink" Target="https://www.youtube.com/watch?v=wt8GwdQZskc" TargetMode="External"/><Relationship Id="rId272" Type="http://schemas.openxmlformats.org/officeDocument/2006/relationships/hyperlink" Target="https://www.antifraucv.es/wp-content/uploads/2021/06/210623-Declaracion_-Institucional-_AVAF.pdf" TargetMode="External"/><Relationship Id="rId328" Type="http://schemas.openxmlformats.org/officeDocument/2006/relationships/hyperlink" Target="https://ec.europa.eu/info/policies/justice-and-fundamental-rights/upholding-rule-law/rule-law/rule-law-mechanism/2021-rule-law-report-targeted-stakeholder-consultation" TargetMode="External"/><Relationship Id="rId535" Type="http://schemas.openxmlformats.org/officeDocument/2006/relationships/hyperlink" Target="http://ilia.cchs.csic.es/spi/index.html" TargetMode="External"/><Relationship Id="rId577" Type="http://schemas.openxmlformats.org/officeDocument/2006/relationships/image" Target="media/image74.emf"/><Relationship Id="rId132" Type="http://schemas.openxmlformats.org/officeDocument/2006/relationships/hyperlink" Target="https://www.antifraucv.es/va/la-prima-linia/" TargetMode="External"/><Relationship Id="rId174" Type="http://schemas.openxmlformats.org/officeDocument/2006/relationships/hyperlink" Target="https://bit.ly/3tjASrC" TargetMode="External"/><Relationship Id="rId381" Type="http://schemas.openxmlformats.org/officeDocument/2006/relationships/hyperlink" Target="http://www.antifraucv.es/wp-content/uploads/2021/03/convenio_oac_cataluna_CS-1.pdf" TargetMode="External"/><Relationship Id="rId241" Type="http://schemas.openxmlformats.org/officeDocument/2006/relationships/image" Target="media/image26.png"/><Relationship Id="rId437" Type="http://schemas.openxmlformats.org/officeDocument/2006/relationships/hyperlink" Target="http://www.antifraucv.es/wp-content/uploads/2021/04/20210317_UNIVERSIDAD_DE_VALENCIA.pdf" TargetMode="External"/><Relationship Id="rId479" Type="http://schemas.openxmlformats.org/officeDocument/2006/relationships/hyperlink" Target="https://www.antifraucv.es/wp-content/uploads/2021/11/202111030-CONSELLERIA_DE_PRESIDENCIA.pdf" TargetMode="External"/><Relationship Id="rId36" Type="http://schemas.openxmlformats.org/officeDocument/2006/relationships/image" Target="media/image9.png"/><Relationship Id="rId283" Type="http://schemas.openxmlformats.org/officeDocument/2006/relationships/hyperlink" Target="https://www.lamoncloa.gob.es/consejodeministros/resumenes/Documents/2021/310821-PLAN_ANUAL_NORMATIVO_2021.pdf" TargetMode="External"/><Relationship Id="rId339" Type="http://schemas.openxmlformats.org/officeDocument/2006/relationships/hyperlink" Target="https://www.igae.pap.hacienda.gob.es/sitios/igae/es-ES/snca/paginas/inicio.aspx" TargetMode="External"/><Relationship Id="rId490" Type="http://schemas.openxmlformats.org/officeDocument/2006/relationships/hyperlink" Target="https://www.antifraucv.es/wp-content/uploads/2022/01/20211231_AYUNTAMIENTO-DE-ORIHUELA.pdf" TargetMode="External"/><Relationship Id="rId504" Type="http://schemas.openxmlformats.org/officeDocument/2006/relationships/image" Target="media/image31.jpeg"/><Relationship Id="rId546" Type="http://schemas.openxmlformats.org/officeDocument/2006/relationships/hyperlink" Target="https://www.antifraucv.es/wp-content/uploads/2021/01/20_12_30_BOCV.pdf" TargetMode="External"/><Relationship Id="rId78" Type="http://schemas.openxmlformats.org/officeDocument/2006/relationships/hyperlink" Target="https://www.antifraucv.es/es/se-constituye-el-consejo-de-participacion-de-la-agencia-de-prevencion-y-lucha-contra-el-fraude-y-la-corrupcion-de-la-comunitat-valenciana/" TargetMode="External"/><Relationship Id="rId101" Type="http://schemas.openxmlformats.org/officeDocument/2006/relationships/hyperlink" Target="https://www.epac-eacn.org/" TargetMode="External"/><Relationship Id="rId143" Type="http://schemas.openxmlformats.org/officeDocument/2006/relationships/hyperlink" Target="https://bit.ly/3IvLhqG" TargetMode="External"/><Relationship Id="rId185" Type="http://schemas.openxmlformats.org/officeDocument/2006/relationships/hyperlink" Target="https://www.antifraucv.es/wp-content/uploads/2021/04/210225_resolucio_aprovacio_esmenes_castella_valencia-3_CSV.pdf" TargetMode="External"/><Relationship Id="rId350" Type="http://schemas.openxmlformats.org/officeDocument/2006/relationships/hyperlink" Target="https://www.boe.es/buscar/pdf/2016/BOE-A-2016-12048-consolidado.pdf" TargetMode="External"/><Relationship Id="rId406" Type="http://schemas.openxmlformats.org/officeDocument/2006/relationships/hyperlink" Target="https://lexnetjusticia.gob.es/" TargetMode="External"/><Relationship Id="rId588" Type="http://schemas.openxmlformats.org/officeDocument/2006/relationships/image" Target="media/image85.emf"/><Relationship Id="rId9" Type="http://schemas.openxmlformats.org/officeDocument/2006/relationships/header" Target="header2.xml"/><Relationship Id="rId210" Type="http://schemas.openxmlformats.org/officeDocument/2006/relationships/hyperlink" Target="https://www.cortsvalencianes.es/ca-va/consulta_boc" TargetMode="External"/><Relationship Id="rId392" Type="http://schemas.openxmlformats.org/officeDocument/2006/relationships/hyperlink" Target="https://www.cortsvalencianes.es/ca-va/consulta_boc" TargetMode="External"/><Relationship Id="rId448" Type="http://schemas.openxmlformats.org/officeDocument/2006/relationships/hyperlink" Target="http://www.antifraucv.es/wp-content/uploads/2021/04/20210518_AYUNTAMIENTO_DE_BENISSA.pdf" TargetMode="External"/><Relationship Id="rId252" Type="http://schemas.openxmlformats.org/officeDocument/2006/relationships/hyperlink" Target="https://www.asambleamadrid.es/static/docs/registro-ep/RGEP27067-20.pdf" TargetMode="External"/><Relationship Id="rId294" Type="http://schemas.openxmlformats.org/officeDocument/2006/relationships/hyperlink" Target="https://www.boe.es/buscar/pdf/2016/BOE-A-2016-12048-consolidado.pdf" TargetMode="External"/><Relationship Id="rId308" Type="http://schemas.openxmlformats.org/officeDocument/2006/relationships/hyperlink" Target="http://www.antifraucv.es/wp-content/uploads/2021/03/MEMORIA_AVAF_2020_VAL.pdf" TargetMode="External"/><Relationship Id="rId515" Type="http://schemas.openxmlformats.org/officeDocument/2006/relationships/image" Target="media/image38.png"/><Relationship Id="rId47" Type="http://schemas.openxmlformats.org/officeDocument/2006/relationships/hyperlink" Target="file:///Q:\MEMORIA\2021_gtm\TEXTO%20PROVISIONAL\MEMORIA%202021_VAL\MEMORIA%20AVAF%202020%20VAL_V15.docx" TargetMode="External"/><Relationship Id="rId89" Type="http://schemas.openxmlformats.org/officeDocument/2006/relationships/hyperlink" Target="https://www.antifraucv.es/va/la-world-compliance-association-i-lagencia-valenciana-antifrau-signen-un-conveni-per-a-col%c2%b7laborar-en-la-lluita-contra-el-frau-i-la-corrupcio/" TargetMode="External"/><Relationship Id="rId112" Type="http://schemas.openxmlformats.org/officeDocument/2006/relationships/hyperlink" Target="https://cositalmadrid.es/wp-content/uploads/2021/02/I-Congreso-Virtual-del-Portal-de-Control-Interno-15-16-feb.pdf" TargetMode="External"/><Relationship Id="rId154" Type="http://schemas.openxmlformats.org/officeDocument/2006/relationships/hyperlink" Target="https://bit.ly/3pns3Mi" TargetMode="External"/><Relationship Id="rId361" Type="http://schemas.openxmlformats.org/officeDocument/2006/relationships/chart" Target="charts/chart8.xml"/><Relationship Id="rId557" Type="http://schemas.openxmlformats.org/officeDocument/2006/relationships/hyperlink" Target="https://www.antifraucv.es/wp-content/uploads/2021/02/MEMORIA_2019_CAS.pdf" TargetMode="External"/><Relationship Id="rId196" Type="http://schemas.openxmlformats.org/officeDocument/2006/relationships/hyperlink" Target="https://eur-lex.europa.eu/legal-content/ES/TXT/PDF/?uri=CELEX:31999D0352&amp;from=ES" TargetMode="External"/><Relationship Id="rId417" Type="http://schemas.openxmlformats.org/officeDocument/2006/relationships/chart" Target="charts/chart18.xml"/><Relationship Id="rId459" Type="http://schemas.openxmlformats.org/officeDocument/2006/relationships/hyperlink" Target="https://www.antifraucv.es/wp-content/uploads/2021/07/20210711_AYUNTAMIENTO-DE-VALENCIA.pdf" TargetMode="External"/><Relationship Id="rId16" Type="http://schemas.openxmlformats.org/officeDocument/2006/relationships/hyperlink" Target="http://www.antifraucv.es/" TargetMode="External"/><Relationship Id="rId221" Type="http://schemas.openxmlformats.org/officeDocument/2006/relationships/hyperlink" Target="https://www.antifraucv.es/wp-content/uploads/2021/12/RES-PLAN-NORMATIVO-AVAF-2021_CAS_FDO.pdf" TargetMode="External"/><Relationship Id="rId263" Type="http://schemas.openxmlformats.org/officeDocument/2006/relationships/hyperlink" Target="https://www.antifraucv.es/wp-content/uploads/2022/01/Declaracion-Utrecht-4-junio-2021-canales-internos-ENG-CAS.pdf" TargetMode="External"/><Relationship Id="rId319" Type="http://schemas.openxmlformats.org/officeDocument/2006/relationships/hyperlink" Target="https://www.cortsvalencianes.es/sites/default/files/initiative/doc/33_PL_TRANSPARENCIABOCV_110.pdf" TargetMode="External"/><Relationship Id="rId470" Type="http://schemas.openxmlformats.org/officeDocument/2006/relationships/hyperlink" Target="https://www.antifraucv.es/wp-content/uploads/2021/10/20211006_AYUNTAMIENTO_DE_TURIS.pdf" TargetMode="External"/><Relationship Id="rId526" Type="http://schemas.openxmlformats.org/officeDocument/2006/relationships/hyperlink" Target="https://www.youtube.com/channel/UCkDS5OEUZu3iTEWg7gu8XXQ/featured" TargetMode="External"/><Relationship Id="rId58" Type="http://schemas.openxmlformats.org/officeDocument/2006/relationships/hyperlink" Target="file:///Q:\MEMORIA\2021_gtm\TEXTO%20PROVISIONAL\MEMORIA%202021_VAL\MEMORIA%20AVAF%202020%20VAL_V15.docx" TargetMode="External"/><Relationship Id="rId123" Type="http://schemas.openxmlformats.org/officeDocument/2006/relationships/hyperlink" Target="https://www.gobiernolocal.org/anuario-del-buen-gobierno-y-de-la-calidad-de-la-regulacion-2020/" TargetMode="External"/><Relationship Id="rId330" Type="http://schemas.openxmlformats.org/officeDocument/2006/relationships/hyperlink" Target="https://www.encj.eu/" TargetMode="External"/><Relationship Id="rId568" Type="http://schemas.openxmlformats.org/officeDocument/2006/relationships/image" Target="media/image65.emf"/><Relationship Id="rId165" Type="http://schemas.openxmlformats.org/officeDocument/2006/relationships/hyperlink" Target="https://bit.ly/3M9hGpd" TargetMode="External"/><Relationship Id="rId372" Type="http://schemas.openxmlformats.org/officeDocument/2006/relationships/hyperlink" Target="https://www.antifraucv.es/wp-content/uploads/2021/12/211230_RES_PLAN_NORMATIVO_AVAF_CAS-2022-CSV.pdf" TargetMode="External"/><Relationship Id="rId428" Type="http://schemas.openxmlformats.org/officeDocument/2006/relationships/hyperlink" Target="http://www.antifraucv.es/wp-content/uploads/2021/03/20210209_AYUNTAMIENTO_DE_CULLERA.pdf" TargetMode="External"/><Relationship Id="rId232" Type="http://schemas.openxmlformats.org/officeDocument/2006/relationships/hyperlink" Target="https://www.transparency.org/en/blog/eu-countries-failing-protect-whistleblowers" TargetMode="External"/><Relationship Id="rId274" Type="http://schemas.openxmlformats.org/officeDocument/2006/relationships/hyperlink" Target="https://www.boe.es/doue/2019/305/L00017-00056.pdf" TargetMode="External"/><Relationship Id="rId481" Type="http://schemas.openxmlformats.org/officeDocument/2006/relationships/hyperlink" Target="https://www.antifraucv.es/wp-content/uploads/2022/01/20211202_AYUNTAMIENTO-CALLOSA-DE-SEGURA.pdf" TargetMode="External"/><Relationship Id="rId27" Type="http://schemas.openxmlformats.org/officeDocument/2006/relationships/hyperlink" Target="https://www.instagram.com/antifraude_avaf/" TargetMode="External"/><Relationship Id="rId69" Type="http://schemas.openxmlformats.org/officeDocument/2006/relationships/image" Target="media/image15.jpeg"/><Relationship Id="rId134" Type="http://schemas.openxmlformats.org/officeDocument/2006/relationships/hyperlink" Target="https://www.antifraucv.es/va/blog-de-lavaf/" TargetMode="External"/><Relationship Id="rId537" Type="http://schemas.openxmlformats.org/officeDocument/2006/relationships/image" Target="media/image53.png"/><Relationship Id="rId579" Type="http://schemas.openxmlformats.org/officeDocument/2006/relationships/image" Target="media/image76.emf"/><Relationship Id="rId80" Type="http://schemas.openxmlformats.org/officeDocument/2006/relationships/hyperlink" Target="http://www.antifraucv.es/wp-content/uploads/2021/04/Pronunciamiento_CdP.pdf" TargetMode="External"/><Relationship Id="rId176" Type="http://schemas.openxmlformats.org/officeDocument/2006/relationships/hyperlink" Target="https://bit.ly/3spaA8e" TargetMode="External"/><Relationship Id="rId341" Type="http://schemas.openxmlformats.org/officeDocument/2006/relationships/hyperlink" Target="https://www.boe.es/buscar/pdf/2020/BOE-A-2020-17340-consolidado.pdf" TargetMode="External"/><Relationship Id="rId383" Type="http://schemas.openxmlformats.org/officeDocument/2006/relationships/hyperlink" Target="http://www.antifraucv.es/wp-content/uploads/2021/03/convenio_oac_baleares_CS.pdf" TargetMode="External"/><Relationship Id="rId439" Type="http://schemas.openxmlformats.org/officeDocument/2006/relationships/hyperlink" Target="http://www.antifraucv.es/wp-content/uploads/2021/04/20210322_AYUNTAMIENTO_DE_VALENCIA.pdf" TargetMode="External"/><Relationship Id="rId590" Type="http://schemas.openxmlformats.org/officeDocument/2006/relationships/image" Target="media/image87.png"/><Relationship Id="rId201" Type="http://schemas.openxmlformats.org/officeDocument/2006/relationships/hyperlink" Target="https://www.boe.es/boe/dias/2010/07/28/pdfs/BOE-A-2010-12135.pdf" TargetMode="External"/><Relationship Id="rId243" Type="http://schemas.openxmlformats.org/officeDocument/2006/relationships/hyperlink" Target="https://ec.europa.eu/atwork/applying-eu-law/infringements-proceedings/infringement_decisions/index.cfm?lang_code=en&amp;typeOfSearch=false&amp;active_only=0&amp;noncom=0&amp;r_dossier=&amp;decision_dona't_from=&amp;decision_dona't_to=&amp;DG=JUST&amp;title=32019L1937&amp;submit=Search" TargetMode="External"/><Relationship Id="rId285" Type="http://schemas.openxmlformats.org/officeDocument/2006/relationships/hyperlink" Target="http://www.antifraucv.es/wp-content/uploads/2021/03/Alegaciones_consulta_publica_avaf_OK.pdf" TargetMode="External"/><Relationship Id="rId450" Type="http://schemas.openxmlformats.org/officeDocument/2006/relationships/hyperlink" Target="https://www.antifraucv.es/wp-content/uploads/2021/07/20210610_AYUNTAMIENTO_DE_SUECA_EPE_AIGUES_I_SANEJAMENT_DE_SUECA.pdf" TargetMode="External"/><Relationship Id="rId506" Type="http://schemas.openxmlformats.org/officeDocument/2006/relationships/hyperlink" Target="https://www.antifraucv.es/wp-content/uploads/2021/11/Manual-Didactivo-Visual.pdfjunto" TargetMode="External"/><Relationship Id="rId38" Type="http://schemas.openxmlformats.org/officeDocument/2006/relationships/image" Target="media/image10.png"/><Relationship Id="rId103" Type="http://schemas.openxmlformats.org/officeDocument/2006/relationships/hyperlink" Target="https://www.epac-eacn.org/fileadmin/Documents/EPAC_EACN_EU_Integrity_Manual.pdf" TargetMode="External"/><Relationship Id="rId310" Type="http://schemas.openxmlformats.org/officeDocument/2006/relationships/hyperlink" Target="https://www.antifraucv.es/wp-content/uploads/2022/03/Proposta-modif-lfpv-ley-mesures-2022-CSV.pdf" TargetMode="External"/><Relationship Id="rId492" Type="http://schemas.openxmlformats.org/officeDocument/2006/relationships/hyperlink" Target="https://www.antifraucv.es/wp-content/uploads/2022/01/20211231-AYUNTAMIENTO-DE-TURIS.pdf" TargetMode="External"/><Relationship Id="rId548" Type="http://schemas.openxmlformats.org/officeDocument/2006/relationships/chart" Target="charts/chart24.xml"/><Relationship Id="rId91" Type="http://schemas.openxmlformats.org/officeDocument/2006/relationships/hyperlink" Target="https://www.cortsvalencianes.es/ca-va/consulta_boc" TargetMode="External"/><Relationship Id="rId145" Type="http://schemas.openxmlformats.org/officeDocument/2006/relationships/hyperlink" Target="https://bit.ly/3K3O8Y6" TargetMode="External"/><Relationship Id="rId187" Type="http://schemas.openxmlformats.org/officeDocument/2006/relationships/hyperlink" Target="https://www.antifraucv.es/va/lagencia-valenciana-antifrau-presenta-11-esmenes-a-la-nova-llei-de-transparencia-i-bon-govern-de-la-comunitat-valenciana/" TargetMode="External"/><Relationship Id="rId352" Type="http://schemas.openxmlformats.org/officeDocument/2006/relationships/hyperlink" Target="https://www.poderjudicial.es/search/AN/openDocument/7f0cdb113c7432eb/20211119" TargetMode="External"/><Relationship Id="rId394" Type="http://schemas.openxmlformats.org/officeDocument/2006/relationships/hyperlink" Target="https://www.cortsvalencianes.es/ca-va/consulta_boc" TargetMode="External"/><Relationship Id="rId408" Type="http://schemas.openxmlformats.org/officeDocument/2006/relationships/hyperlink" Target="http://www.antifraucv.es/wp-content/uploads/2021/04/Pronunciamiento_CdP.pdf" TargetMode="External"/><Relationship Id="rId212" Type="http://schemas.openxmlformats.org/officeDocument/2006/relationships/hyperlink" Target="https://dogv.gva.es/datos/2019/02/22/pdf/2019_1534.pdf" TargetMode="External"/><Relationship Id="rId254" Type="http://schemas.openxmlformats.org/officeDocument/2006/relationships/hyperlink" Target="https://sirdoc.ccyl.es/sirdoc/PDF/PUBLOFI/BO/CCL/10L/BOCCL1000277/BOCCL-10-021714.pdf" TargetMode="External"/><Relationship Id="rId49" Type="http://schemas.openxmlformats.org/officeDocument/2006/relationships/hyperlink" Target="file:///Q:\MEMORIA\2021_gtm\TEXTO%20PROVISIONAL\MEMORIA%202021_VAL\MEMORIA%20AVAF%202020%20VAL_V15.docx" TargetMode="External"/><Relationship Id="rId114" Type="http://schemas.openxmlformats.org/officeDocument/2006/relationships/hyperlink" Target="https://postgrado.adeituv.es/ca-valencia/cursos/area_juridica_y_social-2/contratacion-publica-compliance/home.htm" TargetMode="External"/><Relationship Id="rId296" Type="http://schemas.openxmlformats.org/officeDocument/2006/relationships/hyperlink" Target="https://dogv.gva.es/auto/dogv/docvpub/rlgv/2019/RAF_20190627_ca_RAF_20190716.pdf" TargetMode="External"/><Relationship Id="rId461" Type="http://schemas.openxmlformats.org/officeDocument/2006/relationships/hyperlink" Target="https://www.antifraucv.es/wp-content/uploads/2021/07/20210729_AYUNTAMIENTO-DE-VALENCIA.pdf" TargetMode="External"/><Relationship Id="rId517" Type="http://schemas.openxmlformats.org/officeDocument/2006/relationships/image" Target="media/image40.png"/><Relationship Id="rId559" Type="http://schemas.openxmlformats.org/officeDocument/2006/relationships/hyperlink" Target="https://eur-lex.europa.eu/legal-content/ES/TXT/PDF/?uri=CELEX:62004CJ0212&amp;from=FR" TargetMode="External"/><Relationship Id="rId60" Type="http://schemas.openxmlformats.org/officeDocument/2006/relationships/footer" Target="footer3.xml"/><Relationship Id="rId156" Type="http://schemas.openxmlformats.org/officeDocument/2006/relationships/hyperlink" Target="https://bit.ly/3po04fq" TargetMode="External"/><Relationship Id="rId198" Type="http://schemas.openxmlformats.org/officeDocument/2006/relationships/hyperlink" Target="https://rm.coe.int/16806cc1ec" TargetMode="External"/><Relationship Id="rId321" Type="http://schemas.openxmlformats.org/officeDocument/2006/relationships/hyperlink" Target="https://www.cortsvalencianes.es/es/consulta_boc" TargetMode="External"/><Relationship Id="rId363" Type="http://schemas.openxmlformats.org/officeDocument/2006/relationships/chart" Target="charts/chart10.xml"/><Relationship Id="rId419" Type="http://schemas.openxmlformats.org/officeDocument/2006/relationships/chart" Target="charts/chart20.xml"/><Relationship Id="rId570" Type="http://schemas.openxmlformats.org/officeDocument/2006/relationships/image" Target="media/image67.emf"/><Relationship Id="rId223" Type="http://schemas.openxmlformats.org/officeDocument/2006/relationships/hyperlink" Target="https://www.antifraucv.es/wp-content/uploads/2022/01/DOGV-Res-modif-Reglamento.pdf" TargetMode="External"/><Relationship Id="rId430" Type="http://schemas.openxmlformats.org/officeDocument/2006/relationships/hyperlink" Target="http://www.antifraucv.es/wp-content/uploads/2021/03/20210223_AYUNTAMIENTO_DE_CAMPORROBLES.pdf" TargetMode="External"/><Relationship Id="rId18" Type="http://schemas.openxmlformats.org/officeDocument/2006/relationships/hyperlink" Target="http://www.antifraucv.es/" TargetMode="External"/><Relationship Id="rId265" Type="http://schemas.openxmlformats.org/officeDocument/2006/relationships/hyperlink" Target="https://www.poderjudicial.es/search/AN/openDocument/e5631ef00cd5e6ce/20200213" TargetMode="External"/><Relationship Id="rId472" Type="http://schemas.openxmlformats.org/officeDocument/2006/relationships/hyperlink" Target="https://www.antifraucv.es/wp-content/uploads/2021/10/20211018_AYUNTAMIENTO_DE_SUECA.pdf" TargetMode="External"/><Relationship Id="rId528" Type="http://schemas.openxmlformats.org/officeDocument/2006/relationships/hyperlink" Target="https://www.youtube.com/channel/UCkDS5OEUZu3iTEWg7gu8XXQ/videos" TargetMode="External"/><Relationship Id="rId125" Type="http://schemas.openxmlformats.org/officeDocument/2006/relationships/hyperlink" Target="https://www.antifraucv.es/va/el-president-morera-i-el-director-de-lagencia-antifrau-analitzen-els-avancos-contra-la-corrupcio-i-la-recuperacio-del-credit-reputacional-de-les-institucions-valencianes/" TargetMode="External"/><Relationship Id="rId167" Type="http://schemas.openxmlformats.org/officeDocument/2006/relationships/hyperlink" Target="https://bit.ly/3K2gYrR" TargetMode="External"/><Relationship Id="rId332" Type="http://schemas.openxmlformats.org/officeDocument/2006/relationships/hyperlink" Target="https://www.ccbe.eu/" TargetMode="External"/><Relationship Id="rId374" Type="http://schemas.openxmlformats.org/officeDocument/2006/relationships/hyperlink" Target="https://www.antifraucv.es/wp-content/uploads/2021/07/20210810_Publicidad-DOGV2021_8557.pdf" TargetMode="External"/><Relationship Id="rId581" Type="http://schemas.openxmlformats.org/officeDocument/2006/relationships/image" Target="media/image78.emf"/><Relationship Id="rId71" Type="http://schemas.openxmlformats.org/officeDocument/2006/relationships/hyperlink" Target="https://www.youtube.com/watch?v=Tm8NoOd2q5c" TargetMode="External"/><Relationship Id="rId234" Type="http://schemas.openxmlformats.org/officeDocument/2006/relationships/hyperlink" Target="https://transparencia.org.es/" TargetMode="External"/><Relationship Id="rId2" Type="http://schemas.openxmlformats.org/officeDocument/2006/relationships/numbering" Target="numbering.xml"/><Relationship Id="rId29" Type="http://schemas.openxmlformats.org/officeDocument/2006/relationships/hyperlink" Target="https://www.youtube.com/channel/UCkDS5OEUZu3iTEWg7gu8XXQ" TargetMode="External"/><Relationship Id="rId276" Type="http://schemas.openxmlformats.org/officeDocument/2006/relationships/hyperlink" Target="https://www.mjusticia.gob.es/es/AreaTematica/ActividadLegislativa/Documents/APL%20INFORMANTES.pdf" TargetMode="External"/><Relationship Id="rId441" Type="http://schemas.openxmlformats.org/officeDocument/2006/relationships/hyperlink" Target="http://www.antifraucv.es/wp-content/uploads/2021/04/20210419_AYUNTAMIENTO_DE_SEDAVI.pdf" TargetMode="External"/><Relationship Id="rId483" Type="http://schemas.openxmlformats.org/officeDocument/2006/relationships/hyperlink" Target="https://www.antifraucv.es/wp-content/uploads/2022/01/20211209_AYUNTAMENTO-DE-VALENCIA.pdf" TargetMode="External"/><Relationship Id="rId539" Type="http://schemas.openxmlformats.org/officeDocument/2006/relationships/image" Target="media/image55.png"/><Relationship Id="rId40" Type="http://schemas.openxmlformats.org/officeDocument/2006/relationships/image" Target="media/image11.png"/><Relationship Id="rId136" Type="http://schemas.openxmlformats.org/officeDocument/2006/relationships/image" Target="media/image22.png"/><Relationship Id="rId178" Type="http://schemas.openxmlformats.org/officeDocument/2006/relationships/hyperlink" Target="https://bit.ly/3HyN5xD" TargetMode="External"/><Relationship Id="rId301" Type="http://schemas.openxmlformats.org/officeDocument/2006/relationships/hyperlink" Target="http://www.poderjudicial.es/search/TS/openDocument/dc7324b078b7f777/20200212" TargetMode="External"/><Relationship Id="rId343" Type="http://schemas.openxmlformats.org/officeDocument/2006/relationships/hyperlink" Target="https://www.lamoncloa.gob.es/temas/fondos-recuperacion/Documents/30042021-Plan_Recuperacion_%20Transformacion_%20Resiliencia.pdf" TargetMode="External"/><Relationship Id="rId550" Type="http://schemas.openxmlformats.org/officeDocument/2006/relationships/chart" Target="charts/chart25.xml"/><Relationship Id="rId82" Type="http://schemas.openxmlformats.org/officeDocument/2006/relationships/hyperlink" Target="https://www.antifraucv.es/va/quarta-reunio-del-consell-de-participacio-de-lagencia-valenciana-antifrau/" TargetMode="External"/><Relationship Id="rId203" Type="http://schemas.openxmlformats.org/officeDocument/2006/relationships/hyperlink" Target="https://www.boe.es/doue/2019/305/L00017-00056.pdf" TargetMode="External"/><Relationship Id="rId385" Type="http://schemas.openxmlformats.org/officeDocument/2006/relationships/hyperlink" Target="https://www.cortsvalencianes.es/ca-va/consulta_boc" TargetMode="External"/><Relationship Id="rId592" Type="http://schemas.openxmlformats.org/officeDocument/2006/relationships/theme" Target="theme/theme1.xml"/><Relationship Id="rId245" Type="http://schemas.openxmlformats.org/officeDocument/2006/relationships/hyperlink" Target="https://www.boe.es/buscar/pdf/2021/BOE-A-2021-11380-consolidado.pdf" TargetMode="External"/><Relationship Id="rId287" Type="http://schemas.openxmlformats.org/officeDocument/2006/relationships/hyperlink" Target="https://www.boe.es/buscar/pdf/1882/BOE-A-1882-6036-consolidado.pdf" TargetMode="External"/><Relationship Id="rId410" Type="http://schemas.openxmlformats.org/officeDocument/2006/relationships/hyperlink" Target="https://www.antifraucv.es/portal-de-transparencia/informacio-de-rellevancia-juridica/" TargetMode="External"/><Relationship Id="rId452" Type="http://schemas.openxmlformats.org/officeDocument/2006/relationships/hyperlink" Target="https://www.antifraucv.es/wp-content/uploads/2021/07/20210610_AYUNTAMIENTO_DE_CANET_DEN_BERENGUER.pdf" TargetMode="External"/><Relationship Id="rId494" Type="http://schemas.openxmlformats.org/officeDocument/2006/relationships/header" Target="header4.xml"/><Relationship Id="rId508" Type="http://schemas.openxmlformats.org/officeDocument/2006/relationships/image" Target="media/image320.jpeg"/><Relationship Id="rId105" Type="http://schemas.openxmlformats.org/officeDocument/2006/relationships/hyperlink" Target="https://transparencia.org.es/wp-content/uploads/2021/02/Programa-Avances-y-retos-en-transparencia-e-integridad-en-el-Congreso-de-los-Diputados-y-el-Senado-de-Espana-1.pdf" TargetMode="External"/><Relationship Id="rId147" Type="http://schemas.openxmlformats.org/officeDocument/2006/relationships/hyperlink" Target="https://bit.ly/36OF9Mi" TargetMode="External"/><Relationship Id="rId312" Type="http://schemas.openxmlformats.org/officeDocument/2006/relationships/hyperlink" Target="https://www.boe.es/doue/2019/305/L00017-00056.pdf" TargetMode="External"/><Relationship Id="rId354" Type="http://schemas.openxmlformats.org/officeDocument/2006/relationships/hyperlink" Target="https://elconsultor.laley.es/Content/Documento.aspx?params=H4sIAAAAAAAEAMtMSbF1jTAAAkMzA2NTU7Wy1KLizPw8WyMDI0MgMgcJZKZVuuQnh1QWpNqmJeYUpwIAq69zmTUAAAA=WKE" TargetMode="External"/><Relationship Id="rId51" Type="http://schemas.openxmlformats.org/officeDocument/2006/relationships/hyperlink" Target="file:///Q:\MEMORIA\2021_gtm\TEXTO%20PROVISIONAL\MEMORIA%202021_VAL\MEMORIA%20AVAF%202020%20VAL_V15.docx" TargetMode="External"/><Relationship Id="rId93" Type="http://schemas.openxmlformats.org/officeDocument/2006/relationships/hyperlink" Target="https://www.cortsvalencianes.es/ca-va/consulta_boc" TargetMode="External"/><Relationship Id="rId189" Type="http://schemas.openxmlformats.org/officeDocument/2006/relationships/hyperlink" Target="https://www.legebiltzarra.eus/ic2/restAPI/pvgune_descargar/default/5b981736-1434-465d-b718-5c98192330f7" TargetMode="External"/><Relationship Id="rId396" Type="http://schemas.openxmlformats.org/officeDocument/2006/relationships/hyperlink" Target="https://www.cortsvalencianes.es/ca-va/consulta_boc" TargetMode="External"/><Relationship Id="rId561" Type="http://schemas.openxmlformats.org/officeDocument/2006/relationships/hyperlink" Target="https://www.antifraucv.es/wp-content/uploads/2022/03/Alegaciones-AVAF-tramite-de-audiencia-APL-Directiva-2019-1937.pdf" TargetMode="External"/><Relationship Id="rId214" Type="http://schemas.openxmlformats.org/officeDocument/2006/relationships/hyperlink" Target="https://www.boe.es/biblioteca_juridica/codigos/codigo.php?id=322_Codigo_de_Lucha_contra_el_Fraude_y_la_Corrupcion&amp;modo=2" TargetMode="External"/><Relationship Id="rId256" Type="http://schemas.openxmlformats.org/officeDocument/2006/relationships/hyperlink" Target="https://www.mjusticia.gob.es/es/AreaTematica/ActividadLegislativa/Documents/MAIN_Y_Tabla_transposicion_APL_INFORMANTES_2022.03.11_TRAMITE_DE_AUDIENCIA_E_INFORMACION_PUBLICA.pdf" TargetMode="External"/><Relationship Id="rId298" Type="http://schemas.openxmlformats.org/officeDocument/2006/relationships/hyperlink" Target="https://www.mjusticia.gob.es/es/AreaTematica/ActividadLegislativa/Documents/210126%20ANTEPROYECTO%20LECRIM%202020%20INFORMACION%20PUBLICA%20(1).pdf" TargetMode="External"/><Relationship Id="rId421" Type="http://schemas.openxmlformats.org/officeDocument/2006/relationships/chart" Target="charts/chart22.xml"/><Relationship Id="rId463" Type="http://schemas.openxmlformats.org/officeDocument/2006/relationships/hyperlink" Target="https://www.antifraucv.es/wp-content/uploads/2021/09/20210824_AYUNTAMIENTO_DE_LA_SERRATELLA.pdf" TargetMode="External"/><Relationship Id="rId519" Type="http://schemas.openxmlformats.org/officeDocument/2006/relationships/image" Target="media/image42.png"/><Relationship Id="rId116" Type="http://schemas.openxmlformats.org/officeDocument/2006/relationships/hyperlink" Target="https://acicom.org/com-robar-un-pais-cine-club-accio-documental-dimecres-12-5-2021-a-les-1800h-octubre-ccc/" TargetMode="External"/><Relationship Id="rId158" Type="http://schemas.openxmlformats.org/officeDocument/2006/relationships/hyperlink" Target="https://bit.ly/3JZqk7O" TargetMode="External"/><Relationship Id="rId323" Type="http://schemas.openxmlformats.org/officeDocument/2006/relationships/hyperlink" Target="https://www.boe.es/buscar/pdf/2018/BOE-A-2018-14293-consolidado.pdf" TargetMode="External"/><Relationship Id="rId530" Type="http://schemas.openxmlformats.org/officeDocument/2006/relationships/image" Target="media/image50.png"/><Relationship Id="rId20" Type="http://schemas.openxmlformats.org/officeDocument/2006/relationships/hyperlink" Target="https://www.antifraucv.es/va/acces-a-la-informacio/" TargetMode="External"/><Relationship Id="rId62" Type="http://schemas.openxmlformats.org/officeDocument/2006/relationships/hyperlink" Target="https://www.youtube.com/watch?v=-LL-x9CZRXo" TargetMode="External"/><Relationship Id="rId365" Type="http://schemas.openxmlformats.org/officeDocument/2006/relationships/chart" Target="charts/chart12.xml"/><Relationship Id="rId572" Type="http://schemas.openxmlformats.org/officeDocument/2006/relationships/image" Target="media/image69.emf"/><Relationship Id="rId225" Type="http://schemas.openxmlformats.org/officeDocument/2006/relationships/hyperlink" Target="https://dogv.gva.es/datos/2022/02/18/pdf/2022_1132.pdf" TargetMode="External"/><Relationship Id="rId267" Type="http://schemas.openxmlformats.org/officeDocument/2006/relationships/hyperlink" Target="https://www.antifraucv.es/wp-content/uploads/2022/01/Declaracion-Utrecht-4-junio-2021-canales-internos-ENG-CAS.pdf" TargetMode="External"/><Relationship Id="rId432" Type="http://schemas.openxmlformats.org/officeDocument/2006/relationships/hyperlink" Target="http://www.antifraucv.es/wp-content/uploads/2021/04/20210301_AYUNTAMIENTO_DE_ROJALES.pdf" TargetMode="External"/><Relationship Id="rId474" Type="http://schemas.openxmlformats.org/officeDocument/2006/relationships/hyperlink" Target="https://www.antifraucv.es/wp-content/uploads/2021/10/20211021_UNIVERSIDAD_DE_ALICANTE.pdf" TargetMode="External"/><Relationship Id="rId127" Type="http://schemas.openxmlformats.org/officeDocument/2006/relationships/hyperlink" Target="https://www.ivoox.com/podcast-podcast-agencia-valenciana-antifraude_sq_f11289334_1.html" TargetMode="External"/><Relationship Id="rId31" Type="http://schemas.openxmlformats.org/officeDocument/2006/relationships/hyperlink" Target="https://www.linkedin.com/company/antifraucv/" TargetMode="External"/><Relationship Id="rId73" Type="http://schemas.openxmlformats.org/officeDocument/2006/relationships/image" Target="media/image16.png"/><Relationship Id="rId169" Type="http://schemas.openxmlformats.org/officeDocument/2006/relationships/hyperlink" Target="https://bit.ly/3pntqKW" TargetMode="External"/><Relationship Id="rId334" Type="http://schemas.openxmlformats.org/officeDocument/2006/relationships/hyperlink" Target="https://www.oecd.org/" TargetMode="External"/><Relationship Id="rId376" Type="http://schemas.openxmlformats.org/officeDocument/2006/relationships/hyperlink" Target="https://dogv.gva.es/auto/dogv/docvpub/rlgv/2019/RAF_20190627_ca_RAF_20190716.pdf" TargetMode="External"/><Relationship Id="rId541" Type="http://schemas.openxmlformats.org/officeDocument/2006/relationships/hyperlink" Target="http://www.cepc.gob.es/sites/default/files/2022-02/s-156-indice-fundamentos-int-nuevo-2.pdf" TargetMode="External"/><Relationship Id="rId583" Type="http://schemas.openxmlformats.org/officeDocument/2006/relationships/image" Target="media/image80.emf"/><Relationship Id="rId4" Type="http://schemas.openxmlformats.org/officeDocument/2006/relationships/settings" Target="settings.xml"/><Relationship Id="rId180" Type="http://schemas.openxmlformats.org/officeDocument/2006/relationships/hyperlink" Target="https://bit.ly/3sreuxb" TargetMode="External"/><Relationship Id="rId236" Type="http://schemas.openxmlformats.org/officeDocument/2006/relationships/image" Target="media/image25.png"/><Relationship Id="rId278" Type="http://schemas.openxmlformats.org/officeDocument/2006/relationships/hyperlink" Target="https://www.boe.es/buscar/pdf/2016/BOE-A-2016-12048-consolidado.pdf" TargetMode="External"/><Relationship Id="rId401" Type="http://schemas.openxmlformats.org/officeDocument/2006/relationships/hyperlink" Target="https://www.cortsvalencianes.es/ca-va/consulta_boc" TargetMode="External"/><Relationship Id="rId443" Type="http://schemas.openxmlformats.org/officeDocument/2006/relationships/hyperlink" Target="http://www.antifraucv.es/wp-content/uploads/2021/04/202210430_AYUNTAMIENTO_DE_VINAROZ.pdf" TargetMode="External"/><Relationship Id="rId303" Type="http://schemas.openxmlformats.org/officeDocument/2006/relationships/hyperlink" Target="https://www.antifraucv.es/wp-content/uploads/2020/04/Resolucio_20180425_Bustia_Denuncies.pdf" TargetMode="External"/><Relationship Id="rId485" Type="http://schemas.openxmlformats.org/officeDocument/2006/relationships/hyperlink" Target="https://www.antifraucv.es/wp-content/uploads/2022/01/20211213_AYUNTAMIENTO-DE-TOUS.pdf" TargetMode="External"/><Relationship Id="rId42" Type="http://schemas.openxmlformats.org/officeDocument/2006/relationships/hyperlink" Target="file:///Q:\MEMORIA\2021_gtm\TEXTO%20PROVISIONAL\MEMORIA%202021_VAL\MEMORIA%20AVAF%202020%20VAL_V15.docx" TargetMode="External"/><Relationship Id="rId84" Type="http://schemas.openxmlformats.org/officeDocument/2006/relationships/hyperlink" Target="https://congresotransparencia.com/programa-alicante/" TargetMode="External"/><Relationship Id="rId138" Type="http://schemas.openxmlformats.org/officeDocument/2006/relationships/chart" Target="charts/chart3.xml"/><Relationship Id="rId345" Type="http://schemas.openxmlformats.org/officeDocument/2006/relationships/hyperlink" Target="https://www.antifraucv.es/wp-content/uploads/2022/03/Descripcion-detallada-del-proyecto.pdf" TargetMode="External"/><Relationship Id="rId387" Type="http://schemas.openxmlformats.org/officeDocument/2006/relationships/hyperlink" Target="https://www.cortsvalencianes.es/ca-va/consulta_boc" TargetMode="External"/><Relationship Id="rId510" Type="http://schemas.openxmlformats.org/officeDocument/2006/relationships/image" Target="media/image33.png"/><Relationship Id="rId552" Type="http://schemas.openxmlformats.org/officeDocument/2006/relationships/hyperlink" Target="https://www.hacienda.gob.es/RSC/OIReScon/COVID-19/ies-emergencias-2021/IES-emergencias-2021.pdf" TargetMode="External"/><Relationship Id="rId191" Type="http://schemas.openxmlformats.org/officeDocument/2006/relationships/hyperlink" Target="https://dogv.gva.es/auto/dogv/docvpub/rlgv/2019/RAF_20190627_ca_RAF_20190716.pdf" TargetMode="External"/><Relationship Id="rId205" Type="http://schemas.openxmlformats.org/officeDocument/2006/relationships/hyperlink" Target="https://www.boe.es/doue/2019/305/L00017-00056.pdf" TargetMode="External"/><Relationship Id="rId247" Type="http://schemas.openxmlformats.org/officeDocument/2006/relationships/hyperlink" Target="https://www.asambleamadrid.es/static/docs/registro-ep/RGEP27067-20.pdf" TargetMode="External"/><Relationship Id="rId412" Type="http://schemas.openxmlformats.org/officeDocument/2006/relationships/hyperlink" Target="https://www.antifraucv.es/denuncia/bustia-de-denuncies/" TargetMode="External"/><Relationship Id="rId107" Type="http://schemas.openxmlformats.org/officeDocument/2006/relationships/hyperlink" Target="https://cadenaser.com/emisora/2021/12/21/radio_valencia/1640079185_445942.html" TargetMode="External"/><Relationship Id="rId289" Type="http://schemas.openxmlformats.org/officeDocument/2006/relationships/hyperlink" Target="https://www.boe.es/boe/dias/2006/07/19/pdfs/A27132-27153.pdf" TargetMode="External"/><Relationship Id="rId454" Type="http://schemas.openxmlformats.org/officeDocument/2006/relationships/hyperlink" Target="https://www.antifraucv.es/wp-content/uploads/2021/07/20210615-AYUNTAMIENTO_DE_LA-YESA.pdf" TargetMode="External"/><Relationship Id="rId496" Type="http://schemas.openxmlformats.org/officeDocument/2006/relationships/header" Target="header5.xml"/><Relationship Id="rId11" Type="http://schemas.openxmlformats.org/officeDocument/2006/relationships/footer" Target="footer2.xml"/><Relationship Id="rId53" Type="http://schemas.openxmlformats.org/officeDocument/2006/relationships/hyperlink" Target="file:///Q:\MEMORIA\2021_gtm\TEXTO%20PROVISIONAL\MEMORIA%202021_VAL\MEMORIA%20AVAF%202020%20VAL_V15.docx" TargetMode="External"/><Relationship Id="rId149" Type="http://schemas.openxmlformats.org/officeDocument/2006/relationships/hyperlink" Target="https://bit.ly/3MbT5QL" TargetMode="External"/><Relationship Id="rId314" Type="http://schemas.openxmlformats.org/officeDocument/2006/relationships/hyperlink" Target="http://www.dogv.gva.es/datos/2018/11/08/pdf/2018_10294.pdf" TargetMode="External"/><Relationship Id="rId356" Type="http://schemas.openxmlformats.org/officeDocument/2006/relationships/hyperlink" Target="https://www.poderjudicial.es/cgpj/es/Poder-Judicial/Tribunal-Supremo/Noticias-Judiciales/El-Tribunal-Supremo-apoya-la-concesion-de-un-indulto-parcial-de-la-pena-de-inhabilitacion-al-denunciante-del--caso-Gurtel-" TargetMode="External"/><Relationship Id="rId398" Type="http://schemas.openxmlformats.org/officeDocument/2006/relationships/hyperlink" Target="https://www.cortsvalencianes.es/ca-va/consulta_boc" TargetMode="External"/><Relationship Id="rId521" Type="http://schemas.openxmlformats.org/officeDocument/2006/relationships/image" Target="media/image44.png"/><Relationship Id="rId563" Type="http://schemas.openxmlformats.org/officeDocument/2006/relationships/image" Target="media/image60.emf"/><Relationship Id="rId95" Type="http://schemas.openxmlformats.org/officeDocument/2006/relationships/hyperlink" Target="https://www.cortsvalencianes.es/ca-va/consulta_boc" TargetMode="External"/><Relationship Id="rId160" Type="http://schemas.openxmlformats.org/officeDocument/2006/relationships/hyperlink" Target="https://bit.ly/3vqhPPh" TargetMode="External"/><Relationship Id="rId216" Type="http://schemas.openxmlformats.org/officeDocument/2006/relationships/hyperlink" Target="http://www.antifraucv.es/wp-content/uploads/2021/04/210602-Resolucion-350-X-apoyo-AVAF.pdf" TargetMode="External"/><Relationship Id="rId423" Type="http://schemas.openxmlformats.org/officeDocument/2006/relationships/hyperlink" Target="http://www.antifraucv.es/wp-content/uploads/2021/03/20210121_AYUNTAMIENTO_DE_VALENCIA.pdf" TargetMode="External"/><Relationship Id="rId258" Type="http://schemas.openxmlformats.org/officeDocument/2006/relationships/hyperlink" Target="http://www.antifraucv.es/wp-content/uploads/2021/03/Alegaciones_consulta_publica_avaf_OK.pdf" TargetMode="External"/><Relationship Id="rId465" Type="http://schemas.openxmlformats.org/officeDocument/2006/relationships/hyperlink" Target="https://www.antifraucv.es/wp-content/uploads/2021/09/20210907_FUNDACION_PARA_LA_INVESTIGACION_INSTITUTO_SANITARIO_LA_FE.pdf" TargetMode="External"/><Relationship Id="rId22" Type="http://schemas.openxmlformats.org/officeDocument/2006/relationships/hyperlink" Target="mailto:comunicacion@antifraucv.es" TargetMode="External"/><Relationship Id="rId64" Type="http://schemas.openxmlformats.org/officeDocument/2006/relationships/image" Target="media/image13.jpeg"/><Relationship Id="rId118" Type="http://schemas.openxmlformats.org/officeDocument/2006/relationships/hyperlink" Target="https://www.antifraucv.es/el-director-de-lavaf-participa-en-la-segona-edicio-del-curs-de-la-llei-de-transparencia-implantacio-en-ladministracio-local-de-la-diputacio-dalacant/" TargetMode="External"/><Relationship Id="rId325" Type="http://schemas.openxmlformats.org/officeDocument/2006/relationships/hyperlink" Target="https://www.unodc.org/documents/treaties/UNCAC/COSP/special-session/V2103921_S.pdf" TargetMode="External"/><Relationship Id="rId367" Type="http://schemas.openxmlformats.org/officeDocument/2006/relationships/hyperlink" Target="http://www.antifraucv.es/wp-content/uploads/2021/04/210531-Escrito-a-sindic-greuges.pdf" TargetMode="External"/><Relationship Id="rId532" Type="http://schemas.openxmlformats.org/officeDocument/2006/relationships/hyperlink" Target="https://www.antifraucv.es/events/" TargetMode="External"/><Relationship Id="rId574" Type="http://schemas.openxmlformats.org/officeDocument/2006/relationships/image" Target="media/image71.emf"/><Relationship Id="rId171" Type="http://schemas.openxmlformats.org/officeDocument/2006/relationships/hyperlink" Target="https://bit.ly/359N9qQ" TargetMode="External"/><Relationship Id="rId227" Type="http://schemas.openxmlformats.org/officeDocument/2006/relationships/hyperlink" Target="https://www.antifraucv.es/wp-content/uploads/2022/03/220315_Resolucion_Aprobacion_Rgto_Buzon-interno_CAS_VAL-CSV.pdf" TargetMode="External"/><Relationship Id="rId269" Type="http://schemas.openxmlformats.org/officeDocument/2006/relationships/hyperlink" Target="https://www.antifraucv.es/wp-content/uploads/2022/01/211217-Declaracion-de-Dublin-ENG-ESP.pdf" TargetMode="External"/><Relationship Id="rId434" Type="http://schemas.openxmlformats.org/officeDocument/2006/relationships/hyperlink" Target="http://www.antifraucv.es/wp-content/uploads/2021/04/20210308_AYUNTAMIENTO_DE_CALPE.pdf" TargetMode="External"/><Relationship Id="rId476" Type="http://schemas.openxmlformats.org/officeDocument/2006/relationships/hyperlink" Target="https://www.antifraucv.es/wp-content/uploads/2021/11/202117011-AYUNTAMIENTO-DE-CANET-DEN-BERENGUER.pdf" TargetMode="External"/><Relationship Id="rId33" Type="http://schemas.openxmlformats.org/officeDocument/2006/relationships/hyperlink" Target="https://t.me/AgenciaValencianaAntifraude" TargetMode="External"/><Relationship Id="rId129" Type="http://schemas.openxmlformats.org/officeDocument/2006/relationships/image" Target="media/image21.jpg"/><Relationship Id="rId280" Type="http://schemas.openxmlformats.org/officeDocument/2006/relationships/hyperlink" Target="https://www.boe.es/boe/dias/2006/07/19/pdfs/A27132-27153.pdf" TargetMode="External"/><Relationship Id="rId336" Type="http://schemas.openxmlformats.org/officeDocument/2006/relationships/hyperlink" Target="https://www.eppo.europa.eu/en" TargetMode="External"/><Relationship Id="rId501" Type="http://schemas.openxmlformats.org/officeDocument/2006/relationships/image" Target="media/image30.jpeg"/><Relationship Id="rId543" Type="http://schemas.openxmlformats.org/officeDocument/2006/relationships/image" Target="media/image58.emf"/><Relationship Id="rId75" Type="http://schemas.openxmlformats.org/officeDocument/2006/relationships/image" Target="media/image17.png"/><Relationship Id="rId140" Type="http://schemas.openxmlformats.org/officeDocument/2006/relationships/hyperlink" Target="https://bit.ly/3IwHc5p" TargetMode="External"/><Relationship Id="rId182" Type="http://schemas.openxmlformats.org/officeDocument/2006/relationships/hyperlink" Target="https://www.antifraucv.es/va/lagencia-valenciana-antifrau-presenta-a-les-corts-la-seua-memoria-dactivitat-de-lany-2020/" TargetMode="External"/><Relationship Id="rId378" Type="http://schemas.openxmlformats.org/officeDocument/2006/relationships/hyperlink" Target="https://dogv.gva.es/auto/dogv/docvpub/rlgv/2019/RAF_20190627_ca_RAF_20190716.pdf" TargetMode="External"/><Relationship Id="rId403" Type="http://schemas.openxmlformats.org/officeDocument/2006/relationships/hyperlink" Target="https://www.antifraucv.es/wp-content/uploads/2022/03/05_220316-ACORD-DE-PRORROGA-DEL-CONVENI-MARC_-con-logos-VAL-signat.pdf" TargetMode="External"/><Relationship Id="rId585" Type="http://schemas.openxmlformats.org/officeDocument/2006/relationships/image" Target="media/image82.emf"/><Relationship Id="rId6" Type="http://schemas.openxmlformats.org/officeDocument/2006/relationships/footnotes" Target="footnotes.xml"/><Relationship Id="rId238" Type="http://schemas.openxmlformats.org/officeDocument/2006/relationships/hyperlink" Target="https://www.lamoncloa.gob.es/temas/fondos-recuperacion/Documents/30042021-Plan_Recuperacion_%20Transformacion_%20Resiliencia.pdf" TargetMode="External"/><Relationship Id="rId445" Type="http://schemas.openxmlformats.org/officeDocument/2006/relationships/hyperlink" Target="http://www.antifraucv.es/wp-content/uploads/2021/04/20210503_DIPUTACION_DE_CASTELLON.pdf" TargetMode="External"/><Relationship Id="rId487" Type="http://schemas.openxmlformats.org/officeDocument/2006/relationships/hyperlink" Target="https://www.antifraucv.es/wp-content/uploads/2022/01/20211214_AYUNTAMIENTO-DE-ALBAIDA.pdf" TargetMode="External"/><Relationship Id="rId291" Type="http://schemas.openxmlformats.org/officeDocument/2006/relationships/hyperlink" Target="https://www.juntadeandalucia.es/boja/2021/125/BOJA21-125-00037-11020-01_00194855.pdf" TargetMode="External"/><Relationship Id="rId305" Type="http://schemas.openxmlformats.org/officeDocument/2006/relationships/hyperlink" Target="https://www.boe.es/buscar/act.php?id=BOE-A-1994-28510" TargetMode="External"/><Relationship Id="rId347" Type="http://schemas.openxmlformats.org/officeDocument/2006/relationships/hyperlink" Target="https://www.boe.es/buscar/pdf/2016/BOE-A-2016-12048-consolidado.pdf" TargetMode="External"/><Relationship Id="rId512" Type="http://schemas.openxmlformats.org/officeDocument/2006/relationships/image" Target="media/image35.jpeg"/><Relationship Id="rId44" Type="http://schemas.openxmlformats.org/officeDocument/2006/relationships/hyperlink" Target="file:///Q:\MEMORIA\2021_gtm\TEXTO%20PROVISIONAL\MEMORIA%202021_VAL\MEMORIA%20AVAF%202020%20VAL_V15.docx" TargetMode="External"/><Relationship Id="rId86" Type="http://schemas.openxmlformats.org/officeDocument/2006/relationships/hyperlink" Target="https://www.antifraucv.es/va/les-oficines-i-agencies-antifrau-despanya-urgeixen-a-la-transposicio-de-la-directiva-europea-de-proteccio-de-les-persones-denunciants/" TargetMode="External"/><Relationship Id="rId151" Type="http://schemas.openxmlformats.org/officeDocument/2006/relationships/hyperlink" Target="https://bit.ly/3suL4OI" TargetMode="External"/><Relationship Id="rId389" Type="http://schemas.openxmlformats.org/officeDocument/2006/relationships/hyperlink" Target="https://www.cortsvalencianes.es/ca-va/consulta_boc" TargetMode="External"/><Relationship Id="rId554" Type="http://schemas.openxmlformats.org/officeDocument/2006/relationships/hyperlink" Target="https://www.hacienda.gob.es/Documentacion/Publico/D.G.%20PATRIMONIO/Junta%20Consultiva/informes/Informes2021/2021-075instruccionPRTR.pdf" TargetMode="External"/><Relationship Id="rId193" Type="http://schemas.openxmlformats.org/officeDocument/2006/relationships/hyperlink" Target="https://www.boe.es/buscar/pdf/1978/BOE-A-1978-31229-consolidado.pdf" TargetMode="External"/><Relationship Id="rId207" Type="http://schemas.openxmlformats.org/officeDocument/2006/relationships/hyperlink" Target="https://www.boe.es/doue/2019/305/L00017-00056.pdf" TargetMode="External"/><Relationship Id="rId249" Type="http://schemas.openxmlformats.org/officeDocument/2006/relationships/hyperlink" Target="https://www.asambleamadrid.es/static/docs/registro-ep/RGEP27067-20.pdf" TargetMode="External"/><Relationship Id="rId414" Type="http://schemas.openxmlformats.org/officeDocument/2006/relationships/chart" Target="charts/chart15.xml"/><Relationship Id="rId456" Type="http://schemas.openxmlformats.org/officeDocument/2006/relationships/hyperlink" Target="https://www.antifraucv.es/wp-content/uploads/2021/07/20210623_CIEGSA.pdf" TargetMode="External"/><Relationship Id="rId498" Type="http://schemas.openxmlformats.org/officeDocument/2006/relationships/hyperlink" Target="https://www.antifraucv.es/wp-content/uploads/2021/11/Guia_avaf_plan_de_integridad_publica.pdf" TargetMode="External"/><Relationship Id="rId13" Type="http://schemas.openxmlformats.org/officeDocument/2006/relationships/hyperlink" Target="http://www.antifraucv.es/" TargetMode="External"/><Relationship Id="rId109" Type="http://schemas.openxmlformats.org/officeDocument/2006/relationships/hyperlink" Target="https://www.antifraucv.es/va/els-ajuntaments-i-diputacions-mes-transparents-de-la-comunitat-valenciana-recullen-en-la-ceu-uch-els-segells-infoparticipa-2020/" TargetMode="External"/><Relationship Id="rId260" Type="http://schemas.openxmlformats.org/officeDocument/2006/relationships/image" Target="media/image27.png"/><Relationship Id="rId316" Type="http://schemas.openxmlformats.org/officeDocument/2006/relationships/hyperlink" Target="https://www.poderjudicial.es/search/AN/openDocument/e5631ef00cd5e6ce/20200213" TargetMode="External"/><Relationship Id="rId523" Type="http://schemas.openxmlformats.org/officeDocument/2006/relationships/image" Target="media/image46.png"/><Relationship Id="rId55" Type="http://schemas.openxmlformats.org/officeDocument/2006/relationships/hyperlink" Target="file:///Q:\MEMORIA\2021_gtm\TEXTO%20PROVISIONAL\MEMORIA%202021_VAL\MEMORIA%20AVAF%202020%20VAL_V15.docx" TargetMode="External"/><Relationship Id="rId97" Type="http://schemas.openxmlformats.org/officeDocument/2006/relationships/hyperlink" Target="https://www.cortsvalencianes.es/ca-va/consulta_boc" TargetMode="External"/><Relationship Id="rId120" Type="http://schemas.openxmlformats.org/officeDocument/2006/relationships/hyperlink" Target="https://www.youtube.com/watch?v=vpwVdUqlRKk" TargetMode="External"/><Relationship Id="rId358" Type="http://schemas.openxmlformats.org/officeDocument/2006/relationships/chart" Target="charts/chart5.xml"/><Relationship Id="rId565" Type="http://schemas.openxmlformats.org/officeDocument/2006/relationships/image" Target="media/image62.emf"/><Relationship Id="rId162" Type="http://schemas.openxmlformats.org/officeDocument/2006/relationships/hyperlink" Target="https://bit.ly/3hngoJ0" TargetMode="External"/><Relationship Id="rId218" Type="http://schemas.openxmlformats.org/officeDocument/2006/relationships/hyperlink" Target="https://www.boe.es/buscar/pdf/2016/BOE-A-2016-12048-consolidado.pdf" TargetMode="External"/><Relationship Id="rId425" Type="http://schemas.openxmlformats.org/officeDocument/2006/relationships/hyperlink" Target="http://www.antifraucv.es/wp-content/uploads/2021/03/20210126_GENERALITAT_VALENCIANA_IVC.pdf" TargetMode="External"/><Relationship Id="rId467" Type="http://schemas.openxmlformats.org/officeDocument/2006/relationships/hyperlink" Target="https://www.antifraucv.es/wp-content/uploads/2021/09/20210914_AYUNTAMIENTO_DE_ARAS_DE_LOS_OLMOS.pdf" TargetMode="External"/><Relationship Id="rId271" Type="http://schemas.openxmlformats.org/officeDocument/2006/relationships/hyperlink" Target="https://www.antifraucv.es/wp-content/uploads/2022/02/Declaracion-institucional-REDOAF.pdf" TargetMode="External"/><Relationship Id="rId24" Type="http://schemas.openxmlformats.org/officeDocument/2006/relationships/image" Target="media/image3.png"/><Relationship Id="rId66" Type="http://schemas.openxmlformats.org/officeDocument/2006/relationships/image" Target="media/image14.png"/><Relationship Id="rId131" Type="http://schemas.openxmlformats.org/officeDocument/2006/relationships/hyperlink" Target="https://www.antifraucv.es/va/5-raons-per-a-debatre-sobre-la-prevencio-de-la-corrupcio-a-les-aules/" TargetMode="External"/><Relationship Id="rId327" Type="http://schemas.openxmlformats.org/officeDocument/2006/relationships/hyperlink" Target="https://www.boe.es/eli/es/ai/2003/10/31/(1)/dof/spa/pdf" TargetMode="External"/><Relationship Id="rId369" Type="http://schemas.openxmlformats.org/officeDocument/2006/relationships/hyperlink" Target="http://www.antifraucv.es/wp-content/uploads/2021/04/Informe-juridico-avaf-sobre-informe-letrado-Corts-FDO.pdf" TargetMode="External"/><Relationship Id="rId534" Type="http://schemas.openxmlformats.org/officeDocument/2006/relationships/image" Target="media/image51.jpeg"/><Relationship Id="rId576" Type="http://schemas.openxmlformats.org/officeDocument/2006/relationships/image" Target="media/image73.emf"/><Relationship Id="rId173" Type="http://schemas.openxmlformats.org/officeDocument/2006/relationships/hyperlink" Target="https://bit.ly/3K6Pm59" TargetMode="External"/><Relationship Id="rId229" Type="http://schemas.openxmlformats.org/officeDocument/2006/relationships/hyperlink" Target="https://www.antifraucv.es/wp-content/uploads/2022/03/220307_Res-designacion-miembros-Comite-de-etica-AVAF-CSV.pdf" TargetMode="External"/><Relationship Id="rId380" Type="http://schemas.openxmlformats.org/officeDocument/2006/relationships/hyperlink" Target="https://www.antifraucv.es/va/informacio-de-rellevancia-juridica/" TargetMode="External"/><Relationship Id="rId436" Type="http://schemas.openxmlformats.org/officeDocument/2006/relationships/hyperlink" Target="http://www.antifraucv.es/wp-content/uploads/2021/04/20210316_DIPUTACION_DE_VALENCIA-DIVALTERRA.pdf" TargetMode="External"/><Relationship Id="rId240" Type="http://schemas.openxmlformats.org/officeDocument/2006/relationships/hyperlink" Target="https://www.congreso.es/proposiciones-de-ley?p_p_id=iniciativas&amp;p_p_lifecycle=0&amp;p_p_state=normal&amp;p_p_mode=view&amp;_iniciatives_mode=mostrarDetalle&amp;_iniciatives_legislatura=XIV&amp;_iniciatives_aneu=122%2F000116" TargetMode="External"/><Relationship Id="rId478" Type="http://schemas.openxmlformats.org/officeDocument/2006/relationships/hyperlink" Target="https://www.antifraucv.es/wp-content/uploads/2021/11/202111030-AYUNTAMIENTO_DE_BURRIANA.pdf" TargetMode="External"/><Relationship Id="rId35" Type="http://schemas.openxmlformats.org/officeDocument/2006/relationships/hyperlink" Target="https://www.antifraucv.es/" TargetMode="External"/><Relationship Id="rId77" Type="http://schemas.openxmlformats.org/officeDocument/2006/relationships/hyperlink" Target="https://www.dogv.gva.es/portal/ficha_disposicion_pc.jsp?sig=001789/2019&amp;L=1" TargetMode="External"/><Relationship Id="rId100" Type="http://schemas.openxmlformats.org/officeDocument/2006/relationships/hyperlink" Target="https://www.antifraucv.es/va/la-diputacio-de-castello-i-lagencia-valenciana-antifrau-signen-un-conveni-de-col%c2%b7laboracio/" TargetMode="External"/><Relationship Id="rId282" Type="http://schemas.openxmlformats.org/officeDocument/2006/relationships/hyperlink" Target="https://transparencia.gob.es/transparencia/dam/jcr:d306cd62-cc0f-40a1-9be8-fe24eeeee10d/IVPlanGobiernoAbierto_ES_vdef.pdf" TargetMode="External"/><Relationship Id="rId338" Type="http://schemas.openxmlformats.org/officeDocument/2006/relationships/hyperlink" Target="https://eur-lex.europa.eu/legal-content/ES/TXT/PDF/?uri=CELEX:52021SC0710&amp;from=ES" TargetMode="External"/><Relationship Id="rId503" Type="http://schemas.openxmlformats.org/officeDocument/2006/relationships/hyperlink" Target="https://www.antifraucv.es/wp-content/uploads/2021/11/Guia_avaf_plan_de_integridad_publica.pdf" TargetMode="External"/><Relationship Id="rId545" Type="http://schemas.openxmlformats.org/officeDocument/2006/relationships/hyperlink" Target="https://www.antifraucv.es/wp-content/uploads/2020/12/2020_12_29_-DOGV8985.pdf" TargetMode="External"/><Relationship Id="rId587" Type="http://schemas.openxmlformats.org/officeDocument/2006/relationships/image" Target="media/image84.emf"/><Relationship Id="rId8" Type="http://schemas.openxmlformats.org/officeDocument/2006/relationships/header" Target="header1.xml"/><Relationship Id="rId142" Type="http://schemas.openxmlformats.org/officeDocument/2006/relationships/hyperlink" Target="https://bit.ly/3vG3Ox5" TargetMode="External"/><Relationship Id="rId184" Type="http://schemas.openxmlformats.org/officeDocument/2006/relationships/hyperlink" Target="https://www.cortsvalencianes.es/ca-va/parlament-obert/participa/iniciative/proposicio-de-llei-de-transparencia-i-bon-govern-de-comunitat" TargetMode="External"/><Relationship Id="rId391" Type="http://schemas.openxmlformats.org/officeDocument/2006/relationships/hyperlink" Target="https://www.cortsvalencianes.es/ca-va/consulta_boc" TargetMode="External"/><Relationship Id="rId405" Type="http://schemas.openxmlformats.org/officeDocument/2006/relationships/hyperlink" Target="https://dogv.gva.es/auto/dogv/docvpub/rlgv/2019/RAF_20190627_ca_RAF_20190716.pdf" TargetMode="External"/><Relationship Id="rId447" Type="http://schemas.openxmlformats.org/officeDocument/2006/relationships/hyperlink" Target="http://www.antifraucv.es/wp-content/uploads/2021/04/20210512_AYUNTAMIENTO_DE_VALENCIA.pdf" TargetMode="External"/><Relationship Id="rId251" Type="http://schemas.openxmlformats.org/officeDocument/2006/relationships/hyperlink" Target="https://www.asambleamadrid.es/static/docs/registro-ep/RGEP27067-20.pdf" TargetMode="External"/><Relationship Id="rId489" Type="http://schemas.openxmlformats.org/officeDocument/2006/relationships/hyperlink" Target="https://www.antifraucv.es/wp-content/uploads/2022/01/20211216-_AYUNTAMIENTO-DE-TOUS.pdf" TargetMode="External"/><Relationship Id="rId46" Type="http://schemas.openxmlformats.org/officeDocument/2006/relationships/hyperlink" Target="file:///Q:\MEMORIA\2021_gtm\TEXTO%20PROVISIONAL\MEMORIA%202021_VAL\MEMORIA%20AVAF%202020%20VAL_V15.docx" TargetMode="External"/><Relationship Id="rId293" Type="http://schemas.openxmlformats.org/officeDocument/2006/relationships/hyperlink" Target="https://www.boe.es/boe/dias/2006/07/19/pdfs/A27132-27153.pdf" TargetMode="External"/><Relationship Id="rId307" Type="http://schemas.openxmlformats.org/officeDocument/2006/relationships/hyperlink" Target="https://www.boe.es/doue/2019/305/L00017-00056.pdf" TargetMode="External"/><Relationship Id="rId349" Type="http://schemas.openxmlformats.org/officeDocument/2006/relationships/hyperlink" Target="http://www.antifraucv.es/wp-content/uploads/2021/03/05_RES_ambito_actuacion-material_avaf-FDO.pdf" TargetMode="External"/><Relationship Id="rId514" Type="http://schemas.openxmlformats.org/officeDocument/2006/relationships/image" Target="media/image37.png"/><Relationship Id="rId556" Type="http://schemas.openxmlformats.org/officeDocument/2006/relationships/hyperlink" Target="https://www.boe.es/doue/2019/305/L00017-00056.pdf" TargetMode="External"/><Relationship Id="rId88" Type="http://schemas.openxmlformats.org/officeDocument/2006/relationships/hyperlink" Target="https://www.cortsvalencianes.es/ca-va/consulta_boc" TargetMode="External"/><Relationship Id="rId111" Type="http://schemas.openxmlformats.org/officeDocument/2006/relationships/hyperlink" Target="https://es-es.facebook.com/FICValencia/videos/debates-humans-fest-2021-corrupci%C3%B3n-un-mal-local-de-efectos-globales/425850832033633/" TargetMode="External"/><Relationship Id="rId153" Type="http://schemas.openxmlformats.org/officeDocument/2006/relationships/hyperlink" Target="https://bit.ly/3K2BloZ" TargetMode="External"/><Relationship Id="rId195" Type="http://schemas.openxmlformats.org/officeDocument/2006/relationships/hyperlink" Target="https://eur-lex.europa.eu/legal-content/ES/TXT/HTML/?uri=CELEX:51998IP0285&amp;from=SV" TargetMode="External"/><Relationship Id="rId209" Type="http://schemas.openxmlformats.org/officeDocument/2006/relationships/hyperlink" Target="http://www.dogv.gva.es/datos/2018/05/23/pdf/2018_4529.pdf" TargetMode="External"/><Relationship Id="rId360" Type="http://schemas.openxmlformats.org/officeDocument/2006/relationships/chart" Target="charts/chart7.xml"/><Relationship Id="rId416" Type="http://schemas.openxmlformats.org/officeDocument/2006/relationships/chart" Target="charts/chart17.xml"/><Relationship Id="rId220" Type="http://schemas.openxmlformats.org/officeDocument/2006/relationships/hyperlink" Target="https://www.boe.es/buscar/pdf/2013/BOE-A-2013-12887-consolidado.pdf" TargetMode="External"/><Relationship Id="rId458" Type="http://schemas.openxmlformats.org/officeDocument/2006/relationships/hyperlink" Target="https://www.antifraucv.es/wp-content/uploads/2021/07/20210706-AYUNTAMIENTO-DE-VALENCIA.pdf" TargetMode="External"/><Relationship Id="rId15" Type="http://schemas.openxmlformats.org/officeDocument/2006/relationships/hyperlink" Target="http://www.antifraucv.es/" TargetMode="External"/><Relationship Id="rId57" Type="http://schemas.openxmlformats.org/officeDocument/2006/relationships/hyperlink" Target="file:///Q:\MEMORIA\2021_gtm\TEXTO%20PROVISIONAL\MEMORIA%202021_VAL\MEMORIA%20AVAF%202020%20VAL_V15.docx" TargetMode="External"/><Relationship Id="rId262" Type="http://schemas.openxmlformats.org/officeDocument/2006/relationships/hyperlink" Target="https://www.antifraucv.es/wp-content/uploads/2022/03/210917-Declaracion-llamamiento-final-ENG-ESP.pdf" TargetMode="External"/><Relationship Id="rId318" Type="http://schemas.openxmlformats.org/officeDocument/2006/relationships/hyperlink" Target="https://www.cortsvalencianes.es/sites/default/files/initiative/doc/33_PL_TRANSPARENCIABOCV_110.pdf" TargetMode="External"/><Relationship Id="rId525" Type="http://schemas.openxmlformats.org/officeDocument/2006/relationships/image" Target="media/image48.png"/><Relationship Id="rId567" Type="http://schemas.openxmlformats.org/officeDocument/2006/relationships/image" Target="media/image64.emf"/><Relationship Id="rId99" Type="http://schemas.openxmlformats.org/officeDocument/2006/relationships/hyperlink" Target="https://www.cortsvalencianes.es/ca-va/consulta_boc%23boc/iniciativa/clau/190649311801252" TargetMode="External"/><Relationship Id="rId122" Type="http://schemas.openxmlformats.org/officeDocument/2006/relationships/hyperlink" Target="https://oaib.es/ca/jornada-lenfrontament-de-la-corrupcio/" TargetMode="External"/><Relationship Id="rId164" Type="http://schemas.openxmlformats.org/officeDocument/2006/relationships/hyperlink" Target="https://bit.ly/3Hu1Amr" TargetMode="External"/><Relationship Id="rId371" Type="http://schemas.openxmlformats.org/officeDocument/2006/relationships/hyperlink" Target="https://www.antifraucv.es/wp-content/uploads/2022/01/DOGV-Res-modif-Reglamento.pdf" TargetMode="External"/><Relationship Id="rId427" Type="http://schemas.openxmlformats.org/officeDocument/2006/relationships/hyperlink" Target="http://www.antifraucv.es/wp-content/uploads/2021/03/20210127_AYUNTAMIENTO_DE_VALENCIA.pdf" TargetMode="External"/><Relationship Id="rId469" Type="http://schemas.openxmlformats.org/officeDocument/2006/relationships/hyperlink" Target="https://www.antifraucv.es/wp-content/uploads/2021/10/20211001_IVAM.pdf" TargetMode="External"/><Relationship Id="rId26" Type="http://schemas.openxmlformats.org/officeDocument/2006/relationships/image" Target="media/image4.png"/><Relationship Id="rId231" Type="http://schemas.openxmlformats.org/officeDocument/2006/relationships/hyperlink" Target="https://www.boe.es/doue/2019/305/L00017-00056.pdf" TargetMode="External"/><Relationship Id="rId273" Type="http://schemas.openxmlformats.org/officeDocument/2006/relationships/hyperlink" Target="https://www.antifraucv.es/wp-content/uploads/2021/12/210617-Declaracion-Institucional-AVAF_Transposicion-Directiva_-2019-1937.pdf" TargetMode="External"/><Relationship Id="rId329" Type="http://schemas.openxmlformats.org/officeDocument/2006/relationships/hyperlink" Target="https://fra.europa.eu/es/about-fra" TargetMode="External"/><Relationship Id="rId480" Type="http://schemas.openxmlformats.org/officeDocument/2006/relationships/hyperlink" Target="https://www.antifraucv.es/wp-content/uploads/2021/11/202111030-AYUNTAMIENTO_VALENCIA_.pdf" TargetMode="External"/><Relationship Id="rId536" Type="http://schemas.openxmlformats.org/officeDocument/2006/relationships/image" Target="media/image52.jpeg"/><Relationship Id="rId68" Type="http://schemas.openxmlformats.org/officeDocument/2006/relationships/hyperlink" Target="https://www.youtube.com/watch?v=Tm8NoOd2q5c" TargetMode="External"/><Relationship Id="rId133" Type="http://schemas.openxmlformats.org/officeDocument/2006/relationships/hyperlink" Target="https://www.antifraucv.es/va/plans-antifrau-bla-bla-bla-avaf/" TargetMode="External"/><Relationship Id="rId175" Type="http://schemas.openxmlformats.org/officeDocument/2006/relationships/hyperlink" Target="https://bit.ly/3poItnJ" TargetMode="External"/><Relationship Id="rId340" Type="http://schemas.openxmlformats.org/officeDocument/2006/relationships/hyperlink" Target="https://www.boe.es/buscar/pdf/2003/BOE-A-2003-20977-consolidado.pdf" TargetMode="External"/><Relationship Id="rId578" Type="http://schemas.openxmlformats.org/officeDocument/2006/relationships/image" Target="media/image75.emf"/><Relationship Id="rId200" Type="http://schemas.openxmlformats.org/officeDocument/2006/relationships/hyperlink" Target="http://www.mickikaminska.com/GOPAC/Docs/GRECO%20CM-Rec%20_2003_%204%20-%20financing%20of%20political%20parties_SP.pdf" TargetMode="External"/><Relationship Id="rId382" Type="http://schemas.openxmlformats.org/officeDocument/2006/relationships/hyperlink" Target="http://www.antifraucv.es/wp-content/uploads/2021/03/180921_convenio_ayuntamiento_bcn_CS.pdf" TargetMode="External"/><Relationship Id="rId438" Type="http://schemas.openxmlformats.org/officeDocument/2006/relationships/hyperlink" Target="http://www.antifraucv.es/wp-content/uploads/2021/04/20210322_FAVIDE.pdf" TargetMode="External"/><Relationship Id="rId242" Type="http://schemas.openxmlformats.org/officeDocument/2006/relationships/hyperlink" Target="https://www.boe.es/doue/2010/083/Z00047-00199.pdf" TargetMode="External"/><Relationship Id="rId284" Type="http://schemas.openxmlformats.org/officeDocument/2006/relationships/hyperlink" Target="https://www.lamoncloa.gob.es/consejodeministros/resumenes/Documents/2022/PAN%20202.pdf" TargetMode="External"/><Relationship Id="rId491" Type="http://schemas.openxmlformats.org/officeDocument/2006/relationships/hyperlink" Target="https://www.antifraucv.es/wp-content/uploads/2022/01/20211229-AYUNTAMIENTO-DE-CHIVA.pdf" TargetMode="External"/><Relationship Id="rId505" Type="http://schemas.openxmlformats.org/officeDocument/2006/relationships/image" Target="media/image310.jpeg"/><Relationship Id="rId37" Type="http://schemas.openxmlformats.org/officeDocument/2006/relationships/hyperlink" Target="https://www.twitch.tv/antifraucv?lang=es" TargetMode="External"/><Relationship Id="rId79" Type="http://schemas.openxmlformats.org/officeDocument/2006/relationships/hyperlink" Target="http://www.dogv.gva.es/datos/2019/07/02/pdf/2019_6610.pdf" TargetMode="External"/><Relationship Id="rId102" Type="http://schemas.openxmlformats.org/officeDocument/2006/relationships/hyperlink" Target="https://www.epac-eacn.org/latest-news/259-18th-epac-eacn-conference" TargetMode="External"/><Relationship Id="rId144" Type="http://schemas.openxmlformats.org/officeDocument/2006/relationships/hyperlink" Target="https://bit.ly/3Iwtr70" TargetMode="External"/><Relationship Id="rId547" Type="http://schemas.openxmlformats.org/officeDocument/2006/relationships/chart" Target="charts/chart23.xml"/><Relationship Id="rId589" Type="http://schemas.openxmlformats.org/officeDocument/2006/relationships/image" Target="media/image86.emf"/><Relationship Id="rId90" Type="http://schemas.openxmlformats.org/officeDocument/2006/relationships/hyperlink" Target="https://www.cortsvalencianes.es/ca-va/consulta_boc" TargetMode="External"/><Relationship Id="rId186" Type="http://schemas.openxmlformats.org/officeDocument/2006/relationships/hyperlink" Target="https://www.antifraucv.es/wp-content/uploads/2021/04/210511_Oficios_y_Enmiendas_Ley_Transparencia_y_Buen_Gobierno_GVA_CAS.pdf" TargetMode="External"/><Relationship Id="rId351" Type="http://schemas.openxmlformats.org/officeDocument/2006/relationships/hyperlink" Target="https://www.poderjudicial.es/search/AN/openDocument/d44f38a44e26beac/20210409" TargetMode="External"/><Relationship Id="rId393" Type="http://schemas.openxmlformats.org/officeDocument/2006/relationships/hyperlink" Target="https://www.cortsvalencianes.es/ca-va/consulta_boc" TargetMode="External"/><Relationship Id="rId407" Type="http://schemas.openxmlformats.org/officeDocument/2006/relationships/hyperlink" Target="https://www.antifraucv.es/va/informacio-de-rellevancia-juridica/" TargetMode="External"/><Relationship Id="rId449" Type="http://schemas.openxmlformats.org/officeDocument/2006/relationships/hyperlink" Target="http://www.antifraucv.es/wp-content/uploads/2021/04/20210518_CACSA.pdf" TargetMode="External"/><Relationship Id="rId211" Type="http://schemas.openxmlformats.org/officeDocument/2006/relationships/hyperlink" Target="https://dogv.gva.es/auto/dogv/docvpub/rlgv/2019/RAF_20190627_va_RAF_20190716.pdf" TargetMode="External"/><Relationship Id="rId253" Type="http://schemas.openxmlformats.org/officeDocument/2006/relationships/hyperlink" Target="https://www.asambleamadrid.es/static/docs/registro-ep/RGEP27067-20.pdf" TargetMode="External"/><Relationship Id="rId295" Type="http://schemas.openxmlformats.org/officeDocument/2006/relationships/hyperlink" Target="https://www.boe.es/buscar/pdf/2016/BOE-A-2016-12048-consolidado.pdf" TargetMode="External"/><Relationship Id="rId309" Type="http://schemas.openxmlformats.org/officeDocument/2006/relationships/hyperlink" Target="http://dogv.gva.es/datos/2021/04/20/pdf/2021_3988.pdf" TargetMode="External"/><Relationship Id="rId460" Type="http://schemas.openxmlformats.org/officeDocument/2006/relationships/hyperlink" Target="https://www.antifraucv.es/wp-content/uploads/2021/07/20210715_AYUNTAMIENTO-DE-BENIDORM.pdf" TargetMode="External"/><Relationship Id="rId516" Type="http://schemas.openxmlformats.org/officeDocument/2006/relationships/image" Target="media/image39.png"/><Relationship Id="rId48" Type="http://schemas.openxmlformats.org/officeDocument/2006/relationships/hyperlink" Target="file:///Q:\MEMORIA\2021_gtm\TEXTO%20PROVISIONAL\MEMORIA%202021_VAL\MEMORIA%20AVAF%202020%20VAL_V15.docx" TargetMode="External"/><Relationship Id="rId113" Type="http://schemas.openxmlformats.org/officeDocument/2006/relationships/hyperlink" Target="https://www.antifraucv.es/va/el-director-de-lavaf-participa-en-una-taula-redona-amb-organismes-de-control-dins-de-lactivitat-politiques-pels-ods-objectiu-16-6-a-la-universitat-cardenal-herrer/" TargetMode="External"/><Relationship Id="rId320" Type="http://schemas.openxmlformats.org/officeDocument/2006/relationships/hyperlink" Target="https://www.antifraucv.es/wp-content/uploads/2022/03/Esmenes-Llei-Transparencia-VAL-FDO.pdf" TargetMode="External"/><Relationship Id="rId558" Type="http://schemas.openxmlformats.org/officeDocument/2006/relationships/hyperlink" Target="https://www.antifraucv.es/wp-content/uploads/2021/03/MEMORIA_AVAF_2020_CAS.pdf" TargetMode="External"/><Relationship Id="rId155" Type="http://schemas.openxmlformats.org/officeDocument/2006/relationships/hyperlink" Target="https://bit.ly/3srB6ha" TargetMode="External"/><Relationship Id="rId197" Type="http://schemas.openxmlformats.org/officeDocument/2006/relationships/hyperlink" Target="https://www.boe.es/boe/dias/2010/03/31/pdfs/BOE-A-2010-5259.pdf" TargetMode="External"/><Relationship Id="rId362" Type="http://schemas.openxmlformats.org/officeDocument/2006/relationships/chart" Target="charts/chart9.xml"/><Relationship Id="rId418" Type="http://schemas.openxmlformats.org/officeDocument/2006/relationships/chart" Target="charts/chart19.xml"/><Relationship Id="rId222" Type="http://schemas.openxmlformats.org/officeDocument/2006/relationships/hyperlink" Target="https://www.antifraucv.es/va/informacio-de-rellevancia-juridica/" TargetMode="External"/><Relationship Id="rId264" Type="http://schemas.openxmlformats.org/officeDocument/2006/relationships/hyperlink" Target="https://www.antifraucv.es/wp-content/uploads/2022/01/Declaracion-Utrecht-4-junio-2021-canales-externos-ENG-CAS.pdf" TargetMode="External"/><Relationship Id="rId471" Type="http://schemas.openxmlformats.org/officeDocument/2006/relationships/hyperlink" Target="https://www.antifraucv.es/wp-content/uploads/2021/10/20211014_AYUNTAMIENTO_DE_ORBA.pdf" TargetMode="External"/><Relationship Id="rId17" Type="http://schemas.openxmlformats.org/officeDocument/2006/relationships/hyperlink" Target="http://www.antifraucv.es/" TargetMode="External"/><Relationship Id="rId59" Type="http://schemas.openxmlformats.org/officeDocument/2006/relationships/header" Target="header3.xml"/><Relationship Id="rId124" Type="http://schemas.openxmlformats.org/officeDocument/2006/relationships/hyperlink" Target="https://videos.gva.es/html5/html5lib/v2.79.1/mwEmbedFrame.php/p/149/uiconf_id/23448251/entry_id/0_ys3qsco5?wid=_149&amp;iframeembed=true&amp;entry_id=0_ys3qsco5" TargetMode="External"/><Relationship Id="rId527" Type="http://schemas.openxmlformats.org/officeDocument/2006/relationships/hyperlink" Target="https://youtu.be/F65q4Z3Yu9w" TargetMode="External"/><Relationship Id="rId569" Type="http://schemas.openxmlformats.org/officeDocument/2006/relationships/image" Target="media/image66.emf"/><Relationship Id="rId70" Type="http://schemas.openxmlformats.org/officeDocument/2006/relationships/hyperlink" Target="https://www.antifraucv.es/wp-content/uploads/2021/06/210623-Declaracion_-Institucional-_AVAF.pdf" TargetMode="External"/><Relationship Id="rId166" Type="http://schemas.openxmlformats.org/officeDocument/2006/relationships/hyperlink" Target="https://bit.ly/3thNXlq" TargetMode="External"/><Relationship Id="rId331" Type="http://schemas.openxmlformats.org/officeDocument/2006/relationships/hyperlink" Target="http://ennhri.org/" TargetMode="External"/><Relationship Id="rId373" Type="http://schemas.openxmlformats.org/officeDocument/2006/relationships/hyperlink" Target="https://dogv.gva.es/auto/dogv/docvpub/rlgv/2019/RAF_20190627_ca_RAF_20190716.pdf" TargetMode="External"/><Relationship Id="rId429" Type="http://schemas.openxmlformats.org/officeDocument/2006/relationships/hyperlink" Target="http://www.antifraucv.es/wp-content/uploads/2021/03/20210217_AYUNTAMIENTO_DE_ROJALES.pdf" TargetMode="External"/><Relationship Id="rId580" Type="http://schemas.openxmlformats.org/officeDocument/2006/relationships/image" Target="media/image77.emf"/><Relationship Id="rId1" Type="http://schemas.openxmlformats.org/officeDocument/2006/relationships/customXml" Target="../customXml/item1.xml"/><Relationship Id="rId233" Type="http://schemas.openxmlformats.org/officeDocument/2006/relationships/image" Target="media/image24.png"/><Relationship Id="rId440" Type="http://schemas.openxmlformats.org/officeDocument/2006/relationships/hyperlink" Target="http://www.antifraucv.es/wp-content/uploads/2021/04/20210323_UNIVERSIDAD_JAUME_I_FUE.pdf" TargetMode="External"/><Relationship Id="rId28" Type="http://schemas.openxmlformats.org/officeDocument/2006/relationships/image" Target="media/image5.png"/><Relationship Id="rId275" Type="http://schemas.openxmlformats.org/officeDocument/2006/relationships/hyperlink" Target="http://www.antifraucv.es/wp-content/uploads/2021/03/Alegaciones_consulta_publica_avaf_OK.pdf" TargetMode="External"/><Relationship Id="rId300" Type="http://schemas.openxmlformats.org/officeDocument/2006/relationships/hyperlink" Target="https://www.boe.es/diario_boe/txt.php?id=BOE-A-2006-13012" TargetMode="External"/><Relationship Id="rId482" Type="http://schemas.openxmlformats.org/officeDocument/2006/relationships/hyperlink" Target="https://www.antifraucv.es/wp-content/uploads/2022/01/20211207_CORPORACION-VALENCIANA-DE-MEDIOS.pdf" TargetMode="External"/><Relationship Id="rId538" Type="http://schemas.openxmlformats.org/officeDocument/2006/relationships/image" Target="media/image54.jpeg"/><Relationship Id="rId81" Type="http://schemas.openxmlformats.org/officeDocument/2006/relationships/image" Target="media/image18.png"/><Relationship Id="rId135" Type="http://schemas.openxmlformats.org/officeDocument/2006/relationships/chart" Target="charts/chart1.xml"/><Relationship Id="rId177" Type="http://schemas.openxmlformats.org/officeDocument/2006/relationships/hyperlink" Target="https://bit.ly/3Hts7QW" TargetMode="External"/><Relationship Id="rId342" Type="http://schemas.openxmlformats.org/officeDocument/2006/relationships/hyperlink" Target="https://www.boe.es/doue/2021/057/L00017-00075.pdf" TargetMode="External"/><Relationship Id="rId384" Type="http://schemas.openxmlformats.org/officeDocument/2006/relationships/hyperlink" Target="https://www.cortsvalencianes.es/ca-va/consulta_boc" TargetMode="External"/><Relationship Id="rId591" Type="http://schemas.openxmlformats.org/officeDocument/2006/relationships/fontTable" Target="fontTable.xml"/><Relationship Id="rId202" Type="http://schemas.openxmlformats.org/officeDocument/2006/relationships/hyperlink" Target="https://www.boe.es/boe/dias/2010/03/31/pdfs/BOE-A-2010-5259.pdf" TargetMode="External"/><Relationship Id="rId244" Type="http://schemas.openxmlformats.org/officeDocument/2006/relationships/hyperlink" Target="https://curia.europa.eu/jcms/upload/docs/application/pdf/2021-02/cp210022es.pdf" TargetMode="External"/><Relationship Id="rId39" Type="http://schemas.openxmlformats.org/officeDocument/2006/relationships/hyperlink" Target="https://www.ivoox.com/podcast-podcast-agencia-valenciana-antifraude_sq_f11289334_1.html" TargetMode="External"/><Relationship Id="rId286" Type="http://schemas.openxmlformats.org/officeDocument/2006/relationships/hyperlink" Target="https://www.boe.es/buscar/pdf/2015/BOE-A-2015-10565-consolidado.pdf" TargetMode="External"/><Relationship Id="rId451" Type="http://schemas.openxmlformats.org/officeDocument/2006/relationships/hyperlink" Target="https://www.antifraucv.es/wp-content/uploads/2021/07/20210610_CONSELLERIA_DE_JUSTICIA.pdf" TargetMode="External"/><Relationship Id="rId493" Type="http://schemas.openxmlformats.org/officeDocument/2006/relationships/hyperlink" Target="https://www.antifraucv.es/wp-content/uploads/2022/01/20211230_AYUNTAMIENTO-DE-BENIDORM.pdf" TargetMode="External"/><Relationship Id="rId507" Type="http://schemas.openxmlformats.org/officeDocument/2006/relationships/image" Target="media/image32.jpeg"/><Relationship Id="rId549" Type="http://schemas.openxmlformats.org/officeDocument/2006/relationships/hyperlink" Target="https://www.antifraucv.es/va/informacio-institucional-i-dorganitzacio/" TargetMode="External"/><Relationship Id="rId50" Type="http://schemas.openxmlformats.org/officeDocument/2006/relationships/hyperlink" Target="file:///Q:\MEMORIA\2021_gtm\TEXTO%20PROVISIONAL\MEMORIA%202021_VAL\MEMORIA%20AVAF%202020%20VAL_V15.docx" TargetMode="External"/><Relationship Id="rId104" Type="http://schemas.openxmlformats.org/officeDocument/2006/relationships/hyperlink" Target="https://www.antifraucv.es/wp-content/uploads/2021/12/2021_EPAC_declaracion_vilnius_EN_CS.pdf" TargetMode="External"/><Relationship Id="rId146" Type="http://schemas.openxmlformats.org/officeDocument/2006/relationships/hyperlink" Target="https://bit.ly/3K03ywH" TargetMode="External"/><Relationship Id="rId188" Type="http://schemas.openxmlformats.org/officeDocument/2006/relationships/hyperlink" Target="https://www.youtube.com/watch?v=BWORDmZqsYQ" TargetMode="External"/><Relationship Id="rId311" Type="http://schemas.openxmlformats.org/officeDocument/2006/relationships/hyperlink" Target="https://www.boe.es/boe/dias/2006/07/19/pdfs/A27132-27153.pdf" TargetMode="External"/><Relationship Id="rId353" Type="http://schemas.openxmlformats.org/officeDocument/2006/relationships/hyperlink" Target="https://www.poderjudicial.es/search/AN/openDocument/9a0dc3750afe7768/20220216" TargetMode="External"/><Relationship Id="rId395" Type="http://schemas.openxmlformats.org/officeDocument/2006/relationships/hyperlink" Target="https://www.cortsvalencianes.es/ca-va/consulta_boc" TargetMode="External"/><Relationship Id="rId409" Type="http://schemas.openxmlformats.org/officeDocument/2006/relationships/hyperlink" Target="http://www.antifraucv.es/wp-content/uploads/2021/04/210602-Resolucion-350-X-apoyo-AVAF.pdf" TargetMode="External"/><Relationship Id="rId560" Type="http://schemas.openxmlformats.org/officeDocument/2006/relationships/hyperlink" Target="https://www.poderjudicial.es/search/AN/openDocument/0437520ad30d0a82/20220104" TargetMode="External"/><Relationship Id="rId92" Type="http://schemas.openxmlformats.org/officeDocument/2006/relationships/hyperlink" Target="https://www.antifraucv.es/va/lagencia-valenciana-antifrau-signa-un-conveni-amb-la-fundacio-civio-per-al-desenvolupament-del-projecte-scemaps/" TargetMode="External"/><Relationship Id="rId213" Type="http://schemas.openxmlformats.org/officeDocument/2006/relationships/hyperlink" Target="https://dogv.gva.es/datos/2019/10/28/pdf/2019_10039.pdf" TargetMode="External"/><Relationship Id="rId420" Type="http://schemas.openxmlformats.org/officeDocument/2006/relationships/chart" Target="charts/chart21.xml"/><Relationship Id="rId255" Type="http://schemas.openxmlformats.org/officeDocument/2006/relationships/hyperlink" Target="https://www.mjusticia.gob.es/es/AreaTematica/ActividadLegislativa/Documents/APL%20INFORMANTES.pdf" TargetMode="External"/><Relationship Id="rId297" Type="http://schemas.openxmlformats.org/officeDocument/2006/relationships/hyperlink" Target="https://www.antifraucv.es/wp-content/uploads/2022/03/Alegaciones-AVAF-tramite-de-audiencia-APL-Directiva-2019-1937.pdf" TargetMode="External"/><Relationship Id="rId462" Type="http://schemas.openxmlformats.org/officeDocument/2006/relationships/hyperlink" Target="https://www.antifraucv.es/wp-content/uploads/2021/09/20210824_DIPUTACION_DE_CASTELLON.pdf" TargetMode="External"/><Relationship Id="rId518" Type="http://schemas.openxmlformats.org/officeDocument/2006/relationships/image" Target="media/image41.png"/><Relationship Id="rId115" Type="http://schemas.openxmlformats.org/officeDocument/2006/relationships/hyperlink" Target="https://www.youtube.com/watch?v=Ya417xLo4X0" TargetMode="External"/><Relationship Id="rId157" Type="http://schemas.openxmlformats.org/officeDocument/2006/relationships/hyperlink" Target="https://bit.ly/3vp1YAl" TargetMode="External"/><Relationship Id="rId322" Type="http://schemas.openxmlformats.org/officeDocument/2006/relationships/hyperlink" Target="http://www.asturiasparticipa.es/consulta_previa/proyecto-de-decreto-por-el-que-se-regula-el-estatuto-del-denunciante-del-principado-de-asturias/" TargetMode="External"/><Relationship Id="rId364" Type="http://schemas.openxmlformats.org/officeDocument/2006/relationships/chart" Target="charts/chart11.xml"/><Relationship Id="rId61" Type="http://schemas.openxmlformats.org/officeDocument/2006/relationships/image" Target="media/image12.png"/><Relationship Id="rId199" Type="http://schemas.openxmlformats.org/officeDocument/2006/relationships/hyperlink" Target="https://www.boe.es/boe/dias/2002/02/22/pdfs/A07155-07159.pdf" TargetMode="External"/><Relationship Id="rId571" Type="http://schemas.openxmlformats.org/officeDocument/2006/relationships/image" Target="media/image68.emf"/><Relationship Id="rId19" Type="http://schemas.openxmlformats.org/officeDocument/2006/relationships/hyperlink" Target="https://www.antifraucv.es" TargetMode="External"/><Relationship Id="rId224" Type="http://schemas.openxmlformats.org/officeDocument/2006/relationships/hyperlink" Target="https://www.antifraucv.es/va/informacio-de-rellevancia-juridica/" TargetMode="External"/><Relationship Id="rId266" Type="http://schemas.openxmlformats.org/officeDocument/2006/relationships/hyperlink" Target="https://www.antifraucv.es/wp-content/uploads/2022/01/Declaracion-Utrecht-4-junio-2021-canales-externos-ENG-CAS.pdf" TargetMode="External"/><Relationship Id="rId431" Type="http://schemas.openxmlformats.org/officeDocument/2006/relationships/hyperlink" Target="http://www.antifraucv.es/wp-content/uploads/2021/03/20210224_AYUNTAMIENTO_DE_VALENCIA.pdf" TargetMode="External"/><Relationship Id="rId473" Type="http://schemas.openxmlformats.org/officeDocument/2006/relationships/hyperlink" Target="https://www.antifraucv.es/wp-content/uploads/2021/10/20211020_CONSORCIO_DE_MUSEOS_DE_LA_CV.pdf" TargetMode="External"/><Relationship Id="rId529" Type="http://schemas.openxmlformats.org/officeDocument/2006/relationships/image" Target="media/image49.png"/><Relationship Id="rId30" Type="http://schemas.openxmlformats.org/officeDocument/2006/relationships/image" Target="media/image6.png"/><Relationship Id="rId126" Type="http://schemas.openxmlformats.org/officeDocument/2006/relationships/image" Target="media/image20.png"/><Relationship Id="rId168" Type="http://schemas.openxmlformats.org/officeDocument/2006/relationships/hyperlink" Target="https://bit.ly/35cde8G" TargetMode="External"/><Relationship Id="rId333" Type="http://schemas.openxmlformats.org/officeDocument/2006/relationships/hyperlink" Target="https://www.coe.int/fr/web/portal/home" TargetMode="External"/><Relationship Id="rId540" Type="http://schemas.openxmlformats.org/officeDocument/2006/relationships/image" Target="media/image56.jpeg"/><Relationship Id="rId72" Type="http://schemas.openxmlformats.org/officeDocument/2006/relationships/hyperlink" Target="https://www.antifraucv.es/va/covid-19-drets-i-responsabilitats-a-debat-limpacte-de-la-pandemia-en-el-sistema-de-drets-civils-socials-i-politics-en-la-primera-de-les-jornades-uv-avaf/" TargetMode="External"/><Relationship Id="rId375" Type="http://schemas.openxmlformats.org/officeDocument/2006/relationships/hyperlink" Target="https://www.antifraucv.es/wp-content/uploads/2021/11/20211103_Publicacion_DOGV.pdf" TargetMode="External"/><Relationship Id="rId582" Type="http://schemas.openxmlformats.org/officeDocument/2006/relationships/image" Target="media/image79.emf"/><Relationship Id="rId3" Type="http://schemas.openxmlformats.org/officeDocument/2006/relationships/styles" Target="styles.xml"/><Relationship Id="rId235" Type="http://schemas.openxmlformats.org/officeDocument/2006/relationships/hyperlink" Target="https://transparencia.gob.es/transparencia/dam/jcr:d306cd62-cc0f-40a1-9be8-fe24eeeee10d/IVPlanGobiernoAbierto_ES_vdef.pdf" TargetMode="External"/><Relationship Id="rId277" Type="http://schemas.openxmlformats.org/officeDocument/2006/relationships/hyperlink" Target="https://www.mjusticia.gob.es/es/AreaTematica/ActividadLegislativa/Documents/MAIN%20Y%20Tabla%20transposici%c3%b3n%20APL%20INFORMANTES.pdf" TargetMode="External"/><Relationship Id="rId400" Type="http://schemas.openxmlformats.org/officeDocument/2006/relationships/hyperlink" Target="https://www.cortsvalencianes.es/ca-va/consulta_boc" TargetMode="External"/><Relationship Id="rId442" Type="http://schemas.openxmlformats.org/officeDocument/2006/relationships/hyperlink" Target="http://www.antifraucv.es/wp-content/uploads/2021/04/20210421_GVA_CONSELLERIA_DE_EDUCACION.pdf" TargetMode="External"/><Relationship Id="rId484" Type="http://schemas.openxmlformats.org/officeDocument/2006/relationships/hyperlink" Target="https://www.antifraucv.es/wp-content/uploads/2022/02/20220114_AYUNTAMIENTO_DE_TORREVIEJA.pdf" TargetMode="External"/><Relationship Id="rId137" Type="http://schemas.openxmlformats.org/officeDocument/2006/relationships/chart" Target="charts/chart2.xml"/><Relationship Id="rId302" Type="http://schemas.openxmlformats.org/officeDocument/2006/relationships/hyperlink" Target="http://www.poderjudicial.es/search/TS/openDocument/e5631ef00cd5e6ce/20200213" TargetMode="External"/><Relationship Id="rId344" Type="http://schemas.openxmlformats.org/officeDocument/2006/relationships/hyperlink" Target="https://ec.europa.eu/info/overview-funding-programmes/technical-support-instrument-tsi_es" TargetMode="External"/><Relationship Id="rId41" Type="http://schemas.openxmlformats.org/officeDocument/2006/relationships/hyperlink" Target="file:///Q:\MEMORIA\2021_gtm\TEXTO%20PROVISIONAL\MEMORIA%202021_VAL\MEMORIA%20AVAF%202020%20VAL_V15.docx" TargetMode="External"/><Relationship Id="rId83" Type="http://schemas.openxmlformats.org/officeDocument/2006/relationships/hyperlink" Target="https://www.antifraucv.es/va/finalitza-el-termini-de-transposicio-de-la-directiva-europea-whistleblower-sense-que-el-govern-despanya-haja-fet-els-treballs-de-transposicio/" TargetMode="External"/><Relationship Id="rId179" Type="http://schemas.openxmlformats.org/officeDocument/2006/relationships/hyperlink" Target="https://bit.ly/3thInPL" TargetMode="External"/><Relationship Id="rId386" Type="http://schemas.openxmlformats.org/officeDocument/2006/relationships/hyperlink" Target="https://www.cortsvalencianes.es/ca-va/consulta_boc" TargetMode="External"/><Relationship Id="rId551" Type="http://schemas.openxmlformats.org/officeDocument/2006/relationships/hyperlink" Target="https://www.antifraucv.es/va/contractacio/" TargetMode="External"/><Relationship Id="rId190" Type="http://schemas.openxmlformats.org/officeDocument/2006/relationships/hyperlink" Target="https://www.boe.es/eli/es-pv/l/1988/02/05/1/con" TargetMode="External"/><Relationship Id="rId204" Type="http://schemas.openxmlformats.org/officeDocument/2006/relationships/hyperlink" Target="https://www.boe.es/doue/2019/305/L00017-00056.pdf" TargetMode="External"/><Relationship Id="rId246" Type="http://schemas.openxmlformats.org/officeDocument/2006/relationships/hyperlink" Target="https://www.asambleamadrid.es/static/docs/registro-ep/RGEP27067-20.pdf" TargetMode="External"/><Relationship Id="rId288" Type="http://schemas.openxmlformats.org/officeDocument/2006/relationships/hyperlink" Target="https://dogv.gva.es/auto/dogv/docvpub/rlgv/2019/RAF_20190627_ca_RAF_20190716.pdf" TargetMode="External"/><Relationship Id="rId411" Type="http://schemas.openxmlformats.org/officeDocument/2006/relationships/chart" Target="charts/chart14.xml"/><Relationship Id="rId453" Type="http://schemas.openxmlformats.org/officeDocument/2006/relationships/hyperlink" Target="https://www.antifraucv.es/wp-content/uploads/2021/07/20210614_AYUNTAMIENTO_DE_BENIRREDRA.pdf" TargetMode="External"/><Relationship Id="rId509" Type="http://schemas.openxmlformats.org/officeDocument/2006/relationships/hyperlink" Target="https://www.antifraucv.es/wp-content/uploads/2021/12/Catalogo-de-riesgos.pdf" TargetMode="External"/><Relationship Id="rId106" Type="http://schemas.openxmlformats.org/officeDocument/2006/relationships/hyperlink" Target="https://cadenaser.com/emisora/2021/09/09/radio_valencia/1631174207_764962.html" TargetMode="External"/><Relationship Id="rId313" Type="http://schemas.openxmlformats.org/officeDocument/2006/relationships/hyperlink" Target="https://www.boe.es/buscar/pdf/2016/BOE-A-2016-12048-consolidado.pdf" TargetMode="External"/><Relationship Id="rId495" Type="http://schemas.openxmlformats.org/officeDocument/2006/relationships/footer" Target="footer4.xml"/><Relationship Id="rId10" Type="http://schemas.openxmlformats.org/officeDocument/2006/relationships/footer" Target="footer1.xml"/><Relationship Id="rId52" Type="http://schemas.openxmlformats.org/officeDocument/2006/relationships/hyperlink" Target="file:///Q:\MEMORIA\2021_gtm\TEXTO%20PROVISIONAL\MEMORIA%202021_VAL\MEMORIA%20AVAF%202020%20VAL_V15.docx" TargetMode="External"/><Relationship Id="rId94" Type="http://schemas.openxmlformats.org/officeDocument/2006/relationships/hyperlink" Target="https://www.antifraucv.es/va/la-upv-i-lagencia-valenciana-antifrau-impulsen-la-formacio-i-la-investigacio-en-lambit-de-la-lluita-contra-el-frau/" TargetMode="External"/><Relationship Id="rId148" Type="http://schemas.openxmlformats.org/officeDocument/2006/relationships/hyperlink" Target="https://bit.ly/3pl2kUY" TargetMode="External"/><Relationship Id="rId355" Type="http://schemas.openxmlformats.org/officeDocument/2006/relationships/hyperlink" Target="https://www.hayderecho.com/2021/02/14/la-agencia-valenciana-antifraude-y-su-estatuto-de-proteccion-a-personas-denunciantes-la-sentencia-de-20-de-diciembre-de-2020-del-juzgado-de-lo-contencioso-num-1-de-elche/" TargetMode="External"/><Relationship Id="rId397" Type="http://schemas.openxmlformats.org/officeDocument/2006/relationships/hyperlink" Target="https://www.boe.es/buscar/doc.php?id=BOE-A-2021-15860" TargetMode="External"/><Relationship Id="rId520" Type="http://schemas.openxmlformats.org/officeDocument/2006/relationships/image" Target="media/image43.png"/><Relationship Id="rId562" Type="http://schemas.openxmlformats.org/officeDocument/2006/relationships/image" Target="media/image59.emf"/><Relationship Id="rId215" Type="http://schemas.openxmlformats.org/officeDocument/2006/relationships/hyperlink" Target="https://www.antifraucv.es/wp-content/uploads/2021/01/05_RES_%C3%A1mbito_actuaci%C3%B3n-material_avaf-FDO.pdf" TargetMode="External"/><Relationship Id="rId257" Type="http://schemas.openxmlformats.org/officeDocument/2006/relationships/hyperlink" Target="https://www.mjusticia.gob.es/eu/ciudadania/normas-tramitacion" TargetMode="External"/><Relationship Id="rId422" Type="http://schemas.openxmlformats.org/officeDocument/2006/relationships/hyperlink" Target="https://www.antifraucv.es/portal-de-transparencia/informacio-de-rellevancia-juridica/" TargetMode="External"/><Relationship Id="rId464" Type="http://schemas.openxmlformats.org/officeDocument/2006/relationships/hyperlink" Target="https://www.antifraucv.es/wp-content/uploads/2021/09/20210907_JUNTA_CENTRAL_FALLERA.pdf" TargetMode="External"/><Relationship Id="rId299" Type="http://schemas.openxmlformats.org/officeDocument/2006/relationships/hyperlink" Target="http://www.antifraucv.es/wp-content/uploads/2021/03/AVAF_Alegaciones-Informacion-Publica-LECRIM-WEB.pdf" TargetMode="External"/><Relationship Id="rId63" Type="http://schemas.openxmlformats.org/officeDocument/2006/relationships/hyperlink" Target="https://www.youtube.com/watch?v=E5S_jPCbkjM" TargetMode="External"/><Relationship Id="rId159" Type="http://schemas.openxmlformats.org/officeDocument/2006/relationships/hyperlink" Target="https://bit.ly/35blDt1" TargetMode="External"/><Relationship Id="rId366" Type="http://schemas.openxmlformats.org/officeDocument/2006/relationships/chart" Target="charts/chart13.xml"/><Relationship Id="rId573" Type="http://schemas.openxmlformats.org/officeDocument/2006/relationships/image" Target="media/image70.emf"/><Relationship Id="rId226" Type="http://schemas.openxmlformats.org/officeDocument/2006/relationships/hyperlink" Target="https://www.antifraucv.es/wp-content/uploads/2022/03/220307_Res-designacion-miembros-Comite-de-etica-AVAF-CSV.pdf" TargetMode="External"/><Relationship Id="rId433" Type="http://schemas.openxmlformats.org/officeDocument/2006/relationships/hyperlink" Target="http://www.antifraucv.es/wp-content/uploads/2021/04/20210304_AYUNTAMIENTO_DE_VALENCIA.pdf" TargetMode="External"/><Relationship Id="rId74" Type="http://schemas.openxmlformats.org/officeDocument/2006/relationships/hyperlink" Target="https://www.youtube.com/watch?v=8OBq5KBVKJc" TargetMode="External"/><Relationship Id="rId377" Type="http://schemas.openxmlformats.org/officeDocument/2006/relationships/hyperlink" Target="http://www.dogv.gva.es/datos/2019/10/28/pdf/2019_10039.pdf" TargetMode="External"/><Relationship Id="rId500" Type="http://schemas.openxmlformats.org/officeDocument/2006/relationships/hyperlink" Target="https://www.antifraucv.es/wp-content/uploads/2021/12/Catalogo-de-riesgos.pdf" TargetMode="External"/><Relationship Id="rId584" Type="http://schemas.openxmlformats.org/officeDocument/2006/relationships/image" Target="media/image81.emf"/><Relationship Id="rId5" Type="http://schemas.openxmlformats.org/officeDocument/2006/relationships/webSettings" Target="webSettings.xml"/><Relationship Id="rId237" Type="http://schemas.openxmlformats.org/officeDocument/2006/relationships/hyperlink" Target="https://www.lamoncloa.gob.es/consejodeministros/resumenes/Documents/2021/310821-PLAN_ANUAL_NORMATIVO_2021.pdf" TargetMode="External"/><Relationship Id="rId444" Type="http://schemas.openxmlformats.org/officeDocument/2006/relationships/hyperlink" Target="http://www.antifraucv.es/wp-content/uploads/2021/04/20210503_AYUNTAMIENTO_DE_LOS_MONTESINOS.pdf" TargetMode="External"/><Relationship Id="rId290" Type="http://schemas.openxmlformats.org/officeDocument/2006/relationships/hyperlink" Target="https://www.antifraucv.es/wp-content/uploads/2021/01/05_RES_%C3%A1mbito_actuaci%C3%B3n-material_avaf-FDO.pdf" TargetMode="External"/><Relationship Id="rId304" Type="http://schemas.openxmlformats.org/officeDocument/2006/relationships/hyperlink" Target="https://www.boe.es/doue/2019/305/L00017-00056.pdf" TargetMode="External"/><Relationship Id="rId388" Type="http://schemas.openxmlformats.org/officeDocument/2006/relationships/hyperlink" Target="https://www.cortsvalencianes.es/ca-va/consulta_boc" TargetMode="External"/><Relationship Id="rId511" Type="http://schemas.openxmlformats.org/officeDocument/2006/relationships/image" Target="media/image34.jpeg"/><Relationship Id="rId85" Type="http://schemas.openxmlformats.org/officeDocument/2006/relationships/image" Target="media/image19.png"/><Relationship Id="rId150" Type="http://schemas.openxmlformats.org/officeDocument/2006/relationships/hyperlink" Target="https://bit.ly/3tnn67E" TargetMode="External"/><Relationship Id="rId248" Type="http://schemas.openxmlformats.org/officeDocument/2006/relationships/hyperlink" Target="https://www.asambleamadrid.es/static/docs/registro-ep/RGEP27067-20.pdf" TargetMode="External"/><Relationship Id="rId455" Type="http://schemas.openxmlformats.org/officeDocument/2006/relationships/hyperlink" Target="https://www.antifraucv.es/wp-content/uploads/2021/07/20210616_CONSELLERIA_DE_AGRICULTURA.pdf" TargetMode="External"/><Relationship Id="rId12" Type="http://schemas.openxmlformats.org/officeDocument/2006/relationships/image" Target="media/image2.png"/><Relationship Id="rId108" Type="http://schemas.openxmlformats.org/officeDocument/2006/relationships/hyperlink" Target="https://congresotransparencia.com/programa-alicante/" TargetMode="External"/><Relationship Id="rId315" Type="http://schemas.openxmlformats.org/officeDocument/2006/relationships/hyperlink" Target="http://www.dogv.gva.es/datos/2020/03/09/pdf/2020_2097.pdf" TargetMode="External"/><Relationship Id="rId522" Type="http://schemas.openxmlformats.org/officeDocument/2006/relationships/image" Target="media/image45.png"/><Relationship Id="rId96" Type="http://schemas.openxmlformats.org/officeDocument/2006/relationships/hyperlink" Target="https://www.antifraucv.es/va/la-universitat-de-salamanca-i-lagencia-valenciana-antifrau-signen-un-conveni-de-col%c2%b7laboracio-que-inclou-estades-dinvestigacio-per-a-estudiants-de-doctorat/" TargetMode="External"/><Relationship Id="rId161" Type="http://schemas.openxmlformats.org/officeDocument/2006/relationships/hyperlink" Target="https://bit.ly/35As2xq" TargetMode="External"/><Relationship Id="rId399" Type="http://schemas.openxmlformats.org/officeDocument/2006/relationships/hyperlink" Target="https://www.cortsvalencianes.es/ca-va/consulta_boc" TargetMode="External"/><Relationship Id="rId259" Type="http://schemas.openxmlformats.org/officeDocument/2006/relationships/hyperlink" Target="https://www.antifraucv.es/wp-content/uploads/2022/03/Alegaciones-AVAF-tramite-de-audiencia-APL-Directiva-2019-1937.pdf" TargetMode="External"/><Relationship Id="rId466" Type="http://schemas.openxmlformats.org/officeDocument/2006/relationships/hyperlink" Target="https://www.antifraucv.es/wp-content/uploads/2021/09/20210908_AYUNTAMIENTO_DE_GAVARDA.pdf" TargetMode="External"/><Relationship Id="rId23" Type="http://schemas.openxmlformats.org/officeDocument/2006/relationships/hyperlink" Target="https://twitter.com/AntifrauCV" TargetMode="External"/><Relationship Id="rId119" Type="http://schemas.openxmlformats.org/officeDocument/2006/relationships/hyperlink" Target="https://www.uji.es/com/agenda/2021/10/28/workshop-iidl/" TargetMode="External"/><Relationship Id="rId326" Type="http://schemas.openxmlformats.org/officeDocument/2006/relationships/hyperlink" Target="https://www.unodc.org/documents/treaties/UNCAC/COSP/special-session/V2103921_S.pdf" TargetMode="External"/><Relationship Id="rId533" Type="http://schemas.openxmlformats.org/officeDocument/2006/relationships/hyperlink" Target="https://www.youtube.com/channel/UCkDS5OEUZu3iTEWg7gu8XXQ/featured" TargetMode="External"/><Relationship Id="rId172" Type="http://schemas.openxmlformats.org/officeDocument/2006/relationships/hyperlink" Target="https://bit.ly/3ppKWy7" TargetMode="External"/><Relationship Id="rId477" Type="http://schemas.openxmlformats.org/officeDocument/2006/relationships/hyperlink" Target="https://www.antifraucv.es/wp-content/uploads/2021/11/202111019-AYUNTAMIENTO_DE_ELCHE.pdf" TargetMode="External"/><Relationship Id="rId337" Type="http://schemas.openxmlformats.org/officeDocument/2006/relationships/hyperlink" Target="https://www.eca.europa.eu/es/Pages/ecadefault.aspx" TargetMode="External"/><Relationship Id="rId34" Type="http://schemas.openxmlformats.org/officeDocument/2006/relationships/image" Target="media/image8.png"/><Relationship Id="rId544" Type="http://schemas.openxmlformats.org/officeDocument/2006/relationships/hyperlink" Target="https://www.antifraucv.es/es/la-agencia/organigrama" TargetMode="External"/><Relationship Id="rId183" Type="http://schemas.openxmlformats.org/officeDocument/2006/relationships/hyperlink" Target="https://www.youtube.com/watch?v=YZeXawhmMqQ" TargetMode="External"/><Relationship Id="rId390" Type="http://schemas.openxmlformats.org/officeDocument/2006/relationships/hyperlink" Target="https://www.cortsvalencianes.es/ca-va/consulta_boc" TargetMode="External"/><Relationship Id="rId404" Type="http://schemas.openxmlformats.org/officeDocument/2006/relationships/hyperlink" Target="https://www.boe.es/buscar/pdf/2016/BOE-A-2016-12048-consolidado.pdf" TargetMode="External"/><Relationship Id="rId250" Type="http://schemas.openxmlformats.org/officeDocument/2006/relationships/hyperlink" Target="https://www.asambleamadrid.es/static/docs/registro-ep/RGEP27067-20.pdf" TargetMode="External"/><Relationship Id="rId488" Type="http://schemas.openxmlformats.org/officeDocument/2006/relationships/hyperlink" Target="https://www.antifraucv.es/wp-content/uploads/2022/01/20211215-DIPUTACION-DE-VALENCIA.pd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29.png"/></Relationships>
</file>

<file path=word/_rels/footnotes.xml.rels><?xml version="1.0" encoding="UTF-8" standalone="yes"?>
<Relationships xmlns="http://schemas.openxmlformats.org/package/2006/relationships"><Relationship Id="rId3" Type="http://schemas.openxmlformats.org/officeDocument/2006/relationships/hyperlink" Target="https://repository.ifla.org/handle/123456789/1593" TargetMode="External"/><Relationship Id="rId2" Type="http://schemas.openxmlformats.org/officeDocument/2006/relationships/hyperlink" Target="https://www.elmundo.es/papel/historias/2021/10/21/616ef375e4d4d8be358b4599.html" TargetMode="External"/><Relationship Id="rId1" Type="http://schemas.openxmlformats.org/officeDocument/2006/relationships/hyperlink" Target="https://www.eldiario.es/comunitat-valenciana/notes-de-lectura/els-llibres-impactants_132_8499966.htm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9.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10.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11.bin"/></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13.bin"/></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14.bin"/></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15.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16.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17.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18.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19.bin"/></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20.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21.bin"/></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3.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7.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8.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Evolució</a:t>
            </a:r>
            <a:r>
              <a:rPr lang="en-US" baseline="0"/>
              <a:t> u</a:t>
            </a:r>
            <a:r>
              <a:rPr lang="en-US"/>
              <a:t>suaris/es de la web de 2019 a 2021</a:t>
            </a:r>
          </a:p>
        </c:rich>
      </c:tx>
      <c:layout>
        <c:manualLayout>
          <c:xMode val="edge"/>
          <c:yMode val="edge"/>
          <c:x val="0.12887489063867016"/>
          <c:y val="5.092592592592592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a-ES-valencia"/>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'Usuarios web 2019-2020 '!$B$3:$B$4</c:f>
              <c:numCache>
                <c:formatCode>#,##0</c:formatCode>
                <c:ptCount val="2"/>
                <c:pt idx="0">
                  <c:v>7323</c:v>
                </c:pt>
                <c:pt idx="1">
                  <c:v>16772</c:v>
                </c:pt>
              </c:numCache>
            </c:numRef>
          </c:val>
          <c:extLst>
            <c:ext xmlns:c16="http://schemas.microsoft.com/office/drawing/2014/chart" uri="{C3380CC4-5D6E-409C-BE32-E72D297353CC}">
              <c16:uniqueId val="{00000000-C75D-414A-A97D-61FAC666E655}"/>
            </c:ext>
          </c:extLst>
        </c:ser>
        <c:dLbls>
          <c:showLegendKey val="0"/>
          <c:showVal val="1"/>
          <c:showCatName val="0"/>
          <c:showSerName val="0"/>
          <c:showPercent val="0"/>
          <c:showBubbleSize val="0"/>
        </c:dLbls>
        <c:gapWidth val="65"/>
        <c:shape val="box"/>
        <c:axId val="1307786423"/>
        <c:axId val="1552555815"/>
        <c:axId val="0"/>
      </c:bar3DChart>
      <c:dateAx>
        <c:axId val="1307786423"/>
        <c:scaling>
          <c:orientation val="minMax"/>
        </c:scaling>
        <c:delete val="1"/>
        <c:axPos val="b"/>
        <c:numFmt formatCode="General" sourceLinked="1"/>
        <c:majorTickMark val="out"/>
        <c:minorTickMark val="none"/>
        <c:tickLblPos val="nextTo"/>
        <c:crossAx val="1552555815"/>
        <c:crosses val="autoZero"/>
        <c:auto val="0"/>
        <c:lblOffset val="100"/>
        <c:baseTimeUnit val="days"/>
      </c:dateAx>
      <c:valAx>
        <c:axId val="1552555815"/>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out"/>
        <c:minorTickMark val="none"/>
        <c:tickLblPos val="nextTo"/>
        <c:crossAx val="1307786423"/>
        <c:crossesAt val="1"/>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ca-ES-valencia"/>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hPercent val="40"/>
      <c:rotY val="30"/>
      <c:depthPercent val="100"/>
      <c:rAngAx val="1"/>
    </c:view3D>
    <c:floor>
      <c:thickness val="0"/>
      <c:spPr>
        <a:solidFill>
          <a:sysClr val="window" lastClr="FFFFFF">
            <a:lumMod val="85000"/>
          </a:sysClr>
        </a:solidFill>
        <a:ln>
          <a:noFill/>
        </a:ln>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v>Solicitudes</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Pt>
            <c:idx val="0"/>
            <c:invertIfNegative val="0"/>
            <c:bubble3D val="0"/>
            <c:spPr>
              <a:solidFill>
                <a:srgbClr val="9D2235"/>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6879-4A74-8C3F-47F66285B60B}"/>
              </c:ext>
            </c:extLst>
          </c:dPt>
          <c:dPt>
            <c:idx val="1"/>
            <c:invertIfNegative val="0"/>
            <c:bubble3D val="0"/>
            <c:spPr>
              <a:solidFill>
                <a:srgbClr val="5B6770">
                  <a:lumMod val="60000"/>
                  <a:lumOff val="40000"/>
                </a:srgbClr>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6879-4A74-8C3F-47F66285B60B}"/>
              </c:ext>
            </c:extLst>
          </c:dPt>
          <c:dLbls>
            <c:dLbl>
              <c:idx val="0"/>
              <c:layout>
                <c:manualLayout>
                  <c:x val="2.5393331711092666E-2"/>
                  <c:y val="-2.7123084343181766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79-4A74-8C3F-47F66285B60B}"/>
                </c:ext>
              </c:extLst>
            </c:dLbl>
            <c:dLbl>
              <c:idx val="1"/>
              <c:layout>
                <c:manualLayout>
                  <c:x val="3.0471998053311199E-2"/>
                  <c:y val="-1.8082056228787845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79-4A74-8C3F-47F66285B60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a-ES-valencia"/>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Hoja1!$L$191:$L$192</c:f>
              <c:strCache>
                <c:ptCount val="2"/>
                <c:pt idx="0">
                  <c:v>Presentades</c:v>
                </c:pt>
                <c:pt idx="1">
                  <c:v>Concedides</c:v>
                </c:pt>
              </c:strCache>
            </c:strRef>
          </c:cat>
          <c:val>
            <c:numRef>
              <c:f>Hoja1!$M$191:$M$192</c:f>
              <c:numCache>
                <c:formatCode>General</c:formatCode>
                <c:ptCount val="2"/>
                <c:pt idx="0">
                  <c:v>41</c:v>
                </c:pt>
                <c:pt idx="1">
                  <c:v>26</c:v>
                </c:pt>
              </c:numCache>
            </c:numRef>
          </c:val>
          <c:extLst>
            <c:ext xmlns:c16="http://schemas.microsoft.com/office/drawing/2014/chart" uri="{C3380CC4-5D6E-409C-BE32-E72D297353CC}">
              <c16:uniqueId val="{00000004-6879-4A74-8C3F-47F66285B60B}"/>
            </c:ext>
          </c:extLst>
        </c:ser>
        <c:dLbls>
          <c:showLegendKey val="0"/>
          <c:showVal val="0"/>
          <c:showCatName val="0"/>
          <c:showSerName val="0"/>
          <c:showPercent val="0"/>
          <c:showBubbleSize val="0"/>
        </c:dLbls>
        <c:gapWidth val="75"/>
        <c:shape val="cylinder"/>
        <c:axId val="1290816000"/>
        <c:axId val="1"/>
        <c:axId val="0"/>
      </c:bar3DChart>
      <c:catAx>
        <c:axId val="1290816000"/>
        <c:scaling>
          <c:orientation val="minMax"/>
        </c:scaling>
        <c:delete val="1"/>
        <c:axPos val="b"/>
        <c:numFmt formatCode="General" sourceLinked="1"/>
        <c:majorTickMark val="none"/>
        <c:minorTickMark val="none"/>
        <c:tickLblPos val="nextTo"/>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290816000"/>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showDLblsOverMax val="0"/>
  </c:chart>
  <c:spPr>
    <a:gradFill>
      <a:gsLst>
        <a:gs pos="0">
          <a:srgbClr val="A5A5A5">
            <a:lumMod val="0"/>
            <a:lumOff val="100000"/>
          </a:srgbClr>
        </a:gs>
        <a:gs pos="35000">
          <a:srgbClr val="A5A5A5">
            <a:lumMod val="0"/>
            <a:lumOff val="100000"/>
          </a:srgbClr>
        </a:gs>
        <a:gs pos="100000">
          <a:srgbClr val="A5A5A5">
            <a:lumMod val="100000"/>
          </a:srgb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666666"/>
            </a:solidFill>
            <a:ln>
              <a:noFill/>
            </a:ln>
            <a:effectLst>
              <a:outerShdw blurRad="50800" dist="38100" dir="2700000" algn="tl" rotWithShape="0">
                <a:prstClr val="black">
                  <a:alpha val="40000"/>
                </a:prstClr>
              </a:outerShdw>
            </a:effectLst>
          </c:spPr>
          <c:explosion val="20"/>
          <c:dPt>
            <c:idx val="0"/>
            <c:bubble3D val="0"/>
            <c:spPr>
              <a:solidFill>
                <a:srgbClr val="9D2235"/>
              </a:solidFill>
              <a:ln w="12700">
                <a:noFill/>
              </a:ln>
              <a:effectLst>
                <a:outerShdw blurRad="50800" dist="38100" dir="2700000" algn="tl" rotWithShape="0">
                  <a:prstClr val="black">
                    <a:alpha val="40000"/>
                  </a:prstClr>
                </a:outerShdw>
              </a:effectLst>
              <a:sp3d>
                <a:contourClr>
                  <a:schemeClr val="lt1"/>
                </a:contourClr>
              </a:sp3d>
            </c:spPr>
            <c:extLst>
              <c:ext xmlns:c16="http://schemas.microsoft.com/office/drawing/2014/chart" uri="{C3380CC4-5D6E-409C-BE32-E72D297353CC}">
                <c16:uniqueId val="{00000001-47BC-4047-B7A8-FECB5EEBF586}"/>
              </c:ext>
            </c:extLst>
          </c:dPt>
          <c:dPt>
            <c:idx val="1"/>
            <c:bubble3D val="0"/>
            <c:spPr>
              <a:solidFill>
                <a:schemeClr val="accent4"/>
              </a:solidFill>
              <a:ln w="12700">
                <a:noFill/>
              </a:ln>
              <a:effectLst>
                <a:outerShdw blurRad="50800" dist="38100" dir="2700000" algn="tl" rotWithShape="0">
                  <a:prstClr val="black">
                    <a:alpha val="40000"/>
                  </a:prstClr>
                </a:outerShdw>
              </a:effectLst>
              <a:sp3d>
                <a:contourClr>
                  <a:schemeClr val="lt1"/>
                </a:contourClr>
              </a:sp3d>
            </c:spPr>
            <c:extLst>
              <c:ext xmlns:c16="http://schemas.microsoft.com/office/drawing/2014/chart" uri="{C3380CC4-5D6E-409C-BE32-E72D297353CC}">
                <c16:uniqueId val="{00000003-47BC-4047-B7A8-FECB5EEBF586}"/>
              </c:ext>
            </c:extLst>
          </c:dPt>
          <c:dLbls>
            <c:dLbl>
              <c:idx val="0"/>
              <c:layout>
                <c:manualLayout>
                  <c:x val="0.16090553318457343"/>
                  <c:y val="-0.124137817025919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7BC-4047-B7A8-FECB5EEBF586}"/>
                </c:ext>
              </c:extLst>
            </c:dLbl>
            <c:dLbl>
              <c:idx val="1"/>
              <c:layout>
                <c:manualLayout>
                  <c:x val="-0.12058988860105842"/>
                  <c:y val="4.51326514064937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BC-4047-B7A8-FECB5EEBF58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Arial" panose="020B0604020202020204" pitchFamily="34" charset="0"/>
                    <a:ea typeface="+mn-ea"/>
                    <a:cs typeface="Arial" panose="020B0604020202020204" pitchFamily="34" charset="0"/>
                  </a:defRPr>
                </a:pPr>
                <a:endParaRPr lang="ca-ES-valencia"/>
              </a:p>
            </c:txPr>
            <c:showLegendKey val="0"/>
            <c:showVal val="0"/>
            <c:showCatName val="0"/>
            <c:showSerName val="0"/>
            <c:showPercent val="0"/>
            <c:showBubbleSize val="0"/>
            <c:extLst>
              <c:ext xmlns:c15="http://schemas.microsoft.com/office/drawing/2012/chart" uri="{CE6537A1-D6FC-4f65-9D91-7224C49458BB}"/>
            </c:extLst>
          </c:dLbls>
          <c:cat>
            <c:strRef>
              <c:f>Hoja1!$M$153:$M$154</c:f>
              <c:strCache>
                <c:ptCount val="2"/>
                <c:pt idx="0">
                  <c:v>Homes</c:v>
                </c:pt>
                <c:pt idx="1">
                  <c:v>Dones</c:v>
                </c:pt>
              </c:strCache>
              <c:extLst/>
            </c:strRef>
          </c:cat>
          <c:val>
            <c:numRef>
              <c:f>Hoja1!$N$152:$N$153</c:f>
              <c:numCache>
                <c:formatCode>General</c:formatCode>
                <c:ptCount val="2"/>
                <c:pt idx="0">
                  <c:v>17</c:v>
                </c:pt>
                <c:pt idx="1">
                  <c:v>9</c:v>
                </c:pt>
              </c:numCache>
              <c:extLst/>
            </c:numRef>
          </c:val>
          <c:extLst>
            <c:ext xmlns:c16="http://schemas.microsoft.com/office/drawing/2014/chart" uri="{C3380CC4-5D6E-409C-BE32-E72D297353CC}">
              <c16:uniqueId val="{00000004-47BC-4047-B7A8-FECB5EEBF586}"/>
            </c:ext>
          </c:extLst>
        </c:ser>
        <c:dLbls>
          <c:showLegendKey val="0"/>
          <c:showVal val="0"/>
          <c:showCatName val="0"/>
          <c:showSerName val="0"/>
          <c:showPercent val="1"/>
          <c:showBubbleSize val="0"/>
          <c:showLeaderLines val="1"/>
        </c:dLbls>
      </c:pie3D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ca-ES-valencia"/>
          </a:p>
        </c:txPr>
      </c:legendEntry>
      <c:legendEntry>
        <c:idx val="1"/>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ca-ES-valencia"/>
          </a:p>
        </c:txPr>
      </c:legendEntry>
      <c:layout>
        <c:manualLayout>
          <c:xMode val="edge"/>
          <c:yMode val="edge"/>
          <c:x val="0.7949235681858986"/>
          <c:y val="0.38540740064330153"/>
          <c:w val="0.14535873365992116"/>
          <c:h val="0.31416325939407491"/>
        </c:manualLayout>
      </c:layout>
      <c:overlay val="0"/>
      <c:spPr>
        <a:solidFill>
          <a:srgbClr val="F0F0F0"/>
        </a:solid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solidFill>
          <a:schemeClr val="bg1">
            <a:lumMod val="95000"/>
          </a:schemeClr>
        </a:solidFill>
        <a:ln>
          <a:noFill/>
        </a:ln>
        <a:effectLst/>
        <a:sp3d/>
      </c:spPr>
    </c:floor>
    <c:side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outerShdw blurRad="50800" dist="38100" dir="2700000" algn="tl" rotWithShape="0">
            <a:prstClr val="black">
              <a:alpha val="40000"/>
            </a:prstClr>
          </a:outerShdw>
        </a:effectLst>
        <a:sp3d/>
      </c:spPr>
    </c:sideWall>
    <c:back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outerShdw blurRad="50800" dist="38100" dir="2700000" algn="tl" rotWithShape="0">
            <a:prstClr val="black">
              <a:alpha val="40000"/>
            </a:prstClr>
          </a:outerShdw>
        </a:effectLst>
        <a:sp3d/>
      </c:spPr>
    </c:backWall>
    <c:plotArea>
      <c:layout>
        <c:manualLayout>
          <c:layoutTarget val="inner"/>
          <c:xMode val="edge"/>
          <c:yMode val="edge"/>
          <c:x val="0.41185252600843447"/>
          <c:y val="3.778575477045154E-3"/>
          <c:w val="0.56531086757961024"/>
          <c:h val="0.93206121292272814"/>
        </c:manualLayout>
      </c:layout>
      <c:bar3DChart>
        <c:barDir val="bar"/>
        <c:grouping val="clustered"/>
        <c:varyColors val="0"/>
        <c:ser>
          <c:idx val="0"/>
          <c:order val="0"/>
          <c:spPr>
            <a:solidFill>
              <a:schemeClr val="accent1"/>
            </a:solidFill>
            <a:ln>
              <a:noFill/>
            </a:ln>
            <a:effectLst>
              <a:outerShdw blurRad="50800" dist="38100" dir="13500000" algn="br" rotWithShape="0">
                <a:prstClr val="black">
                  <a:alpha val="40000"/>
                </a:prstClr>
              </a:outerShdw>
            </a:effectLst>
            <a:sp3d/>
          </c:spPr>
          <c:invertIfNegative val="0"/>
          <c:dPt>
            <c:idx val="2"/>
            <c:invertIfNegative val="0"/>
            <c:bubble3D val="0"/>
            <c:spPr>
              <a:solidFill>
                <a:srgbClr val="F1D3D8"/>
              </a:solidFill>
              <a:ln>
                <a:noFill/>
              </a:ln>
              <a:effectLst>
                <a:outerShdw blurRad="50800" dist="38100" dir="13500000" algn="br" rotWithShape="0">
                  <a:prstClr val="black">
                    <a:alpha val="40000"/>
                  </a:prstClr>
                </a:outerShdw>
              </a:effectLst>
              <a:sp3d/>
            </c:spPr>
            <c:extLst>
              <c:ext xmlns:c16="http://schemas.microsoft.com/office/drawing/2014/chart" uri="{C3380CC4-5D6E-409C-BE32-E72D297353CC}">
                <c16:uniqueId val="{00000001-F83A-48D6-86A0-40B75674C4DC}"/>
              </c:ext>
            </c:extLst>
          </c:dPt>
          <c:dPt>
            <c:idx val="4"/>
            <c:invertIfNegative val="0"/>
            <c:bubble3D val="0"/>
            <c:spPr>
              <a:solidFill>
                <a:srgbClr val="E7957F"/>
              </a:solidFill>
              <a:ln>
                <a:noFill/>
              </a:ln>
              <a:effectLst>
                <a:outerShdw blurRad="50800" dist="38100" dir="13500000" algn="br" rotWithShape="0">
                  <a:prstClr val="black">
                    <a:alpha val="40000"/>
                  </a:prstClr>
                </a:outerShdw>
              </a:effectLst>
              <a:sp3d/>
            </c:spPr>
            <c:extLst>
              <c:ext xmlns:c16="http://schemas.microsoft.com/office/drawing/2014/chart" uri="{C3380CC4-5D6E-409C-BE32-E72D297353CC}">
                <c16:uniqueId val="{00000003-F83A-48D6-86A0-40B75674C4DC}"/>
              </c:ext>
            </c:extLst>
          </c:dPt>
          <c:dPt>
            <c:idx val="5"/>
            <c:invertIfNegative val="0"/>
            <c:bubble3D val="0"/>
            <c:spPr>
              <a:solidFill>
                <a:srgbClr val="C17F78"/>
              </a:solidFill>
              <a:ln>
                <a:noFill/>
              </a:ln>
              <a:effectLst>
                <a:outerShdw blurRad="50800" dist="38100" dir="13500000" algn="br" rotWithShape="0">
                  <a:prstClr val="black">
                    <a:alpha val="40000"/>
                  </a:prstClr>
                </a:outerShdw>
              </a:effectLst>
              <a:sp3d/>
            </c:spPr>
            <c:extLst>
              <c:ext xmlns:c16="http://schemas.microsoft.com/office/drawing/2014/chart" uri="{C3380CC4-5D6E-409C-BE32-E72D297353CC}">
                <c16:uniqueId val="{00000005-F83A-48D6-86A0-40B75674C4DC}"/>
              </c:ext>
            </c:extLst>
          </c:dPt>
          <c:dPt>
            <c:idx val="6"/>
            <c:invertIfNegative val="0"/>
            <c:bubble3D val="0"/>
            <c:spPr>
              <a:solidFill>
                <a:srgbClr val="9D2235"/>
              </a:solidFill>
              <a:ln>
                <a:noFill/>
              </a:ln>
              <a:effectLst>
                <a:outerShdw blurRad="50800" dist="38100" dir="13500000" algn="br" rotWithShape="0">
                  <a:prstClr val="black">
                    <a:alpha val="40000"/>
                  </a:prstClr>
                </a:outerShdw>
              </a:effectLst>
              <a:sp3d/>
            </c:spPr>
            <c:extLst>
              <c:ext xmlns:c16="http://schemas.microsoft.com/office/drawing/2014/chart" uri="{C3380CC4-5D6E-409C-BE32-E72D297353CC}">
                <c16:uniqueId val="{00000007-F83A-48D6-86A0-40B75674C4DC}"/>
              </c:ext>
            </c:extLst>
          </c:dPt>
          <c:dLbls>
            <c:dLbl>
              <c:idx val="0"/>
              <c:layout>
                <c:manualLayout>
                  <c:x val="-2.837303717476046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3A-48D6-86A0-40B75674C4DC}"/>
                </c:ext>
              </c:extLst>
            </c:dLbl>
            <c:dLbl>
              <c:idx val="1"/>
              <c:layout>
                <c:manualLayout>
                  <c:x val="-2.8373037174760467E-2"/>
                  <c:y val="7.95673050306948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3A-48D6-86A0-40B75674C4DC}"/>
                </c:ext>
              </c:extLst>
            </c:dLbl>
            <c:dLbl>
              <c:idx val="2"/>
              <c:layout>
                <c:manualLayout>
                  <c:x val="-3.2347344796420853E-2"/>
                  <c:y val="-3.411417180595322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ca-ES-valenci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3A-48D6-86A0-40B75674C4DC}"/>
                </c:ext>
              </c:extLst>
            </c:dLbl>
            <c:dLbl>
              <c:idx val="3"/>
              <c:layout>
                <c:manualLayout>
                  <c:x val="-3.0031233923031621E-2"/>
                  <c:y val="-4.35751364392849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83A-48D6-86A0-40B75674C4DC}"/>
                </c:ext>
              </c:extLst>
            </c:dLbl>
            <c:dLbl>
              <c:idx val="4"/>
              <c:layout>
                <c:manualLayout>
                  <c:x val="-5.1242871832934252E-2"/>
                  <c:y val="-3.33844802662830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3A-48D6-86A0-40B75674C4DC}"/>
                </c:ext>
              </c:extLst>
            </c:dLbl>
            <c:dLbl>
              <c:idx val="5"/>
              <c:layout>
                <c:manualLayout>
                  <c:x val="-0.14323071586066435"/>
                  <c:y val="-4.35754216779831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3A-48D6-86A0-40B75674C4DC}"/>
                </c:ext>
              </c:extLst>
            </c:dLbl>
            <c:dLbl>
              <c:idx val="6"/>
              <c:layout>
                <c:manualLayout>
                  <c:x val="-0.25903391421934752"/>
                  <c:y val="-7.76912026027221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3A-48D6-86A0-40B75674C4D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Hoja1!$L$113:$L$119</c:f>
              <c:strCache>
                <c:ptCount val="7"/>
                <c:pt idx="0">
                  <c:v>Altres</c:v>
                </c:pt>
                <c:pt idx="1">
                  <c:v>Personal laboral empreses contractistes GVA</c:v>
                </c:pt>
                <c:pt idx="2">
                  <c:v>Personal laboral corporació de dret públic</c:v>
                </c:pt>
                <c:pt idx="3">
                  <c:v>Personal laboral sector públic instrumental  GVA</c:v>
                </c:pt>
                <c:pt idx="4">
                  <c:v>Funcionaris interins</c:v>
                </c:pt>
                <c:pt idx="5">
                  <c:v>Personal laboral de Societats Mercantils d'Ens Locals</c:v>
                </c:pt>
                <c:pt idx="6">
                  <c:v>Funcionaris de carrera</c:v>
                </c:pt>
              </c:strCache>
            </c:strRef>
          </c:cat>
          <c:val>
            <c:numRef>
              <c:f>Hoja1!$M$113:$M$119</c:f>
              <c:numCache>
                <c:formatCode>General</c:formatCode>
                <c:ptCount val="7"/>
                <c:pt idx="0">
                  <c:v>1</c:v>
                </c:pt>
                <c:pt idx="1">
                  <c:v>1</c:v>
                </c:pt>
                <c:pt idx="2">
                  <c:v>1</c:v>
                </c:pt>
                <c:pt idx="3">
                  <c:v>1</c:v>
                </c:pt>
                <c:pt idx="4">
                  <c:v>2</c:v>
                </c:pt>
                <c:pt idx="5">
                  <c:v>7</c:v>
                </c:pt>
                <c:pt idx="6">
                  <c:v>13</c:v>
                </c:pt>
              </c:numCache>
            </c:numRef>
          </c:val>
          <c:shape val="cylinder"/>
          <c:extLst>
            <c:ext xmlns:c16="http://schemas.microsoft.com/office/drawing/2014/chart" uri="{C3380CC4-5D6E-409C-BE32-E72D297353CC}">
              <c16:uniqueId val="{0000000B-F83A-48D6-86A0-40B75674C4DC}"/>
            </c:ext>
          </c:extLst>
        </c:ser>
        <c:dLbls>
          <c:showLegendKey val="0"/>
          <c:showVal val="0"/>
          <c:showCatName val="0"/>
          <c:showSerName val="0"/>
          <c:showPercent val="0"/>
          <c:showBubbleSize val="0"/>
        </c:dLbls>
        <c:gapWidth val="150"/>
        <c:shape val="box"/>
        <c:axId val="1507626416"/>
        <c:axId val="1464656752"/>
        <c:axId val="0"/>
      </c:bar3DChart>
      <c:catAx>
        <c:axId val="1507626416"/>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0"/>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a-ES-valencia"/>
          </a:p>
        </c:txPr>
        <c:crossAx val="1464656752"/>
        <c:crosses val="autoZero"/>
        <c:auto val="1"/>
        <c:lblAlgn val="ctr"/>
        <c:lblOffset val="100"/>
        <c:noMultiLvlLbl val="0"/>
      </c:catAx>
      <c:valAx>
        <c:axId val="146465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a-ES-valencia"/>
          </a:p>
        </c:txPr>
        <c:crossAx val="1507626416"/>
        <c:crosses val="autoZero"/>
        <c:crossBetween val="between"/>
        <c:majorUnit val="3"/>
      </c:valAx>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0"/>
      <c:depthPercent val="100"/>
      <c:rAngAx val="1"/>
    </c:view3D>
    <c:floor>
      <c:thickness val="0"/>
      <c:spPr>
        <a:solidFill>
          <a:schemeClr val="bg1">
            <a:lumMod val="95000"/>
          </a:schemeClr>
        </a:solidFill>
        <a:ln>
          <a:solidFill>
            <a:schemeClr val="bg1">
              <a:lumMod val="85000"/>
            </a:schemeClr>
          </a:solidFill>
        </a:ln>
      </c:spPr>
    </c:floor>
    <c:sideWall>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bg1">
                <a:lumMod val="75000"/>
              </a:schemeClr>
            </a:gs>
          </a:gsLst>
        </a:gradFill>
        <a:ln>
          <a:noFill/>
        </a:ln>
      </c:spPr>
    </c:sideWall>
    <c:backWall>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bg1">
                <a:lumMod val="75000"/>
              </a:schemeClr>
            </a:gs>
          </a:gsLst>
          <a:lin ang="5400000" scaled="1"/>
        </a:gradFill>
        <a:ln>
          <a:noFill/>
        </a:ln>
      </c:spPr>
    </c:backWall>
    <c:plotArea>
      <c:layout/>
      <c:bar3DChart>
        <c:barDir val="bar"/>
        <c:grouping val="clustered"/>
        <c:varyColors val="0"/>
        <c:ser>
          <c:idx val="0"/>
          <c:order val="0"/>
          <c:spPr>
            <a:solidFill>
              <a:schemeClr val="bg2">
                <a:lumMod val="50000"/>
              </a:schemeClr>
            </a:solidFill>
          </c:spPr>
          <c:invertIfNegative val="0"/>
          <c:dPt>
            <c:idx val="0"/>
            <c:invertIfNegative val="0"/>
            <c:bubble3D val="0"/>
            <c:spPr>
              <a:solidFill>
                <a:schemeClr val="accent3">
                  <a:lumMod val="25000"/>
                </a:schemeClr>
              </a:solidFill>
            </c:spPr>
            <c:extLst>
              <c:ext xmlns:c16="http://schemas.microsoft.com/office/drawing/2014/chart" uri="{C3380CC4-5D6E-409C-BE32-E72D297353CC}">
                <c16:uniqueId val="{00000001-3DCA-4E73-9FA4-D3B2F7C9B30A}"/>
              </c:ext>
            </c:extLst>
          </c:dPt>
          <c:dPt>
            <c:idx val="1"/>
            <c:invertIfNegative val="0"/>
            <c:bubble3D val="0"/>
            <c:spPr>
              <a:solidFill>
                <a:schemeClr val="accent3">
                  <a:lumMod val="50000"/>
                </a:schemeClr>
              </a:solidFill>
            </c:spPr>
            <c:extLst>
              <c:ext xmlns:c16="http://schemas.microsoft.com/office/drawing/2014/chart" uri="{C3380CC4-5D6E-409C-BE32-E72D297353CC}">
                <c16:uniqueId val="{00000003-3DCA-4E73-9FA4-D3B2F7C9B30A}"/>
              </c:ext>
            </c:extLst>
          </c:dPt>
          <c:dPt>
            <c:idx val="2"/>
            <c:invertIfNegative val="0"/>
            <c:bubble3D val="0"/>
            <c:spPr>
              <a:solidFill>
                <a:schemeClr val="accent3">
                  <a:lumMod val="75000"/>
                </a:schemeClr>
              </a:solidFill>
            </c:spPr>
            <c:extLst>
              <c:ext xmlns:c16="http://schemas.microsoft.com/office/drawing/2014/chart" uri="{C3380CC4-5D6E-409C-BE32-E72D297353CC}">
                <c16:uniqueId val="{00000005-3DCA-4E73-9FA4-D3B2F7C9B30A}"/>
              </c:ext>
            </c:extLst>
          </c:dPt>
          <c:dPt>
            <c:idx val="3"/>
            <c:invertIfNegative val="0"/>
            <c:bubble3D val="0"/>
            <c:spPr>
              <a:solidFill>
                <a:schemeClr val="accent3">
                  <a:lumMod val="90000"/>
                </a:schemeClr>
              </a:solidFill>
            </c:spPr>
            <c:extLst>
              <c:ext xmlns:c16="http://schemas.microsoft.com/office/drawing/2014/chart" uri="{C3380CC4-5D6E-409C-BE32-E72D297353CC}">
                <c16:uniqueId val="{00000007-3DCA-4E73-9FA4-D3B2F7C9B30A}"/>
              </c:ext>
            </c:extLst>
          </c:dPt>
          <c:dPt>
            <c:idx val="4"/>
            <c:invertIfNegative val="0"/>
            <c:bubble3D val="0"/>
            <c:extLst>
              <c:ext xmlns:c16="http://schemas.microsoft.com/office/drawing/2014/chart" uri="{C3380CC4-5D6E-409C-BE32-E72D297353CC}">
                <c16:uniqueId val="{00000008-3DCA-4E73-9FA4-D3B2F7C9B30A}"/>
              </c:ext>
            </c:extLst>
          </c:dPt>
          <c:dPt>
            <c:idx val="5"/>
            <c:invertIfNegative val="0"/>
            <c:bubble3D val="0"/>
            <c:spPr>
              <a:solidFill>
                <a:srgbClr val="9D8277"/>
              </a:solidFill>
            </c:spPr>
            <c:extLst>
              <c:ext xmlns:c16="http://schemas.microsoft.com/office/drawing/2014/chart" uri="{C3380CC4-5D6E-409C-BE32-E72D297353CC}">
                <c16:uniqueId val="{0000000A-3DCA-4E73-9FA4-D3B2F7C9B30A}"/>
              </c:ext>
            </c:extLst>
          </c:dPt>
          <c:dPt>
            <c:idx val="6"/>
            <c:invertIfNegative val="0"/>
            <c:bubble3D val="0"/>
            <c:spPr>
              <a:solidFill>
                <a:schemeClr val="bg2">
                  <a:lumMod val="75000"/>
                </a:schemeClr>
              </a:solidFill>
            </c:spPr>
            <c:extLst>
              <c:ext xmlns:c16="http://schemas.microsoft.com/office/drawing/2014/chart" uri="{C3380CC4-5D6E-409C-BE32-E72D297353CC}">
                <c16:uniqueId val="{0000000C-3DCA-4E73-9FA4-D3B2F7C9B30A}"/>
              </c:ext>
            </c:extLst>
          </c:dPt>
          <c:dLbls>
            <c:dLbl>
              <c:idx val="0"/>
              <c:layout>
                <c:manualLayout>
                  <c:x val="-0.25851880316138209"/>
                  <c:y val="-3.56203965195226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CA-4E73-9FA4-D3B2F7C9B30A}"/>
                </c:ext>
              </c:extLst>
            </c:dLbl>
            <c:dLbl>
              <c:idx val="1"/>
              <c:layout>
                <c:manualLayout>
                  <c:x val="-0.26203606578942812"/>
                  <c:y val="-3.56203965195226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DCA-4E73-9FA4-D3B2F7C9B30A}"/>
                </c:ext>
              </c:extLst>
            </c:dLbl>
            <c:dLbl>
              <c:idx val="2"/>
              <c:layout>
                <c:manualLayout>
                  <c:x val="-0.14244913643586368"/>
                  <c:y val="-3.56203965195226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DCA-4E73-9FA4-D3B2F7C9B30A}"/>
                </c:ext>
              </c:extLst>
            </c:dLbl>
            <c:dLbl>
              <c:idx val="3"/>
              <c:layout>
                <c:manualLayout>
                  <c:x val="-7.0345252560920363E-2"/>
                  <c:y val="-3.562039651952329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DCA-4E73-9FA4-D3B2F7C9B30A}"/>
                </c:ext>
              </c:extLst>
            </c:dLbl>
            <c:dLbl>
              <c:idx val="4"/>
              <c:layout>
                <c:manualLayout>
                  <c:x val="-7.3862515188966318E-2"/>
                  <c:y val="-3.562039651952329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DCA-4E73-9FA4-D3B2F7C9B30A}"/>
                </c:ext>
              </c:extLst>
            </c:dLbl>
            <c:dLbl>
              <c:idx val="5"/>
              <c:layout>
                <c:manualLayout>
                  <c:x val="-4.3965782850575189E-2"/>
                  <c:y val="-3.56203965195223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DCA-4E73-9FA4-D3B2F7C9B30A}"/>
                </c:ext>
              </c:extLst>
            </c:dLbl>
            <c:dLbl>
              <c:idx val="6"/>
              <c:layout>
                <c:manualLayout>
                  <c:x val="-4.5550425576439874E-2"/>
                  <c:y val="-6.988904701056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DCA-4E73-9FA4-D3B2F7C9B30A}"/>
                </c:ext>
              </c:extLst>
            </c:dLbl>
            <c:spPr>
              <a:noFill/>
              <a:ln>
                <a:noFill/>
              </a:ln>
              <a:effectLst/>
            </c:spPr>
            <c:txPr>
              <a:bodyPr wrap="square" lIns="38100" tIns="19050" rIns="38100" bIns="19050" anchor="ctr">
                <a:spAutoFit/>
              </a:bodyPr>
              <a:lstStyle/>
              <a:p>
                <a:pPr>
                  <a:defRPr b="1">
                    <a:solidFill>
                      <a:schemeClr val="bg1"/>
                    </a:solidFill>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Hoja1!$M$208:$M$214</c:f>
              <c:strCache>
                <c:ptCount val="7"/>
                <c:pt idx="0">
                  <c:v>Contractació administrativa</c:v>
                </c:pt>
                <c:pt idx="1">
                  <c:v>Accés funcio pública i selecció personal</c:v>
                </c:pt>
                <c:pt idx="2">
                  <c:v>Gestió de personal (provisió, retribucions, etc.)</c:v>
                </c:pt>
                <c:pt idx="3">
                  <c:v>Funcionament serveis públics policia local</c:v>
                </c:pt>
                <c:pt idx="4">
                  <c:v>Urbanisme</c:v>
                </c:pt>
                <c:pt idx="5">
                  <c:v>Funcionament servei de salut</c:v>
                </c:pt>
                <c:pt idx="6">
                  <c:v>Funcionament de serveis socials</c:v>
                </c:pt>
              </c:strCache>
            </c:strRef>
          </c:cat>
          <c:val>
            <c:numRef>
              <c:f>Hoja1!$N$208:$N$214</c:f>
              <c:numCache>
                <c:formatCode>General</c:formatCode>
                <c:ptCount val="7"/>
                <c:pt idx="0">
                  <c:v>8</c:v>
                </c:pt>
                <c:pt idx="1">
                  <c:v>8</c:v>
                </c:pt>
                <c:pt idx="2">
                  <c:v>4</c:v>
                </c:pt>
                <c:pt idx="3">
                  <c:v>2</c:v>
                </c:pt>
                <c:pt idx="4">
                  <c:v>2</c:v>
                </c:pt>
                <c:pt idx="5">
                  <c:v>1</c:v>
                </c:pt>
                <c:pt idx="6">
                  <c:v>1</c:v>
                </c:pt>
              </c:numCache>
            </c:numRef>
          </c:val>
          <c:shape val="cylinder"/>
          <c:extLst>
            <c:ext xmlns:c16="http://schemas.microsoft.com/office/drawing/2014/chart" uri="{C3380CC4-5D6E-409C-BE32-E72D297353CC}">
              <c16:uniqueId val="{0000000D-3DCA-4E73-9FA4-D3B2F7C9B30A}"/>
            </c:ext>
          </c:extLst>
        </c:ser>
        <c:dLbls>
          <c:showLegendKey val="0"/>
          <c:showVal val="0"/>
          <c:showCatName val="0"/>
          <c:showSerName val="0"/>
          <c:showPercent val="0"/>
          <c:showBubbleSize val="0"/>
        </c:dLbls>
        <c:gapWidth val="150"/>
        <c:shape val="box"/>
        <c:axId val="1290807200"/>
        <c:axId val="1"/>
        <c:axId val="0"/>
      </c:bar3DChart>
      <c:catAx>
        <c:axId val="1290807200"/>
        <c:scaling>
          <c:orientation val="minMax"/>
        </c:scaling>
        <c:delete val="0"/>
        <c:axPos val="l"/>
        <c:numFmt formatCode="General" sourceLinked="1"/>
        <c:majorTickMark val="none"/>
        <c:minorTickMark val="none"/>
        <c:tickLblPos val="nextTo"/>
        <c:spPr>
          <a:ln w="3175">
            <a:solidFill>
              <a:srgbClr val="C0C0C0"/>
            </a:solidFill>
            <a:prstDash val="solid"/>
          </a:ln>
        </c:spPr>
        <c:txPr>
          <a:bodyPr rot="0" vert="horz"/>
          <a:lstStyle/>
          <a:p>
            <a:pPr>
              <a:defRPr sz="900" b="1" i="0" u="none" strike="noStrike" baseline="0">
                <a:solidFill>
                  <a:srgbClr val="9D2235"/>
                </a:solidFill>
                <a:latin typeface="Arial" panose="020B0604020202020204" pitchFamily="34" charset="0"/>
                <a:ea typeface="Calibri"/>
                <a:cs typeface="Arial" panose="020B0604020202020204" pitchFamily="34" charset="0"/>
              </a:defRPr>
            </a:pPr>
            <a:endParaRPr lang="ca-ES-valencia"/>
          </a:p>
        </c:txPr>
        <c:crossAx val="1"/>
        <c:crossesAt val="0"/>
        <c:auto val="1"/>
        <c:lblAlgn val="ctr"/>
        <c:lblOffset val="100"/>
        <c:noMultiLvlLbl val="0"/>
      </c:catAx>
      <c:valAx>
        <c:axId val="1"/>
        <c:scaling>
          <c:orientation val="minMax"/>
          <c:max val="9"/>
          <c:min val="0"/>
        </c:scaling>
        <c:delete val="1"/>
        <c:axPos val="b"/>
        <c:majorGridlines>
          <c:spPr>
            <a:ln>
              <a:solidFill>
                <a:schemeClr val="bg1">
                  <a:lumMod val="85000"/>
                </a:schemeClr>
              </a:solidFill>
            </a:ln>
            <a:effectLst>
              <a:outerShdw blurRad="50800" dist="50800" dir="5400000" sx="1000" sy="1000" algn="ctr" rotWithShape="0">
                <a:srgbClr val="000000">
                  <a:alpha val="43137"/>
                </a:srgbClr>
              </a:outerShdw>
              <a:softEdge rad="0"/>
            </a:effectLst>
          </c:spPr>
        </c:majorGridlines>
        <c:numFmt formatCode="General" sourceLinked="1"/>
        <c:majorTickMark val="out"/>
        <c:minorTickMark val="none"/>
        <c:tickLblPos val="nextTo"/>
        <c:crossAx val="1290807200"/>
        <c:crossesAt val="1"/>
        <c:crossBetween val="between"/>
        <c:majorUnit val="3"/>
        <c:minorUnit val="0.5"/>
      </c:valAx>
      <c:spPr>
        <a:noFill/>
        <a:ln w="25400">
          <a:noFill/>
        </a:ln>
        <a:effectLst/>
      </c:spPr>
    </c:plotArea>
    <c:plotVisOnly val="1"/>
    <c:dispBlanksAs val="gap"/>
    <c:showDLblsOverMax val="0"/>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6350">
      <a:noFill/>
    </a:ln>
    <a:effectLst/>
  </c:spPr>
  <c:txPr>
    <a:bodyPr/>
    <a:lstStyle/>
    <a:p>
      <a:pPr>
        <a:defRPr sz="1100" b="0" i="0" u="none" strike="noStrike" baseline="0">
          <a:solidFill>
            <a:srgbClr val="000000"/>
          </a:solidFill>
          <a:latin typeface="Arial"/>
          <a:ea typeface="Arial"/>
          <a:cs typeface="Arial"/>
        </a:defRPr>
      </a:pPr>
      <a:endParaRPr lang="ca-ES-valencia"/>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336627136095287E-2"/>
          <c:y val="2.0486832096379599E-2"/>
          <c:w val="0.9379450892956348"/>
          <c:h val="0.63984322455776577"/>
        </c:manualLayout>
      </c:layout>
      <c:bar3DChart>
        <c:barDir val="col"/>
        <c:grouping val="standard"/>
        <c:varyColors val="0"/>
        <c:ser>
          <c:idx val="0"/>
          <c:order val="0"/>
          <c:tx>
            <c:strRef>
              <c:f>'Grafic-1'!$B$26</c:f>
              <c:strCache>
                <c:ptCount val="1"/>
                <c:pt idx="0">
                  <c:v>2017</c:v>
                </c:pt>
              </c:strCache>
            </c:strRef>
          </c:tx>
          <c:spPr>
            <a:solidFill>
              <a:schemeClr val="accent1"/>
            </a:solidFill>
            <a:ln>
              <a:noFill/>
            </a:ln>
            <a:effectLst/>
            <a:sp3d/>
          </c:spPr>
          <c:invertIfNegative val="0"/>
          <c:cat>
            <c:strRef>
              <c:f>'Grafic-1'!$A$27:$A$48</c:f>
              <c:strCache>
                <c:ptCount val="22"/>
                <c:pt idx="0">
                  <c:v>Administració municipal</c:v>
                </c:pt>
                <c:pt idx="1">
                  <c:v>Administració de la Generalitat</c:v>
                </c:pt>
                <c:pt idx="2">
                  <c:v>Sector públic local</c:v>
                </c:pt>
                <c:pt idx="3">
                  <c:v>Privat</c:v>
                </c:pt>
                <c:pt idx="4">
                  <c:v>Diputacions provincials</c:v>
                </c:pt>
                <c:pt idx="5">
                  <c:v>Fundacions del sector públic de la Generalitat</c:v>
                </c:pt>
                <c:pt idx="6">
                  <c:v>Partits polítics</c:v>
                </c:pt>
                <c:pt idx="7">
                  <c:v>Universitats</c:v>
                </c:pt>
                <c:pt idx="8">
                  <c:v>Entitats de dret públic de la Generalitat</c:v>
                </c:pt>
                <c:pt idx="9">
                  <c:v>Fundacions del sector públic local</c:v>
                </c:pt>
                <c:pt idx="10">
                  <c:v>Organismes de l'Estat</c:v>
                </c:pt>
                <c:pt idx="11">
                  <c:v>Administració de Justícia</c:v>
                </c:pt>
                <c:pt idx="12">
                  <c:v>Consorcis de la Generalitat</c:v>
                </c:pt>
                <c:pt idx="13">
                  <c:v>Corporació de dret públic</c:v>
                </c:pt>
                <c:pt idx="14">
                  <c:v>Empreses contractistes de la Generalitat</c:v>
                </c:pt>
                <c:pt idx="15">
                  <c:v>Organismes autònoms de la Generalitat</c:v>
                </c:pt>
                <c:pt idx="16">
                  <c:v>Sindicats</c:v>
                </c:pt>
                <c:pt idx="17">
                  <c:v>Societats mercantils de la Generalitat</c:v>
                </c:pt>
                <c:pt idx="18">
                  <c:v>Institucions estatutàries</c:v>
                </c:pt>
                <c:pt idx="19">
                  <c:v>Sector públic Generalitat</c:v>
                </c:pt>
                <c:pt idx="20">
                  <c:v>Sector públic provincial</c:v>
                </c:pt>
                <c:pt idx="21">
                  <c:v>Altres</c:v>
                </c:pt>
              </c:strCache>
            </c:strRef>
          </c:cat>
          <c:val>
            <c:numRef>
              <c:f>'Grafic-1'!$B$27:$B$48</c:f>
              <c:numCache>
                <c:formatCode>General</c:formatCode>
                <c:ptCount val="22"/>
                <c:pt idx="0">
                  <c:v>21</c:v>
                </c:pt>
                <c:pt idx="1">
                  <c:v>9</c:v>
                </c:pt>
                <c:pt idx="2">
                  <c:v>3</c:v>
                </c:pt>
                <c:pt idx="3">
                  <c:v>0</c:v>
                </c:pt>
                <c:pt idx="4">
                  <c:v>1</c:v>
                </c:pt>
                <c:pt idx="5">
                  <c:v>0</c:v>
                </c:pt>
                <c:pt idx="6">
                  <c:v>0</c:v>
                </c:pt>
                <c:pt idx="7">
                  <c:v>0</c:v>
                </c:pt>
                <c:pt idx="8">
                  <c:v>0</c:v>
                </c:pt>
                <c:pt idx="9">
                  <c:v>0</c:v>
                </c:pt>
                <c:pt idx="10">
                  <c:v>0</c:v>
                </c:pt>
                <c:pt idx="11">
                  <c:v>0</c:v>
                </c:pt>
                <c:pt idx="12">
                  <c:v>0</c:v>
                </c:pt>
                <c:pt idx="13">
                  <c:v>0</c:v>
                </c:pt>
                <c:pt idx="14">
                  <c:v>0</c:v>
                </c:pt>
                <c:pt idx="15">
                  <c:v>0</c:v>
                </c:pt>
                <c:pt idx="16">
                  <c:v>0</c:v>
                </c:pt>
                <c:pt idx="17">
                  <c:v>0</c:v>
                </c:pt>
                <c:pt idx="18">
                  <c:v>1</c:v>
                </c:pt>
                <c:pt idx="19">
                  <c:v>0</c:v>
                </c:pt>
                <c:pt idx="20">
                  <c:v>0</c:v>
                </c:pt>
                <c:pt idx="21">
                  <c:v>0</c:v>
                </c:pt>
              </c:numCache>
            </c:numRef>
          </c:val>
          <c:extLst>
            <c:ext xmlns:c16="http://schemas.microsoft.com/office/drawing/2014/chart" uri="{C3380CC4-5D6E-409C-BE32-E72D297353CC}">
              <c16:uniqueId val="{00000000-D934-40C4-9865-71EBEA4AE858}"/>
            </c:ext>
          </c:extLst>
        </c:ser>
        <c:ser>
          <c:idx val="1"/>
          <c:order val="1"/>
          <c:tx>
            <c:strRef>
              <c:f>'Grafic-1'!$C$26</c:f>
              <c:strCache>
                <c:ptCount val="1"/>
                <c:pt idx="0">
                  <c:v>2018</c:v>
                </c:pt>
              </c:strCache>
            </c:strRef>
          </c:tx>
          <c:spPr>
            <a:solidFill>
              <a:schemeClr val="accent2"/>
            </a:solidFill>
            <a:ln>
              <a:noFill/>
            </a:ln>
            <a:effectLst/>
            <a:sp3d/>
          </c:spPr>
          <c:invertIfNegative val="0"/>
          <c:cat>
            <c:strRef>
              <c:f>'Grafic-1'!$A$27:$A$48</c:f>
              <c:strCache>
                <c:ptCount val="22"/>
                <c:pt idx="0">
                  <c:v>Administració municipal</c:v>
                </c:pt>
                <c:pt idx="1">
                  <c:v>Administració de la Generalitat</c:v>
                </c:pt>
                <c:pt idx="2">
                  <c:v>Sector públic local</c:v>
                </c:pt>
                <c:pt idx="3">
                  <c:v>Privat</c:v>
                </c:pt>
                <c:pt idx="4">
                  <c:v>Diputacions provincials</c:v>
                </c:pt>
                <c:pt idx="5">
                  <c:v>Fundacions del sector públic de la Generalitat</c:v>
                </c:pt>
                <c:pt idx="6">
                  <c:v>Partits polítics</c:v>
                </c:pt>
                <c:pt idx="7">
                  <c:v>Universitats</c:v>
                </c:pt>
                <c:pt idx="8">
                  <c:v>Entitats de dret públic de la Generalitat</c:v>
                </c:pt>
                <c:pt idx="9">
                  <c:v>Fundacions del sector públic local</c:v>
                </c:pt>
                <c:pt idx="10">
                  <c:v>Organismes de l'Estat</c:v>
                </c:pt>
                <c:pt idx="11">
                  <c:v>Administració de Justícia</c:v>
                </c:pt>
                <c:pt idx="12">
                  <c:v>Consorcis de la Generalitat</c:v>
                </c:pt>
                <c:pt idx="13">
                  <c:v>Corporació de dret públic</c:v>
                </c:pt>
                <c:pt idx="14">
                  <c:v>Empreses contractistes de la Generalitat</c:v>
                </c:pt>
                <c:pt idx="15">
                  <c:v>Organismes autònoms de la Generalitat</c:v>
                </c:pt>
                <c:pt idx="16">
                  <c:v>Sindicats</c:v>
                </c:pt>
                <c:pt idx="17">
                  <c:v>Societats mercantils de la Generalitat</c:v>
                </c:pt>
                <c:pt idx="18">
                  <c:v>Institucions estatutàries</c:v>
                </c:pt>
                <c:pt idx="19">
                  <c:v>Sector públic Generalitat</c:v>
                </c:pt>
                <c:pt idx="20">
                  <c:v>Sector públic provincial</c:v>
                </c:pt>
                <c:pt idx="21">
                  <c:v>Altres</c:v>
                </c:pt>
              </c:strCache>
            </c:strRef>
          </c:cat>
          <c:val>
            <c:numRef>
              <c:f>'Grafic-1'!$C$27:$C$48</c:f>
              <c:numCache>
                <c:formatCode>General</c:formatCode>
                <c:ptCount val="22"/>
                <c:pt idx="0">
                  <c:v>81</c:v>
                </c:pt>
                <c:pt idx="1">
                  <c:v>53</c:v>
                </c:pt>
                <c:pt idx="2">
                  <c:v>3</c:v>
                </c:pt>
                <c:pt idx="3">
                  <c:v>5</c:v>
                </c:pt>
                <c:pt idx="4">
                  <c:v>15</c:v>
                </c:pt>
                <c:pt idx="5">
                  <c:v>0</c:v>
                </c:pt>
                <c:pt idx="6">
                  <c:v>0</c:v>
                </c:pt>
                <c:pt idx="7">
                  <c:v>7</c:v>
                </c:pt>
                <c:pt idx="8">
                  <c:v>0</c:v>
                </c:pt>
                <c:pt idx="9">
                  <c:v>0</c:v>
                </c:pt>
                <c:pt idx="10">
                  <c:v>0</c:v>
                </c:pt>
                <c:pt idx="11">
                  <c:v>0</c:v>
                </c:pt>
                <c:pt idx="12">
                  <c:v>0</c:v>
                </c:pt>
                <c:pt idx="13">
                  <c:v>0</c:v>
                </c:pt>
                <c:pt idx="14">
                  <c:v>0</c:v>
                </c:pt>
                <c:pt idx="15">
                  <c:v>0</c:v>
                </c:pt>
                <c:pt idx="16">
                  <c:v>0</c:v>
                </c:pt>
                <c:pt idx="17">
                  <c:v>0</c:v>
                </c:pt>
                <c:pt idx="18">
                  <c:v>3</c:v>
                </c:pt>
                <c:pt idx="19">
                  <c:v>9</c:v>
                </c:pt>
                <c:pt idx="20">
                  <c:v>5</c:v>
                </c:pt>
                <c:pt idx="21">
                  <c:v>0</c:v>
                </c:pt>
              </c:numCache>
            </c:numRef>
          </c:val>
          <c:extLst>
            <c:ext xmlns:c16="http://schemas.microsoft.com/office/drawing/2014/chart" uri="{C3380CC4-5D6E-409C-BE32-E72D297353CC}">
              <c16:uniqueId val="{00000001-D934-40C4-9865-71EBEA4AE858}"/>
            </c:ext>
          </c:extLst>
        </c:ser>
        <c:ser>
          <c:idx val="2"/>
          <c:order val="2"/>
          <c:tx>
            <c:strRef>
              <c:f>'Grafic-1'!$D$26</c:f>
              <c:strCache>
                <c:ptCount val="1"/>
                <c:pt idx="0">
                  <c:v>2019</c:v>
                </c:pt>
              </c:strCache>
            </c:strRef>
          </c:tx>
          <c:spPr>
            <a:solidFill>
              <a:schemeClr val="accent3"/>
            </a:solidFill>
            <a:ln>
              <a:noFill/>
            </a:ln>
            <a:effectLst/>
            <a:sp3d/>
          </c:spPr>
          <c:invertIfNegative val="0"/>
          <c:cat>
            <c:strRef>
              <c:f>'Grafic-1'!$A$27:$A$48</c:f>
              <c:strCache>
                <c:ptCount val="22"/>
                <c:pt idx="0">
                  <c:v>Administració municipal</c:v>
                </c:pt>
                <c:pt idx="1">
                  <c:v>Administració de la Generalitat</c:v>
                </c:pt>
                <c:pt idx="2">
                  <c:v>Sector públic local</c:v>
                </c:pt>
                <c:pt idx="3">
                  <c:v>Privat</c:v>
                </c:pt>
                <c:pt idx="4">
                  <c:v>Diputacions provincials</c:v>
                </c:pt>
                <c:pt idx="5">
                  <c:v>Fundacions del sector públic de la Generalitat</c:v>
                </c:pt>
                <c:pt idx="6">
                  <c:v>Partits polítics</c:v>
                </c:pt>
                <c:pt idx="7">
                  <c:v>Universitats</c:v>
                </c:pt>
                <c:pt idx="8">
                  <c:v>Entitats de dret públic de la Generalitat</c:v>
                </c:pt>
                <c:pt idx="9">
                  <c:v>Fundacions del sector públic local</c:v>
                </c:pt>
                <c:pt idx="10">
                  <c:v>Organismes de l'Estat</c:v>
                </c:pt>
                <c:pt idx="11">
                  <c:v>Administració de Justícia</c:v>
                </c:pt>
                <c:pt idx="12">
                  <c:v>Consorcis de la Generalitat</c:v>
                </c:pt>
                <c:pt idx="13">
                  <c:v>Corporació de dret públic</c:v>
                </c:pt>
                <c:pt idx="14">
                  <c:v>Empreses contractistes de la Generalitat</c:v>
                </c:pt>
                <c:pt idx="15">
                  <c:v>Organismes autònoms de la Generalitat</c:v>
                </c:pt>
                <c:pt idx="16">
                  <c:v>Sindicats</c:v>
                </c:pt>
                <c:pt idx="17">
                  <c:v>Societats mercantils de la Generalitat</c:v>
                </c:pt>
                <c:pt idx="18">
                  <c:v>Institucions estatutàries</c:v>
                </c:pt>
                <c:pt idx="19">
                  <c:v>Sector públic Generalitat</c:v>
                </c:pt>
                <c:pt idx="20">
                  <c:v>Sector públic provincial</c:v>
                </c:pt>
                <c:pt idx="21">
                  <c:v>Altres</c:v>
                </c:pt>
              </c:strCache>
            </c:strRef>
          </c:cat>
          <c:val>
            <c:numRef>
              <c:f>'Grafic-1'!$D$27:$D$48</c:f>
              <c:numCache>
                <c:formatCode>General</c:formatCode>
                <c:ptCount val="22"/>
                <c:pt idx="0">
                  <c:v>89</c:v>
                </c:pt>
                <c:pt idx="1">
                  <c:v>23</c:v>
                </c:pt>
                <c:pt idx="2">
                  <c:v>15</c:v>
                </c:pt>
                <c:pt idx="3">
                  <c:v>14</c:v>
                </c:pt>
                <c:pt idx="4">
                  <c:v>8</c:v>
                </c:pt>
                <c:pt idx="5">
                  <c:v>0</c:v>
                </c:pt>
                <c:pt idx="6">
                  <c:v>0</c:v>
                </c:pt>
                <c:pt idx="7">
                  <c:v>3</c:v>
                </c:pt>
                <c:pt idx="8">
                  <c:v>3</c:v>
                </c:pt>
                <c:pt idx="9">
                  <c:v>0</c:v>
                </c:pt>
                <c:pt idx="10">
                  <c:v>1</c:v>
                </c:pt>
                <c:pt idx="11">
                  <c:v>1</c:v>
                </c:pt>
                <c:pt idx="12">
                  <c:v>2</c:v>
                </c:pt>
                <c:pt idx="13">
                  <c:v>4</c:v>
                </c:pt>
                <c:pt idx="14">
                  <c:v>0</c:v>
                </c:pt>
                <c:pt idx="15">
                  <c:v>1</c:v>
                </c:pt>
                <c:pt idx="16">
                  <c:v>0</c:v>
                </c:pt>
                <c:pt idx="17">
                  <c:v>0</c:v>
                </c:pt>
                <c:pt idx="18">
                  <c:v>0</c:v>
                </c:pt>
                <c:pt idx="19">
                  <c:v>3</c:v>
                </c:pt>
                <c:pt idx="20">
                  <c:v>0</c:v>
                </c:pt>
                <c:pt idx="21">
                  <c:v>1</c:v>
                </c:pt>
              </c:numCache>
            </c:numRef>
          </c:val>
          <c:extLst>
            <c:ext xmlns:c16="http://schemas.microsoft.com/office/drawing/2014/chart" uri="{C3380CC4-5D6E-409C-BE32-E72D297353CC}">
              <c16:uniqueId val="{00000002-D934-40C4-9865-71EBEA4AE858}"/>
            </c:ext>
          </c:extLst>
        </c:ser>
        <c:ser>
          <c:idx val="4"/>
          <c:order val="3"/>
          <c:tx>
            <c:strRef>
              <c:f>'Grafic-1'!$E$26</c:f>
              <c:strCache>
                <c:ptCount val="1"/>
                <c:pt idx="0">
                  <c:v>2020</c:v>
                </c:pt>
              </c:strCache>
            </c:strRef>
          </c:tx>
          <c:spPr>
            <a:solidFill>
              <a:schemeClr val="accent5"/>
            </a:solidFill>
            <a:ln>
              <a:noFill/>
            </a:ln>
            <a:effectLst/>
            <a:sp3d/>
          </c:spPr>
          <c:invertIfNegative val="0"/>
          <c:val>
            <c:numRef>
              <c:f>'Grafic-1'!$E$27:$E$48</c:f>
              <c:numCache>
                <c:formatCode>General</c:formatCode>
                <c:ptCount val="22"/>
                <c:pt idx="0">
                  <c:v>131</c:v>
                </c:pt>
                <c:pt idx="1">
                  <c:v>43</c:v>
                </c:pt>
                <c:pt idx="2">
                  <c:v>12</c:v>
                </c:pt>
                <c:pt idx="3">
                  <c:v>10</c:v>
                </c:pt>
                <c:pt idx="4">
                  <c:v>7</c:v>
                </c:pt>
                <c:pt idx="5">
                  <c:v>4</c:v>
                </c:pt>
                <c:pt idx="6">
                  <c:v>3</c:v>
                </c:pt>
                <c:pt idx="7">
                  <c:v>3</c:v>
                </c:pt>
                <c:pt idx="8">
                  <c:v>2</c:v>
                </c:pt>
                <c:pt idx="9">
                  <c:v>2</c:v>
                </c:pt>
                <c:pt idx="10">
                  <c:v>2</c:v>
                </c:pt>
                <c:pt idx="11">
                  <c:v>1</c:v>
                </c:pt>
                <c:pt idx="12">
                  <c:v>1</c:v>
                </c:pt>
                <c:pt idx="13">
                  <c:v>1</c:v>
                </c:pt>
                <c:pt idx="14">
                  <c:v>1</c:v>
                </c:pt>
                <c:pt idx="15">
                  <c:v>1</c:v>
                </c:pt>
                <c:pt idx="16">
                  <c:v>1</c:v>
                </c:pt>
                <c:pt idx="17">
                  <c:v>1</c:v>
                </c:pt>
                <c:pt idx="18">
                  <c:v>0</c:v>
                </c:pt>
                <c:pt idx="19">
                  <c:v>0</c:v>
                </c:pt>
                <c:pt idx="20">
                  <c:v>0</c:v>
                </c:pt>
                <c:pt idx="21">
                  <c:v>0</c:v>
                </c:pt>
              </c:numCache>
            </c:numRef>
          </c:val>
          <c:extLst>
            <c:ext xmlns:c16="http://schemas.microsoft.com/office/drawing/2014/chart" uri="{C3380CC4-5D6E-409C-BE32-E72D297353CC}">
              <c16:uniqueId val="{00000003-D934-40C4-9865-71EBEA4AE858}"/>
            </c:ext>
          </c:extLst>
        </c:ser>
        <c:ser>
          <c:idx val="3"/>
          <c:order val="4"/>
          <c:tx>
            <c:strRef>
              <c:f>'Grafic-1'!$F$26</c:f>
              <c:strCache>
                <c:ptCount val="1"/>
                <c:pt idx="0">
                  <c:v>2021</c:v>
                </c:pt>
              </c:strCache>
            </c:strRef>
          </c:tx>
          <c:spPr>
            <a:solidFill>
              <a:schemeClr val="accent4"/>
            </a:solidFill>
            <a:ln>
              <a:noFill/>
            </a:ln>
            <a:effectLst/>
            <a:sp3d/>
          </c:spPr>
          <c:invertIfNegative val="0"/>
          <c:cat>
            <c:strRef>
              <c:f>'Grafic-1'!$A$27:$A$48</c:f>
              <c:strCache>
                <c:ptCount val="22"/>
                <c:pt idx="0">
                  <c:v>Administració municipal</c:v>
                </c:pt>
                <c:pt idx="1">
                  <c:v>Administració de la Generalitat</c:v>
                </c:pt>
                <c:pt idx="2">
                  <c:v>Sector públic local</c:v>
                </c:pt>
                <c:pt idx="3">
                  <c:v>Privat</c:v>
                </c:pt>
                <c:pt idx="4">
                  <c:v>Diputacions provincials</c:v>
                </c:pt>
                <c:pt idx="5">
                  <c:v>Fundacions del sector públic de la Generalitat</c:v>
                </c:pt>
                <c:pt idx="6">
                  <c:v>Partits polítics</c:v>
                </c:pt>
                <c:pt idx="7">
                  <c:v>Universitats</c:v>
                </c:pt>
                <c:pt idx="8">
                  <c:v>Entitats de dret públic de la Generalitat</c:v>
                </c:pt>
                <c:pt idx="9">
                  <c:v>Fundacions del sector públic local</c:v>
                </c:pt>
                <c:pt idx="10">
                  <c:v>Organismes de l'Estat</c:v>
                </c:pt>
                <c:pt idx="11">
                  <c:v>Administració de Justícia</c:v>
                </c:pt>
                <c:pt idx="12">
                  <c:v>Consorcis de la Generalitat</c:v>
                </c:pt>
                <c:pt idx="13">
                  <c:v>Corporació de dret públic</c:v>
                </c:pt>
                <c:pt idx="14">
                  <c:v>Empreses contractistes de la Generalitat</c:v>
                </c:pt>
                <c:pt idx="15">
                  <c:v>Organismes autònoms de la Generalitat</c:v>
                </c:pt>
                <c:pt idx="16">
                  <c:v>Sindicats</c:v>
                </c:pt>
                <c:pt idx="17">
                  <c:v>Societats mercantils de la Generalitat</c:v>
                </c:pt>
                <c:pt idx="18">
                  <c:v>Institucions estatutàries</c:v>
                </c:pt>
                <c:pt idx="19">
                  <c:v>Sector públic Generalitat</c:v>
                </c:pt>
                <c:pt idx="20">
                  <c:v>Sector públic provincial</c:v>
                </c:pt>
                <c:pt idx="21">
                  <c:v>Altres</c:v>
                </c:pt>
              </c:strCache>
            </c:strRef>
          </c:cat>
          <c:val>
            <c:numRef>
              <c:f>'Grafic-1'!$F$27:$F$48</c:f>
              <c:numCache>
                <c:formatCode>General</c:formatCode>
                <c:ptCount val="22"/>
                <c:pt idx="0">
                  <c:v>241</c:v>
                </c:pt>
                <c:pt idx="1">
                  <c:v>55</c:v>
                </c:pt>
                <c:pt idx="2">
                  <c:v>0</c:v>
                </c:pt>
                <c:pt idx="3">
                  <c:v>39</c:v>
                </c:pt>
                <c:pt idx="4">
                  <c:v>4</c:v>
                </c:pt>
                <c:pt idx="5">
                  <c:v>4</c:v>
                </c:pt>
                <c:pt idx="6">
                  <c:v>0</c:v>
                </c:pt>
                <c:pt idx="7">
                  <c:v>2</c:v>
                </c:pt>
                <c:pt idx="8">
                  <c:v>4</c:v>
                </c:pt>
                <c:pt idx="9">
                  <c:v>0</c:v>
                </c:pt>
                <c:pt idx="10">
                  <c:v>1</c:v>
                </c:pt>
                <c:pt idx="11">
                  <c:v>0</c:v>
                </c:pt>
                <c:pt idx="12">
                  <c:v>2</c:v>
                </c:pt>
                <c:pt idx="13">
                  <c:v>3</c:v>
                </c:pt>
                <c:pt idx="14">
                  <c:v>0</c:v>
                </c:pt>
                <c:pt idx="15">
                  <c:v>1</c:v>
                </c:pt>
                <c:pt idx="16">
                  <c:v>0</c:v>
                </c:pt>
                <c:pt idx="17">
                  <c:v>0</c:v>
                </c:pt>
                <c:pt idx="18">
                  <c:v>1</c:v>
                </c:pt>
                <c:pt idx="19">
                  <c:v>1</c:v>
                </c:pt>
                <c:pt idx="20">
                  <c:v>0</c:v>
                </c:pt>
                <c:pt idx="21">
                  <c:v>1</c:v>
                </c:pt>
              </c:numCache>
            </c:numRef>
          </c:val>
          <c:extLst>
            <c:ext xmlns:c16="http://schemas.microsoft.com/office/drawing/2014/chart" uri="{C3380CC4-5D6E-409C-BE32-E72D297353CC}">
              <c16:uniqueId val="{00000004-D934-40C4-9865-71EBEA4AE858}"/>
            </c:ext>
          </c:extLst>
        </c:ser>
        <c:dLbls>
          <c:showLegendKey val="0"/>
          <c:showVal val="0"/>
          <c:showCatName val="0"/>
          <c:showSerName val="0"/>
          <c:showPercent val="0"/>
          <c:showBubbleSize val="0"/>
        </c:dLbls>
        <c:gapWidth val="150"/>
        <c:shape val="box"/>
        <c:axId val="656985456"/>
        <c:axId val="656985128"/>
        <c:axId val="659505528"/>
      </c:bar3DChart>
      <c:catAx>
        <c:axId val="656985456"/>
        <c:scaling>
          <c:orientation val="minMax"/>
        </c:scaling>
        <c:delete val="0"/>
        <c:axPos val="b"/>
        <c:numFmt formatCode="General" sourceLinked="1"/>
        <c:majorTickMark val="none"/>
        <c:minorTickMark val="none"/>
        <c:tickLblPos val="nextTo"/>
        <c:spPr>
          <a:noFill/>
          <a:ln>
            <a:noFill/>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656985128"/>
        <c:crosses val="autoZero"/>
        <c:auto val="1"/>
        <c:lblAlgn val="ctr"/>
        <c:lblOffset val="100"/>
        <c:noMultiLvlLbl val="0"/>
      </c:catAx>
      <c:valAx>
        <c:axId val="656985128"/>
        <c:scaling>
          <c:logBase val="2"/>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656985456"/>
        <c:crosses val="autoZero"/>
        <c:crossBetween val="between"/>
      </c:valAx>
      <c:serAx>
        <c:axId val="659505528"/>
        <c:scaling>
          <c:orientation val="minMax"/>
        </c:scaling>
        <c:delete val="1"/>
        <c:axPos val="b"/>
        <c:majorTickMark val="none"/>
        <c:minorTickMark val="none"/>
        <c:tickLblPos val="nextTo"/>
        <c:crossAx val="65698512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910474737224171E-2"/>
          <c:y val="3.202054449136614E-2"/>
          <c:w val="0.8873352789979333"/>
          <c:h val="0.77924688687535026"/>
        </c:manualLayout>
      </c:layout>
      <c:barChart>
        <c:barDir val="col"/>
        <c:grouping val="clustered"/>
        <c:varyColors val="0"/>
        <c:ser>
          <c:idx val="0"/>
          <c:order val="0"/>
          <c:tx>
            <c:strRef>
              <c:f>'Taula-i-Grafic_2'!$B$2</c:f>
              <c:strCache>
                <c:ptCount val="1"/>
                <c:pt idx="0">
                  <c:v>2017</c:v>
                </c:pt>
              </c:strCache>
            </c:strRef>
          </c:tx>
          <c:spPr>
            <a:solidFill>
              <a:schemeClr val="accent1"/>
            </a:solidFill>
            <a:ln>
              <a:noFill/>
            </a:ln>
            <a:effectLst/>
          </c:spPr>
          <c:invertIfNegative val="0"/>
          <c:cat>
            <c:strRef>
              <c:f>'Taula-i-Grafic_2'!$A$3:$A$8</c:f>
              <c:strCache>
                <c:ptCount val="6"/>
                <c:pt idx="0">
                  <c:v>Bústia de denúncies</c:v>
                </c:pt>
                <c:pt idx="1">
                  <c:v>Correu electrònic/postal</c:v>
                </c:pt>
                <c:pt idx="2">
                  <c:v>Registre General</c:v>
                </c:pt>
                <c:pt idx="3">
                  <c:v>Seu electrònica</c:v>
                </c:pt>
                <c:pt idx="4">
                  <c:v>Acta compareixença</c:v>
                </c:pt>
                <c:pt idx="5">
                  <c:v>Oberts d'ofici/altres</c:v>
                </c:pt>
              </c:strCache>
            </c:strRef>
          </c:cat>
          <c:val>
            <c:numRef>
              <c:f>'Taula-i-Grafic_2'!$B$3:$B$8</c:f>
              <c:numCache>
                <c:formatCode>General</c:formatCode>
                <c:ptCount val="6"/>
                <c:pt idx="0">
                  <c:v>0</c:v>
                </c:pt>
                <c:pt idx="1">
                  <c:v>25</c:v>
                </c:pt>
                <c:pt idx="2">
                  <c:v>10</c:v>
                </c:pt>
                <c:pt idx="3">
                  <c:v>0</c:v>
                </c:pt>
                <c:pt idx="4">
                  <c:v>0</c:v>
                </c:pt>
                <c:pt idx="5">
                  <c:v>0</c:v>
                </c:pt>
              </c:numCache>
            </c:numRef>
          </c:val>
          <c:extLst>
            <c:ext xmlns:c16="http://schemas.microsoft.com/office/drawing/2014/chart" uri="{C3380CC4-5D6E-409C-BE32-E72D297353CC}">
              <c16:uniqueId val="{00000000-923D-45F3-AC60-6D74D57B99FD}"/>
            </c:ext>
          </c:extLst>
        </c:ser>
        <c:ser>
          <c:idx val="1"/>
          <c:order val="1"/>
          <c:tx>
            <c:strRef>
              <c:f>'Taula-i-Grafic_2'!$D$2</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'Taula-i-Grafic_2'!$A$3:$A$8</c:f>
              <c:strCache>
                <c:ptCount val="6"/>
                <c:pt idx="0">
                  <c:v>Bústia de denúncies</c:v>
                </c:pt>
                <c:pt idx="1">
                  <c:v>Correu electrònic/postal</c:v>
                </c:pt>
                <c:pt idx="2">
                  <c:v>Registre General</c:v>
                </c:pt>
                <c:pt idx="3">
                  <c:v>Seu electrònica</c:v>
                </c:pt>
                <c:pt idx="4">
                  <c:v>Acta compareixença</c:v>
                </c:pt>
                <c:pt idx="5">
                  <c:v>Oberts d'ofici/altres</c:v>
                </c:pt>
              </c:strCache>
            </c:strRef>
          </c:cat>
          <c:val>
            <c:numRef>
              <c:f>'Taula-i-Grafic_2'!$D$3:$D$8</c:f>
              <c:numCache>
                <c:formatCode>General</c:formatCode>
                <c:ptCount val="6"/>
                <c:pt idx="0">
                  <c:v>97</c:v>
                </c:pt>
                <c:pt idx="1">
                  <c:v>34</c:v>
                </c:pt>
                <c:pt idx="2">
                  <c:v>50</c:v>
                </c:pt>
                <c:pt idx="3">
                  <c:v>0</c:v>
                </c:pt>
                <c:pt idx="4">
                  <c:v>0</c:v>
                </c:pt>
                <c:pt idx="5">
                  <c:v>0</c:v>
                </c:pt>
              </c:numCache>
            </c:numRef>
          </c:val>
          <c:extLst>
            <c:ext xmlns:c16="http://schemas.microsoft.com/office/drawing/2014/chart" uri="{C3380CC4-5D6E-409C-BE32-E72D297353CC}">
              <c16:uniqueId val="{00000001-923D-45F3-AC60-6D74D57B99FD}"/>
            </c:ext>
          </c:extLst>
        </c:ser>
        <c:ser>
          <c:idx val="2"/>
          <c:order val="2"/>
          <c:tx>
            <c:strRef>
              <c:f>'Taula-i-Grafic_2'!$F$2</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'Taula-i-Grafic_2'!$A$3:$A$8</c:f>
              <c:strCache>
                <c:ptCount val="6"/>
                <c:pt idx="0">
                  <c:v>Bústia de denúncies</c:v>
                </c:pt>
                <c:pt idx="1">
                  <c:v>Correu electrònic/postal</c:v>
                </c:pt>
                <c:pt idx="2">
                  <c:v>Registre General</c:v>
                </c:pt>
                <c:pt idx="3">
                  <c:v>Seu electrònica</c:v>
                </c:pt>
                <c:pt idx="4">
                  <c:v>Acta compareixença</c:v>
                </c:pt>
                <c:pt idx="5">
                  <c:v>Oberts d'ofici/altres</c:v>
                </c:pt>
              </c:strCache>
            </c:strRef>
          </c:cat>
          <c:val>
            <c:numRef>
              <c:f>'Taula-i-Grafic_2'!$F$3:$F$8</c:f>
              <c:numCache>
                <c:formatCode>General</c:formatCode>
                <c:ptCount val="6"/>
                <c:pt idx="0">
                  <c:v>127</c:v>
                </c:pt>
                <c:pt idx="1">
                  <c:v>15</c:v>
                </c:pt>
                <c:pt idx="2">
                  <c:v>26</c:v>
                </c:pt>
                <c:pt idx="3">
                  <c:v>0</c:v>
                </c:pt>
                <c:pt idx="4">
                  <c:v>0</c:v>
                </c:pt>
                <c:pt idx="5">
                  <c:v>0</c:v>
                </c:pt>
              </c:numCache>
            </c:numRef>
          </c:val>
          <c:extLst>
            <c:ext xmlns:c16="http://schemas.microsoft.com/office/drawing/2014/chart" uri="{C3380CC4-5D6E-409C-BE32-E72D297353CC}">
              <c16:uniqueId val="{00000002-923D-45F3-AC60-6D74D57B99FD}"/>
            </c:ext>
          </c:extLst>
        </c:ser>
        <c:ser>
          <c:idx val="3"/>
          <c:order val="3"/>
          <c:tx>
            <c:strRef>
              <c:f>'Taula-i-Grafic_2'!$H$2</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'Taula-i-Grafic_2'!$A$3:$A$8</c:f>
              <c:strCache>
                <c:ptCount val="6"/>
                <c:pt idx="0">
                  <c:v>Bústia de denúncies</c:v>
                </c:pt>
                <c:pt idx="1">
                  <c:v>Correu electrònic/postal</c:v>
                </c:pt>
                <c:pt idx="2">
                  <c:v>Registre General</c:v>
                </c:pt>
                <c:pt idx="3">
                  <c:v>Seu electrònica</c:v>
                </c:pt>
                <c:pt idx="4">
                  <c:v>Acta compareixença</c:v>
                </c:pt>
                <c:pt idx="5">
                  <c:v>Oberts d'ofici/altres</c:v>
                </c:pt>
              </c:strCache>
            </c:strRef>
          </c:cat>
          <c:val>
            <c:numRef>
              <c:f>'Taula-i-Grafic_2'!$H$3:$H$8</c:f>
              <c:numCache>
                <c:formatCode>General</c:formatCode>
                <c:ptCount val="6"/>
                <c:pt idx="0">
                  <c:v>191</c:v>
                </c:pt>
                <c:pt idx="1">
                  <c:v>3</c:v>
                </c:pt>
                <c:pt idx="2">
                  <c:v>14</c:v>
                </c:pt>
                <c:pt idx="3">
                  <c:v>12</c:v>
                </c:pt>
                <c:pt idx="4">
                  <c:v>2</c:v>
                </c:pt>
                <c:pt idx="5">
                  <c:v>4</c:v>
                </c:pt>
              </c:numCache>
            </c:numRef>
          </c:val>
          <c:extLst>
            <c:ext xmlns:c16="http://schemas.microsoft.com/office/drawing/2014/chart" uri="{C3380CC4-5D6E-409C-BE32-E72D297353CC}">
              <c16:uniqueId val="{00000003-923D-45F3-AC60-6D74D57B99FD}"/>
            </c:ext>
          </c:extLst>
        </c:ser>
        <c:ser>
          <c:idx val="4"/>
          <c:order val="4"/>
          <c:tx>
            <c:strRef>
              <c:f>'Taula-i-Grafic_2'!$J$2</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'Taula-i-Grafic_2'!$A$3:$A$8</c:f>
              <c:strCache>
                <c:ptCount val="6"/>
                <c:pt idx="0">
                  <c:v>Bústia de denúncies</c:v>
                </c:pt>
                <c:pt idx="1">
                  <c:v>Correu electrònic/postal</c:v>
                </c:pt>
                <c:pt idx="2">
                  <c:v>Registre General</c:v>
                </c:pt>
                <c:pt idx="3">
                  <c:v>Seu electrònica</c:v>
                </c:pt>
                <c:pt idx="4">
                  <c:v>Acta compareixença</c:v>
                </c:pt>
                <c:pt idx="5">
                  <c:v>Oberts d'ofici/altres</c:v>
                </c:pt>
              </c:strCache>
            </c:strRef>
          </c:cat>
          <c:val>
            <c:numRef>
              <c:f>'Taula-i-Grafic_2'!$J$3:$J$8</c:f>
              <c:numCache>
                <c:formatCode>General</c:formatCode>
                <c:ptCount val="6"/>
                <c:pt idx="0">
                  <c:v>318</c:v>
                </c:pt>
                <c:pt idx="1">
                  <c:v>28</c:v>
                </c:pt>
                <c:pt idx="2">
                  <c:v>2</c:v>
                </c:pt>
                <c:pt idx="3">
                  <c:v>4</c:v>
                </c:pt>
                <c:pt idx="4">
                  <c:v>3</c:v>
                </c:pt>
                <c:pt idx="5">
                  <c:v>4</c:v>
                </c:pt>
              </c:numCache>
            </c:numRef>
          </c:val>
          <c:extLst>
            <c:ext xmlns:c16="http://schemas.microsoft.com/office/drawing/2014/chart" uri="{C3380CC4-5D6E-409C-BE32-E72D297353CC}">
              <c16:uniqueId val="{00000004-923D-45F3-AC60-6D74D57B99FD}"/>
            </c:ext>
          </c:extLst>
        </c:ser>
        <c:dLbls>
          <c:showLegendKey val="0"/>
          <c:showVal val="0"/>
          <c:showCatName val="0"/>
          <c:showSerName val="0"/>
          <c:showPercent val="0"/>
          <c:showBubbleSize val="0"/>
        </c:dLbls>
        <c:gapWidth val="120"/>
        <c:overlap val="-4"/>
        <c:axId val="1042515055"/>
        <c:axId val="1042519215"/>
      </c:barChart>
      <c:catAx>
        <c:axId val="1042515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042519215"/>
        <c:crosses val="autoZero"/>
        <c:auto val="1"/>
        <c:lblAlgn val="ctr"/>
        <c:lblOffset val="100"/>
        <c:noMultiLvlLbl val="0"/>
      </c:catAx>
      <c:valAx>
        <c:axId val="1042519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042515055"/>
        <c:crosses val="autoZero"/>
        <c:crossBetween val="between"/>
      </c:valAx>
      <c:spPr>
        <a:noFill/>
        <a:ln>
          <a:noFill/>
        </a:ln>
        <a:effectLst/>
      </c:spPr>
    </c:plotArea>
    <c:legend>
      <c:legendPos val="b"/>
      <c:layout>
        <c:manualLayout>
          <c:xMode val="edge"/>
          <c:yMode val="edge"/>
          <c:x val="0.30860863993600052"/>
          <c:y val="0.93531954054623567"/>
          <c:w val="0.39689372671313544"/>
          <c:h val="6.46804067084561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'Taula-i-Grafic_3'!$A$4</c:f>
              <c:strCache>
                <c:ptCount val="1"/>
                <c:pt idx="0">
                  <c:v>Alacant</c:v>
                </c:pt>
              </c:strCache>
            </c:strRef>
          </c:tx>
          <c:spPr>
            <a:solidFill>
              <a:schemeClr val="accent1"/>
            </a:solidFill>
            <a:ln>
              <a:noFill/>
            </a:ln>
            <a:effectLst/>
          </c:spPr>
          <c:invertIfNegative val="0"/>
          <c:cat>
            <c:numRef>
              <c:f>('Taula-i-Grafic_3'!$B$2:$B$3,'Taula-i-Grafic_3'!$D$2:$D$3,'Taula-i-Grafic_3'!$F$2:$F$3,'Taula-i-Grafic_3'!$H$2:$H$3,'Taula-i-Grafic_3'!$J$2:$J$3)</c:f>
              <c:numCache>
                <c:formatCode>General</c:formatCode>
                <c:ptCount val="10"/>
                <c:pt idx="0">
                  <c:v>2017</c:v>
                </c:pt>
                <c:pt idx="2">
                  <c:v>2018</c:v>
                </c:pt>
                <c:pt idx="4">
                  <c:v>2019</c:v>
                </c:pt>
                <c:pt idx="6">
                  <c:v>2020</c:v>
                </c:pt>
                <c:pt idx="8">
                  <c:v>2021</c:v>
                </c:pt>
              </c:numCache>
            </c:numRef>
          </c:cat>
          <c:val>
            <c:numRef>
              <c:f>('Taula-i-Grafic_3'!$B$4,'Taula-i-Grafic_3'!$D$4,'Taula-i-Grafic_3'!$F$4,'Taula-i-Grafic_3'!$H$4,'Taula-i-Grafic_3'!$J$4)</c:f>
              <c:numCache>
                <c:formatCode>General</c:formatCode>
                <c:ptCount val="5"/>
                <c:pt idx="0">
                  <c:v>7</c:v>
                </c:pt>
                <c:pt idx="1">
                  <c:v>34</c:v>
                </c:pt>
                <c:pt idx="2">
                  <c:v>40</c:v>
                </c:pt>
                <c:pt idx="3">
                  <c:v>70</c:v>
                </c:pt>
                <c:pt idx="4">
                  <c:v>102</c:v>
                </c:pt>
              </c:numCache>
              <c:extLst/>
            </c:numRef>
          </c:val>
          <c:extLst>
            <c:ext xmlns:c16="http://schemas.microsoft.com/office/drawing/2014/chart" uri="{C3380CC4-5D6E-409C-BE32-E72D297353CC}">
              <c16:uniqueId val="{00000000-6FD2-46CC-A885-F311F78A0417}"/>
            </c:ext>
          </c:extLst>
        </c:ser>
        <c:ser>
          <c:idx val="1"/>
          <c:order val="1"/>
          <c:tx>
            <c:strRef>
              <c:f>'Taula-i-Grafic_3'!$A$5</c:f>
              <c:strCache>
                <c:ptCount val="1"/>
                <c:pt idx="0">
                  <c:v>Castelló</c:v>
                </c:pt>
              </c:strCache>
            </c:strRef>
          </c:tx>
          <c:spPr>
            <a:solidFill>
              <a:schemeClr val="accent2"/>
            </a:solidFill>
            <a:ln>
              <a:noFill/>
            </a:ln>
            <a:effectLst/>
          </c:spPr>
          <c:invertIfNegative val="0"/>
          <c:cat>
            <c:numRef>
              <c:f>('Taula-i-Grafic_3'!$B$2:$B$3,'Taula-i-Grafic_3'!$D$2:$D$3,'Taula-i-Grafic_3'!$F$2:$F$3,'Taula-i-Grafic_3'!$H$2:$H$3,'Taula-i-Grafic_3'!$J$2:$J$3)</c:f>
              <c:numCache>
                <c:formatCode>General</c:formatCode>
                <c:ptCount val="10"/>
                <c:pt idx="0">
                  <c:v>2017</c:v>
                </c:pt>
                <c:pt idx="2">
                  <c:v>2018</c:v>
                </c:pt>
                <c:pt idx="4">
                  <c:v>2019</c:v>
                </c:pt>
                <c:pt idx="6">
                  <c:v>2020</c:v>
                </c:pt>
                <c:pt idx="8">
                  <c:v>2021</c:v>
                </c:pt>
              </c:numCache>
            </c:numRef>
          </c:cat>
          <c:val>
            <c:numRef>
              <c:f>('Taula-i-Grafic_3'!$B$5,'Taula-i-Grafic_3'!$D$5,'Taula-i-Grafic_3'!$F$5,'Taula-i-Grafic_3'!$H$5,'Taula-i-Grafic_3'!$J$5)</c:f>
              <c:numCache>
                <c:formatCode>General</c:formatCode>
                <c:ptCount val="5"/>
                <c:pt idx="0">
                  <c:v>0</c:v>
                </c:pt>
                <c:pt idx="1">
                  <c:v>20</c:v>
                </c:pt>
                <c:pt idx="2">
                  <c:v>17</c:v>
                </c:pt>
                <c:pt idx="3">
                  <c:v>15</c:v>
                </c:pt>
                <c:pt idx="4">
                  <c:v>19</c:v>
                </c:pt>
              </c:numCache>
              <c:extLst/>
            </c:numRef>
          </c:val>
          <c:extLst>
            <c:ext xmlns:c16="http://schemas.microsoft.com/office/drawing/2014/chart" uri="{C3380CC4-5D6E-409C-BE32-E72D297353CC}">
              <c16:uniqueId val="{00000001-6FD2-46CC-A885-F311F78A0417}"/>
            </c:ext>
          </c:extLst>
        </c:ser>
        <c:ser>
          <c:idx val="2"/>
          <c:order val="2"/>
          <c:tx>
            <c:strRef>
              <c:f>'Taula-i-Grafic_3'!$A$6</c:f>
              <c:strCache>
                <c:ptCount val="1"/>
                <c:pt idx="0">
                  <c:v>València</c:v>
                </c:pt>
              </c:strCache>
            </c:strRef>
          </c:tx>
          <c:spPr>
            <a:solidFill>
              <a:schemeClr val="accent3"/>
            </a:solidFill>
            <a:ln>
              <a:noFill/>
            </a:ln>
            <a:effectLst/>
          </c:spPr>
          <c:invertIfNegative val="0"/>
          <c:cat>
            <c:numRef>
              <c:f>('Taula-i-Grafic_3'!$B$2:$B$3,'Taula-i-Grafic_3'!$D$2:$D$3,'Taula-i-Grafic_3'!$F$2:$F$3,'Taula-i-Grafic_3'!$H$2:$H$3,'Taula-i-Grafic_3'!$J$2:$J$3)</c:f>
              <c:numCache>
                <c:formatCode>General</c:formatCode>
                <c:ptCount val="10"/>
                <c:pt idx="0">
                  <c:v>2017</c:v>
                </c:pt>
                <c:pt idx="2">
                  <c:v>2018</c:v>
                </c:pt>
                <c:pt idx="4">
                  <c:v>2019</c:v>
                </c:pt>
                <c:pt idx="6">
                  <c:v>2020</c:v>
                </c:pt>
                <c:pt idx="8">
                  <c:v>2021</c:v>
                </c:pt>
              </c:numCache>
            </c:numRef>
          </c:cat>
          <c:val>
            <c:numRef>
              <c:f>('Taula-i-Grafic_3'!$B$6,'Taula-i-Grafic_3'!$D$6,'Taula-i-Grafic_3'!$F$6,'Taula-i-Grafic_3'!$H$6,'Taula-i-Grafic_3'!$J$6)</c:f>
              <c:numCache>
                <c:formatCode>General</c:formatCode>
                <c:ptCount val="5"/>
                <c:pt idx="0">
                  <c:v>20</c:v>
                </c:pt>
                <c:pt idx="1">
                  <c:v>96</c:v>
                </c:pt>
                <c:pt idx="2">
                  <c:v>82</c:v>
                </c:pt>
                <c:pt idx="3">
                  <c:v>115</c:v>
                </c:pt>
                <c:pt idx="4">
                  <c:v>179</c:v>
                </c:pt>
              </c:numCache>
              <c:extLst/>
            </c:numRef>
          </c:val>
          <c:extLst>
            <c:ext xmlns:c16="http://schemas.microsoft.com/office/drawing/2014/chart" uri="{C3380CC4-5D6E-409C-BE32-E72D297353CC}">
              <c16:uniqueId val="{00000002-6FD2-46CC-A885-F311F78A0417}"/>
            </c:ext>
          </c:extLst>
        </c:ser>
        <c:ser>
          <c:idx val="3"/>
          <c:order val="3"/>
          <c:tx>
            <c:strRef>
              <c:f>'Taula-i-Grafic_3'!$A$7</c:f>
              <c:strCache>
                <c:ptCount val="1"/>
                <c:pt idx="0">
                  <c:v>Comunitat Valenciana</c:v>
                </c:pt>
              </c:strCache>
            </c:strRef>
          </c:tx>
          <c:spPr>
            <a:solidFill>
              <a:schemeClr val="accent4"/>
            </a:solidFill>
            <a:ln>
              <a:noFill/>
            </a:ln>
            <a:effectLst/>
          </c:spPr>
          <c:invertIfNegative val="0"/>
          <c:cat>
            <c:numRef>
              <c:f>('Taula-i-Grafic_3'!$B$2:$B$3,'Taula-i-Grafic_3'!$D$2:$D$3,'Taula-i-Grafic_3'!$F$2:$F$3,'Taula-i-Grafic_3'!$H$2:$H$3,'Taula-i-Grafic_3'!$J$2:$J$3)</c:f>
              <c:numCache>
                <c:formatCode>General</c:formatCode>
                <c:ptCount val="10"/>
                <c:pt idx="0">
                  <c:v>2017</c:v>
                </c:pt>
                <c:pt idx="2">
                  <c:v>2018</c:v>
                </c:pt>
                <c:pt idx="4">
                  <c:v>2019</c:v>
                </c:pt>
                <c:pt idx="6">
                  <c:v>2020</c:v>
                </c:pt>
                <c:pt idx="8">
                  <c:v>2021</c:v>
                </c:pt>
              </c:numCache>
            </c:numRef>
          </c:cat>
          <c:val>
            <c:numRef>
              <c:f>('Taula-i-Grafic_3'!$B$7,'Taula-i-Grafic_3'!$D$7,'Taula-i-Grafic_3'!$F$7,'Taula-i-Grafic_3'!$H$7,'Taula-i-Grafic_3'!$J$7)</c:f>
              <c:numCache>
                <c:formatCode>General</c:formatCode>
                <c:ptCount val="5"/>
                <c:pt idx="0">
                  <c:v>8</c:v>
                </c:pt>
                <c:pt idx="1">
                  <c:v>31</c:v>
                </c:pt>
                <c:pt idx="2">
                  <c:v>29</c:v>
                </c:pt>
                <c:pt idx="3">
                  <c:v>26</c:v>
                </c:pt>
                <c:pt idx="4">
                  <c:v>59</c:v>
                </c:pt>
              </c:numCache>
              <c:extLst/>
            </c:numRef>
          </c:val>
          <c:extLst>
            <c:ext xmlns:c16="http://schemas.microsoft.com/office/drawing/2014/chart" uri="{C3380CC4-5D6E-409C-BE32-E72D297353CC}">
              <c16:uniqueId val="{00000003-6FD2-46CC-A885-F311F78A0417}"/>
            </c:ext>
          </c:extLst>
        </c:ser>
        <c:dLbls>
          <c:showLegendKey val="0"/>
          <c:showVal val="0"/>
          <c:showCatName val="0"/>
          <c:showSerName val="0"/>
          <c:showPercent val="0"/>
          <c:showBubbleSize val="0"/>
        </c:dLbls>
        <c:gapWidth val="219"/>
        <c:overlap val="-27"/>
        <c:axId val="1035278559"/>
        <c:axId val="1035279391"/>
      </c:barChart>
      <c:catAx>
        <c:axId val="1035278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035279391"/>
        <c:crosses val="autoZero"/>
        <c:auto val="1"/>
        <c:lblAlgn val="ctr"/>
        <c:lblOffset val="100"/>
        <c:noMultiLvlLbl val="0"/>
      </c:catAx>
      <c:valAx>
        <c:axId val="10352793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035278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7095799290375624E-2"/>
          <c:y val="5.6657223796033995E-2"/>
          <c:w val="0.90703402197020766"/>
          <c:h val="0.56310020866243127"/>
        </c:manualLayout>
      </c:layout>
      <c:bar3DChart>
        <c:barDir val="col"/>
        <c:grouping val="clustered"/>
        <c:varyColors val="0"/>
        <c:ser>
          <c:idx val="1"/>
          <c:order val="1"/>
          <c:tx>
            <c:strRef>
              <c:f>'Taula-i-Grafic_4'!$A$4</c:f>
              <c:strCache>
                <c:ptCount val="1"/>
                <c:pt idx="0">
                  <c:v>Conflicte interessos càrrec públic</c:v>
                </c:pt>
              </c:strCache>
            </c:strRef>
          </c:tx>
          <c:spPr>
            <a:gradFill>
              <a:gsLst>
                <a:gs pos="100000">
                  <a:schemeClr val="accent2">
                    <a:alpha val="0"/>
                  </a:schemeClr>
                </a:gs>
                <a:gs pos="50000">
                  <a:schemeClr val="accent2"/>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('Taula-i-Grafic_4'!$B$4,'Taula-i-Grafic_4'!$D$4,'Taula-i-Grafic_4'!$F$4,'Taula-i-Grafic_4'!$H$4,'Taula-i-Grafic_4'!$J$4)</c:f>
              <c:numCache>
                <c:formatCode>General</c:formatCode>
                <c:ptCount val="5"/>
                <c:pt idx="0">
                  <c:v>0</c:v>
                </c:pt>
                <c:pt idx="1">
                  <c:v>0</c:v>
                </c:pt>
                <c:pt idx="2">
                  <c:v>0</c:v>
                </c:pt>
                <c:pt idx="3">
                  <c:v>0</c:v>
                </c:pt>
                <c:pt idx="4">
                  <c:v>7</c:v>
                </c:pt>
              </c:numCache>
              <c:extLst/>
            </c:numRef>
          </c:val>
          <c:extLst>
            <c:ext xmlns:c16="http://schemas.microsoft.com/office/drawing/2014/chart" uri="{C3380CC4-5D6E-409C-BE32-E72D297353CC}">
              <c16:uniqueId val="{00000000-E860-4940-8603-298496F43E99}"/>
            </c:ext>
          </c:extLst>
        </c:ser>
        <c:ser>
          <c:idx val="2"/>
          <c:order val="2"/>
          <c:tx>
            <c:strRef>
              <c:f>'Taula-i-Grafic_4'!$A$5</c:f>
              <c:strCache>
                <c:ptCount val="1"/>
                <c:pt idx="0">
                  <c:v>Conflicte interessos empleat públic</c:v>
                </c:pt>
              </c:strCache>
            </c:strRef>
          </c:tx>
          <c:spPr>
            <a:gradFill>
              <a:gsLst>
                <a:gs pos="100000">
                  <a:schemeClr val="accent3">
                    <a:alpha val="0"/>
                  </a:schemeClr>
                </a:gs>
                <a:gs pos="50000">
                  <a:schemeClr val="accent3"/>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('Taula-i-Grafic_4'!$B$5,'Taula-i-Grafic_4'!$D$5,'Taula-i-Grafic_4'!$F$5,'Taula-i-Grafic_4'!$H$5,'Taula-i-Grafic_4'!$J$5)</c:f>
              <c:numCache>
                <c:formatCode>General</c:formatCode>
                <c:ptCount val="5"/>
                <c:pt idx="0">
                  <c:v>0</c:v>
                </c:pt>
                <c:pt idx="1">
                  <c:v>0</c:v>
                </c:pt>
                <c:pt idx="2">
                  <c:v>0</c:v>
                </c:pt>
                <c:pt idx="3">
                  <c:v>0</c:v>
                </c:pt>
                <c:pt idx="4">
                  <c:v>4</c:v>
                </c:pt>
              </c:numCache>
              <c:extLst/>
            </c:numRef>
          </c:val>
          <c:extLst>
            <c:ext xmlns:c16="http://schemas.microsoft.com/office/drawing/2014/chart" uri="{C3380CC4-5D6E-409C-BE32-E72D297353CC}">
              <c16:uniqueId val="{00000001-E860-4940-8603-298496F43E99}"/>
            </c:ext>
          </c:extLst>
        </c:ser>
        <c:ser>
          <c:idx val="3"/>
          <c:order val="3"/>
          <c:tx>
            <c:strRef>
              <c:f>'Taula-i-Grafic_4'!$A$6</c:f>
              <c:strCache>
                <c:ptCount val="1"/>
                <c:pt idx="0">
                  <c:v>Contractació pública</c:v>
                </c:pt>
              </c:strCache>
            </c:strRef>
          </c:tx>
          <c:spPr>
            <a:gradFill>
              <a:gsLst>
                <a:gs pos="100000">
                  <a:schemeClr val="accent4">
                    <a:alpha val="0"/>
                  </a:schemeClr>
                </a:gs>
                <a:gs pos="50000">
                  <a:schemeClr val="accent4"/>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('Taula-i-Grafic_4'!$B$6,'Taula-i-Grafic_4'!$D$6,'Taula-i-Grafic_4'!$F$6,'Taula-i-Grafic_4'!$H$6,'Taula-i-Grafic_4'!$J$6)</c:f>
              <c:numCache>
                <c:formatCode>General</c:formatCode>
                <c:ptCount val="5"/>
                <c:pt idx="0">
                  <c:v>12</c:v>
                </c:pt>
                <c:pt idx="1">
                  <c:v>57</c:v>
                </c:pt>
                <c:pt idx="2">
                  <c:v>42</c:v>
                </c:pt>
                <c:pt idx="3">
                  <c:v>72</c:v>
                </c:pt>
                <c:pt idx="4">
                  <c:v>51</c:v>
                </c:pt>
              </c:numCache>
              <c:extLst/>
            </c:numRef>
          </c:val>
          <c:extLst>
            <c:ext xmlns:c16="http://schemas.microsoft.com/office/drawing/2014/chart" uri="{C3380CC4-5D6E-409C-BE32-E72D297353CC}">
              <c16:uniqueId val="{00000002-E860-4940-8603-298496F43E99}"/>
            </c:ext>
          </c:extLst>
        </c:ser>
        <c:ser>
          <c:idx val="11"/>
          <c:order val="11"/>
          <c:tx>
            <c:strRef>
              <c:f>'Taula-i-Grafic_4'!$A$14</c:f>
              <c:strCache>
                <c:ptCount val="1"/>
                <c:pt idx="0">
                  <c:v>Convenis Administratius</c:v>
                </c:pt>
              </c:strCache>
            </c:strRef>
          </c:tx>
          <c:spPr>
            <a:gradFill>
              <a:gsLst>
                <a:gs pos="100000">
                  <a:schemeClr val="accent6">
                    <a:lumMod val="60000"/>
                    <a:alpha val="0"/>
                  </a:schemeClr>
                </a:gs>
                <a:gs pos="50000">
                  <a:schemeClr val="accent6">
                    <a:lumMod val="6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('Taula-i-Grafic_4'!$B$14,'Taula-i-Grafic_4'!$D$14,'Taula-i-Grafic_4'!$F$14,'Taula-i-Grafic_4'!$H$14,'Taula-i-Grafic_4'!$J$14)</c:f>
              <c:numCache>
                <c:formatCode>General</c:formatCode>
                <c:ptCount val="5"/>
                <c:pt idx="0">
                  <c:v>0</c:v>
                </c:pt>
                <c:pt idx="1">
                  <c:v>0</c:v>
                </c:pt>
                <c:pt idx="2">
                  <c:v>0</c:v>
                </c:pt>
                <c:pt idx="3">
                  <c:v>0</c:v>
                </c:pt>
                <c:pt idx="4">
                  <c:v>2</c:v>
                </c:pt>
              </c:numCache>
              <c:extLst/>
            </c:numRef>
          </c:val>
          <c:extLst>
            <c:ext xmlns:c16="http://schemas.microsoft.com/office/drawing/2014/chart" uri="{C3380CC4-5D6E-409C-BE32-E72D297353CC}">
              <c16:uniqueId val="{00000003-E860-4940-8603-298496F43E99}"/>
            </c:ext>
          </c:extLst>
        </c:ser>
        <c:ser>
          <c:idx val="12"/>
          <c:order val="12"/>
          <c:tx>
            <c:strRef>
              <c:f>'Taula-i-Grafic_4'!$A$15</c:f>
              <c:strCache>
                <c:ptCount val="1"/>
                <c:pt idx="0">
                  <c:v>Gestió d'Actius/Patrimoni</c:v>
                </c:pt>
              </c:strCache>
            </c:strRef>
          </c:tx>
          <c:spPr>
            <a:gradFill>
              <a:gsLst>
                <a:gs pos="100000">
                  <a:schemeClr val="accent1">
                    <a:lumMod val="80000"/>
                    <a:lumOff val="20000"/>
                    <a:alpha val="0"/>
                  </a:schemeClr>
                </a:gs>
                <a:gs pos="50000">
                  <a:schemeClr val="accent1">
                    <a:lumMod val="80000"/>
                    <a:lumOff val="2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('Taula-i-Grafic_4'!$B$15,'Taula-i-Grafic_4'!$D$15,'Taula-i-Grafic_4'!$F$15,'Taula-i-Grafic_4'!$H$15,'Taula-i-Grafic_4'!$J$15)</c:f>
              <c:numCache>
                <c:formatCode>General</c:formatCode>
                <c:ptCount val="5"/>
                <c:pt idx="0">
                  <c:v>4</c:v>
                </c:pt>
                <c:pt idx="1">
                  <c:v>18</c:v>
                </c:pt>
                <c:pt idx="2">
                  <c:v>7</c:v>
                </c:pt>
                <c:pt idx="3">
                  <c:v>9</c:v>
                </c:pt>
                <c:pt idx="4">
                  <c:v>4</c:v>
                </c:pt>
              </c:numCache>
              <c:extLst/>
            </c:numRef>
          </c:val>
          <c:extLst>
            <c:ext xmlns:c16="http://schemas.microsoft.com/office/drawing/2014/chart" uri="{C3380CC4-5D6E-409C-BE32-E72D297353CC}">
              <c16:uniqueId val="{00000004-E860-4940-8603-298496F43E99}"/>
            </c:ext>
          </c:extLst>
        </c:ser>
        <c:ser>
          <c:idx val="13"/>
          <c:order val="13"/>
          <c:tx>
            <c:strRef>
              <c:f>'Taula-i-Grafic_4'!$A$16</c:f>
              <c:strCache>
                <c:ptCount val="1"/>
                <c:pt idx="0">
                  <c:v>Gestió de RR.HH.</c:v>
                </c:pt>
              </c:strCache>
            </c:strRef>
          </c:tx>
          <c:spPr>
            <a:gradFill>
              <a:gsLst>
                <a:gs pos="100000">
                  <a:schemeClr val="accent2">
                    <a:lumMod val="80000"/>
                    <a:lumOff val="20000"/>
                    <a:alpha val="0"/>
                  </a:schemeClr>
                </a:gs>
                <a:gs pos="50000">
                  <a:schemeClr val="accent2">
                    <a:lumMod val="80000"/>
                    <a:lumOff val="2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('Taula-i-Grafic_4'!$B$16,'Taula-i-Grafic_4'!$D$16,'Taula-i-Grafic_4'!$F$16,'Taula-i-Grafic_4'!$H$16,'Taula-i-Grafic_4'!$J$16)</c:f>
              <c:numCache>
                <c:formatCode>General</c:formatCode>
                <c:ptCount val="5"/>
                <c:pt idx="0">
                  <c:v>8</c:v>
                </c:pt>
                <c:pt idx="1">
                  <c:v>64</c:v>
                </c:pt>
                <c:pt idx="2">
                  <c:v>68</c:v>
                </c:pt>
                <c:pt idx="3">
                  <c:v>64</c:v>
                </c:pt>
                <c:pt idx="4">
                  <c:v>161</c:v>
                </c:pt>
              </c:numCache>
              <c:extLst/>
            </c:numRef>
          </c:val>
          <c:extLst>
            <c:ext xmlns:c16="http://schemas.microsoft.com/office/drawing/2014/chart" uri="{C3380CC4-5D6E-409C-BE32-E72D297353CC}">
              <c16:uniqueId val="{00000005-E860-4940-8603-298496F43E99}"/>
            </c:ext>
          </c:extLst>
        </c:ser>
        <c:ser>
          <c:idx val="20"/>
          <c:order val="20"/>
          <c:tx>
            <c:strRef>
              <c:f>'Taula-i-Grafic_4'!$A$23</c:f>
              <c:strCache>
                <c:ptCount val="1"/>
                <c:pt idx="0">
                  <c:v>Medi ambient**</c:v>
                </c:pt>
              </c:strCache>
            </c:strRef>
          </c:tx>
          <c:spPr>
            <a:gradFill>
              <a:gsLst>
                <a:gs pos="100000">
                  <a:schemeClr val="accent3">
                    <a:lumMod val="80000"/>
                    <a:alpha val="0"/>
                  </a:schemeClr>
                </a:gs>
                <a:gs pos="50000">
                  <a:schemeClr val="accent3">
                    <a:lumMod val="8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('Taula-i-Grafic_4'!$B$23,'Taula-i-Grafic_4'!$D$23,'Taula-i-Grafic_4'!$F$23,'Taula-i-Grafic_4'!$H$23,'Taula-i-Grafic_4'!$J$23)</c:f>
              <c:numCache>
                <c:formatCode>General</c:formatCode>
                <c:ptCount val="5"/>
                <c:pt idx="0">
                  <c:v>2</c:v>
                </c:pt>
                <c:pt idx="1">
                  <c:v>13</c:v>
                </c:pt>
                <c:pt idx="2">
                  <c:v>17</c:v>
                </c:pt>
                <c:pt idx="3">
                  <c:v>22</c:v>
                </c:pt>
                <c:pt idx="4">
                  <c:v>12</c:v>
                </c:pt>
              </c:numCache>
              <c:extLst/>
            </c:numRef>
          </c:val>
          <c:extLst>
            <c:ext xmlns:c16="http://schemas.microsoft.com/office/drawing/2014/chart" uri="{C3380CC4-5D6E-409C-BE32-E72D297353CC}">
              <c16:uniqueId val="{00000006-E860-4940-8603-298496F43E99}"/>
            </c:ext>
          </c:extLst>
        </c:ser>
        <c:ser>
          <c:idx val="21"/>
          <c:order val="21"/>
          <c:tx>
            <c:strRef>
              <c:f>'Taula-i-Grafic_4'!$A$24</c:f>
              <c:strCache>
                <c:ptCount val="1"/>
                <c:pt idx="0">
                  <c:v>Polítiques Públiques</c:v>
                </c:pt>
              </c:strCache>
            </c:strRef>
          </c:tx>
          <c:spPr>
            <a:gradFill>
              <a:gsLst>
                <a:gs pos="100000">
                  <a:schemeClr val="accent4">
                    <a:lumMod val="80000"/>
                    <a:alpha val="0"/>
                  </a:schemeClr>
                </a:gs>
                <a:gs pos="50000">
                  <a:schemeClr val="accent4">
                    <a:lumMod val="8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('Taula-i-Grafic_4'!$B$24,'Taula-i-Grafic_4'!$D$24,'Taula-i-Grafic_4'!$F$24,'Taula-i-Grafic_4'!$H$24,'Taula-i-Grafic_4'!$J$24)</c:f>
              <c:numCache>
                <c:formatCode>General</c:formatCode>
                <c:ptCount val="5"/>
                <c:pt idx="0">
                  <c:v>0</c:v>
                </c:pt>
                <c:pt idx="1">
                  <c:v>0</c:v>
                </c:pt>
                <c:pt idx="2">
                  <c:v>0</c:v>
                </c:pt>
                <c:pt idx="3">
                  <c:v>0</c:v>
                </c:pt>
                <c:pt idx="4">
                  <c:v>2</c:v>
                </c:pt>
              </c:numCache>
              <c:extLst/>
            </c:numRef>
          </c:val>
          <c:extLst>
            <c:ext xmlns:c16="http://schemas.microsoft.com/office/drawing/2014/chart" uri="{C3380CC4-5D6E-409C-BE32-E72D297353CC}">
              <c16:uniqueId val="{00000007-E860-4940-8603-298496F43E99}"/>
            </c:ext>
          </c:extLst>
        </c:ser>
        <c:ser>
          <c:idx val="22"/>
          <c:order val="22"/>
          <c:tx>
            <c:strRef>
              <c:f>'Taula-i-Grafic_4'!$A$25</c:f>
              <c:strCache>
                <c:ptCount val="1"/>
                <c:pt idx="0">
                  <c:v>Serveis Públics</c:v>
                </c:pt>
              </c:strCache>
            </c:strRef>
          </c:tx>
          <c:spPr>
            <a:gradFill>
              <a:gsLst>
                <a:gs pos="100000">
                  <a:schemeClr val="accent5">
                    <a:lumMod val="80000"/>
                    <a:alpha val="0"/>
                  </a:schemeClr>
                </a:gs>
                <a:gs pos="50000">
                  <a:schemeClr val="accent5">
                    <a:lumMod val="8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('Taula-i-Grafic_4'!$B$25,'Taula-i-Grafic_4'!$D$25,'Taula-i-Grafic_4'!$F$25,'Taula-i-Grafic_4'!$H$25,'Taula-i-Grafic_4'!$J$25)</c:f>
              <c:numCache>
                <c:formatCode>General</c:formatCode>
                <c:ptCount val="5"/>
                <c:pt idx="0">
                  <c:v>0</c:v>
                </c:pt>
                <c:pt idx="1">
                  <c:v>0</c:v>
                </c:pt>
                <c:pt idx="2">
                  <c:v>0</c:v>
                </c:pt>
                <c:pt idx="3">
                  <c:v>0</c:v>
                </c:pt>
                <c:pt idx="4">
                  <c:v>6</c:v>
                </c:pt>
              </c:numCache>
              <c:extLst/>
            </c:numRef>
          </c:val>
          <c:extLst>
            <c:ext xmlns:c16="http://schemas.microsoft.com/office/drawing/2014/chart" uri="{C3380CC4-5D6E-409C-BE32-E72D297353CC}">
              <c16:uniqueId val="{00000008-E860-4940-8603-298496F43E99}"/>
            </c:ext>
          </c:extLst>
        </c:ser>
        <c:ser>
          <c:idx val="23"/>
          <c:order val="23"/>
          <c:tx>
            <c:strRef>
              <c:f>'Taula-i-Grafic_4'!$A$26</c:f>
              <c:strCache>
                <c:ptCount val="1"/>
                <c:pt idx="0">
                  <c:v>Subvencions</c:v>
                </c:pt>
              </c:strCache>
            </c:strRef>
          </c:tx>
          <c:spPr>
            <a:gradFill>
              <a:gsLst>
                <a:gs pos="100000">
                  <a:schemeClr val="accent6">
                    <a:lumMod val="80000"/>
                    <a:alpha val="0"/>
                  </a:schemeClr>
                </a:gs>
                <a:gs pos="50000">
                  <a:schemeClr val="accent6">
                    <a:lumMod val="8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('Taula-i-Grafic_4'!$B$26,'Taula-i-Grafic_4'!$D$26,'Taula-i-Grafic_4'!$F$26,'Taula-i-Grafic_4'!$H$26,'Taula-i-Grafic_4'!$J$26)</c:f>
              <c:numCache>
                <c:formatCode>General</c:formatCode>
                <c:ptCount val="5"/>
                <c:pt idx="0">
                  <c:v>6</c:v>
                </c:pt>
                <c:pt idx="1">
                  <c:v>16</c:v>
                </c:pt>
                <c:pt idx="2">
                  <c:v>7</c:v>
                </c:pt>
                <c:pt idx="3">
                  <c:v>26</c:v>
                </c:pt>
                <c:pt idx="4">
                  <c:v>24</c:v>
                </c:pt>
              </c:numCache>
              <c:extLst/>
            </c:numRef>
          </c:val>
          <c:extLst>
            <c:ext xmlns:c16="http://schemas.microsoft.com/office/drawing/2014/chart" uri="{C3380CC4-5D6E-409C-BE32-E72D297353CC}">
              <c16:uniqueId val="{00000009-E860-4940-8603-298496F43E99}"/>
            </c:ext>
          </c:extLst>
        </c:ser>
        <c:ser>
          <c:idx val="32"/>
          <c:order val="32"/>
          <c:tx>
            <c:strRef>
              <c:f>'Taula-i-Grafic_4'!$A$35</c:f>
              <c:strCache>
                <c:ptCount val="1"/>
                <c:pt idx="0">
                  <c:v>Transparència</c:v>
                </c:pt>
              </c:strCache>
            </c:strRef>
          </c:tx>
          <c:spPr>
            <a:gradFill>
              <a:gsLst>
                <a:gs pos="100000">
                  <a:schemeClr val="accent3">
                    <a:lumMod val="50000"/>
                    <a:alpha val="0"/>
                  </a:schemeClr>
                </a:gs>
                <a:gs pos="50000">
                  <a:schemeClr val="accent3">
                    <a:lumMod val="5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('Taula-i-Grafic_4'!$B$35,'Taula-i-Grafic_4'!$D$35,'Taula-i-Grafic_4'!$F$35,'Taula-i-Grafic_4'!$H$35,'Taula-i-Grafic_4'!$J$35)</c:f>
              <c:numCache>
                <c:formatCode>General</c:formatCode>
                <c:ptCount val="5"/>
                <c:pt idx="0">
                  <c:v>0</c:v>
                </c:pt>
                <c:pt idx="1">
                  <c:v>0</c:v>
                </c:pt>
                <c:pt idx="2">
                  <c:v>0</c:v>
                </c:pt>
                <c:pt idx="3">
                  <c:v>0</c:v>
                </c:pt>
                <c:pt idx="4">
                  <c:v>2</c:v>
                </c:pt>
              </c:numCache>
              <c:extLst/>
            </c:numRef>
          </c:val>
          <c:extLst>
            <c:ext xmlns:c16="http://schemas.microsoft.com/office/drawing/2014/chart" uri="{C3380CC4-5D6E-409C-BE32-E72D297353CC}">
              <c16:uniqueId val="{0000000A-E860-4940-8603-298496F43E99}"/>
            </c:ext>
          </c:extLst>
        </c:ser>
        <c:ser>
          <c:idx val="33"/>
          <c:order val="33"/>
          <c:tx>
            <c:strRef>
              <c:f>'Taula-i-Grafic_4'!$A$36</c:f>
              <c:strCache>
                <c:ptCount val="1"/>
                <c:pt idx="0">
                  <c:v>Urbanisme**</c:v>
                </c:pt>
              </c:strCache>
            </c:strRef>
          </c:tx>
          <c:spPr>
            <a:gradFill>
              <a:gsLst>
                <a:gs pos="100000">
                  <a:schemeClr val="accent4">
                    <a:lumMod val="50000"/>
                    <a:alpha val="0"/>
                  </a:schemeClr>
                </a:gs>
                <a:gs pos="50000">
                  <a:schemeClr val="accent4">
                    <a:lumMod val="5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('Taula-i-Grafic_4'!$B$36,'Taula-i-Grafic_4'!$D$36,'Taula-i-Grafic_4'!$F$36,'Taula-i-Grafic_4'!$H$36,'Taula-i-Grafic_4'!$J$36)</c:f>
              <c:numCache>
                <c:formatCode>General</c:formatCode>
                <c:ptCount val="5"/>
                <c:pt idx="0">
                  <c:v>0</c:v>
                </c:pt>
                <c:pt idx="1">
                  <c:v>0</c:v>
                </c:pt>
                <c:pt idx="2">
                  <c:v>0</c:v>
                </c:pt>
                <c:pt idx="3">
                  <c:v>0</c:v>
                </c:pt>
                <c:pt idx="4">
                  <c:v>20</c:v>
                </c:pt>
              </c:numCache>
              <c:extLst/>
            </c:numRef>
          </c:val>
          <c:extLst>
            <c:ext xmlns:c16="http://schemas.microsoft.com/office/drawing/2014/chart" uri="{C3380CC4-5D6E-409C-BE32-E72D297353CC}">
              <c16:uniqueId val="{0000000B-E860-4940-8603-298496F43E99}"/>
            </c:ext>
          </c:extLst>
        </c:ser>
        <c:ser>
          <c:idx val="34"/>
          <c:order val="34"/>
          <c:tx>
            <c:strRef>
              <c:f>'Taula-i-Grafic_4'!$A$37</c:f>
              <c:strCache>
                <c:ptCount val="1"/>
                <c:pt idx="0">
                  <c:v>Ús indegut de recursos públics</c:v>
                </c:pt>
              </c:strCache>
            </c:strRef>
          </c:tx>
          <c:spPr>
            <a:gradFill>
              <a:gsLst>
                <a:gs pos="100000">
                  <a:schemeClr val="accent5">
                    <a:lumMod val="50000"/>
                    <a:alpha val="0"/>
                  </a:schemeClr>
                </a:gs>
                <a:gs pos="50000">
                  <a:schemeClr val="accent5">
                    <a:lumMod val="5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('Taula-i-Grafic_4'!$B$37,'Taula-i-Grafic_4'!$D$37,'Taula-i-Grafic_4'!$F$37,'Taula-i-Grafic_4'!$H$37,'Taula-i-Grafic_4'!$J$37)</c:f>
              <c:numCache>
                <c:formatCode>General</c:formatCode>
                <c:ptCount val="5"/>
                <c:pt idx="0">
                  <c:v>3</c:v>
                </c:pt>
                <c:pt idx="1">
                  <c:v>13</c:v>
                </c:pt>
                <c:pt idx="2">
                  <c:v>27</c:v>
                </c:pt>
                <c:pt idx="3">
                  <c:v>1</c:v>
                </c:pt>
                <c:pt idx="4">
                  <c:v>6</c:v>
                </c:pt>
              </c:numCache>
              <c:extLst/>
            </c:numRef>
          </c:val>
          <c:extLst>
            <c:ext xmlns:c16="http://schemas.microsoft.com/office/drawing/2014/chart" uri="{C3380CC4-5D6E-409C-BE32-E72D297353CC}">
              <c16:uniqueId val="{0000000C-E860-4940-8603-298496F43E99}"/>
            </c:ext>
          </c:extLst>
        </c:ser>
        <c:ser>
          <c:idx val="35"/>
          <c:order val="35"/>
          <c:tx>
            <c:strRef>
              <c:f>'Taula-i-Grafic_4'!$A$38</c:f>
              <c:strCache>
                <c:ptCount val="1"/>
                <c:pt idx="0">
                  <c:v>Altres</c:v>
                </c:pt>
              </c:strCache>
            </c:strRef>
          </c:tx>
          <c:spPr>
            <a:gradFill>
              <a:gsLst>
                <a:gs pos="100000">
                  <a:schemeClr val="accent6">
                    <a:lumMod val="50000"/>
                    <a:alpha val="0"/>
                  </a:schemeClr>
                </a:gs>
                <a:gs pos="50000">
                  <a:schemeClr val="accent6">
                    <a:lumMod val="50000"/>
                  </a:schemeClr>
                </a:gs>
              </a:gsLst>
              <a:lin ang="5400000" scaled="0"/>
            </a:gradFill>
            <a:ln>
              <a:noFill/>
            </a:ln>
            <a:effectLst/>
            <a:sp3d/>
          </c:spPr>
          <c:invertIfNegative val="0"/>
          <c:cat>
            <c:numRef>
              <c:f>('Taula-i-Grafic_4'!$B$2,'Taula-i-Grafic_4'!$D$2,'Taula-i-Grafic_4'!$F$2,'Taula-i-Grafic_4'!$H$2,'Taula-i-Grafic_4'!$J$2)</c:f>
              <c:numCache>
                <c:formatCode>General</c:formatCode>
                <c:ptCount val="5"/>
                <c:pt idx="0">
                  <c:v>2017</c:v>
                </c:pt>
                <c:pt idx="1">
                  <c:v>2018</c:v>
                </c:pt>
                <c:pt idx="2">
                  <c:v>2019</c:v>
                </c:pt>
                <c:pt idx="3">
                  <c:v>2020</c:v>
                </c:pt>
                <c:pt idx="4">
                  <c:v>2021</c:v>
                </c:pt>
              </c:numCache>
              <c:extLst/>
            </c:numRef>
          </c:cat>
          <c:val>
            <c:numRef>
              <c:f>('Taula-i-Grafic_4'!$B$38,'Taula-i-Grafic_4'!$D$38,'Taula-i-Grafic_4'!$F$38,'Taula-i-Grafic_4'!$H$38,'Taula-i-Grafic_4'!$J$38)</c:f>
              <c:numCache>
                <c:formatCode>General</c:formatCode>
                <c:ptCount val="5"/>
                <c:pt idx="0">
                  <c:v>0</c:v>
                </c:pt>
                <c:pt idx="1">
                  <c:v>0</c:v>
                </c:pt>
                <c:pt idx="2">
                  <c:v>0</c:v>
                </c:pt>
                <c:pt idx="3">
                  <c:v>32</c:v>
                </c:pt>
                <c:pt idx="4">
                  <c:v>58</c:v>
                </c:pt>
              </c:numCache>
              <c:extLst/>
            </c:numRef>
          </c:val>
          <c:extLst>
            <c:ext xmlns:c16="http://schemas.microsoft.com/office/drawing/2014/chart" uri="{C3380CC4-5D6E-409C-BE32-E72D297353CC}">
              <c16:uniqueId val="{0000000D-E860-4940-8603-298496F43E99}"/>
            </c:ext>
          </c:extLst>
        </c:ser>
        <c:dLbls>
          <c:showLegendKey val="0"/>
          <c:showVal val="0"/>
          <c:showCatName val="0"/>
          <c:showSerName val="0"/>
          <c:showPercent val="0"/>
          <c:showBubbleSize val="0"/>
        </c:dLbls>
        <c:gapWidth val="150"/>
        <c:gapDepth val="0"/>
        <c:shape val="box"/>
        <c:axId val="1035709551"/>
        <c:axId val="1035710383"/>
        <c:axId val="0"/>
        <c:extLst>
          <c:ext xmlns:c15="http://schemas.microsoft.com/office/drawing/2012/chart" uri="{02D57815-91ED-43cb-92C2-25804820EDAC}">
            <c15:filteredBarSeries>
              <c15:ser>
                <c:idx val="0"/>
                <c:order val="0"/>
                <c:tx>
                  <c:strRef>
                    <c:extLst>
                      <c:ext uri="{02D57815-91ED-43cb-92C2-25804820EDAC}">
                        <c15:formulaRef>
                          <c15:sqref>'Taula-i-Grafic_4'!$A$3</c15:sqref>
                        </c15:formulaRef>
                      </c:ext>
                    </c:extLst>
                    <c:strCache>
                      <c:ptCount val="1"/>
                    </c:strCache>
                  </c:strRef>
                </c:tx>
                <c:spPr>
                  <a:gradFill>
                    <a:gsLst>
                      <a:gs pos="100000">
                        <a:schemeClr val="accent1">
                          <a:alpha val="0"/>
                        </a:schemeClr>
                      </a:gs>
                      <a:gs pos="50000">
                        <a:schemeClr val="accent1"/>
                      </a:gs>
                    </a:gsLst>
                    <a:lin ang="5400000" scaled="0"/>
                  </a:gradFill>
                  <a:ln>
                    <a:noFill/>
                  </a:ln>
                  <a:effectLst/>
                  <a:sp3d/>
                </c:spPr>
                <c:invertIfNegative val="0"/>
                <c:cat>
                  <c:numRef>
                    <c:extLst>
                      <c:ex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c:ext uri="{02D57815-91ED-43cb-92C2-25804820EDAC}">
                        <c15:formulaRef>
                          <c15:sqref>('Taula-i-Grafic_4'!$B$3,'Taula-i-Grafic_4'!$D$3,'Taula-i-Grafic_4'!$F$3,'Taula-i-Grafic_4'!$H$3,'Taula-i-Grafic_4'!$J$3)</c15:sqref>
                        </c15:formulaRef>
                      </c:ext>
                    </c:extLst>
                    <c:numCache>
                      <c:formatCode>General</c:formatCode>
                      <c:ptCount val="5"/>
                    </c:numCache>
                  </c:numRef>
                </c:val>
                <c:extLst>
                  <c:ext xmlns:c16="http://schemas.microsoft.com/office/drawing/2014/chart" uri="{C3380CC4-5D6E-409C-BE32-E72D297353CC}">
                    <c16:uniqueId val="{0000000E-E860-4940-8603-298496F43E99}"/>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'Taula-i-Grafic_4'!$A$7</c15:sqref>
                        </c15:formulaRef>
                      </c:ext>
                    </c:extLst>
                    <c:strCache>
                      <c:ptCount val="1"/>
                      <c:pt idx="0">
                        <c:v>Concessions</c:v>
                      </c:pt>
                    </c:strCache>
                  </c:strRef>
                </c:tx>
                <c:spPr>
                  <a:gradFill>
                    <a:gsLst>
                      <a:gs pos="100000">
                        <a:schemeClr val="accent5">
                          <a:alpha val="0"/>
                        </a:schemeClr>
                      </a:gs>
                      <a:gs pos="50000">
                        <a:schemeClr val="accent5"/>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('Taula-i-Grafic_4'!$B$7,'Taula-i-Grafic_4'!$D$7,'Taula-i-Grafic_4'!$F$7,'Taula-i-Grafic_4'!$H$7,'Taula-i-Grafic_4'!$J$7)</c15:sqref>
                        </c15:formulaRef>
                      </c:ext>
                    </c:extLst>
                    <c:numCache>
                      <c:formatCode>General</c:formatCode>
                      <c:ptCount val="5"/>
                      <c:pt idx="0">
                        <c:v>3</c:v>
                      </c:pt>
                      <c:pt idx="1">
                        <c:v>6</c:v>
                      </c:pt>
                      <c:pt idx="2">
                        <c:v>8</c:v>
                      </c:pt>
                      <c:pt idx="3">
                        <c:v>11</c:v>
                      </c:pt>
                      <c:pt idx="4">
                        <c:v>8</c:v>
                      </c:pt>
                    </c:numCache>
                  </c:numRef>
                </c:val>
                <c:extLst xmlns:c15="http://schemas.microsoft.com/office/drawing/2012/chart">
                  <c:ext xmlns:c16="http://schemas.microsoft.com/office/drawing/2014/chart" uri="{C3380CC4-5D6E-409C-BE32-E72D297353CC}">
                    <c16:uniqueId val="{0000000F-E860-4940-8603-298496F43E99}"/>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'Taula-i-Grafic_4'!$A$8</c15:sqref>
                        </c15:formulaRef>
                      </c:ext>
                    </c:extLst>
                    <c:strCache>
                      <c:ptCount val="1"/>
                      <c:pt idx="0">
                        <c:v>Obres</c:v>
                      </c:pt>
                    </c:strCache>
                  </c:strRef>
                </c:tx>
                <c:spPr>
                  <a:gradFill>
                    <a:gsLst>
                      <a:gs pos="100000">
                        <a:schemeClr val="accent6">
                          <a:alpha val="0"/>
                        </a:schemeClr>
                      </a:gs>
                      <a:gs pos="50000">
                        <a:schemeClr val="accent6"/>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('Taula-i-Grafic_4'!$B$8,'Taula-i-Grafic_4'!$D$8,'Taula-i-Grafic_4'!$F$8,'Taula-i-Grafic_4'!$H$8,'Taula-i-Grafic_4'!$J$8)</c15:sqref>
                        </c15:formulaRef>
                      </c:ext>
                    </c:extLst>
                    <c:numCache>
                      <c:formatCode>General</c:formatCode>
                      <c:ptCount val="5"/>
                      <c:pt idx="0">
                        <c:v>2</c:v>
                      </c:pt>
                      <c:pt idx="1">
                        <c:v>17</c:v>
                      </c:pt>
                      <c:pt idx="2">
                        <c:v>6</c:v>
                      </c:pt>
                      <c:pt idx="3">
                        <c:v>5</c:v>
                      </c:pt>
                      <c:pt idx="4">
                        <c:v>1</c:v>
                      </c:pt>
                    </c:numCache>
                  </c:numRef>
                </c:val>
                <c:extLst xmlns:c15="http://schemas.microsoft.com/office/drawing/2012/chart">
                  <c:ext xmlns:c16="http://schemas.microsoft.com/office/drawing/2014/chart" uri="{C3380CC4-5D6E-409C-BE32-E72D297353CC}">
                    <c16:uniqueId val="{00000010-E860-4940-8603-298496F43E99}"/>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'Taula-i-Grafic_4'!$A$9</c15:sqref>
                        </c15:formulaRef>
                      </c:ext>
                    </c:extLst>
                    <c:strCache>
                      <c:ptCount val="1"/>
                      <c:pt idx="0">
                        <c:v>Subministraments</c:v>
                      </c:pt>
                    </c:strCache>
                  </c:strRef>
                </c:tx>
                <c:spPr>
                  <a:gradFill>
                    <a:gsLst>
                      <a:gs pos="100000">
                        <a:schemeClr val="accent1">
                          <a:lumMod val="60000"/>
                          <a:alpha val="0"/>
                        </a:schemeClr>
                      </a:gs>
                      <a:gs pos="50000">
                        <a:schemeClr val="accent1">
                          <a:lumMod val="6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('Taula-i-Grafic_4'!$B$9,'Taula-i-Grafic_4'!$D$9,'Taula-i-Grafic_4'!$F$9,'Taula-i-Grafic_4'!$H$9,'Taula-i-Grafic_4'!$J$9)</c15:sqref>
                        </c15:formulaRef>
                      </c:ext>
                    </c:extLst>
                    <c:numCache>
                      <c:formatCode>General</c:formatCode>
                      <c:ptCount val="5"/>
                      <c:pt idx="0">
                        <c:v>0</c:v>
                      </c:pt>
                      <c:pt idx="1">
                        <c:v>6</c:v>
                      </c:pt>
                      <c:pt idx="2">
                        <c:v>1</c:v>
                      </c:pt>
                      <c:pt idx="3">
                        <c:v>7</c:v>
                      </c:pt>
                      <c:pt idx="4">
                        <c:v>4</c:v>
                      </c:pt>
                    </c:numCache>
                  </c:numRef>
                </c:val>
                <c:extLst xmlns:c15="http://schemas.microsoft.com/office/drawing/2012/chart">
                  <c:ext xmlns:c16="http://schemas.microsoft.com/office/drawing/2014/chart" uri="{C3380CC4-5D6E-409C-BE32-E72D297353CC}">
                    <c16:uniqueId val="{00000011-E860-4940-8603-298496F43E99}"/>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'Taula-i-Grafic_4'!$A$10</c15:sqref>
                        </c15:formulaRef>
                      </c:ext>
                    </c:extLst>
                    <c:strCache>
                      <c:ptCount val="1"/>
                      <c:pt idx="0">
                        <c:v>Serveis</c:v>
                      </c:pt>
                    </c:strCache>
                  </c:strRef>
                </c:tx>
                <c:spPr>
                  <a:gradFill>
                    <a:gsLst>
                      <a:gs pos="100000">
                        <a:schemeClr val="accent2">
                          <a:lumMod val="60000"/>
                          <a:alpha val="0"/>
                        </a:schemeClr>
                      </a:gs>
                      <a:gs pos="50000">
                        <a:schemeClr val="accent2">
                          <a:lumMod val="6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('Taula-i-Grafic_4'!$B$10,'Taula-i-Grafic_4'!$D$10,'Taula-i-Grafic_4'!$F$10,'Taula-i-Grafic_4'!$H$10,'Taula-i-Grafic_4'!$J$10)</c15:sqref>
                        </c15:formulaRef>
                      </c:ext>
                    </c:extLst>
                    <c:numCache>
                      <c:formatCode>General</c:formatCode>
                      <c:ptCount val="5"/>
                      <c:pt idx="0">
                        <c:v>7</c:v>
                      </c:pt>
                      <c:pt idx="1">
                        <c:v>28</c:v>
                      </c:pt>
                      <c:pt idx="2">
                        <c:v>27</c:v>
                      </c:pt>
                      <c:pt idx="3">
                        <c:v>42</c:v>
                      </c:pt>
                      <c:pt idx="4">
                        <c:v>20</c:v>
                      </c:pt>
                    </c:numCache>
                  </c:numRef>
                </c:val>
                <c:extLst xmlns:c15="http://schemas.microsoft.com/office/drawing/2012/chart">
                  <c:ext xmlns:c16="http://schemas.microsoft.com/office/drawing/2014/chart" uri="{C3380CC4-5D6E-409C-BE32-E72D297353CC}">
                    <c16:uniqueId val="{00000012-E860-4940-8603-298496F43E99}"/>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'Taula-i-Grafic_4'!$A$11</c15:sqref>
                        </c15:formulaRef>
                      </c:ext>
                    </c:extLst>
                    <c:strCache>
                      <c:ptCount val="1"/>
                      <c:pt idx="0">
                        <c:v>Contractes menors</c:v>
                      </c:pt>
                    </c:strCache>
                  </c:strRef>
                </c:tx>
                <c:spPr>
                  <a:gradFill>
                    <a:gsLst>
                      <a:gs pos="100000">
                        <a:schemeClr val="accent3">
                          <a:lumMod val="60000"/>
                          <a:alpha val="0"/>
                        </a:schemeClr>
                      </a:gs>
                      <a:gs pos="50000">
                        <a:schemeClr val="accent3">
                          <a:lumMod val="6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('Taula-i-Grafic_4'!$B$11,'Taula-i-Grafic_4'!$D$11,'Taula-i-Grafic_4'!$F$11,'Taula-i-Grafic_4'!$H$11,'Taula-i-Grafic_4'!$J$11)</c15:sqref>
                        </c15:formulaRef>
                      </c:ext>
                    </c:extLst>
                    <c:numCache>
                      <c:formatCode>General</c:formatCode>
                      <c:ptCount val="5"/>
                      <c:pt idx="0">
                        <c:v>0</c:v>
                      </c:pt>
                      <c:pt idx="1">
                        <c:v>0</c:v>
                      </c:pt>
                      <c:pt idx="2">
                        <c:v>0</c:v>
                      </c:pt>
                      <c:pt idx="3">
                        <c:v>0</c:v>
                      </c:pt>
                      <c:pt idx="4">
                        <c:v>9</c:v>
                      </c:pt>
                    </c:numCache>
                  </c:numRef>
                </c:val>
                <c:extLst xmlns:c15="http://schemas.microsoft.com/office/drawing/2012/chart">
                  <c:ext xmlns:c16="http://schemas.microsoft.com/office/drawing/2014/chart" uri="{C3380CC4-5D6E-409C-BE32-E72D297353CC}">
                    <c16:uniqueId val="{00000013-E860-4940-8603-298496F43E99}"/>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'Taula-i-Grafic_4'!$A$12</c15:sqref>
                        </c15:formulaRef>
                      </c:ext>
                    </c:extLst>
                    <c:strCache>
                      <c:ptCount val="1"/>
                      <c:pt idx="0">
                        <c:v>Fraccionament</c:v>
                      </c:pt>
                    </c:strCache>
                  </c:strRef>
                </c:tx>
                <c:spPr>
                  <a:gradFill>
                    <a:gsLst>
                      <a:gs pos="100000">
                        <a:schemeClr val="accent4">
                          <a:lumMod val="60000"/>
                          <a:alpha val="0"/>
                        </a:schemeClr>
                      </a:gs>
                      <a:gs pos="50000">
                        <a:schemeClr val="accent4">
                          <a:lumMod val="6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('Taula-i-Grafic_4'!$B$12,'Taula-i-Grafic_4'!$D$12,'Taula-i-Grafic_4'!$F$12,'Taula-i-Grafic_4'!$H$12,'Taula-i-Grafic_4'!$J$12)</c15:sqref>
                        </c15:formulaRef>
                      </c:ext>
                    </c:extLst>
                    <c:numCache>
                      <c:formatCode>General</c:formatCode>
                      <c:ptCount val="5"/>
                      <c:pt idx="0">
                        <c:v>0</c:v>
                      </c:pt>
                      <c:pt idx="1">
                        <c:v>0</c:v>
                      </c:pt>
                      <c:pt idx="2">
                        <c:v>0</c:v>
                      </c:pt>
                      <c:pt idx="3">
                        <c:v>0</c:v>
                      </c:pt>
                      <c:pt idx="4">
                        <c:v>4</c:v>
                      </c:pt>
                    </c:numCache>
                  </c:numRef>
                </c:val>
                <c:extLst xmlns:c15="http://schemas.microsoft.com/office/drawing/2012/chart">
                  <c:ext xmlns:c16="http://schemas.microsoft.com/office/drawing/2014/chart" uri="{C3380CC4-5D6E-409C-BE32-E72D297353CC}">
                    <c16:uniqueId val="{00000014-E860-4940-8603-298496F43E99}"/>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'Taula-i-Grafic_4'!$A$13</c15:sqref>
                        </c15:formulaRef>
                      </c:ext>
                    </c:extLst>
                    <c:strCache>
                      <c:ptCount val="1"/>
                      <c:pt idx="0">
                        <c:v>Altres</c:v>
                      </c:pt>
                    </c:strCache>
                  </c:strRef>
                </c:tx>
                <c:spPr>
                  <a:gradFill>
                    <a:gsLst>
                      <a:gs pos="100000">
                        <a:schemeClr val="accent5">
                          <a:lumMod val="60000"/>
                          <a:alpha val="0"/>
                        </a:schemeClr>
                      </a:gs>
                      <a:gs pos="50000">
                        <a:schemeClr val="accent5">
                          <a:lumMod val="6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('Taula-i-Grafic_4'!$B$13,'Taula-i-Grafic_4'!$D$13,'Taula-i-Grafic_4'!$F$13,'Taula-i-Grafic_4'!$H$13,'Taula-i-Grafic_4'!$J$13)</c15:sqref>
                        </c15:formulaRef>
                      </c:ext>
                    </c:extLst>
                    <c:numCache>
                      <c:formatCode>General</c:formatCode>
                      <c:ptCount val="5"/>
                      <c:pt idx="0">
                        <c:v>0</c:v>
                      </c:pt>
                      <c:pt idx="1">
                        <c:v>0</c:v>
                      </c:pt>
                      <c:pt idx="2">
                        <c:v>0</c:v>
                      </c:pt>
                      <c:pt idx="3">
                        <c:v>7</c:v>
                      </c:pt>
                      <c:pt idx="4">
                        <c:v>5</c:v>
                      </c:pt>
                    </c:numCache>
                  </c:numRef>
                </c:val>
                <c:extLst xmlns:c15="http://schemas.microsoft.com/office/drawing/2012/chart">
                  <c:ext xmlns:c16="http://schemas.microsoft.com/office/drawing/2014/chart" uri="{C3380CC4-5D6E-409C-BE32-E72D297353CC}">
                    <c16:uniqueId val="{00000015-E860-4940-8603-298496F43E99}"/>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'Taula-i-Grafic_4'!$A$17</c15:sqref>
                        </c15:formulaRef>
                      </c:ext>
                    </c:extLst>
                    <c:strCache>
                      <c:ptCount val="1"/>
                      <c:pt idx="0">
                        <c:v>Accés</c:v>
                      </c:pt>
                    </c:strCache>
                  </c:strRef>
                </c:tx>
                <c:spPr>
                  <a:gradFill>
                    <a:gsLst>
                      <a:gs pos="100000">
                        <a:schemeClr val="accent3">
                          <a:lumMod val="80000"/>
                          <a:lumOff val="20000"/>
                          <a:alpha val="0"/>
                        </a:schemeClr>
                      </a:gs>
                      <a:gs pos="50000">
                        <a:schemeClr val="accent3">
                          <a:lumMod val="80000"/>
                          <a:lumOff val="2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('Taula-i-Grafic_4'!$B$17,'Taula-i-Grafic_4'!$D$17,'Taula-i-Grafic_4'!$F$17,'Taula-i-Grafic_4'!$H$17,'Taula-i-Grafic_4'!$J$17)</c15:sqref>
                        </c15:formulaRef>
                      </c:ext>
                    </c:extLst>
                    <c:numCache>
                      <c:formatCode>General</c:formatCode>
                      <c:ptCount val="5"/>
                      <c:pt idx="0">
                        <c:v>0</c:v>
                      </c:pt>
                      <c:pt idx="1">
                        <c:v>0</c:v>
                      </c:pt>
                      <c:pt idx="2">
                        <c:v>0</c:v>
                      </c:pt>
                      <c:pt idx="3">
                        <c:v>0</c:v>
                      </c:pt>
                      <c:pt idx="4">
                        <c:v>24</c:v>
                      </c:pt>
                    </c:numCache>
                  </c:numRef>
                </c:val>
                <c:extLst xmlns:c15="http://schemas.microsoft.com/office/drawing/2012/chart">
                  <c:ext xmlns:c16="http://schemas.microsoft.com/office/drawing/2014/chart" uri="{C3380CC4-5D6E-409C-BE32-E72D297353CC}">
                    <c16:uniqueId val="{00000016-E860-4940-8603-298496F43E99}"/>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'Taula-i-Grafic_4'!$A$18</c15:sqref>
                        </c15:formulaRef>
                      </c:ext>
                    </c:extLst>
                    <c:strCache>
                      <c:ptCount val="1"/>
                      <c:pt idx="0">
                        <c:v>Procediments Selectius</c:v>
                      </c:pt>
                    </c:strCache>
                  </c:strRef>
                </c:tx>
                <c:spPr>
                  <a:gradFill>
                    <a:gsLst>
                      <a:gs pos="100000">
                        <a:schemeClr val="accent4">
                          <a:lumMod val="80000"/>
                          <a:lumOff val="20000"/>
                          <a:alpha val="0"/>
                        </a:schemeClr>
                      </a:gs>
                      <a:gs pos="50000">
                        <a:schemeClr val="accent4">
                          <a:lumMod val="80000"/>
                          <a:lumOff val="2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('Taula-i-Grafic_4'!$B$18,'Taula-i-Grafic_4'!$D$18,'Taula-i-Grafic_4'!$F$18,'Taula-i-Grafic_4'!$H$18,'Taula-i-Grafic_4'!$J$18)</c15:sqref>
                        </c15:formulaRef>
                      </c:ext>
                    </c:extLst>
                    <c:numCache>
                      <c:formatCode>General</c:formatCode>
                      <c:ptCount val="5"/>
                      <c:pt idx="0">
                        <c:v>5</c:v>
                      </c:pt>
                      <c:pt idx="1">
                        <c:v>33</c:v>
                      </c:pt>
                      <c:pt idx="2">
                        <c:v>47</c:v>
                      </c:pt>
                      <c:pt idx="3">
                        <c:v>22</c:v>
                      </c:pt>
                      <c:pt idx="4">
                        <c:v>74</c:v>
                      </c:pt>
                    </c:numCache>
                  </c:numRef>
                </c:val>
                <c:extLst xmlns:c15="http://schemas.microsoft.com/office/drawing/2012/chart">
                  <c:ext xmlns:c16="http://schemas.microsoft.com/office/drawing/2014/chart" uri="{C3380CC4-5D6E-409C-BE32-E72D297353CC}">
                    <c16:uniqueId val="{00000017-E860-4940-8603-298496F43E99}"/>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'Taula-i-Grafic_4'!$A$19</c15:sqref>
                        </c15:formulaRef>
                      </c:ext>
                    </c:extLst>
                    <c:strCache>
                      <c:ptCount val="1"/>
                      <c:pt idx="0">
                        <c:v>Procediments de Provisió</c:v>
                      </c:pt>
                    </c:strCache>
                  </c:strRef>
                </c:tx>
                <c:spPr>
                  <a:gradFill>
                    <a:gsLst>
                      <a:gs pos="100000">
                        <a:schemeClr val="accent5">
                          <a:lumMod val="80000"/>
                          <a:lumOff val="20000"/>
                          <a:alpha val="0"/>
                        </a:schemeClr>
                      </a:gs>
                      <a:gs pos="50000">
                        <a:schemeClr val="accent5">
                          <a:lumMod val="80000"/>
                          <a:lumOff val="2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('Taula-i-Grafic_4'!$B$19,'Taula-i-Grafic_4'!$D$19,'Taula-i-Grafic_4'!$F$19,'Taula-i-Grafic_4'!$H$19,'Taula-i-Grafic_4'!$J$19)</c15:sqref>
                        </c15:formulaRef>
                      </c:ext>
                    </c:extLst>
                    <c:numCache>
                      <c:formatCode>General</c:formatCode>
                      <c:ptCount val="5"/>
                      <c:pt idx="0">
                        <c:v>1</c:v>
                      </c:pt>
                      <c:pt idx="1">
                        <c:v>8</c:v>
                      </c:pt>
                      <c:pt idx="2">
                        <c:v>6</c:v>
                      </c:pt>
                      <c:pt idx="3">
                        <c:v>18</c:v>
                      </c:pt>
                      <c:pt idx="4">
                        <c:v>21</c:v>
                      </c:pt>
                    </c:numCache>
                  </c:numRef>
                </c:val>
                <c:extLst xmlns:c15="http://schemas.microsoft.com/office/drawing/2012/chart">
                  <c:ext xmlns:c16="http://schemas.microsoft.com/office/drawing/2014/chart" uri="{C3380CC4-5D6E-409C-BE32-E72D297353CC}">
                    <c16:uniqueId val="{00000018-E860-4940-8603-298496F43E99}"/>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'Taula-i-Grafic_4'!$A$20</c15:sqref>
                        </c15:formulaRef>
                      </c:ext>
                    </c:extLst>
                    <c:strCache>
                      <c:ptCount val="1"/>
                      <c:pt idx="0">
                        <c:v>Drets/Deures/Incompatibilitats</c:v>
                      </c:pt>
                    </c:strCache>
                  </c:strRef>
                </c:tx>
                <c:spPr>
                  <a:gradFill>
                    <a:gsLst>
                      <a:gs pos="100000">
                        <a:schemeClr val="accent6">
                          <a:lumMod val="80000"/>
                          <a:lumOff val="20000"/>
                          <a:alpha val="0"/>
                        </a:schemeClr>
                      </a:gs>
                      <a:gs pos="50000">
                        <a:schemeClr val="accent6">
                          <a:lumMod val="80000"/>
                          <a:lumOff val="2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('Taula-i-Grafic_4'!$B$20,'Taula-i-Grafic_4'!$D$20,'Taula-i-Grafic_4'!$F$20,'Taula-i-Grafic_4'!$H$20,'Taula-i-Grafic_4'!$J$20)</c15:sqref>
                        </c15:formulaRef>
                      </c:ext>
                    </c:extLst>
                    <c:numCache>
                      <c:formatCode>General</c:formatCode>
                      <c:ptCount val="5"/>
                      <c:pt idx="0">
                        <c:v>2</c:v>
                      </c:pt>
                      <c:pt idx="1">
                        <c:v>21</c:v>
                      </c:pt>
                      <c:pt idx="2">
                        <c:v>15</c:v>
                      </c:pt>
                      <c:pt idx="3">
                        <c:v>16</c:v>
                      </c:pt>
                      <c:pt idx="4">
                        <c:v>14</c:v>
                      </c:pt>
                    </c:numCache>
                  </c:numRef>
                </c:val>
                <c:extLst xmlns:c15="http://schemas.microsoft.com/office/drawing/2012/chart">
                  <c:ext xmlns:c16="http://schemas.microsoft.com/office/drawing/2014/chart" uri="{C3380CC4-5D6E-409C-BE32-E72D297353CC}">
                    <c16:uniqueId val="{00000019-E860-4940-8603-298496F43E99}"/>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'Taula-i-Grafic_4'!$A$21</c15:sqref>
                        </c15:formulaRef>
                      </c:ext>
                    </c:extLst>
                    <c:strCache>
                      <c:ptCount val="1"/>
                      <c:pt idx="0">
                        <c:v>Retribucions</c:v>
                      </c:pt>
                    </c:strCache>
                  </c:strRef>
                </c:tx>
                <c:spPr>
                  <a:gradFill>
                    <a:gsLst>
                      <a:gs pos="100000">
                        <a:schemeClr val="accent1">
                          <a:lumMod val="80000"/>
                          <a:alpha val="0"/>
                        </a:schemeClr>
                      </a:gs>
                      <a:gs pos="50000">
                        <a:schemeClr val="accent1">
                          <a:lumMod val="8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('Taula-i-Grafic_4'!$B$21,'Taula-i-Grafic_4'!$D$21,'Taula-i-Grafic_4'!$F$21,'Taula-i-Grafic_4'!$H$21,'Taula-i-Grafic_4'!$J$21)</c15:sqref>
                        </c15:formulaRef>
                      </c:ext>
                    </c:extLst>
                    <c:numCache>
                      <c:formatCode>General</c:formatCode>
                      <c:ptCount val="5"/>
                      <c:pt idx="0">
                        <c:v>0</c:v>
                      </c:pt>
                      <c:pt idx="1">
                        <c:v>0</c:v>
                      </c:pt>
                      <c:pt idx="2">
                        <c:v>0</c:v>
                      </c:pt>
                      <c:pt idx="3">
                        <c:v>0</c:v>
                      </c:pt>
                      <c:pt idx="4">
                        <c:v>12</c:v>
                      </c:pt>
                    </c:numCache>
                  </c:numRef>
                </c:val>
                <c:extLst xmlns:c15="http://schemas.microsoft.com/office/drawing/2012/chart">
                  <c:ext xmlns:c16="http://schemas.microsoft.com/office/drawing/2014/chart" uri="{C3380CC4-5D6E-409C-BE32-E72D297353CC}">
                    <c16:uniqueId val="{0000001A-E860-4940-8603-298496F43E99}"/>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'Taula-i-Grafic_4'!$A$22</c15:sqref>
                        </c15:formulaRef>
                      </c:ext>
                    </c:extLst>
                    <c:strCache>
                      <c:ptCount val="1"/>
                      <c:pt idx="0">
                        <c:v>Altres</c:v>
                      </c:pt>
                    </c:strCache>
                  </c:strRef>
                </c:tx>
                <c:spPr>
                  <a:gradFill>
                    <a:gsLst>
                      <a:gs pos="100000">
                        <a:schemeClr val="accent2">
                          <a:lumMod val="80000"/>
                          <a:alpha val="0"/>
                        </a:schemeClr>
                      </a:gs>
                      <a:gs pos="50000">
                        <a:schemeClr val="accent2">
                          <a:lumMod val="8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('Taula-i-Grafic_4'!$B$22,'Taula-i-Grafic_4'!$D$22,'Taula-i-Grafic_4'!$F$22,'Taula-i-Grafic_4'!$H$22,'Taula-i-Grafic_4'!$J$22)</c15:sqref>
                        </c15:formulaRef>
                      </c:ext>
                    </c:extLst>
                    <c:numCache>
                      <c:formatCode>General</c:formatCode>
                      <c:ptCount val="5"/>
                      <c:pt idx="0">
                        <c:v>0</c:v>
                      </c:pt>
                      <c:pt idx="1">
                        <c:v>2</c:v>
                      </c:pt>
                      <c:pt idx="2">
                        <c:v>0</c:v>
                      </c:pt>
                      <c:pt idx="3">
                        <c:v>8</c:v>
                      </c:pt>
                      <c:pt idx="4">
                        <c:v>16</c:v>
                      </c:pt>
                    </c:numCache>
                  </c:numRef>
                </c:val>
                <c:extLst xmlns:c15="http://schemas.microsoft.com/office/drawing/2012/chart">
                  <c:ext xmlns:c16="http://schemas.microsoft.com/office/drawing/2014/chart" uri="{C3380CC4-5D6E-409C-BE32-E72D297353CC}">
                    <c16:uniqueId val="{0000001B-E860-4940-8603-298496F43E99}"/>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'Taula-i-Grafic_4'!$A$27</c15:sqref>
                        </c15:formulaRef>
                      </c:ext>
                    </c:extLst>
                    <c:strCache>
                      <c:ptCount val="1"/>
                      <c:pt idx="0">
                        <c:v>Concessió Directa</c:v>
                      </c:pt>
                    </c:strCache>
                  </c:strRef>
                </c:tx>
                <c:spPr>
                  <a:gradFill>
                    <a:gsLst>
                      <a:gs pos="100000">
                        <a:schemeClr val="accent1">
                          <a:lumMod val="60000"/>
                          <a:lumOff val="40000"/>
                          <a:alpha val="0"/>
                        </a:schemeClr>
                      </a:gs>
                      <a:gs pos="50000">
                        <a:schemeClr val="accent1">
                          <a:lumMod val="60000"/>
                          <a:lumOff val="4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('Taula-i-Grafic_4'!$B$27,'Taula-i-Grafic_4'!$D$27,'Taula-i-Grafic_4'!$F$27,'Taula-i-Grafic_4'!$H$27,'Taula-i-Grafic_4'!$J$27)</c15:sqref>
                        </c15:formulaRef>
                      </c:ext>
                    </c:extLst>
                    <c:numCache>
                      <c:formatCode>General</c:formatCode>
                      <c:ptCount val="5"/>
                      <c:pt idx="0">
                        <c:v>0</c:v>
                      </c:pt>
                      <c:pt idx="1">
                        <c:v>0</c:v>
                      </c:pt>
                      <c:pt idx="2">
                        <c:v>0</c:v>
                      </c:pt>
                      <c:pt idx="3">
                        <c:v>0</c:v>
                      </c:pt>
                      <c:pt idx="4">
                        <c:v>11</c:v>
                      </c:pt>
                    </c:numCache>
                  </c:numRef>
                </c:val>
                <c:extLst xmlns:c15="http://schemas.microsoft.com/office/drawing/2012/chart">
                  <c:ext xmlns:c16="http://schemas.microsoft.com/office/drawing/2014/chart" uri="{C3380CC4-5D6E-409C-BE32-E72D297353CC}">
                    <c16:uniqueId val="{0000001C-E860-4940-8603-298496F43E99}"/>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'Taula-i-Grafic_4'!$A$28</c15:sqref>
                        </c15:formulaRef>
                      </c:ext>
                    </c:extLst>
                    <c:strCache>
                      <c:ptCount val="1"/>
                      <c:pt idx="0">
                        <c:v>Concessió Subvencions</c:v>
                      </c:pt>
                    </c:strCache>
                  </c:strRef>
                </c:tx>
                <c:spPr>
                  <a:gradFill>
                    <a:gsLst>
                      <a:gs pos="100000">
                        <a:schemeClr val="accent2">
                          <a:lumMod val="60000"/>
                          <a:lumOff val="40000"/>
                          <a:alpha val="0"/>
                        </a:schemeClr>
                      </a:gs>
                      <a:gs pos="50000">
                        <a:schemeClr val="accent2">
                          <a:lumMod val="60000"/>
                          <a:lumOff val="4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('Taula-i-Grafic_4'!$B$28,'Taula-i-Grafic_4'!$D$28,'Taula-i-Grafic_4'!$F$28,'Taula-i-Grafic_4'!$H$28,'Taula-i-Grafic_4'!$J$28)</c15:sqref>
                        </c15:formulaRef>
                      </c:ext>
                    </c:extLst>
                    <c:numCache>
                      <c:formatCode>General</c:formatCode>
                      <c:ptCount val="5"/>
                      <c:pt idx="0">
                        <c:v>0</c:v>
                      </c:pt>
                      <c:pt idx="1">
                        <c:v>0</c:v>
                      </c:pt>
                      <c:pt idx="2">
                        <c:v>0</c:v>
                      </c:pt>
                      <c:pt idx="3">
                        <c:v>0</c:v>
                      </c:pt>
                      <c:pt idx="4">
                        <c:v>1</c:v>
                      </c:pt>
                    </c:numCache>
                  </c:numRef>
                </c:val>
                <c:extLst xmlns:c15="http://schemas.microsoft.com/office/drawing/2012/chart">
                  <c:ext xmlns:c16="http://schemas.microsoft.com/office/drawing/2014/chart" uri="{C3380CC4-5D6E-409C-BE32-E72D297353CC}">
                    <c16:uniqueId val="{0000001D-E860-4940-8603-298496F43E99}"/>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'Taula-i-Grafic_4'!$A$29</c15:sqref>
                        </c15:formulaRef>
                      </c:ext>
                    </c:extLst>
                    <c:strCache>
                      <c:ptCount val="1"/>
                      <c:pt idx="0">
                        <c:v>Concurrència Competitiva</c:v>
                      </c:pt>
                    </c:strCache>
                  </c:strRef>
                </c:tx>
                <c:spPr>
                  <a:gradFill>
                    <a:gsLst>
                      <a:gs pos="100000">
                        <a:schemeClr val="accent3">
                          <a:lumMod val="60000"/>
                          <a:lumOff val="40000"/>
                          <a:alpha val="0"/>
                        </a:schemeClr>
                      </a:gs>
                      <a:gs pos="50000">
                        <a:schemeClr val="accent3">
                          <a:lumMod val="60000"/>
                          <a:lumOff val="4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('Taula-i-Grafic_4'!$B$29,'Taula-i-Grafic_4'!$D$29,'Taula-i-Grafic_4'!$F$29,'Taula-i-Grafic_4'!$H$29,'Taula-i-Grafic_4'!$J$29)</c15:sqref>
                        </c15:formulaRef>
                      </c:ext>
                    </c:extLst>
                    <c:numCache>
                      <c:formatCode>General</c:formatCode>
                      <c:ptCount val="5"/>
                      <c:pt idx="0">
                        <c:v>0</c:v>
                      </c:pt>
                      <c:pt idx="1">
                        <c:v>0</c:v>
                      </c:pt>
                      <c:pt idx="2">
                        <c:v>0</c:v>
                      </c:pt>
                      <c:pt idx="3">
                        <c:v>0</c:v>
                      </c:pt>
                      <c:pt idx="4">
                        <c:v>1</c:v>
                      </c:pt>
                    </c:numCache>
                  </c:numRef>
                </c:val>
                <c:extLst xmlns:c15="http://schemas.microsoft.com/office/drawing/2012/chart">
                  <c:ext xmlns:c16="http://schemas.microsoft.com/office/drawing/2014/chart" uri="{C3380CC4-5D6E-409C-BE32-E72D297353CC}">
                    <c16:uniqueId val="{0000001E-E860-4940-8603-298496F43E99}"/>
                  </c:ext>
                </c:extLst>
              </c15:ser>
            </c15:filteredBarSeries>
            <c15:filteredBarSeries>
              <c15:ser>
                <c:idx val="27"/>
                <c:order val="27"/>
                <c:tx>
                  <c:strRef>
                    <c:extLst xmlns:c15="http://schemas.microsoft.com/office/drawing/2012/chart">
                      <c:ext xmlns:c15="http://schemas.microsoft.com/office/drawing/2012/chart" uri="{02D57815-91ED-43cb-92C2-25804820EDAC}">
                        <c15:formulaRef>
                          <c15:sqref>'Taula-i-Grafic_4'!$A$30</c15:sqref>
                        </c15:formulaRef>
                      </c:ext>
                    </c:extLst>
                    <c:strCache>
                      <c:ptCount val="1"/>
                      <c:pt idx="0">
                        <c:v>Conveni/Convocatòria</c:v>
                      </c:pt>
                    </c:strCache>
                  </c:strRef>
                </c:tx>
                <c:spPr>
                  <a:gradFill>
                    <a:gsLst>
                      <a:gs pos="100000">
                        <a:schemeClr val="accent4">
                          <a:lumMod val="60000"/>
                          <a:lumOff val="40000"/>
                          <a:alpha val="0"/>
                        </a:schemeClr>
                      </a:gs>
                      <a:gs pos="50000">
                        <a:schemeClr val="accent4">
                          <a:lumMod val="60000"/>
                          <a:lumOff val="4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('Taula-i-Grafic_4'!$B$30,'Taula-i-Grafic_4'!$D$30,'Taula-i-Grafic_4'!$F$30,'Taula-i-Grafic_4'!$H$30,'Taula-i-Grafic_4'!$J$30)</c15:sqref>
                        </c15:formulaRef>
                      </c:ext>
                    </c:extLst>
                    <c:numCache>
                      <c:formatCode>General</c:formatCode>
                      <c:ptCount val="5"/>
                      <c:pt idx="0">
                        <c:v>0</c:v>
                      </c:pt>
                      <c:pt idx="1">
                        <c:v>0</c:v>
                      </c:pt>
                      <c:pt idx="2">
                        <c:v>0</c:v>
                      </c:pt>
                      <c:pt idx="3">
                        <c:v>0</c:v>
                      </c:pt>
                      <c:pt idx="4">
                        <c:v>2</c:v>
                      </c:pt>
                    </c:numCache>
                  </c:numRef>
                </c:val>
                <c:extLst xmlns:c15="http://schemas.microsoft.com/office/drawing/2012/chart">
                  <c:ext xmlns:c16="http://schemas.microsoft.com/office/drawing/2014/chart" uri="{C3380CC4-5D6E-409C-BE32-E72D297353CC}">
                    <c16:uniqueId val="{0000001F-E860-4940-8603-298496F43E99}"/>
                  </c:ext>
                </c:extLst>
              </c15:ser>
            </c15:filteredBarSeries>
            <c15:filteredBarSeries>
              <c15:ser>
                <c:idx val="28"/>
                <c:order val="28"/>
                <c:tx>
                  <c:strRef>
                    <c:extLst xmlns:c15="http://schemas.microsoft.com/office/drawing/2012/chart">
                      <c:ext xmlns:c15="http://schemas.microsoft.com/office/drawing/2012/chart" uri="{02D57815-91ED-43cb-92C2-25804820EDAC}">
                        <c15:formulaRef>
                          <c15:sqref>'Taula-i-Grafic_4'!$A$31</c15:sqref>
                        </c15:formulaRef>
                      </c:ext>
                    </c:extLst>
                    <c:strCache>
                      <c:ptCount val="1"/>
                      <c:pt idx="0">
                        <c:v>General</c:v>
                      </c:pt>
                    </c:strCache>
                  </c:strRef>
                </c:tx>
                <c:spPr>
                  <a:gradFill>
                    <a:gsLst>
                      <a:gs pos="100000">
                        <a:schemeClr val="accent5">
                          <a:lumMod val="60000"/>
                          <a:lumOff val="40000"/>
                          <a:alpha val="0"/>
                        </a:schemeClr>
                      </a:gs>
                      <a:gs pos="50000">
                        <a:schemeClr val="accent5">
                          <a:lumMod val="60000"/>
                          <a:lumOff val="4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('Taula-i-Grafic_4'!$B$31,'Taula-i-Grafic_4'!$D$31,'Taula-i-Grafic_4'!$F$31,'Taula-i-Grafic_4'!$H$31,'Taula-i-Grafic_4'!$J$31)</c15:sqref>
                        </c15:formulaRef>
                      </c:ext>
                    </c:extLst>
                    <c:numCache>
                      <c:formatCode>General</c:formatCode>
                      <c:ptCount val="5"/>
                      <c:pt idx="0">
                        <c:v>0</c:v>
                      </c:pt>
                      <c:pt idx="1">
                        <c:v>0</c:v>
                      </c:pt>
                      <c:pt idx="2">
                        <c:v>0</c:v>
                      </c:pt>
                      <c:pt idx="3">
                        <c:v>0</c:v>
                      </c:pt>
                      <c:pt idx="4">
                        <c:v>1</c:v>
                      </c:pt>
                    </c:numCache>
                  </c:numRef>
                </c:val>
                <c:extLst xmlns:c15="http://schemas.microsoft.com/office/drawing/2012/chart">
                  <c:ext xmlns:c16="http://schemas.microsoft.com/office/drawing/2014/chart" uri="{C3380CC4-5D6E-409C-BE32-E72D297353CC}">
                    <c16:uniqueId val="{00000020-E860-4940-8603-298496F43E99}"/>
                  </c:ext>
                </c:extLst>
              </c15:ser>
            </c15:filteredBarSeries>
            <c15:filteredBarSeries>
              <c15:ser>
                <c:idx val="29"/>
                <c:order val="29"/>
                <c:tx>
                  <c:strRef>
                    <c:extLst xmlns:c15="http://schemas.microsoft.com/office/drawing/2012/chart">
                      <c:ext xmlns:c15="http://schemas.microsoft.com/office/drawing/2012/chart" uri="{02D57815-91ED-43cb-92C2-25804820EDAC}">
                        <c15:formulaRef>
                          <c15:sqref>'Taula-i-Grafic_4'!$A$32</c15:sqref>
                        </c15:formulaRef>
                      </c:ext>
                    </c:extLst>
                    <c:strCache>
                      <c:ptCount val="1"/>
                      <c:pt idx="0">
                        <c:v>Justificació</c:v>
                      </c:pt>
                    </c:strCache>
                  </c:strRef>
                </c:tx>
                <c:spPr>
                  <a:gradFill>
                    <a:gsLst>
                      <a:gs pos="100000">
                        <a:schemeClr val="accent6">
                          <a:lumMod val="60000"/>
                          <a:lumOff val="40000"/>
                          <a:alpha val="0"/>
                        </a:schemeClr>
                      </a:gs>
                      <a:gs pos="50000">
                        <a:schemeClr val="accent6">
                          <a:lumMod val="60000"/>
                          <a:lumOff val="4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('Taula-i-Grafic_4'!$B$32,'Taula-i-Grafic_4'!$D$32,'Taula-i-Grafic_4'!$F$32,'Taula-i-Grafic_4'!$H$32,'Taula-i-Grafic_4'!$J$32)</c15:sqref>
                        </c15:formulaRef>
                      </c:ext>
                    </c:extLst>
                    <c:numCache>
                      <c:formatCode>General</c:formatCode>
                      <c:ptCount val="5"/>
                      <c:pt idx="0">
                        <c:v>0</c:v>
                      </c:pt>
                      <c:pt idx="1">
                        <c:v>0</c:v>
                      </c:pt>
                      <c:pt idx="2">
                        <c:v>0</c:v>
                      </c:pt>
                      <c:pt idx="3">
                        <c:v>0</c:v>
                      </c:pt>
                      <c:pt idx="4">
                        <c:v>1</c:v>
                      </c:pt>
                    </c:numCache>
                  </c:numRef>
                </c:val>
                <c:extLst xmlns:c15="http://schemas.microsoft.com/office/drawing/2012/chart">
                  <c:ext xmlns:c16="http://schemas.microsoft.com/office/drawing/2014/chart" uri="{C3380CC4-5D6E-409C-BE32-E72D297353CC}">
                    <c16:uniqueId val="{00000021-E860-4940-8603-298496F43E99}"/>
                  </c:ext>
                </c:extLst>
              </c15:ser>
            </c15:filteredBarSeries>
            <c15:filteredBarSeries>
              <c15:ser>
                <c:idx val="30"/>
                <c:order val="30"/>
                <c:tx>
                  <c:strRef>
                    <c:extLst xmlns:c15="http://schemas.microsoft.com/office/drawing/2012/chart">
                      <c:ext xmlns:c15="http://schemas.microsoft.com/office/drawing/2012/chart" uri="{02D57815-91ED-43cb-92C2-25804820EDAC}">
                        <c15:formulaRef>
                          <c15:sqref>'Taula-i-Grafic_4'!$A$33</c15:sqref>
                        </c15:formulaRef>
                      </c:ext>
                    </c:extLst>
                    <c:strCache>
                      <c:ptCount val="1"/>
                      <c:pt idx="0">
                        <c:v>Reintegrament</c:v>
                      </c:pt>
                    </c:strCache>
                  </c:strRef>
                </c:tx>
                <c:spPr>
                  <a:gradFill>
                    <a:gsLst>
                      <a:gs pos="100000">
                        <a:schemeClr val="accent1">
                          <a:lumMod val="50000"/>
                          <a:alpha val="0"/>
                        </a:schemeClr>
                      </a:gs>
                      <a:gs pos="50000">
                        <a:schemeClr val="accent1">
                          <a:lumMod val="5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('Taula-i-Grafic_4'!$B$33,'Taula-i-Grafic_4'!$D$33,'Taula-i-Grafic_4'!$F$33,'Taula-i-Grafic_4'!$H$33,'Taula-i-Grafic_4'!$J$33)</c15:sqref>
                        </c15:formulaRef>
                      </c:ext>
                    </c:extLst>
                    <c:numCache>
                      <c:formatCode>General</c:formatCode>
                      <c:ptCount val="5"/>
                      <c:pt idx="0">
                        <c:v>0</c:v>
                      </c:pt>
                      <c:pt idx="1">
                        <c:v>0</c:v>
                      </c:pt>
                      <c:pt idx="2">
                        <c:v>0</c:v>
                      </c:pt>
                      <c:pt idx="3">
                        <c:v>0</c:v>
                      </c:pt>
                      <c:pt idx="4">
                        <c:v>1</c:v>
                      </c:pt>
                    </c:numCache>
                  </c:numRef>
                </c:val>
                <c:extLst xmlns:c15="http://schemas.microsoft.com/office/drawing/2012/chart">
                  <c:ext xmlns:c16="http://schemas.microsoft.com/office/drawing/2014/chart" uri="{C3380CC4-5D6E-409C-BE32-E72D297353CC}">
                    <c16:uniqueId val="{00000022-E860-4940-8603-298496F43E99}"/>
                  </c:ext>
                </c:extLst>
              </c15:ser>
            </c15:filteredBarSeries>
            <c15:filteredBarSeries>
              <c15:ser>
                <c:idx val="31"/>
                <c:order val="31"/>
                <c:tx>
                  <c:strRef>
                    <c:extLst xmlns:c15="http://schemas.microsoft.com/office/drawing/2012/chart">
                      <c:ext xmlns:c15="http://schemas.microsoft.com/office/drawing/2012/chart" uri="{02D57815-91ED-43cb-92C2-25804820EDAC}">
                        <c15:formulaRef>
                          <c15:sqref>'Taula-i-Grafic_4'!$A$34</c15:sqref>
                        </c15:formulaRef>
                      </c:ext>
                    </c:extLst>
                    <c:strCache>
                      <c:ptCount val="1"/>
                      <c:pt idx="0">
                        <c:v>Altres</c:v>
                      </c:pt>
                    </c:strCache>
                  </c:strRef>
                </c:tx>
                <c:spPr>
                  <a:gradFill>
                    <a:gsLst>
                      <a:gs pos="100000">
                        <a:schemeClr val="accent2">
                          <a:lumMod val="50000"/>
                          <a:alpha val="0"/>
                        </a:schemeClr>
                      </a:gs>
                      <a:gs pos="50000">
                        <a:schemeClr val="accent2">
                          <a:lumMod val="5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('Taula-i-Grafic_4'!$B$34,'Taula-i-Grafic_4'!$D$34,'Taula-i-Grafic_4'!$F$34,'Taula-i-Grafic_4'!$H$34,'Taula-i-Grafic_4'!$J$34)</c15:sqref>
                        </c15:formulaRef>
                      </c:ext>
                    </c:extLst>
                    <c:numCache>
                      <c:formatCode>General</c:formatCode>
                      <c:ptCount val="5"/>
                      <c:pt idx="0">
                        <c:v>0</c:v>
                      </c:pt>
                      <c:pt idx="1">
                        <c:v>0</c:v>
                      </c:pt>
                      <c:pt idx="2">
                        <c:v>0</c:v>
                      </c:pt>
                      <c:pt idx="3">
                        <c:v>0</c:v>
                      </c:pt>
                      <c:pt idx="4">
                        <c:v>6</c:v>
                      </c:pt>
                    </c:numCache>
                  </c:numRef>
                </c:val>
                <c:extLst xmlns:c15="http://schemas.microsoft.com/office/drawing/2012/chart">
                  <c:ext xmlns:c16="http://schemas.microsoft.com/office/drawing/2014/chart" uri="{C3380CC4-5D6E-409C-BE32-E72D297353CC}">
                    <c16:uniqueId val="{00000023-E860-4940-8603-298496F43E99}"/>
                  </c:ext>
                </c:extLst>
              </c15:ser>
            </c15:filteredBarSeries>
            <c15:filteredBarSeries>
              <c15:ser>
                <c:idx val="36"/>
                <c:order val="36"/>
                <c:tx>
                  <c:strRef>
                    <c:extLst xmlns:c15="http://schemas.microsoft.com/office/drawing/2012/chart">
                      <c:ext xmlns:c15="http://schemas.microsoft.com/office/drawing/2012/chart" uri="{02D57815-91ED-43cb-92C2-25804820EDAC}">
                        <c15:formulaRef>
                          <c15:sqref>'Taula-i-Grafic_4'!$A$39</c15:sqref>
                        </c15:formulaRef>
                      </c:ext>
                    </c:extLst>
                    <c:strCache>
                      <c:ptCount val="1"/>
                      <c:pt idx="0">
                        <c:v>TOTAL</c:v>
                      </c:pt>
                    </c:strCache>
                  </c:strRef>
                </c:tx>
                <c:spPr>
                  <a:gradFill>
                    <a:gsLst>
                      <a:gs pos="100000">
                        <a:schemeClr val="accent1">
                          <a:lumMod val="70000"/>
                          <a:lumOff val="30000"/>
                          <a:alpha val="0"/>
                        </a:schemeClr>
                      </a:gs>
                      <a:gs pos="50000">
                        <a:schemeClr val="accent1">
                          <a:lumMod val="70000"/>
                          <a:lumOff val="30000"/>
                        </a:schemeClr>
                      </a:gs>
                    </a:gsLst>
                    <a:lin ang="5400000" scaled="0"/>
                  </a:gradFill>
                  <a:ln>
                    <a:noFill/>
                  </a:ln>
                  <a:effectLst/>
                  <a:sp3d/>
                </c:spPr>
                <c:invertIfNegative val="0"/>
                <c:cat>
                  <c:numRef>
                    <c:extLst xmlns:c15="http://schemas.microsoft.com/office/drawing/2012/chart">
                      <c:ext xmlns:c15="http://schemas.microsoft.com/office/drawing/2012/chart" uri="{02D57815-91ED-43cb-92C2-25804820EDAC}">
                        <c15:formulaRef>
                          <c15:sqref>('Taula-i-Grafic_4'!$B$2,'Taula-i-Grafic_4'!$D$2,'Taula-i-Grafic_4'!$F$2,'Taula-i-Grafic_4'!$H$2,'Taula-i-Grafic_4'!$J$2)</c15:sqref>
                        </c15:formulaRef>
                      </c:ext>
                    </c:extLst>
                    <c:numCache>
                      <c:formatCode>General</c:formatCode>
                      <c:ptCount val="5"/>
                      <c:pt idx="0">
                        <c:v>2017</c:v>
                      </c:pt>
                      <c:pt idx="1">
                        <c:v>2018</c:v>
                      </c:pt>
                      <c:pt idx="2">
                        <c:v>2019</c:v>
                      </c:pt>
                      <c:pt idx="3">
                        <c:v>2020</c:v>
                      </c:pt>
                      <c:pt idx="4">
                        <c:v>2021</c:v>
                      </c:pt>
                    </c:numCache>
                  </c:numRef>
                </c:cat>
                <c:val>
                  <c:numRef>
                    <c:extLst xmlns:c15="http://schemas.microsoft.com/office/drawing/2012/chart">
                      <c:ext xmlns:c15="http://schemas.microsoft.com/office/drawing/2012/chart" uri="{02D57815-91ED-43cb-92C2-25804820EDAC}">
                        <c15:formulaRef>
                          <c15:sqref>('Taula-i-Grafic_4'!$B$39,'Taula-i-Grafic_4'!$D$39,'Taula-i-Grafic_4'!$F$39,'Taula-i-Grafic_4'!$H$39,'Taula-i-Grafic_4'!$J$39)</c15:sqref>
                        </c15:formulaRef>
                      </c:ext>
                    </c:extLst>
                    <c:numCache>
                      <c:formatCode>General</c:formatCode>
                      <c:ptCount val="5"/>
                      <c:pt idx="0">
                        <c:v>35</c:v>
                      </c:pt>
                      <c:pt idx="1">
                        <c:v>181</c:v>
                      </c:pt>
                      <c:pt idx="2">
                        <c:v>168</c:v>
                      </c:pt>
                      <c:pt idx="3">
                        <c:v>226</c:v>
                      </c:pt>
                      <c:pt idx="4">
                        <c:v>359</c:v>
                      </c:pt>
                    </c:numCache>
                  </c:numRef>
                </c:val>
                <c:extLst xmlns:c15="http://schemas.microsoft.com/office/drawing/2012/chart">
                  <c:ext xmlns:c16="http://schemas.microsoft.com/office/drawing/2014/chart" uri="{C3380CC4-5D6E-409C-BE32-E72D297353CC}">
                    <c16:uniqueId val="{00000024-E860-4940-8603-298496F43E99}"/>
                  </c:ext>
                </c:extLst>
              </c15:ser>
            </c15:filteredBarSeries>
          </c:ext>
        </c:extLst>
      </c:bar3DChart>
      <c:catAx>
        <c:axId val="10357095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035710383"/>
        <c:crosses val="autoZero"/>
        <c:auto val="1"/>
        <c:lblAlgn val="ctr"/>
        <c:lblOffset val="100"/>
        <c:noMultiLvlLbl val="0"/>
      </c:catAx>
      <c:valAx>
        <c:axId val="1035710383"/>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035709551"/>
        <c:crosses val="autoZero"/>
        <c:crossBetween val="between"/>
      </c:valAx>
      <c:spPr>
        <a:noFill/>
        <a:ln>
          <a:noFill/>
        </a:ln>
        <a:effectLst/>
      </c:spPr>
    </c:plotArea>
    <c:legend>
      <c:legendPos val="b"/>
      <c:layout>
        <c:manualLayout>
          <c:xMode val="edge"/>
          <c:yMode val="edge"/>
          <c:x val="3.4214005822179094E-2"/>
          <c:y val="0.70833980545117925"/>
          <c:w val="0.9245164850630736"/>
          <c:h val="0.250454940878977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'Taula-i-Grafic_5'!$B$2</c:f>
              <c:strCache>
                <c:ptCount val="1"/>
                <c:pt idx="0">
                  <c:v>2017</c:v>
                </c:pt>
              </c:strCache>
            </c:strRef>
          </c:tx>
          <c:spPr>
            <a:solidFill>
              <a:schemeClr val="accent1"/>
            </a:solidFill>
            <a:ln>
              <a:noFill/>
            </a:ln>
            <a:effectLst/>
          </c:spPr>
          <c:invertIfNegative val="0"/>
          <c:cat>
            <c:strRef>
              <c:f>('Taula-i-Grafic_5'!$A$3,'Taula-i-Grafic_5'!$A$7,'Taula-i-Grafic_5'!$A$14)</c:f>
              <c:strCache>
                <c:ptCount val="3"/>
                <c:pt idx="0">
                  <c:v>Persona física</c:v>
                </c:pt>
                <c:pt idx="1">
                  <c:v>Persona jurídica</c:v>
                </c:pt>
                <c:pt idx="2">
                  <c:v>Anònims</c:v>
                </c:pt>
              </c:strCache>
              <c:extLst/>
            </c:strRef>
          </c:cat>
          <c:val>
            <c:numRef>
              <c:f>('Taula-i-Grafic_5'!$B$3,'Taula-i-Grafic_5'!$B$7,'Taula-i-Grafic_5'!$B$14)</c:f>
              <c:numCache>
                <c:formatCode>General</c:formatCode>
                <c:ptCount val="3"/>
                <c:pt idx="0">
                  <c:v>30</c:v>
                </c:pt>
                <c:pt idx="1">
                  <c:v>3</c:v>
                </c:pt>
                <c:pt idx="2">
                  <c:v>2</c:v>
                </c:pt>
              </c:numCache>
              <c:extLst/>
            </c:numRef>
          </c:val>
          <c:extLst>
            <c:ext xmlns:c16="http://schemas.microsoft.com/office/drawing/2014/chart" uri="{C3380CC4-5D6E-409C-BE32-E72D297353CC}">
              <c16:uniqueId val="{00000000-9D94-4548-A6AD-A0E99B69B088}"/>
            </c:ext>
          </c:extLst>
        </c:ser>
        <c:ser>
          <c:idx val="2"/>
          <c:order val="2"/>
          <c:tx>
            <c:strRef>
              <c:f>'Taula-i-Grafic_5'!$D$2</c:f>
              <c:strCache>
                <c:ptCount val="1"/>
                <c:pt idx="0">
                  <c:v>2018</c:v>
                </c:pt>
              </c:strCache>
            </c:strRef>
          </c:tx>
          <c:spPr>
            <a:solidFill>
              <a:schemeClr val="accent3"/>
            </a:solidFill>
            <a:ln>
              <a:noFill/>
            </a:ln>
            <a:effectLst/>
          </c:spPr>
          <c:invertIfNegative val="0"/>
          <c:cat>
            <c:strRef>
              <c:f>('Taula-i-Grafic_5'!$A$3,'Taula-i-Grafic_5'!$A$7,'Taula-i-Grafic_5'!$A$14)</c:f>
              <c:strCache>
                <c:ptCount val="3"/>
                <c:pt idx="0">
                  <c:v>Persona física</c:v>
                </c:pt>
                <c:pt idx="1">
                  <c:v>Persona jurídica</c:v>
                </c:pt>
                <c:pt idx="2">
                  <c:v>Anònims</c:v>
                </c:pt>
              </c:strCache>
              <c:extLst/>
            </c:strRef>
          </c:cat>
          <c:val>
            <c:numRef>
              <c:f>('Taula-i-Grafic_5'!$D$3,'Taula-i-Grafic_5'!$D$7,'Taula-i-Grafic_5'!$D$14)</c:f>
              <c:numCache>
                <c:formatCode>General</c:formatCode>
                <c:ptCount val="3"/>
                <c:pt idx="0">
                  <c:v>75</c:v>
                </c:pt>
                <c:pt idx="1">
                  <c:v>14</c:v>
                </c:pt>
                <c:pt idx="2">
                  <c:v>92</c:v>
                </c:pt>
              </c:numCache>
              <c:extLst/>
            </c:numRef>
          </c:val>
          <c:extLst>
            <c:ext xmlns:c16="http://schemas.microsoft.com/office/drawing/2014/chart" uri="{C3380CC4-5D6E-409C-BE32-E72D297353CC}">
              <c16:uniqueId val="{00000001-9D94-4548-A6AD-A0E99B69B088}"/>
            </c:ext>
          </c:extLst>
        </c:ser>
        <c:ser>
          <c:idx val="4"/>
          <c:order val="4"/>
          <c:tx>
            <c:strRef>
              <c:f>'Taula-i-Grafic_5'!$F$2</c:f>
              <c:strCache>
                <c:ptCount val="1"/>
                <c:pt idx="0">
                  <c:v>2019</c:v>
                </c:pt>
              </c:strCache>
            </c:strRef>
          </c:tx>
          <c:spPr>
            <a:solidFill>
              <a:schemeClr val="accent5"/>
            </a:solidFill>
            <a:ln>
              <a:noFill/>
            </a:ln>
            <a:effectLst/>
          </c:spPr>
          <c:invertIfNegative val="0"/>
          <c:cat>
            <c:strRef>
              <c:f>('Taula-i-Grafic_5'!$A$3,'Taula-i-Grafic_5'!$A$7,'Taula-i-Grafic_5'!$A$14)</c:f>
              <c:strCache>
                <c:ptCount val="3"/>
                <c:pt idx="0">
                  <c:v>Persona física</c:v>
                </c:pt>
                <c:pt idx="1">
                  <c:v>Persona jurídica</c:v>
                </c:pt>
                <c:pt idx="2">
                  <c:v>Anònims</c:v>
                </c:pt>
              </c:strCache>
              <c:extLst/>
            </c:strRef>
          </c:cat>
          <c:val>
            <c:numRef>
              <c:f>('Taula-i-Grafic_5'!$F$3,'Taula-i-Grafic_5'!$F$7,'Taula-i-Grafic_5'!$F$14)</c:f>
              <c:numCache>
                <c:formatCode>General</c:formatCode>
                <c:ptCount val="3"/>
                <c:pt idx="0">
                  <c:v>74</c:v>
                </c:pt>
                <c:pt idx="1">
                  <c:v>8</c:v>
                </c:pt>
                <c:pt idx="2">
                  <c:v>86</c:v>
                </c:pt>
              </c:numCache>
              <c:extLst/>
            </c:numRef>
          </c:val>
          <c:extLst>
            <c:ext xmlns:c16="http://schemas.microsoft.com/office/drawing/2014/chart" uri="{C3380CC4-5D6E-409C-BE32-E72D297353CC}">
              <c16:uniqueId val="{00000002-9D94-4548-A6AD-A0E99B69B088}"/>
            </c:ext>
          </c:extLst>
        </c:ser>
        <c:ser>
          <c:idx val="6"/>
          <c:order val="6"/>
          <c:tx>
            <c:strRef>
              <c:f>'Taula-i-Grafic_5'!$H$2</c:f>
              <c:strCache>
                <c:ptCount val="1"/>
                <c:pt idx="0">
                  <c:v>2020</c:v>
                </c:pt>
              </c:strCache>
            </c:strRef>
          </c:tx>
          <c:spPr>
            <a:solidFill>
              <a:schemeClr val="accent1">
                <a:lumMod val="60000"/>
              </a:schemeClr>
            </a:solidFill>
            <a:ln>
              <a:noFill/>
            </a:ln>
            <a:effectLst/>
          </c:spPr>
          <c:invertIfNegative val="0"/>
          <c:cat>
            <c:strRef>
              <c:f>('Taula-i-Grafic_5'!$A$3,'Taula-i-Grafic_5'!$A$7,'Taula-i-Grafic_5'!$A$14)</c:f>
              <c:strCache>
                <c:ptCount val="3"/>
                <c:pt idx="0">
                  <c:v>Persona física</c:v>
                </c:pt>
                <c:pt idx="1">
                  <c:v>Persona jurídica</c:v>
                </c:pt>
                <c:pt idx="2">
                  <c:v>Anònims</c:v>
                </c:pt>
              </c:strCache>
              <c:extLst/>
            </c:strRef>
          </c:cat>
          <c:val>
            <c:numRef>
              <c:f>('Taula-i-Grafic_5'!$H$3,'Taula-i-Grafic_5'!$H$7,'Taula-i-Grafic_5'!$H$14)</c:f>
              <c:numCache>
                <c:formatCode>General</c:formatCode>
                <c:ptCount val="3"/>
                <c:pt idx="0">
                  <c:v>120</c:v>
                </c:pt>
                <c:pt idx="1">
                  <c:v>15</c:v>
                </c:pt>
                <c:pt idx="2">
                  <c:v>91</c:v>
                </c:pt>
              </c:numCache>
              <c:extLst/>
            </c:numRef>
          </c:val>
          <c:extLst>
            <c:ext xmlns:c16="http://schemas.microsoft.com/office/drawing/2014/chart" uri="{C3380CC4-5D6E-409C-BE32-E72D297353CC}">
              <c16:uniqueId val="{00000003-9D94-4548-A6AD-A0E99B69B088}"/>
            </c:ext>
          </c:extLst>
        </c:ser>
        <c:ser>
          <c:idx val="8"/>
          <c:order val="8"/>
          <c:tx>
            <c:strRef>
              <c:f>'Taula-i-Grafic_5'!$J$2</c:f>
              <c:strCache>
                <c:ptCount val="1"/>
                <c:pt idx="0">
                  <c:v>2021</c:v>
                </c:pt>
              </c:strCache>
            </c:strRef>
          </c:tx>
          <c:spPr>
            <a:solidFill>
              <a:schemeClr val="accent3">
                <a:lumMod val="60000"/>
              </a:schemeClr>
            </a:solidFill>
            <a:ln>
              <a:noFill/>
            </a:ln>
            <a:effectLst/>
          </c:spPr>
          <c:invertIfNegative val="0"/>
          <c:cat>
            <c:strRef>
              <c:f>('Taula-i-Grafic_5'!$A$3,'Taula-i-Grafic_5'!$A$7,'Taula-i-Grafic_5'!$A$14)</c:f>
              <c:strCache>
                <c:ptCount val="3"/>
                <c:pt idx="0">
                  <c:v>Persona física</c:v>
                </c:pt>
                <c:pt idx="1">
                  <c:v>Persona jurídica</c:v>
                </c:pt>
                <c:pt idx="2">
                  <c:v>Anònims</c:v>
                </c:pt>
              </c:strCache>
              <c:extLst/>
            </c:strRef>
          </c:cat>
          <c:val>
            <c:numRef>
              <c:f>('Taula-i-Grafic_5'!$J$3,'Taula-i-Grafic_5'!$J$7,'Taula-i-Grafic_5'!$J$14)</c:f>
              <c:numCache>
                <c:formatCode>General</c:formatCode>
                <c:ptCount val="3"/>
                <c:pt idx="0">
                  <c:v>142</c:v>
                </c:pt>
                <c:pt idx="1">
                  <c:v>18</c:v>
                </c:pt>
                <c:pt idx="2">
                  <c:v>199</c:v>
                </c:pt>
              </c:numCache>
              <c:extLst/>
            </c:numRef>
          </c:val>
          <c:extLst>
            <c:ext xmlns:c16="http://schemas.microsoft.com/office/drawing/2014/chart" uri="{C3380CC4-5D6E-409C-BE32-E72D297353CC}">
              <c16:uniqueId val="{00000004-9D94-4548-A6AD-A0E99B69B088}"/>
            </c:ext>
          </c:extLst>
        </c:ser>
        <c:dLbls>
          <c:showLegendKey val="0"/>
          <c:showVal val="0"/>
          <c:showCatName val="0"/>
          <c:showSerName val="0"/>
          <c:showPercent val="0"/>
          <c:showBubbleSize val="0"/>
        </c:dLbls>
        <c:gapWidth val="219"/>
        <c:overlap val="-27"/>
        <c:axId val="1575694303"/>
        <c:axId val="1575684735"/>
        <c:extLst>
          <c:ext xmlns:c15="http://schemas.microsoft.com/office/drawing/2012/chart" uri="{02D57815-91ED-43cb-92C2-25804820EDAC}">
            <c15:filteredBarSeries>
              <c15:ser>
                <c:idx val="1"/>
                <c:order val="1"/>
                <c:tx>
                  <c:strRef>
                    <c:extLst>
                      <c:ext uri="{02D57815-91ED-43cb-92C2-25804820EDAC}">
                        <c15:formulaRef>
                          <c15:sqref>'Taula-i-Grafic_5'!$C$2</c15:sqref>
                        </c15:formulaRef>
                      </c:ext>
                    </c:extLst>
                    <c:strCache>
                      <c:ptCount val="1"/>
                      <c:pt idx="0">
                        <c:v>%</c:v>
                      </c:pt>
                    </c:strCache>
                  </c:strRef>
                </c:tx>
                <c:spPr>
                  <a:solidFill>
                    <a:schemeClr val="accent2"/>
                  </a:solidFill>
                  <a:ln>
                    <a:noFill/>
                  </a:ln>
                  <a:effectLst/>
                </c:spPr>
                <c:invertIfNegative val="0"/>
                <c:cat>
                  <c:strRef>
                    <c:extLst>
                      <c:ext uri="{02D57815-91ED-43cb-92C2-25804820EDAC}">
                        <c15:formulaRef>
                          <c15:sqref>('Taula-i-Grafic_5'!$A$3,'Taula-i-Grafic_5'!$A$7,'Taula-i-Grafic_5'!$A$14)</c15:sqref>
                        </c15:formulaRef>
                      </c:ext>
                    </c:extLst>
                    <c:strCache>
                      <c:ptCount val="3"/>
                      <c:pt idx="0">
                        <c:v>Persona física</c:v>
                      </c:pt>
                      <c:pt idx="1">
                        <c:v>Persona jurídica</c:v>
                      </c:pt>
                      <c:pt idx="2">
                        <c:v>Anònims</c:v>
                      </c:pt>
                    </c:strCache>
                  </c:strRef>
                </c:cat>
                <c:val>
                  <c:numRef>
                    <c:extLst>
                      <c:ext uri="{02D57815-91ED-43cb-92C2-25804820EDAC}">
                        <c15:formulaRef>
                          <c15:sqref>('Taula-i-Grafic_5'!$C$3,'Taula-i-Grafic_5'!$C$7,'Taula-i-Grafic_5'!$C$14)</c15:sqref>
                        </c15:formulaRef>
                      </c:ext>
                    </c:extLst>
                    <c:numCache>
                      <c:formatCode>0.00%</c:formatCode>
                      <c:ptCount val="3"/>
                      <c:pt idx="0">
                        <c:v>0.8571428571428571</c:v>
                      </c:pt>
                      <c:pt idx="1">
                        <c:v>8.5714285714285715E-2</c:v>
                      </c:pt>
                      <c:pt idx="2">
                        <c:v>5.7142857142857141E-2</c:v>
                      </c:pt>
                    </c:numCache>
                  </c:numRef>
                </c:val>
                <c:extLst>
                  <c:ext xmlns:c16="http://schemas.microsoft.com/office/drawing/2014/chart" uri="{C3380CC4-5D6E-409C-BE32-E72D297353CC}">
                    <c16:uniqueId val="{00000005-9D94-4548-A6AD-A0E99B69B088}"/>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'Taula-i-Grafic_5'!$E$2</c15:sqref>
                        </c15:formulaRef>
                      </c:ext>
                    </c:extLst>
                    <c:strCache>
                      <c:ptCount val="1"/>
                      <c:pt idx="0">
                        <c:v>%</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('Taula-i-Grafic_5'!$A$3,'Taula-i-Grafic_5'!$A$7,'Taula-i-Grafic_5'!$A$14)</c15:sqref>
                        </c15:formulaRef>
                      </c:ext>
                    </c:extLst>
                    <c:strCache>
                      <c:ptCount val="3"/>
                      <c:pt idx="0">
                        <c:v>Persona física</c:v>
                      </c:pt>
                      <c:pt idx="1">
                        <c:v>Persona jurídica</c:v>
                      </c:pt>
                      <c:pt idx="2">
                        <c:v>Anònims</c:v>
                      </c:pt>
                    </c:strCache>
                  </c:strRef>
                </c:cat>
                <c:val>
                  <c:numRef>
                    <c:extLst xmlns:c15="http://schemas.microsoft.com/office/drawing/2012/chart">
                      <c:ext xmlns:c15="http://schemas.microsoft.com/office/drawing/2012/chart" uri="{02D57815-91ED-43cb-92C2-25804820EDAC}">
                        <c15:formulaRef>
                          <c15:sqref>('Taula-i-Grafic_5'!$E$3,'Taula-i-Grafic_5'!$E$7,'Taula-i-Grafic_5'!$E$14)</c15:sqref>
                        </c15:formulaRef>
                      </c:ext>
                    </c:extLst>
                    <c:numCache>
                      <c:formatCode>0.00%</c:formatCode>
                      <c:ptCount val="3"/>
                      <c:pt idx="0">
                        <c:v>0.4143646408839779</c:v>
                      </c:pt>
                      <c:pt idx="1">
                        <c:v>7.7348066298342538E-2</c:v>
                      </c:pt>
                      <c:pt idx="2">
                        <c:v>0.50828729281767959</c:v>
                      </c:pt>
                    </c:numCache>
                  </c:numRef>
                </c:val>
                <c:extLst xmlns:c15="http://schemas.microsoft.com/office/drawing/2012/chart">
                  <c:ext xmlns:c16="http://schemas.microsoft.com/office/drawing/2014/chart" uri="{C3380CC4-5D6E-409C-BE32-E72D297353CC}">
                    <c16:uniqueId val="{00000006-9D94-4548-A6AD-A0E99B69B088}"/>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'Taula-i-Grafic_5'!$G$2</c15:sqref>
                        </c15:formulaRef>
                      </c:ext>
                    </c:extLst>
                    <c:strCache>
                      <c:ptCount val="1"/>
                      <c:pt idx="0">
                        <c:v>%</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('Taula-i-Grafic_5'!$A$3,'Taula-i-Grafic_5'!$A$7,'Taula-i-Grafic_5'!$A$14)</c15:sqref>
                        </c15:formulaRef>
                      </c:ext>
                    </c:extLst>
                    <c:strCache>
                      <c:ptCount val="3"/>
                      <c:pt idx="0">
                        <c:v>Persona física</c:v>
                      </c:pt>
                      <c:pt idx="1">
                        <c:v>Persona jurídica</c:v>
                      </c:pt>
                      <c:pt idx="2">
                        <c:v>Anònims</c:v>
                      </c:pt>
                    </c:strCache>
                  </c:strRef>
                </c:cat>
                <c:val>
                  <c:numRef>
                    <c:extLst xmlns:c15="http://schemas.microsoft.com/office/drawing/2012/chart">
                      <c:ext xmlns:c15="http://schemas.microsoft.com/office/drawing/2012/chart" uri="{02D57815-91ED-43cb-92C2-25804820EDAC}">
                        <c15:formulaRef>
                          <c15:sqref>('Taula-i-Grafic_5'!$G$3,'Taula-i-Grafic_5'!$G$7,'Taula-i-Grafic_5'!$G$14)</c15:sqref>
                        </c15:formulaRef>
                      </c:ext>
                    </c:extLst>
                    <c:numCache>
                      <c:formatCode>0.00%</c:formatCode>
                      <c:ptCount val="3"/>
                      <c:pt idx="0">
                        <c:v>0.44047619047619047</c:v>
                      </c:pt>
                      <c:pt idx="1">
                        <c:v>4.7619047619047616E-2</c:v>
                      </c:pt>
                      <c:pt idx="2">
                        <c:v>0.51190476190476186</c:v>
                      </c:pt>
                    </c:numCache>
                  </c:numRef>
                </c:val>
                <c:extLst xmlns:c15="http://schemas.microsoft.com/office/drawing/2012/chart">
                  <c:ext xmlns:c16="http://schemas.microsoft.com/office/drawing/2014/chart" uri="{C3380CC4-5D6E-409C-BE32-E72D297353CC}">
                    <c16:uniqueId val="{00000007-9D94-4548-A6AD-A0E99B69B088}"/>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'Taula-i-Grafic_5'!$I$2</c15:sqref>
                        </c15:formulaRef>
                      </c:ext>
                    </c:extLst>
                    <c:strCache>
                      <c:ptCount val="1"/>
                      <c:pt idx="0">
                        <c:v>%</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('Taula-i-Grafic_5'!$A$3,'Taula-i-Grafic_5'!$A$7,'Taula-i-Grafic_5'!$A$14)</c15:sqref>
                        </c15:formulaRef>
                      </c:ext>
                    </c:extLst>
                    <c:strCache>
                      <c:ptCount val="3"/>
                      <c:pt idx="0">
                        <c:v>Persona física</c:v>
                      </c:pt>
                      <c:pt idx="1">
                        <c:v>Persona jurídica</c:v>
                      </c:pt>
                      <c:pt idx="2">
                        <c:v>Anònims</c:v>
                      </c:pt>
                    </c:strCache>
                  </c:strRef>
                </c:cat>
                <c:val>
                  <c:numRef>
                    <c:extLst xmlns:c15="http://schemas.microsoft.com/office/drawing/2012/chart">
                      <c:ext xmlns:c15="http://schemas.microsoft.com/office/drawing/2012/chart" uri="{02D57815-91ED-43cb-92C2-25804820EDAC}">
                        <c15:formulaRef>
                          <c15:sqref>('Taula-i-Grafic_5'!$I$3,'Taula-i-Grafic_5'!$I$7,'Taula-i-Grafic_5'!$I$14)</c15:sqref>
                        </c15:formulaRef>
                      </c:ext>
                    </c:extLst>
                    <c:numCache>
                      <c:formatCode>0.00%</c:formatCode>
                      <c:ptCount val="3"/>
                      <c:pt idx="0">
                        <c:v>0.53097345132743368</c:v>
                      </c:pt>
                      <c:pt idx="1">
                        <c:v>6.637168141592921E-2</c:v>
                      </c:pt>
                      <c:pt idx="2">
                        <c:v>0.40265486725663718</c:v>
                      </c:pt>
                    </c:numCache>
                  </c:numRef>
                </c:val>
                <c:extLst xmlns:c15="http://schemas.microsoft.com/office/drawing/2012/chart">
                  <c:ext xmlns:c16="http://schemas.microsoft.com/office/drawing/2014/chart" uri="{C3380CC4-5D6E-409C-BE32-E72D297353CC}">
                    <c16:uniqueId val="{00000008-9D94-4548-A6AD-A0E99B69B088}"/>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'Taula-i-Grafic_5'!$K$2</c15:sqref>
                        </c15:formulaRef>
                      </c:ext>
                    </c:extLst>
                    <c:strCache>
                      <c:ptCount val="1"/>
                      <c:pt idx="0">
                        <c:v>%</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('Taula-i-Grafic_5'!$A$3,'Taula-i-Grafic_5'!$A$7,'Taula-i-Grafic_5'!$A$14)</c15:sqref>
                        </c15:formulaRef>
                      </c:ext>
                    </c:extLst>
                    <c:strCache>
                      <c:ptCount val="3"/>
                      <c:pt idx="0">
                        <c:v>Persona física</c:v>
                      </c:pt>
                      <c:pt idx="1">
                        <c:v>Persona jurídica</c:v>
                      </c:pt>
                      <c:pt idx="2">
                        <c:v>Anònims</c:v>
                      </c:pt>
                    </c:strCache>
                  </c:strRef>
                </c:cat>
                <c:val>
                  <c:numRef>
                    <c:extLst xmlns:c15="http://schemas.microsoft.com/office/drawing/2012/chart">
                      <c:ext xmlns:c15="http://schemas.microsoft.com/office/drawing/2012/chart" uri="{02D57815-91ED-43cb-92C2-25804820EDAC}">
                        <c15:formulaRef>
                          <c15:sqref>('Taula-i-Grafic_5'!$K$3,'Taula-i-Grafic_5'!$K$7,'Taula-i-Grafic_5'!$K$14)</c15:sqref>
                        </c15:formulaRef>
                      </c:ext>
                    </c:extLst>
                    <c:numCache>
                      <c:formatCode>0.00%</c:formatCode>
                      <c:ptCount val="3"/>
                      <c:pt idx="0">
                        <c:v>0.3955431754874652</c:v>
                      </c:pt>
                      <c:pt idx="1">
                        <c:v>5.0139275766016712E-2</c:v>
                      </c:pt>
                      <c:pt idx="2">
                        <c:v>0.55431754874651806</c:v>
                      </c:pt>
                    </c:numCache>
                  </c:numRef>
                </c:val>
                <c:extLst xmlns:c15="http://schemas.microsoft.com/office/drawing/2012/chart">
                  <c:ext xmlns:c16="http://schemas.microsoft.com/office/drawing/2014/chart" uri="{C3380CC4-5D6E-409C-BE32-E72D297353CC}">
                    <c16:uniqueId val="{00000009-9D94-4548-A6AD-A0E99B69B088}"/>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'Taula-i-Grafic_5'!$L$2</c15:sqref>
                        </c15:formulaRef>
                      </c:ext>
                    </c:extLst>
                    <c:strCache>
                      <c:ptCount val="1"/>
                      <c:pt idx="0">
                        <c:v>TOTAL</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('Taula-i-Grafic_5'!$A$3,'Taula-i-Grafic_5'!$A$7,'Taula-i-Grafic_5'!$A$14)</c15:sqref>
                        </c15:formulaRef>
                      </c:ext>
                    </c:extLst>
                    <c:strCache>
                      <c:ptCount val="3"/>
                      <c:pt idx="0">
                        <c:v>Persona física</c:v>
                      </c:pt>
                      <c:pt idx="1">
                        <c:v>Persona jurídica</c:v>
                      </c:pt>
                      <c:pt idx="2">
                        <c:v>Anònims</c:v>
                      </c:pt>
                    </c:strCache>
                  </c:strRef>
                </c:cat>
                <c:val>
                  <c:numRef>
                    <c:extLst xmlns:c15="http://schemas.microsoft.com/office/drawing/2012/chart">
                      <c:ext xmlns:c15="http://schemas.microsoft.com/office/drawing/2012/chart" uri="{02D57815-91ED-43cb-92C2-25804820EDAC}">
                        <c15:formulaRef>
                          <c15:sqref>('Taula-i-Grafic_5'!$L$3,'Taula-i-Grafic_5'!$L$7,'Taula-i-Grafic_5'!$L$14)</c15:sqref>
                        </c15:formulaRef>
                      </c:ext>
                    </c:extLst>
                    <c:numCache>
                      <c:formatCode>0</c:formatCode>
                      <c:ptCount val="3"/>
                      <c:pt idx="0">
                        <c:v>441</c:v>
                      </c:pt>
                      <c:pt idx="1">
                        <c:v>58</c:v>
                      </c:pt>
                      <c:pt idx="2">
                        <c:v>470</c:v>
                      </c:pt>
                    </c:numCache>
                  </c:numRef>
                </c:val>
                <c:extLst xmlns:c15="http://schemas.microsoft.com/office/drawing/2012/chart">
                  <c:ext xmlns:c16="http://schemas.microsoft.com/office/drawing/2014/chart" uri="{C3380CC4-5D6E-409C-BE32-E72D297353CC}">
                    <c16:uniqueId val="{0000000A-9D94-4548-A6AD-A0E99B69B088}"/>
                  </c:ext>
                </c:extLst>
              </c15:ser>
            </c15:filteredBarSeries>
          </c:ext>
        </c:extLst>
      </c:barChart>
      <c:catAx>
        <c:axId val="1575694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575684735"/>
        <c:crosses val="autoZero"/>
        <c:auto val="1"/>
        <c:lblAlgn val="ctr"/>
        <c:lblOffset val="100"/>
        <c:noMultiLvlLbl val="0"/>
      </c:catAx>
      <c:valAx>
        <c:axId val="15756847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575694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0.1111111111111111"/>
          <c:w val="0.89019685039370078"/>
          <c:h val="0.73924358413531643"/>
        </c:manualLayout>
      </c:layout>
      <c:barChart>
        <c:barDir val="col"/>
        <c:grouping val="clustered"/>
        <c:varyColors val="0"/>
        <c:ser>
          <c:idx val="0"/>
          <c:order val="0"/>
          <c:tx>
            <c:strRef>
              <c:f>'Taula-i-Grafic_6'!$A$4</c:f>
              <c:strCache>
                <c:ptCount val="1"/>
                <c:pt idx="0">
                  <c:v>Home</c:v>
                </c:pt>
              </c:strCache>
            </c:strRef>
          </c:tx>
          <c:spPr>
            <a:solidFill>
              <a:schemeClr val="accent1"/>
            </a:solidFill>
            <a:ln>
              <a:noFill/>
            </a:ln>
            <a:effectLst/>
          </c:spPr>
          <c:invertIfNegative val="0"/>
          <c:cat>
            <c:numRef>
              <c:f>('Taula-i-Grafic_6'!$B$2:$B$3,'Taula-i-Grafic_6'!$D$2:$D$3,'Taula-i-Grafic_6'!$F$2:$F$3,'Taula-i-Grafic_6'!$H$2:$H$3,'Taula-i-Grafic_6'!$J$2:$J$3)</c:f>
              <c:numCache>
                <c:formatCode>General</c:formatCode>
                <c:ptCount val="10"/>
                <c:pt idx="0">
                  <c:v>2017</c:v>
                </c:pt>
                <c:pt idx="2">
                  <c:v>2018</c:v>
                </c:pt>
                <c:pt idx="4">
                  <c:v>2019</c:v>
                </c:pt>
                <c:pt idx="6">
                  <c:v>2020</c:v>
                </c:pt>
                <c:pt idx="8">
                  <c:v>2021</c:v>
                </c:pt>
              </c:numCache>
            </c:numRef>
          </c:cat>
          <c:val>
            <c:numRef>
              <c:f>('Taula-i-Grafic_6'!$B$4,'Taula-i-Grafic_6'!$D$4,'Taula-i-Grafic_6'!$F$4,'Taula-i-Grafic_6'!$H$4,'Taula-i-Grafic_6'!$J$4)</c:f>
              <c:numCache>
                <c:formatCode>General</c:formatCode>
                <c:ptCount val="5"/>
                <c:pt idx="0">
                  <c:v>29</c:v>
                </c:pt>
                <c:pt idx="1">
                  <c:v>57</c:v>
                </c:pt>
                <c:pt idx="2">
                  <c:v>59</c:v>
                </c:pt>
                <c:pt idx="3">
                  <c:v>99</c:v>
                </c:pt>
                <c:pt idx="4">
                  <c:v>110</c:v>
                </c:pt>
              </c:numCache>
              <c:extLst/>
            </c:numRef>
          </c:val>
          <c:extLst>
            <c:ext xmlns:c16="http://schemas.microsoft.com/office/drawing/2014/chart" uri="{C3380CC4-5D6E-409C-BE32-E72D297353CC}">
              <c16:uniqueId val="{00000000-2149-48BF-9B2F-70674096A888}"/>
            </c:ext>
          </c:extLst>
        </c:ser>
        <c:ser>
          <c:idx val="1"/>
          <c:order val="1"/>
          <c:tx>
            <c:strRef>
              <c:f>'Taula-i-Grafic_6'!$A$5</c:f>
              <c:strCache>
                <c:ptCount val="1"/>
                <c:pt idx="0">
                  <c:v>Dona</c:v>
                </c:pt>
              </c:strCache>
            </c:strRef>
          </c:tx>
          <c:spPr>
            <a:solidFill>
              <a:schemeClr val="accent2">
                <a:alpha val="80000"/>
              </a:schemeClr>
            </a:solidFill>
            <a:ln>
              <a:noFill/>
            </a:ln>
            <a:effectLst/>
          </c:spPr>
          <c:invertIfNegative val="0"/>
          <c:cat>
            <c:numRef>
              <c:f>('Taula-i-Grafic_6'!$B$2:$B$3,'Taula-i-Grafic_6'!$D$2:$D$3,'Taula-i-Grafic_6'!$F$2:$F$3,'Taula-i-Grafic_6'!$H$2:$H$3,'Taula-i-Grafic_6'!$J$2:$J$3)</c:f>
              <c:numCache>
                <c:formatCode>General</c:formatCode>
                <c:ptCount val="10"/>
                <c:pt idx="0">
                  <c:v>2017</c:v>
                </c:pt>
                <c:pt idx="2">
                  <c:v>2018</c:v>
                </c:pt>
                <c:pt idx="4">
                  <c:v>2019</c:v>
                </c:pt>
                <c:pt idx="6">
                  <c:v>2020</c:v>
                </c:pt>
                <c:pt idx="8">
                  <c:v>2021</c:v>
                </c:pt>
              </c:numCache>
            </c:numRef>
          </c:cat>
          <c:val>
            <c:numRef>
              <c:f>('Taula-i-Grafic_6'!$B$5,'Taula-i-Grafic_6'!$D$5,'Taula-i-Grafic_6'!$F$5,'Taula-i-Grafic_6'!$H$5,'Taula-i-Grafic_6'!$J$5)</c:f>
              <c:numCache>
                <c:formatCode>General</c:formatCode>
                <c:ptCount val="5"/>
                <c:pt idx="0">
                  <c:v>0</c:v>
                </c:pt>
                <c:pt idx="1">
                  <c:v>19</c:v>
                </c:pt>
                <c:pt idx="2">
                  <c:v>22</c:v>
                </c:pt>
                <c:pt idx="3">
                  <c:v>21</c:v>
                </c:pt>
                <c:pt idx="4">
                  <c:v>32</c:v>
                </c:pt>
              </c:numCache>
              <c:extLst/>
            </c:numRef>
          </c:val>
          <c:extLst>
            <c:ext xmlns:c16="http://schemas.microsoft.com/office/drawing/2014/chart" uri="{C3380CC4-5D6E-409C-BE32-E72D297353CC}">
              <c16:uniqueId val="{00000001-2149-48BF-9B2F-70674096A888}"/>
            </c:ext>
          </c:extLst>
        </c:ser>
        <c:dLbls>
          <c:showLegendKey val="0"/>
          <c:showVal val="0"/>
          <c:showCatName val="0"/>
          <c:showSerName val="0"/>
          <c:showPercent val="0"/>
          <c:showBubbleSize val="0"/>
        </c:dLbls>
        <c:gapWidth val="142"/>
        <c:overlap val="26"/>
        <c:axId val="1504227231"/>
        <c:axId val="1504218495"/>
      </c:barChart>
      <c:catAx>
        <c:axId val="1504227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504218495"/>
        <c:crosses val="autoZero"/>
        <c:auto val="1"/>
        <c:lblAlgn val="ctr"/>
        <c:lblOffset val="100"/>
        <c:noMultiLvlLbl val="0"/>
      </c:catAx>
      <c:valAx>
        <c:axId val="15042184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504227231"/>
        <c:crosses val="autoZero"/>
        <c:crossBetween val="between"/>
      </c:valAx>
      <c:spPr>
        <a:noFill/>
        <a:ln>
          <a:noFill/>
        </a:ln>
        <a:effectLst/>
      </c:spPr>
    </c:plotArea>
    <c:legend>
      <c:legendPos val="b"/>
      <c:layout>
        <c:manualLayout>
          <c:xMode val="edge"/>
          <c:yMode val="edge"/>
          <c:x val="0.39736063432938623"/>
          <c:y val="0.92187445319335082"/>
          <c:w val="0.20527873134122757"/>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latin typeface="Arial" panose="020B0604020202020204" pitchFamily="34" charset="0"/>
                <a:cs typeface="Arial" panose="020B0604020202020204" pitchFamily="34" charset="0"/>
              </a:rPr>
              <a:t>Mencions per tipus</a:t>
            </a:r>
            <a:r>
              <a:rPr lang="en-US" baseline="0">
                <a:latin typeface="Arial" panose="020B0604020202020204" pitchFamily="34" charset="0"/>
                <a:cs typeface="Arial" panose="020B0604020202020204" pitchFamily="34" charset="0"/>
              </a:rPr>
              <a:t> de mitjans</a:t>
            </a:r>
            <a:endParaRPr lang="en-US">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a-ES-valencia"/>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'Menciones en medios'!$B$1</c:f>
              <c:strCache>
                <c:ptCount val="1"/>
                <c:pt idx="0">
                  <c:v>N.º de menciones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815-4688-AFB0-C6ECD8BB7729}"/>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815-4688-AFB0-C6ECD8BB7729}"/>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815-4688-AFB0-C6ECD8BB7729}"/>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8815-4688-AFB0-C6ECD8BB7729}"/>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8815-4688-AFB0-C6ECD8BB7729}"/>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8815-4688-AFB0-C6ECD8BB772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8815-4688-AFB0-C6ECD8BB772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8815-4688-AFB0-C6ECD8BB7729}"/>
              </c:ext>
            </c:extLst>
          </c:dPt>
          <c:dLbls>
            <c:dLbl>
              <c:idx val="3"/>
              <c:delete val="1"/>
              <c:extLst>
                <c:ext xmlns:c15="http://schemas.microsoft.com/office/drawing/2012/chart" uri="{CE6537A1-D6FC-4f65-9D91-7224C49458BB}"/>
                <c:ext xmlns:c16="http://schemas.microsoft.com/office/drawing/2014/chart" uri="{C3380CC4-5D6E-409C-BE32-E72D297353CC}">
                  <c16:uniqueId val="{00000007-8815-4688-AFB0-C6ECD8BB7729}"/>
                </c:ext>
              </c:extLst>
            </c:dLbl>
            <c:dLbl>
              <c:idx val="4"/>
              <c:delete val="1"/>
              <c:extLst>
                <c:ext xmlns:c15="http://schemas.microsoft.com/office/drawing/2012/chart" uri="{CE6537A1-D6FC-4f65-9D91-7224C49458BB}"/>
                <c:ext xmlns:c16="http://schemas.microsoft.com/office/drawing/2014/chart" uri="{C3380CC4-5D6E-409C-BE32-E72D297353CC}">
                  <c16:uniqueId val="{00000009-8815-4688-AFB0-C6ECD8BB7729}"/>
                </c:ext>
              </c:extLst>
            </c:dLbl>
            <c:dLbl>
              <c:idx val="5"/>
              <c:delete val="1"/>
              <c:extLst>
                <c:ext xmlns:c15="http://schemas.microsoft.com/office/drawing/2012/chart" uri="{CE6537A1-D6FC-4f65-9D91-7224C49458BB}"/>
                <c:ext xmlns:c16="http://schemas.microsoft.com/office/drawing/2014/chart" uri="{C3380CC4-5D6E-409C-BE32-E72D297353CC}">
                  <c16:uniqueId val="{0000000B-8815-4688-AFB0-C6ECD8BB7729}"/>
                </c:ext>
              </c:extLst>
            </c:dLbl>
            <c:dLbl>
              <c:idx val="6"/>
              <c:delete val="1"/>
              <c:extLst>
                <c:ext xmlns:c15="http://schemas.microsoft.com/office/drawing/2012/chart" uri="{CE6537A1-D6FC-4f65-9D91-7224C49458BB}"/>
                <c:ext xmlns:c16="http://schemas.microsoft.com/office/drawing/2014/chart" uri="{C3380CC4-5D6E-409C-BE32-E72D297353CC}">
                  <c16:uniqueId val="{0000000D-8815-4688-AFB0-C6ECD8BB7729}"/>
                </c:ext>
              </c:extLst>
            </c:dLbl>
            <c:dLbl>
              <c:idx val="7"/>
              <c:delete val="1"/>
              <c:extLst>
                <c:ext xmlns:c15="http://schemas.microsoft.com/office/drawing/2012/chart" uri="{CE6537A1-D6FC-4f65-9D91-7224C49458BB}"/>
                <c:ext xmlns:c16="http://schemas.microsoft.com/office/drawing/2014/chart" uri="{C3380CC4-5D6E-409C-BE32-E72D297353CC}">
                  <c16:uniqueId val="{0000000F-8815-4688-AFB0-C6ECD8BB772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Arial" panose="020B0604020202020204" pitchFamily="34" charset="0"/>
                    <a:ea typeface="+mn-ea"/>
                    <a:cs typeface="Arial" panose="020B0604020202020204" pitchFamily="34" charset="0"/>
                  </a:defRPr>
                </a:pPr>
                <a:endParaRPr lang="ca-ES-valencia"/>
              </a:p>
            </c:txPr>
            <c:dLblPos val="ctr"/>
            <c:showLegendKey val="0"/>
            <c:showVal val="0"/>
            <c:showCatName val="1"/>
            <c:showSerName val="0"/>
            <c:showPercent val="1"/>
            <c:showBubbleSize val="0"/>
            <c:showLeaderLines val="0"/>
            <c:extLst>
              <c:ext xmlns:c15="http://schemas.microsoft.com/office/drawing/2012/chart" uri="{CE6537A1-D6FC-4f65-9D91-7224C49458BB}"/>
            </c:extLst>
          </c:dLbls>
          <c:cat>
            <c:strRef>
              <c:f>'Menciones en medios'!$A$2:$A$9</c:f>
              <c:strCache>
                <c:ptCount val="8"/>
                <c:pt idx="0">
                  <c:v>Premsa escrita</c:v>
                </c:pt>
                <c:pt idx="1">
                  <c:v>Mitjans digitals</c:v>
                </c:pt>
                <c:pt idx="2">
                  <c:v>Ràdio</c:v>
                </c:pt>
                <c:pt idx="3">
                  <c:v>Televisió</c:v>
                </c:pt>
                <c:pt idx="4">
                  <c:v>Agències</c:v>
                </c:pt>
                <c:pt idx="5">
                  <c:v>Webs temàtiques</c:v>
                </c:pt>
                <c:pt idx="6">
                  <c:v>Organismes oficials</c:v>
                </c:pt>
                <c:pt idx="7">
                  <c:v>Altres</c:v>
                </c:pt>
              </c:strCache>
            </c:strRef>
          </c:cat>
          <c:val>
            <c:numRef>
              <c:f>'Menciones en medios'!$B$2:$B$9</c:f>
              <c:numCache>
                <c:formatCode>General</c:formatCode>
                <c:ptCount val="8"/>
                <c:pt idx="0">
                  <c:v>436</c:v>
                </c:pt>
                <c:pt idx="1">
                  <c:v>459</c:v>
                </c:pt>
                <c:pt idx="2">
                  <c:v>36</c:v>
                </c:pt>
                <c:pt idx="3">
                  <c:v>12</c:v>
                </c:pt>
                <c:pt idx="4">
                  <c:v>40</c:v>
                </c:pt>
                <c:pt idx="5">
                  <c:v>14</c:v>
                </c:pt>
                <c:pt idx="6">
                  <c:v>5</c:v>
                </c:pt>
                <c:pt idx="7">
                  <c:v>0</c:v>
                </c:pt>
              </c:numCache>
            </c:numRef>
          </c:val>
          <c:extLst>
            <c:ext xmlns:c16="http://schemas.microsoft.com/office/drawing/2014/chart" uri="{C3380CC4-5D6E-409C-BE32-E72D297353CC}">
              <c16:uniqueId val="{00000010-8815-4688-AFB0-C6ECD8BB7729}"/>
            </c:ext>
          </c:extLst>
        </c:ser>
        <c:ser>
          <c:idx val="1"/>
          <c:order val="1"/>
          <c:tx>
            <c:strRef>
              <c:f>'Menciones en medios'!$C$1</c:f>
              <c:strCache>
                <c:ptCount val="1"/>
                <c:pt idx="0">
                  <c:v>%</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2-8815-4688-AFB0-C6ECD8BB7729}"/>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4-8815-4688-AFB0-C6ECD8BB7729}"/>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6-8815-4688-AFB0-C6ECD8BB7729}"/>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8-8815-4688-AFB0-C6ECD8BB7729}"/>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A-8815-4688-AFB0-C6ECD8BB7729}"/>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C-8815-4688-AFB0-C6ECD8BB772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E-8815-4688-AFB0-C6ECD8BB772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0-8815-4688-AFB0-C6ECD8BB772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a-ES-valencia"/>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'Menciones en medios'!$A$2:$A$9</c:f>
              <c:strCache>
                <c:ptCount val="8"/>
                <c:pt idx="0">
                  <c:v>Premsa escrita</c:v>
                </c:pt>
                <c:pt idx="1">
                  <c:v>Mitjans digitals</c:v>
                </c:pt>
                <c:pt idx="2">
                  <c:v>Ràdio</c:v>
                </c:pt>
                <c:pt idx="3">
                  <c:v>Televisió</c:v>
                </c:pt>
                <c:pt idx="4">
                  <c:v>Agències</c:v>
                </c:pt>
                <c:pt idx="5">
                  <c:v>Webs temàtiques</c:v>
                </c:pt>
                <c:pt idx="6">
                  <c:v>Organismes oficials</c:v>
                </c:pt>
                <c:pt idx="7">
                  <c:v>Altres</c:v>
                </c:pt>
              </c:strCache>
            </c:strRef>
          </c:cat>
          <c:val>
            <c:numRef>
              <c:f>'Menciones en medios'!$C$2:$C$9</c:f>
              <c:numCache>
                <c:formatCode>General</c:formatCode>
                <c:ptCount val="8"/>
                <c:pt idx="0">
                  <c:v>43</c:v>
                </c:pt>
                <c:pt idx="1">
                  <c:v>46</c:v>
                </c:pt>
                <c:pt idx="2">
                  <c:v>4</c:v>
                </c:pt>
                <c:pt idx="3">
                  <c:v>1</c:v>
                </c:pt>
                <c:pt idx="4">
                  <c:v>4</c:v>
                </c:pt>
                <c:pt idx="5">
                  <c:v>1</c:v>
                </c:pt>
                <c:pt idx="6">
                  <c:v>0</c:v>
                </c:pt>
                <c:pt idx="7">
                  <c:v>1</c:v>
                </c:pt>
              </c:numCache>
            </c:numRef>
          </c:val>
          <c:extLst>
            <c:ext xmlns:c16="http://schemas.microsoft.com/office/drawing/2014/chart" uri="{C3380CC4-5D6E-409C-BE32-E72D297353CC}">
              <c16:uniqueId val="{00000021-8815-4688-AFB0-C6ECD8BB7729}"/>
            </c:ext>
          </c:extLst>
        </c:ser>
        <c:dLbls>
          <c:dLblPos val="ctr"/>
          <c:showLegendKey val="0"/>
          <c:showVal val="0"/>
          <c:showCatName val="0"/>
          <c:showSerName val="0"/>
          <c:showPercent val="1"/>
          <c:showBubbleSize val="0"/>
          <c:showLeaderLines val="0"/>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ca-ES-valencia"/>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2574-4E45-88AC-9D8440819AD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2574-4E45-88AC-9D8440819AD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2574-4E45-88AC-9D8440819ADE}"/>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2574-4E45-88AC-9D8440819ADE}"/>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2574-4E45-88AC-9D8440819ADE}"/>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B-2574-4E45-88AC-9D8440819ADE}"/>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mn-lt"/>
                      <a:ea typeface="+mn-ea"/>
                      <a:cs typeface="+mn-cs"/>
                    </a:defRPr>
                  </a:pPr>
                  <a:endParaRPr lang="ca-ES-valencia"/>
                </a:p>
              </c:txPr>
              <c:dLblPos val="outEnd"/>
              <c:showLegendKey val="0"/>
              <c:showVal val="0"/>
              <c:showCatName val="1"/>
              <c:showSerName val="0"/>
              <c:showPercent val="1"/>
              <c:showBubbleSize val="0"/>
              <c:extLst>
                <c:ext xmlns:c16="http://schemas.microsoft.com/office/drawing/2014/chart" uri="{C3380CC4-5D6E-409C-BE32-E72D297353CC}">
                  <c16:uniqueId val="{00000001-2574-4E45-88AC-9D8440819ADE}"/>
                </c:ext>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mn-lt"/>
                      <a:ea typeface="+mn-ea"/>
                      <a:cs typeface="+mn-cs"/>
                    </a:defRPr>
                  </a:pPr>
                  <a:endParaRPr lang="ca-ES-valencia"/>
                </a:p>
              </c:txPr>
              <c:dLblPos val="outEnd"/>
              <c:showLegendKey val="0"/>
              <c:showVal val="0"/>
              <c:showCatName val="1"/>
              <c:showSerName val="0"/>
              <c:showPercent val="1"/>
              <c:showBubbleSize val="0"/>
              <c:extLst>
                <c:ext xmlns:c16="http://schemas.microsoft.com/office/drawing/2014/chart" uri="{C3380CC4-5D6E-409C-BE32-E72D297353CC}">
                  <c16:uniqueId val="{00000003-2574-4E45-88AC-9D8440819ADE}"/>
                </c:ext>
              </c:extLst>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mn-lt"/>
                      <a:ea typeface="+mn-ea"/>
                      <a:cs typeface="+mn-cs"/>
                    </a:defRPr>
                  </a:pPr>
                  <a:endParaRPr lang="ca-ES-valencia"/>
                </a:p>
              </c:txPr>
              <c:dLblPos val="outEnd"/>
              <c:showLegendKey val="0"/>
              <c:showVal val="0"/>
              <c:showCatName val="1"/>
              <c:showSerName val="0"/>
              <c:showPercent val="1"/>
              <c:showBubbleSize val="0"/>
              <c:extLst>
                <c:ext xmlns:c16="http://schemas.microsoft.com/office/drawing/2014/chart" uri="{C3380CC4-5D6E-409C-BE32-E72D297353CC}">
                  <c16:uniqueId val="{00000005-2574-4E45-88AC-9D8440819ADE}"/>
                </c:ext>
              </c:extLst>
            </c:dLbl>
            <c:dLbl>
              <c:idx val="3"/>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mn-lt"/>
                      <a:ea typeface="+mn-ea"/>
                      <a:cs typeface="+mn-cs"/>
                    </a:defRPr>
                  </a:pPr>
                  <a:endParaRPr lang="ca-ES-valencia"/>
                </a:p>
              </c:txPr>
              <c:dLblPos val="outEnd"/>
              <c:showLegendKey val="0"/>
              <c:showVal val="0"/>
              <c:showCatName val="1"/>
              <c:showSerName val="0"/>
              <c:showPercent val="1"/>
              <c:showBubbleSize val="0"/>
              <c:extLst>
                <c:ext xmlns:c16="http://schemas.microsoft.com/office/drawing/2014/chart" uri="{C3380CC4-5D6E-409C-BE32-E72D297353CC}">
                  <c16:uniqueId val="{00000007-2574-4E45-88AC-9D8440819ADE}"/>
                </c:ext>
              </c:extLst>
            </c:dLbl>
            <c:dLbl>
              <c:idx val="4"/>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mn-lt"/>
                      <a:ea typeface="+mn-ea"/>
                      <a:cs typeface="+mn-cs"/>
                    </a:defRPr>
                  </a:pPr>
                  <a:endParaRPr lang="ca-ES-valencia"/>
                </a:p>
              </c:txPr>
              <c:dLblPos val="outEnd"/>
              <c:showLegendKey val="0"/>
              <c:showVal val="0"/>
              <c:showCatName val="1"/>
              <c:showSerName val="0"/>
              <c:showPercent val="1"/>
              <c:showBubbleSize val="0"/>
              <c:extLst>
                <c:ext xmlns:c16="http://schemas.microsoft.com/office/drawing/2014/chart" uri="{C3380CC4-5D6E-409C-BE32-E72D297353CC}">
                  <c16:uniqueId val="{00000009-2574-4E45-88AC-9D8440819ADE}"/>
                </c:ext>
              </c:extLst>
            </c:dLbl>
            <c:dLbl>
              <c:idx val="5"/>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mn-lt"/>
                      <a:ea typeface="+mn-ea"/>
                      <a:cs typeface="+mn-cs"/>
                    </a:defRPr>
                  </a:pPr>
                  <a:endParaRPr lang="ca-ES-valencia"/>
                </a:p>
              </c:txPr>
              <c:dLblPos val="outEnd"/>
              <c:showLegendKey val="0"/>
              <c:showVal val="0"/>
              <c:showCatName val="1"/>
              <c:showSerName val="0"/>
              <c:showPercent val="1"/>
              <c:showBubbleSize val="0"/>
              <c:extLst>
                <c:ext xmlns:c16="http://schemas.microsoft.com/office/drawing/2014/chart" uri="{C3380CC4-5D6E-409C-BE32-E72D297353CC}">
                  <c16:uniqueId val="{0000000B-2574-4E45-88AC-9D8440819ADE}"/>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'Taula-i-Grafic_7'!$A$4:$A$9</c:f>
              <c:strCache>
                <c:ptCount val="6"/>
                <c:pt idx="0">
                  <c:v>Pendents</c:v>
                </c:pt>
                <c:pt idx="1">
                  <c:v>Anàlisi</c:v>
                </c:pt>
                <c:pt idx="2">
                  <c:v>Investigació</c:v>
                </c:pt>
                <c:pt idx="3">
                  <c:v>Interrupció</c:v>
                </c:pt>
                <c:pt idx="4">
                  <c:v>Resolts</c:v>
                </c:pt>
                <c:pt idx="5">
                  <c:v>Seguiment</c:v>
                </c:pt>
              </c:strCache>
            </c:strRef>
          </c:cat>
          <c:val>
            <c:numRef>
              <c:f>'Taula-i-Grafic_7'!$L$4:$L$9</c:f>
              <c:numCache>
                <c:formatCode>General</c:formatCode>
                <c:ptCount val="6"/>
                <c:pt idx="0">
                  <c:v>162</c:v>
                </c:pt>
                <c:pt idx="1">
                  <c:v>114</c:v>
                </c:pt>
                <c:pt idx="2">
                  <c:v>70</c:v>
                </c:pt>
                <c:pt idx="3">
                  <c:v>31</c:v>
                </c:pt>
                <c:pt idx="4">
                  <c:v>551</c:v>
                </c:pt>
                <c:pt idx="5">
                  <c:v>41</c:v>
                </c:pt>
              </c:numCache>
            </c:numRef>
          </c:val>
          <c:extLst>
            <c:ext xmlns:c16="http://schemas.microsoft.com/office/drawing/2014/chart" uri="{C3380CC4-5D6E-409C-BE32-E72D297353CC}">
              <c16:uniqueId val="{0000000C-2574-4E45-88AC-9D8440819ADE}"/>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ca-ES-valencia"/>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es-ES" sz="1000"/>
              <a:t>Resolucions en fase de anàlisi</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ca-ES-valencia"/>
        </a:p>
      </c:txPr>
    </c:title>
    <c:autoTitleDeleted val="0"/>
    <c:plotArea>
      <c:layout>
        <c:manualLayout>
          <c:layoutTarget val="inner"/>
          <c:xMode val="edge"/>
          <c:yMode val="edge"/>
          <c:x val="9.2074016002154965E-2"/>
          <c:y val="0.16438767843726521"/>
          <c:w val="0.86274283085922943"/>
          <c:h val="0.6312487798529316"/>
        </c:manualLayout>
      </c:layout>
      <c:barChart>
        <c:barDir val="col"/>
        <c:grouping val="clustered"/>
        <c:varyColors val="0"/>
        <c:ser>
          <c:idx val="1"/>
          <c:order val="1"/>
          <c:tx>
            <c:strRef>
              <c:f>'Taula-i-Grafic_8'!$A$5</c:f>
              <c:strCache>
                <c:ptCount val="1"/>
                <c:pt idx="0">
                  <c:v>Acord Consell de Direcció</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('Taula-i-Grafic_8'!$B$5,'Taula-i-Grafic_8'!$D$5)</c:f>
              <c:numCache>
                <c:formatCode>General</c:formatCode>
                <c:ptCount val="2"/>
                <c:pt idx="0">
                  <c:v>0</c:v>
                </c:pt>
                <c:pt idx="1">
                  <c:v>0</c:v>
                </c:pt>
              </c:numCache>
              <c:extLst/>
            </c:numRef>
          </c:val>
          <c:extLst>
            <c:ext xmlns:c16="http://schemas.microsoft.com/office/drawing/2014/chart" uri="{C3380CC4-5D6E-409C-BE32-E72D297353CC}">
              <c16:uniqueId val="{00000000-A07C-4AAB-9559-503488B5F152}"/>
            </c:ext>
          </c:extLst>
        </c:ser>
        <c:ser>
          <c:idx val="2"/>
          <c:order val="2"/>
          <c:tx>
            <c:strRef>
              <c:f>'Taula-i-Grafic_8'!$A$6</c:f>
              <c:strCache>
                <c:ptCount val="1"/>
                <c:pt idx="0">
                  <c:v>Arxivament</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('Taula-i-Grafic_8'!$B$6,'Taula-i-Grafic_8'!$D$6)</c:f>
              <c:numCache>
                <c:formatCode>General</c:formatCode>
                <c:ptCount val="2"/>
                <c:pt idx="0">
                  <c:v>72</c:v>
                </c:pt>
                <c:pt idx="1">
                  <c:v>99</c:v>
                </c:pt>
              </c:numCache>
              <c:extLst/>
            </c:numRef>
          </c:val>
          <c:extLst>
            <c:ext xmlns:c16="http://schemas.microsoft.com/office/drawing/2014/chart" uri="{C3380CC4-5D6E-409C-BE32-E72D297353CC}">
              <c16:uniqueId val="{00000001-A07C-4AAB-9559-503488B5F152}"/>
            </c:ext>
          </c:extLst>
        </c:ser>
        <c:ser>
          <c:idx val="3"/>
          <c:order val="3"/>
          <c:tx>
            <c:strRef>
              <c:f>'Taula-i-Grafic_8'!$A$7</c:f>
              <c:strCache>
                <c:ptCount val="1"/>
                <c:pt idx="0">
                  <c:v>Inadmissió</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('Taula-i-Grafic_8'!$B$7,'Taula-i-Grafic_8'!$D$7)</c:f>
              <c:numCache>
                <c:formatCode>General</c:formatCode>
                <c:ptCount val="2"/>
                <c:pt idx="0">
                  <c:v>51</c:v>
                </c:pt>
                <c:pt idx="1">
                  <c:v>95</c:v>
                </c:pt>
              </c:numCache>
              <c:extLst/>
            </c:numRef>
          </c:val>
          <c:extLst>
            <c:ext xmlns:c16="http://schemas.microsoft.com/office/drawing/2014/chart" uri="{C3380CC4-5D6E-409C-BE32-E72D297353CC}">
              <c16:uniqueId val="{00000002-A07C-4AAB-9559-503488B5F152}"/>
            </c:ext>
          </c:extLst>
        </c:ser>
        <c:ser>
          <c:idx val="4"/>
          <c:order val="4"/>
          <c:tx>
            <c:strRef>
              <c:f>'Taula-i-Grafic_8'!$A$8</c:f>
              <c:strCache>
                <c:ptCount val="1"/>
                <c:pt idx="0">
                  <c:v>Inici d’actuacions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('Taula-i-Grafic_8'!$B$8,'Taula-i-Grafic_8'!$D$8)</c:f>
              <c:numCache>
                <c:formatCode>General</c:formatCode>
                <c:ptCount val="2"/>
                <c:pt idx="0">
                  <c:v>60</c:v>
                </c:pt>
                <c:pt idx="1">
                  <c:v>73</c:v>
                </c:pt>
              </c:numCache>
              <c:extLst/>
            </c:numRef>
          </c:val>
          <c:extLst>
            <c:ext xmlns:c16="http://schemas.microsoft.com/office/drawing/2014/chart" uri="{C3380CC4-5D6E-409C-BE32-E72D297353CC}">
              <c16:uniqueId val="{00000003-A07C-4AAB-9559-503488B5F152}"/>
            </c:ext>
          </c:extLst>
        </c:ser>
        <c:dLbls>
          <c:dLblPos val="outEnd"/>
          <c:showLegendKey val="0"/>
          <c:showVal val="1"/>
          <c:showCatName val="0"/>
          <c:showSerName val="0"/>
          <c:showPercent val="0"/>
          <c:showBubbleSize val="0"/>
        </c:dLbls>
        <c:gapWidth val="100"/>
        <c:overlap val="-24"/>
        <c:axId val="1430987087"/>
        <c:axId val="1385157839"/>
        <c:extLst>
          <c:ext xmlns:c15="http://schemas.microsoft.com/office/drawing/2012/chart" uri="{02D57815-91ED-43cb-92C2-25804820EDAC}">
            <c15:filteredBarSeries>
              <c15:ser>
                <c:idx val="0"/>
                <c:order val="0"/>
                <c:tx>
                  <c:strRef>
                    <c:extLst>
                      <c:ext uri="{02D57815-91ED-43cb-92C2-25804820EDAC}">
                        <c15:formulaRef>
                          <c15:sqref>'Taula-i-Grafic_8'!$A$4</c15:sqref>
                        </c15:formulaRef>
                      </c:ext>
                    </c:extLst>
                    <c:strCache>
                      <c:ptCount val="1"/>
                      <c:pt idx="0">
                        <c:v>ANÀLISI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cat>
                  <c:numRef>
                    <c:extLst>
                      <c:ext uri="{02D57815-91ED-43cb-92C2-25804820EDAC}">
                        <c15:formulaRef>
                          <c15:sqref>('Taula-i-Grafic_8'!$B$2:$B$3,'Taula-i-Grafic_8'!$D$2:$D$3)</c15:sqref>
                        </c15:formulaRef>
                      </c:ext>
                    </c:extLst>
                    <c:numCache>
                      <c:formatCode>General</c:formatCode>
                      <c:ptCount val="4"/>
                      <c:pt idx="0">
                        <c:v>2020</c:v>
                      </c:pt>
                      <c:pt idx="2">
                        <c:v>2021</c:v>
                      </c:pt>
                    </c:numCache>
                  </c:numRef>
                </c:cat>
                <c:val>
                  <c:numRef>
                    <c:extLst>
                      <c:ext uri="{02D57815-91ED-43cb-92C2-25804820EDAC}">
                        <c15:formulaRef>
                          <c15:sqref>('Taula-i-Grafic_8'!$B$4,'Taula-i-Grafic_8'!$D$4)</c15:sqref>
                        </c15:formulaRef>
                      </c:ext>
                    </c:extLst>
                    <c:numCache>
                      <c:formatCode>General</c:formatCode>
                      <c:ptCount val="2"/>
                    </c:numCache>
                  </c:numRef>
                </c:val>
                <c:extLst>
                  <c:ext xmlns:c16="http://schemas.microsoft.com/office/drawing/2014/chart" uri="{C3380CC4-5D6E-409C-BE32-E72D297353CC}">
                    <c16:uniqueId val="{00000004-A07C-4AAB-9559-503488B5F152}"/>
                  </c:ext>
                </c:extLst>
              </c15:ser>
            </c15:filteredBarSeries>
          </c:ext>
        </c:extLst>
      </c:barChart>
      <c:catAx>
        <c:axId val="143098708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ca-ES-valencia"/>
          </a:p>
        </c:txPr>
        <c:crossAx val="1385157839"/>
        <c:crosses val="autoZero"/>
        <c:auto val="1"/>
        <c:lblAlgn val="ctr"/>
        <c:lblOffset val="100"/>
        <c:noMultiLvlLbl val="0"/>
      </c:catAx>
      <c:valAx>
        <c:axId val="1385157839"/>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ca-ES-valencia"/>
          </a:p>
        </c:txPr>
        <c:crossAx val="1430987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ca-ES-valencia"/>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es-ES" sz="1000"/>
              <a:t>Resolucions en fase d'investigació</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ca-ES-valencia"/>
        </a:p>
      </c:txPr>
    </c:title>
    <c:autoTitleDeleted val="0"/>
    <c:plotArea>
      <c:layout>
        <c:manualLayout>
          <c:layoutTarget val="inner"/>
          <c:xMode val="edge"/>
          <c:yMode val="edge"/>
          <c:x val="7.5851689424897839E-2"/>
          <c:y val="0.12002723983826344"/>
          <c:w val="0.88933818399282372"/>
          <c:h val="0.5930721430091509"/>
        </c:manualLayout>
      </c:layout>
      <c:barChart>
        <c:barDir val="col"/>
        <c:grouping val="clustered"/>
        <c:varyColors val="0"/>
        <c:ser>
          <c:idx val="7"/>
          <c:order val="7"/>
          <c:tx>
            <c:strRef>
              <c:f>'Taula-i-Grafic_8'!$A$11</c:f>
              <c:strCache>
                <c:ptCount val="1"/>
                <c:pt idx="0">
                  <c:v>Reobertura expedients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('Taula-i-Grafic_8'!$B$11,'Taula-i-Grafic_8'!$D$11)</c:f>
              <c:numCache>
                <c:formatCode>General</c:formatCode>
                <c:ptCount val="2"/>
                <c:pt idx="0">
                  <c:v>2</c:v>
                </c:pt>
                <c:pt idx="1">
                  <c:v>1</c:v>
                </c:pt>
              </c:numCache>
              <c:extLst/>
            </c:numRef>
          </c:val>
          <c:extLst>
            <c:ext xmlns:c16="http://schemas.microsoft.com/office/drawing/2014/chart" uri="{C3380CC4-5D6E-409C-BE32-E72D297353CC}">
              <c16:uniqueId val="{00000000-97B5-4B3B-9908-D58819F98F3F}"/>
            </c:ext>
          </c:extLst>
        </c:ser>
        <c:ser>
          <c:idx val="8"/>
          <c:order val="8"/>
          <c:tx>
            <c:strRef>
              <c:f>'Taula-i-Grafic_8'!$A$12</c:f>
              <c:strCache>
                <c:ptCount val="1"/>
                <c:pt idx="0">
                  <c:v>Arxivament</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('Taula-i-Grafic_8'!$B$12,'Taula-i-Grafic_8'!$D$12)</c:f>
              <c:numCache>
                <c:formatCode>General</c:formatCode>
                <c:ptCount val="2"/>
                <c:pt idx="0">
                  <c:v>14</c:v>
                </c:pt>
                <c:pt idx="1">
                  <c:v>12</c:v>
                </c:pt>
              </c:numCache>
              <c:extLst/>
            </c:numRef>
          </c:val>
          <c:extLst>
            <c:ext xmlns:c16="http://schemas.microsoft.com/office/drawing/2014/chart" uri="{C3380CC4-5D6E-409C-BE32-E72D297353CC}">
              <c16:uniqueId val="{00000001-97B5-4B3B-9908-D58819F98F3F}"/>
            </c:ext>
          </c:extLst>
        </c:ser>
        <c:ser>
          <c:idx val="9"/>
          <c:order val="9"/>
          <c:tx>
            <c:strRef>
              <c:f>'Taula-i-Grafic_8'!$A$13</c:f>
              <c:strCache>
                <c:ptCount val="1"/>
                <c:pt idx="0">
                  <c:v>Recomanacions</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('Taula-i-Grafic_8'!$B$13,'Taula-i-Grafic_8'!$D$13)</c:f>
              <c:numCache>
                <c:formatCode>General</c:formatCode>
                <c:ptCount val="2"/>
                <c:pt idx="0">
                  <c:v>23</c:v>
                </c:pt>
                <c:pt idx="1">
                  <c:v>60</c:v>
                </c:pt>
              </c:numCache>
              <c:extLst/>
            </c:numRef>
          </c:val>
          <c:extLst>
            <c:ext xmlns:c16="http://schemas.microsoft.com/office/drawing/2014/chart" uri="{C3380CC4-5D6E-409C-BE32-E72D297353CC}">
              <c16:uniqueId val="{00000002-97B5-4B3B-9908-D58819F98F3F}"/>
            </c:ext>
          </c:extLst>
        </c:ser>
        <c:ser>
          <c:idx val="10"/>
          <c:order val="10"/>
          <c:tx>
            <c:strRef>
              <c:f>'Taula-i-Grafic_8'!$A$14</c:f>
              <c:strCache>
                <c:ptCount val="1"/>
                <c:pt idx="0">
                  <c:v>Trasllat DAJ, sancionador</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('Taula-i-Grafic_8'!$B$14,'Taula-i-Grafic_8'!$D$14)</c:f>
              <c:numCache>
                <c:formatCode>General</c:formatCode>
                <c:ptCount val="2"/>
                <c:pt idx="0">
                  <c:v>0</c:v>
                </c:pt>
                <c:pt idx="1">
                  <c:v>0</c:v>
                </c:pt>
              </c:numCache>
              <c:extLst/>
            </c:numRef>
          </c:val>
          <c:extLst>
            <c:ext xmlns:c16="http://schemas.microsoft.com/office/drawing/2014/chart" uri="{C3380CC4-5D6E-409C-BE32-E72D297353CC}">
              <c16:uniqueId val="{00000003-97B5-4B3B-9908-D58819F98F3F}"/>
            </c:ext>
          </c:extLst>
        </c:ser>
        <c:ser>
          <c:idx val="11"/>
          <c:order val="11"/>
          <c:tx>
            <c:strRef>
              <c:f>'Taula-i-Grafic_8'!$A$15</c:f>
              <c:strCache>
                <c:ptCount val="1"/>
                <c:pt idx="0">
                  <c:v>Trasllat òrgan administratiu</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('Taula-i-Grafic_8'!$B$15,'Taula-i-Grafic_8'!$D$15)</c:f>
              <c:numCache>
                <c:formatCode>General</c:formatCode>
                <c:ptCount val="2"/>
                <c:pt idx="0">
                  <c:v>0</c:v>
                </c:pt>
                <c:pt idx="1">
                  <c:v>0</c:v>
                </c:pt>
              </c:numCache>
              <c:extLst/>
            </c:numRef>
          </c:val>
          <c:extLst>
            <c:ext xmlns:c16="http://schemas.microsoft.com/office/drawing/2014/chart" uri="{C3380CC4-5D6E-409C-BE32-E72D297353CC}">
              <c16:uniqueId val="{00000004-97B5-4B3B-9908-D58819F98F3F}"/>
            </c:ext>
          </c:extLst>
        </c:ser>
        <c:ser>
          <c:idx val="12"/>
          <c:order val="12"/>
          <c:tx>
            <c:strRef>
              <c:f>'Taula-i-Grafic_8'!$A$16</c:f>
              <c:strCache>
                <c:ptCount val="1"/>
                <c:pt idx="0">
                  <c:v>Trasllat òrgan judicial</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('Taula-i-Grafic_8'!$B$16,'Taula-i-Grafic_8'!$D$16)</c:f>
              <c:numCache>
                <c:formatCode>General</c:formatCode>
                <c:ptCount val="2"/>
                <c:pt idx="0">
                  <c:v>2</c:v>
                </c:pt>
                <c:pt idx="1">
                  <c:v>3</c:v>
                </c:pt>
              </c:numCache>
              <c:extLst/>
            </c:numRef>
          </c:val>
          <c:extLst>
            <c:ext xmlns:c16="http://schemas.microsoft.com/office/drawing/2014/chart" uri="{C3380CC4-5D6E-409C-BE32-E72D297353CC}">
              <c16:uniqueId val="{00000005-97B5-4B3B-9908-D58819F98F3F}"/>
            </c:ext>
          </c:extLst>
        </c:ser>
        <c:ser>
          <c:idx val="13"/>
          <c:order val="13"/>
          <c:tx>
            <c:strRef>
              <c:f>'Taula-i-Grafic_8'!$A$17</c:f>
              <c:strCache>
                <c:ptCount val="1"/>
                <c:pt idx="0">
                  <c:v>Trasllat Tribunal de Comptes</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('Taula-i-Grafic_8'!$B$2:$B$3,'Taula-i-Grafic_8'!$D$2:$D$3)</c:f>
              <c:numCache>
                <c:formatCode>General</c:formatCode>
                <c:ptCount val="4"/>
                <c:pt idx="0">
                  <c:v>2020</c:v>
                </c:pt>
                <c:pt idx="2">
                  <c:v>2021</c:v>
                </c:pt>
              </c:numCache>
            </c:numRef>
          </c:cat>
          <c:val>
            <c:numRef>
              <c:f>('Taula-i-Grafic_8'!$B$17,'Taula-i-Grafic_8'!$D$17)</c:f>
              <c:numCache>
                <c:formatCode>General</c:formatCode>
                <c:ptCount val="2"/>
                <c:pt idx="0">
                  <c:v>4</c:v>
                </c:pt>
                <c:pt idx="1">
                  <c:v>0</c:v>
                </c:pt>
              </c:numCache>
              <c:extLst/>
            </c:numRef>
          </c:val>
          <c:extLst>
            <c:ext xmlns:c16="http://schemas.microsoft.com/office/drawing/2014/chart" uri="{C3380CC4-5D6E-409C-BE32-E72D297353CC}">
              <c16:uniqueId val="{00000006-97B5-4B3B-9908-D58819F98F3F}"/>
            </c:ext>
          </c:extLst>
        </c:ser>
        <c:dLbls>
          <c:dLblPos val="outEnd"/>
          <c:showLegendKey val="0"/>
          <c:showVal val="1"/>
          <c:showCatName val="0"/>
          <c:showSerName val="0"/>
          <c:showPercent val="0"/>
          <c:showBubbleSize val="0"/>
        </c:dLbls>
        <c:gapWidth val="100"/>
        <c:overlap val="-24"/>
        <c:axId val="1430987087"/>
        <c:axId val="1385157839"/>
        <c:extLst>
          <c:ext xmlns:c15="http://schemas.microsoft.com/office/drawing/2012/chart" uri="{02D57815-91ED-43cb-92C2-25804820EDAC}">
            <c15:filteredBarSeries>
              <c15:ser>
                <c:idx val="0"/>
                <c:order val="0"/>
                <c:tx>
                  <c:strRef>
                    <c:extLst>
                      <c:ext uri="{02D57815-91ED-43cb-92C2-25804820EDAC}">
                        <c15:formulaRef>
                          <c15:sqref>'Taula-i-Grafic_8'!$A$4</c15:sqref>
                        </c15:formulaRef>
                      </c:ext>
                    </c:extLst>
                    <c:strCache>
                      <c:ptCount val="1"/>
                      <c:pt idx="0">
                        <c:v>ANÀLISI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cat>
                  <c:numRef>
                    <c:extLst>
                      <c:ext uri="{02D57815-91ED-43cb-92C2-25804820EDAC}">
                        <c15:formulaRef>
                          <c15:sqref>('Taula-i-Grafic_8'!$B$2:$B$3,'Taula-i-Grafic_8'!$D$2:$D$3)</c15:sqref>
                        </c15:formulaRef>
                      </c:ext>
                    </c:extLst>
                    <c:numCache>
                      <c:formatCode>General</c:formatCode>
                      <c:ptCount val="4"/>
                      <c:pt idx="0">
                        <c:v>2020</c:v>
                      </c:pt>
                      <c:pt idx="2">
                        <c:v>2021</c:v>
                      </c:pt>
                    </c:numCache>
                  </c:numRef>
                </c:cat>
                <c:val>
                  <c:numRef>
                    <c:extLst>
                      <c:ext uri="{02D57815-91ED-43cb-92C2-25804820EDAC}">
                        <c15:formulaRef>
                          <c15:sqref>('Taula-i-Grafic_8'!$B$4,'Taula-i-Grafic_8'!$D$4)</c15:sqref>
                        </c15:formulaRef>
                      </c:ext>
                    </c:extLst>
                    <c:numCache>
                      <c:formatCode>General</c:formatCode>
                      <c:ptCount val="2"/>
                    </c:numCache>
                  </c:numRef>
                </c:val>
                <c:extLst>
                  <c:ext xmlns:c16="http://schemas.microsoft.com/office/drawing/2014/chart" uri="{C3380CC4-5D6E-409C-BE32-E72D297353CC}">
                    <c16:uniqueId val="{00000007-97B5-4B3B-9908-D58819F98F3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'Taula-i-Grafic_8'!$A$5</c15:sqref>
                        </c15:formulaRef>
                      </c:ext>
                    </c:extLst>
                    <c:strCache>
                      <c:ptCount val="1"/>
                      <c:pt idx="0">
                        <c:v>Acord Consell de Direcció</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('Taula-i-Grafic_8'!$B$2:$B$3,'Taula-i-Grafic_8'!$D$2:$D$3)</c15:sqref>
                        </c15:formulaRef>
                      </c:ext>
                    </c:extLst>
                    <c:numCache>
                      <c:formatCode>General</c:formatCode>
                      <c:ptCount val="4"/>
                      <c:pt idx="0">
                        <c:v>2020</c:v>
                      </c:pt>
                      <c:pt idx="2">
                        <c:v>2021</c:v>
                      </c:pt>
                    </c:numCache>
                  </c:numRef>
                </c:cat>
                <c:val>
                  <c:numRef>
                    <c:extLst xmlns:c15="http://schemas.microsoft.com/office/drawing/2012/chart">
                      <c:ext xmlns:c15="http://schemas.microsoft.com/office/drawing/2012/chart" uri="{02D57815-91ED-43cb-92C2-25804820EDAC}">
                        <c15:formulaRef>
                          <c15:sqref>('Taula-i-Grafic_8'!$B$5,'Taula-i-Grafic_8'!$D$5)</c15:sqref>
                        </c15:formulaRef>
                      </c:ext>
                    </c:extLst>
                    <c:numCache>
                      <c:formatCode>General</c:formatCode>
                      <c:ptCount val="2"/>
                      <c:pt idx="0">
                        <c:v>0</c:v>
                      </c:pt>
                      <c:pt idx="1">
                        <c:v>0</c:v>
                      </c:pt>
                    </c:numCache>
                  </c:numRef>
                </c:val>
                <c:extLst xmlns:c15="http://schemas.microsoft.com/office/drawing/2012/chart">
                  <c:ext xmlns:c16="http://schemas.microsoft.com/office/drawing/2014/chart" uri="{C3380CC4-5D6E-409C-BE32-E72D297353CC}">
                    <c16:uniqueId val="{00000008-97B5-4B3B-9908-D58819F98F3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'Taula-i-Grafic_8'!$A$6</c15:sqref>
                        </c15:formulaRef>
                      </c:ext>
                    </c:extLst>
                    <c:strCache>
                      <c:ptCount val="1"/>
                      <c:pt idx="0">
                        <c:v>Arxivament</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('Taula-i-Grafic_8'!$B$2:$B$3,'Taula-i-Grafic_8'!$D$2:$D$3)</c15:sqref>
                        </c15:formulaRef>
                      </c:ext>
                    </c:extLst>
                    <c:numCache>
                      <c:formatCode>General</c:formatCode>
                      <c:ptCount val="4"/>
                      <c:pt idx="0">
                        <c:v>2020</c:v>
                      </c:pt>
                      <c:pt idx="2">
                        <c:v>2021</c:v>
                      </c:pt>
                    </c:numCache>
                  </c:numRef>
                </c:cat>
                <c:val>
                  <c:numRef>
                    <c:extLst xmlns:c15="http://schemas.microsoft.com/office/drawing/2012/chart">
                      <c:ext xmlns:c15="http://schemas.microsoft.com/office/drawing/2012/chart" uri="{02D57815-91ED-43cb-92C2-25804820EDAC}">
                        <c15:formulaRef>
                          <c15:sqref>('Taula-i-Grafic_8'!$B$6,'Taula-i-Grafic_8'!$D$6)</c15:sqref>
                        </c15:formulaRef>
                      </c:ext>
                    </c:extLst>
                    <c:numCache>
                      <c:formatCode>General</c:formatCode>
                      <c:ptCount val="2"/>
                      <c:pt idx="0">
                        <c:v>72</c:v>
                      </c:pt>
                      <c:pt idx="1">
                        <c:v>99</c:v>
                      </c:pt>
                    </c:numCache>
                  </c:numRef>
                </c:val>
                <c:extLst xmlns:c15="http://schemas.microsoft.com/office/drawing/2012/chart">
                  <c:ext xmlns:c16="http://schemas.microsoft.com/office/drawing/2014/chart" uri="{C3380CC4-5D6E-409C-BE32-E72D297353CC}">
                    <c16:uniqueId val="{00000009-97B5-4B3B-9908-D58819F98F3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'Taula-i-Grafic_8'!$A$7</c15:sqref>
                        </c15:formulaRef>
                      </c:ext>
                    </c:extLst>
                    <c:strCache>
                      <c:ptCount val="1"/>
                      <c:pt idx="0">
                        <c:v>Inadmissió</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('Taula-i-Grafic_8'!$B$2:$B$3,'Taula-i-Grafic_8'!$D$2:$D$3)</c15:sqref>
                        </c15:formulaRef>
                      </c:ext>
                    </c:extLst>
                    <c:numCache>
                      <c:formatCode>General</c:formatCode>
                      <c:ptCount val="4"/>
                      <c:pt idx="0">
                        <c:v>2020</c:v>
                      </c:pt>
                      <c:pt idx="2">
                        <c:v>2021</c:v>
                      </c:pt>
                    </c:numCache>
                  </c:numRef>
                </c:cat>
                <c:val>
                  <c:numRef>
                    <c:extLst xmlns:c15="http://schemas.microsoft.com/office/drawing/2012/chart">
                      <c:ext xmlns:c15="http://schemas.microsoft.com/office/drawing/2012/chart" uri="{02D57815-91ED-43cb-92C2-25804820EDAC}">
                        <c15:formulaRef>
                          <c15:sqref>('Taula-i-Grafic_8'!$B$7,'Taula-i-Grafic_8'!$D$7)</c15:sqref>
                        </c15:formulaRef>
                      </c:ext>
                    </c:extLst>
                    <c:numCache>
                      <c:formatCode>General</c:formatCode>
                      <c:ptCount val="2"/>
                      <c:pt idx="0">
                        <c:v>51</c:v>
                      </c:pt>
                      <c:pt idx="1">
                        <c:v>95</c:v>
                      </c:pt>
                    </c:numCache>
                  </c:numRef>
                </c:val>
                <c:extLst xmlns:c15="http://schemas.microsoft.com/office/drawing/2012/chart">
                  <c:ext xmlns:c16="http://schemas.microsoft.com/office/drawing/2014/chart" uri="{C3380CC4-5D6E-409C-BE32-E72D297353CC}">
                    <c16:uniqueId val="{0000000A-97B5-4B3B-9908-D58819F98F3F}"/>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'Taula-i-Grafic_8'!$A$8</c15:sqref>
                        </c15:formulaRef>
                      </c:ext>
                    </c:extLst>
                    <c:strCache>
                      <c:ptCount val="1"/>
                      <c:pt idx="0">
                        <c:v>Inici d’actuacions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('Taula-i-Grafic_8'!$B$2:$B$3,'Taula-i-Grafic_8'!$D$2:$D$3)</c15:sqref>
                        </c15:formulaRef>
                      </c:ext>
                    </c:extLst>
                    <c:numCache>
                      <c:formatCode>General</c:formatCode>
                      <c:ptCount val="4"/>
                      <c:pt idx="0">
                        <c:v>2020</c:v>
                      </c:pt>
                      <c:pt idx="2">
                        <c:v>2021</c:v>
                      </c:pt>
                    </c:numCache>
                  </c:numRef>
                </c:cat>
                <c:val>
                  <c:numRef>
                    <c:extLst xmlns:c15="http://schemas.microsoft.com/office/drawing/2012/chart">
                      <c:ext xmlns:c15="http://schemas.microsoft.com/office/drawing/2012/chart" uri="{02D57815-91ED-43cb-92C2-25804820EDAC}">
                        <c15:formulaRef>
                          <c15:sqref>('Taula-i-Grafic_8'!$B$8,'Taula-i-Grafic_8'!$D$8)</c15:sqref>
                        </c15:formulaRef>
                      </c:ext>
                    </c:extLst>
                    <c:numCache>
                      <c:formatCode>General</c:formatCode>
                      <c:ptCount val="2"/>
                      <c:pt idx="0">
                        <c:v>60</c:v>
                      </c:pt>
                      <c:pt idx="1">
                        <c:v>73</c:v>
                      </c:pt>
                    </c:numCache>
                  </c:numRef>
                </c:val>
                <c:extLst xmlns:c15="http://schemas.microsoft.com/office/drawing/2012/chart">
                  <c:ext xmlns:c16="http://schemas.microsoft.com/office/drawing/2014/chart" uri="{C3380CC4-5D6E-409C-BE32-E72D297353CC}">
                    <c16:uniqueId val="{0000000B-97B5-4B3B-9908-D58819F98F3F}"/>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'Taula-i-Grafic_8'!$A$9</c15:sqref>
                        </c15:formulaRef>
                      </c:ext>
                    </c:extLst>
                    <c:strCache>
                      <c:ptCount val="1"/>
                      <c:pt idx="0">
                        <c:v>Subtotal</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('Taula-i-Grafic_8'!$B$2:$B$3,'Taula-i-Grafic_8'!$D$2:$D$3)</c15:sqref>
                        </c15:formulaRef>
                      </c:ext>
                    </c:extLst>
                    <c:numCache>
                      <c:formatCode>General</c:formatCode>
                      <c:ptCount val="4"/>
                      <c:pt idx="0">
                        <c:v>2020</c:v>
                      </c:pt>
                      <c:pt idx="2">
                        <c:v>2021</c:v>
                      </c:pt>
                    </c:numCache>
                  </c:numRef>
                </c:cat>
                <c:val>
                  <c:numRef>
                    <c:extLst xmlns:c15="http://schemas.microsoft.com/office/drawing/2012/chart">
                      <c:ext xmlns:c15="http://schemas.microsoft.com/office/drawing/2012/chart" uri="{02D57815-91ED-43cb-92C2-25804820EDAC}">
                        <c15:formulaRef>
                          <c15:sqref>('Taula-i-Grafic_8'!$B$9,'Taula-i-Grafic_8'!$D$9)</c15:sqref>
                        </c15:formulaRef>
                      </c:ext>
                    </c:extLst>
                    <c:numCache>
                      <c:formatCode>General</c:formatCode>
                      <c:ptCount val="2"/>
                      <c:pt idx="0">
                        <c:v>183</c:v>
                      </c:pt>
                      <c:pt idx="1">
                        <c:v>267</c:v>
                      </c:pt>
                    </c:numCache>
                  </c:numRef>
                </c:val>
                <c:extLst xmlns:c15="http://schemas.microsoft.com/office/drawing/2012/chart">
                  <c:ext xmlns:c16="http://schemas.microsoft.com/office/drawing/2014/chart" uri="{C3380CC4-5D6E-409C-BE32-E72D297353CC}">
                    <c16:uniqueId val="{0000000C-97B5-4B3B-9908-D58819F98F3F}"/>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'Taula-i-Grafic_8'!$A$10</c15:sqref>
                        </c15:formulaRef>
                      </c:ext>
                    </c:extLst>
                    <c:strCache>
                      <c:ptCount val="1"/>
                      <c:pt idx="0">
                        <c:v>INVESTIGACIÓ</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a-ES-valencia"/>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('Taula-i-Grafic_8'!$B$2:$B$3,'Taula-i-Grafic_8'!$D$2:$D$3)</c15:sqref>
                        </c15:formulaRef>
                      </c:ext>
                    </c:extLst>
                    <c:numCache>
                      <c:formatCode>General</c:formatCode>
                      <c:ptCount val="4"/>
                      <c:pt idx="0">
                        <c:v>2020</c:v>
                      </c:pt>
                      <c:pt idx="2">
                        <c:v>2021</c:v>
                      </c:pt>
                    </c:numCache>
                  </c:numRef>
                </c:cat>
                <c:val>
                  <c:numRef>
                    <c:extLst xmlns:c15="http://schemas.microsoft.com/office/drawing/2012/chart">
                      <c:ext xmlns:c15="http://schemas.microsoft.com/office/drawing/2012/chart" uri="{02D57815-91ED-43cb-92C2-25804820EDAC}">
                        <c15:formulaRef>
                          <c15:sqref>('Taula-i-Grafic_8'!$B$10,'Taula-i-Grafic_8'!$D$10)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D-97B5-4B3B-9908-D58819F98F3F}"/>
                  </c:ext>
                </c:extLst>
              </c15:ser>
            </c15:filteredBarSeries>
          </c:ext>
        </c:extLst>
      </c:barChart>
      <c:catAx>
        <c:axId val="143098708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ca-ES-valencia"/>
          </a:p>
        </c:txPr>
        <c:crossAx val="1385157839"/>
        <c:crosses val="autoZero"/>
        <c:auto val="1"/>
        <c:lblAlgn val="ctr"/>
        <c:lblOffset val="100"/>
        <c:noMultiLvlLbl val="0"/>
      </c:catAx>
      <c:valAx>
        <c:axId val="1385157839"/>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ca-ES-valencia"/>
          </a:p>
        </c:txPr>
        <c:crossAx val="1430987087"/>
        <c:crosses val="autoZero"/>
        <c:crossBetween val="between"/>
      </c:valAx>
      <c:spPr>
        <a:noFill/>
        <a:ln>
          <a:noFill/>
        </a:ln>
        <a:effectLst/>
      </c:spPr>
    </c:plotArea>
    <c:legend>
      <c:legendPos val="b"/>
      <c:layout>
        <c:manualLayout>
          <c:xMode val="edge"/>
          <c:yMode val="edge"/>
          <c:x val="7.6672231635602509E-2"/>
          <c:y val="0.80065758672057885"/>
          <c:w val="0.84665528755108144"/>
          <c:h val="0.1669099808469887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ca-ES-valencia"/>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es-ES" sz="1800" b="1" strike="noStrike" spc="-1">
                <a:solidFill>
                  <a:srgbClr val="000000"/>
                </a:solidFill>
                <a:latin typeface="Calibri"/>
              </a:defRPr>
            </a:pPr>
            <a:r>
              <a:rPr lang="es-ES" sz="1100" b="1" strike="noStrike" spc="-1">
                <a:solidFill>
                  <a:srgbClr val="000000"/>
                </a:solidFill>
                <a:latin typeface="Arial" panose="020B0604020202020204" pitchFamily="34" charset="0"/>
                <a:cs typeface="Arial" panose="020B0604020202020204" pitchFamily="34" charset="0"/>
              </a:rPr>
              <a:t>Llocs de treball</a:t>
            </a:r>
            <a:r>
              <a:rPr lang="es-ES" sz="1100" b="1" strike="noStrike" spc="-1" baseline="0">
                <a:solidFill>
                  <a:srgbClr val="000000"/>
                </a:solidFill>
                <a:latin typeface="Arial" panose="020B0604020202020204" pitchFamily="34" charset="0"/>
                <a:cs typeface="Arial" panose="020B0604020202020204" pitchFamily="34" charset="0"/>
              </a:rPr>
              <a:t> per unitat administrativa segons la RPT</a:t>
            </a:r>
            <a:endParaRPr lang="es-ES" sz="1100" b="1" strike="noStrike" spc="-1">
              <a:solidFill>
                <a:srgbClr val="000000"/>
              </a:solidFill>
              <a:latin typeface="Arial" panose="020B0604020202020204" pitchFamily="34" charset="0"/>
              <a:cs typeface="Arial" panose="020B0604020202020204" pitchFamily="34" charset="0"/>
            </a:endParaRPr>
          </a:p>
        </c:rich>
      </c:tx>
      <c:overlay val="0"/>
    </c:title>
    <c:autoTitleDeleted val="0"/>
    <c:plotArea>
      <c:layout/>
      <c:lineChart>
        <c:grouping val="stacked"/>
        <c:varyColors val="0"/>
        <c:ser>
          <c:idx val="0"/>
          <c:order val="0"/>
          <c:tx>
            <c:strRef>
              <c:f>Areas!$A$2</c:f>
              <c:strCache>
                <c:ptCount val="1"/>
                <c:pt idx="0">
                  <c:v>Gabinet de Relacions Institucionals, Comunicació i Participació</c:v>
                </c:pt>
              </c:strCache>
            </c:strRef>
          </c:tx>
          <c:spPr>
            <a:ln w="28440">
              <a:solidFill>
                <a:srgbClr val="903836"/>
              </a:solidFill>
              <a:round/>
            </a:ln>
          </c:spPr>
          <c:marker>
            <c:symbol val="diamond"/>
            <c:size val="5"/>
            <c:spPr>
              <a:solidFill>
                <a:srgbClr val="903836"/>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Areas!$B$2:$F$2</c:f>
              <c:numCache>
                <c:formatCode>General</c:formatCode>
                <c:ptCount val="5"/>
                <c:pt idx="0">
                  <c:v>2</c:v>
                </c:pt>
                <c:pt idx="1">
                  <c:v>2</c:v>
                </c:pt>
                <c:pt idx="2">
                  <c:v>3</c:v>
                </c:pt>
                <c:pt idx="3">
                  <c:v>4</c:v>
                </c:pt>
                <c:pt idx="4">
                  <c:v>4</c:v>
                </c:pt>
              </c:numCache>
            </c:numRef>
          </c:val>
          <c:smooth val="0"/>
          <c:extLst>
            <c:ext xmlns:c16="http://schemas.microsoft.com/office/drawing/2014/chart" uri="{C3380CC4-5D6E-409C-BE32-E72D297353CC}">
              <c16:uniqueId val="{00000000-EE03-4F93-8E61-CFDE50B8DC99}"/>
            </c:ext>
          </c:extLst>
        </c:ser>
        <c:ser>
          <c:idx val="1"/>
          <c:order val="1"/>
          <c:tx>
            <c:strRef>
              <c:f>Areas!$A$3</c:f>
              <c:strCache>
                <c:ptCount val="1"/>
                <c:pt idx="0">
                  <c:v>Administració, Recursos Humans i Gestió Económica</c:v>
                </c:pt>
              </c:strCache>
            </c:strRef>
          </c:tx>
          <c:spPr>
            <a:ln w="28440">
              <a:solidFill>
                <a:srgbClr val="AA433F"/>
              </a:solidFill>
              <a:round/>
            </a:ln>
          </c:spPr>
          <c:marker>
            <c:symbol val="square"/>
            <c:size val="5"/>
            <c:spPr>
              <a:solidFill>
                <a:srgbClr val="AA433F"/>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Areas!$B$3:$F$3</c:f>
              <c:numCache>
                <c:formatCode>General</c:formatCode>
                <c:ptCount val="5"/>
                <c:pt idx="0">
                  <c:v>5</c:v>
                </c:pt>
                <c:pt idx="1">
                  <c:v>6</c:v>
                </c:pt>
                <c:pt idx="2">
                  <c:v>7</c:v>
                </c:pt>
                <c:pt idx="3">
                  <c:v>8</c:v>
                </c:pt>
                <c:pt idx="4">
                  <c:v>8</c:v>
                </c:pt>
              </c:numCache>
            </c:numRef>
          </c:val>
          <c:smooth val="0"/>
          <c:extLst>
            <c:ext xmlns:c16="http://schemas.microsoft.com/office/drawing/2014/chart" uri="{C3380CC4-5D6E-409C-BE32-E72D297353CC}">
              <c16:uniqueId val="{00000001-EE03-4F93-8E61-CFDE50B8DC99}"/>
            </c:ext>
          </c:extLst>
        </c:ser>
        <c:ser>
          <c:idx val="2"/>
          <c:order val="2"/>
          <c:tx>
            <c:strRef>
              <c:f>Areas!$A$4</c:f>
              <c:strCache>
                <c:ptCount val="1"/>
                <c:pt idx="0">
                  <c:v>Direcció d´Análisi i Investigació</c:v>
                </c:pt>
              </c:strCache>
            </c:strRef>
          </c:tx>
          <c:spPr>
            <a:ln w="28440">
              <a:solidFill>
                <a:srgbClr val="BE4B48"/>
              </a:solidFill>
              <a:round/>
            </a:ln>
          </c:spPr>
          <c:marker>
            <c:symbol val="square"/>
            <c:size val="5"/>
            <c:spPr>
              <a:solidFill>
                <a:srgbClr val="BE4B48"/>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Areas!$B$4:$F$4</c:f>
              <c:numCache>
                <c:formatCode>General</c:formatCode>
                <c:ptCount val="5"/>
                <c:pt idx="0">
                  <c:v>17</c:v>
                </c:pt>
                <c:pt idx="1">
                  <c:v>16</c:v>
                </c:pt>
                <c:pt idx="2">
                  <c:v>14</c:v>
                </c:pt>
                <c:pt idx="3">
                  <c:v>15</c:v>
                </c:pt>
                <c:pt idx="4">
                  <c:v>15</c:v>
                </c:pt>
              </c:numCache>
            </c:numRef>
          </c:val>
          <c:smooth val="0"/>
          <c:extLst>
            <c:ext xmlns:c16="http://schemas.microsoft.com/office/drawing/2014/chart" uri="{C3380CC4-5D6E-409C-BE32-E72D297353CC}">
              <c16:uniqueId val="{00000002-EE03-4F93-8E61-CFDE50B8DC99}"/>
            </c:ext>
          </c:extLst>
        </c:ser>
        <c:ser>
          <c:idx val="3"/>
          <c:order val="3"/>
          <c:tx>
            <c:strRef>
              <c:f>Areas!$A$5</c:f>
              <c:strCache>
                <c:ptCount val="1"/>
                <c:pt idx="0">
                  <c:v>Direcció de Prevenció, Formació i Documentació</c:v>
                </c:pt>
              </c:strCache>
            </c:strRef>
          </c:tx>
          <c:spPr>
            <a:ln w="28440">
              <a:solidFill>
                <a:srgbClr val="CC8F8E"/>
              </a:solidFill>
              <a:round/>
            </a:ln>
          </c:spPr>
          <c:marker>
            <c:symbol val="x"/>
            <c:size val="5"/>
            <c:spPr>
              <a:solidFill>
                <a:srgbClr val="CC8F8E"/>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Areas!$B$5:$F$5</c:f>
              <c:numCache>
                <c:formatCode>General</c:formatCode>
                <c:ptCount val="5"/>
                <c:pt idx="0">
                  <c:v>4</c:v>
                </c:pt>
                <c:pt idx="1">
                  <c:v>4</c:v>
                </c:pt>
                <c:pt idx="2">
                  <c:v>8</c:v>
                </c:pt>
                <c:pt idx="3">
                  <c:v>12</c:v>
                </c:pt>
                <c:pt idx="4">
                  <c:v>12</c:v>
                </c:pt>
              </c:numCache>
            </c:numRef>
          </c:val>
          <c:smooth val="0"/>
          <c:extLst>
            <c:ext xmlns:c16="http://schemas.microsoft.com/office/drawing/2014/chart" uri="{C3380CC4-5D6E-409C-BE32-E72D297353CC}">
              <c16:uniqueId val="{00000003-EE03-4F93-8E61-CFDE50B8DC99}"/>
            </c:ext>
          </c:extLst>
        </c:ser>
        <c:ser>
          <c:idx val="4"/>
          <c:order val="4"/>
          <c:tx>
            <c:strRef>
              <c:f>Areas!$A$6</c:f>
              <c:strCache>
                <c:ptCount val="1"/>
                <c:pt idx="0">
                  <c:v>Direcció d´ Assumptes Jurídics</c:v>
                </c:pt>
              </c:strCache>
            </c:strRef>
          </c:tx>
          <c:spPr>
            <a:ln w="28440">
              <a:solidFill>
                <a:srgbClr val="DCB7B6"/>
              </a:solidFill>
              <a:round/>
            </a:ln>
          </c:spPr>
          <c:marker>
            <c:symbol val="square"/>
            <c:size val="5"/>
            <c:spPr>
              <a:solidFill>
                <a:srgbClr val="DCB7B6"/>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Areas!$B$6:$F$6</c:f>
              <c:numCache>
                <c:formatCode>General</c:formatCode>
                <c:ptCount val="5"/>
                <c:pt idx="0">
                  <c:v>5</c:v>
                </c:pt>
                <c:pt idx="1">
                  <c:v>4</c:v>
                </c:pt>
                <c:pt idx="2">
                  <c:v>5</c:v>
                </c:pt>
                <c:pt idx="3">
                  <c:v>8</c:v>
                </c:pt>
                <c:pt idx="4">
                  <c:v>8</c:v>
                </c:pt>
              </c:numCache>
            </c:numRef>
          </c:val>
          <c:smooth val="0"/>
          <c:extLst>
            <c:ext xmlns:c16="http://schemas.microsoft.com/office/drawing/2014/chart" uri="{C3380CC4-5D6E-409C-BE32-E72D297353CC}">
              <c16:uniqueId val="{00000004-EE03-4F93-8E61-CFDE50B8DC99}"/>
            </c:ext>
          </c:extLst>
        </c:ser>
        <c:dLbls>
          <c:showLegendKey val="0"/>
          <c:showVal val="0"/>
          <c:showCatName val="0"/>
          <c:showSerName val="0"/>
          <c:showPercent val="0"/>
          <c:showBubbleSize val="0"/>
        </c:dLbls>
        <c:hiLowLines>
          <c:spPr>
            <a:ln>
              <a:noFill/>
            </a:ln>
          </c:spPr>
        </c:hiLowLines>
        <c:marker val="1"/>
        <c:smooth val="0"/>
        <c:axId val="196653824"/>
        <c:axId val="196655360"/>
      </c:lineChart>
      <c:catAx>
        <c:axId val="196653824"/>
        <c:scaling>
          <c:orientation val="minMax"/>
        </c:scaling>
        <c:delete val="0"/>
        <c:axPos val="b"/>
        <c:numFmt formatCode="General" sourceLinked="1"/>
        <c:majorTickMark val="none"/>
        <c:minorTickMark val="none"/>
        <c:tickLblPos val="low"/>
        <c:spPr>
          <a:ln w="9360">
            <a:solidFill>
              <a:srgbClr val="878787"/>
            </a:solidFill>
            <a:round/>
          </a:ln>
        </c:spPr>
        <c:txPr>
          <a:bodyPr/>
          <a:lstStyle/>
          <a:p>
            <a:pPr>
              <a:defRPr lang="es-ES" sz="1000" b="0" strike="noStrike" spc="-1">
                <a:solidFill>
                  <a:srgbClr val="000000"/>
                </a:solidFill>
                <a:latin typeface="Calibri"/>
              </a:defRPr>
            </a:pPr>
            <a:endParaRPr lang="ca-ES-valencia"/>
          </a:p>
        </c:txPr>
        <c:crossAx val="196655360"/>
        <c:crossesAt val="0"/>
        <c:auto val="1"/>
        <c:lblAlgn val="ctr"/>
        <c:lblOffset val="100"/>
        <c:noMultiLvlLbl val="1"/>
      </c:catAx>
      <c:valAx>
        <c:axId val="196655360"/>
        <c:scaling>
          <c:orientation val="minMax"/>
        </c:scaling>
        <c:delete val="0"/>
        <c:axPos val="l"/>
        <c:majorGridlines>
          <c:spPr>
            <a:ln w="9360">
              <a:solidFill>
                <a:srgbClr val="878787"/>
              </a:solidFill>
              <a:round/>
            </a:ln>
          </c:spPr>
        </c:majorGridlines>
        <c:numFmt formatCode="General" sourceLinked="0"/>
        <c:majorTickMark val="none"/>
        <c:minorTickMark val="none"/>
        <c:tickLblPos val="nextTo"/>
        <c:spPr>
          <a:ln w="9360">
            <a:solidFill>
              <a:srgbClr val="878787"/>
            </a:solidFill>
            <a:round/>
          </a:ln>
        </c:spPr>
        <c:txPr>
          <a:bodyPr/>
          <a:lstStyle/>
          <a:p>
            <a:pPr>
              <a:defRPr lang="es-ES" sz="1000" b="0" strike="noStrike" spc="-1">
                <a:solidFill>
                  <a:srgbClr val="000000"/>
                </a:solidFill>
                <a:latin typeface="Calibri"/>
              </a:defRPr>
            </a:pPr>
            <a:endParaRPr lang="ca-ES-valencia"/>
          </a:p>
        </c:txPr>
        <c:crossAx val="196653824"/>
        <c:crosses val="min"/>
        <c:crossBetween val="midCat"/>
      </c:valAx>
      <c:spPr>
        <a:solidFill>
          <a:srgbClr val="FFFFFF"/>
        </a:solidFill>
        <a:ln>
          <a:noFill/>
        </a:ln>
      </c:spPr>
    </c:plotArea>
    <c:legend>
      <c:legendPos val="r"/>
      <c:layout>
        <c:manualLayout>
          <c:xMode val="edge"/>
          <c:yMode val="edge"/>
          <c:x val="0.64550021851689987"/>
          <c:y val="0.14463804258159804"/>
          <c:w val="0.34038877489796371"/>
          <c:h val="0.82910705237180293"/>
        </c:manualLayout>
      </c:layout>
      <c:overlay val="0"/>
      <c:spPr>
        <a:noFill/>
        <a:ln>
          <a:noFill/>
        </a:ln>
      </c:spPr>
      <c:txPr>
        <a:bodyPr/>
        <a:lstStyle/>
        <a:p>
          <a:pPr>
            <a:defRPr lang="es-ES" sz="1000" b="0" strike="noStrike" spc="-1">
              <a:solidFill>
                <a:srgbClr val="000000"/>
              </a:solidFill>
              <a:latin typeface="Calibri"/>
            </a:defRPr>
          </a:pPr>
          <a:endParaRPr lang="ca-ES-valencia"/>
        </a:p>
      </c:txPr>
    </c:legend>
    <c:plotVisOnly val="0"/>
    <c:dispBlanksAs val="gap"/>
    <c:showDLblsOverMax val="1"/>
  </c:chart>
  <c:spPr>
    <a:solidFill>
      <a:srgbClr val="FFFFFF"/>
    </a:solidFill>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es-ES" sz="1100" b="1" strike="noStrike" spc="-1">
                <a:solidFill>
                  <a:srgbClr val="000000"/>
                </a:solidFill>
                <a:latin typeface="Arial" panose="020B0604020202020204" pitchFamily="34" charset="0"/>
                <a:cs typeface="Arial" panose="020B0604020202020204" pitchFamily="34" charset="0"/>
              </a:defRPr>
            </a:pPr>
            <a:r>
              <a:rPr lang="es-ES" sz="1100" b="1" strike="noStrike" spc="-1">
                <a:solidFill>
                  <a:srgbClr val="000000"/>
                </a:solidFill>
                <a:latin typeface="Arial" panose="020B0604020202020204" pitchFamily="34" charset="0"/>
                <a:cs typeface="Arial" panose="020B0604020202020204" pitchFamily="34" charset="0"/>
              </a:rPr>
              <a:t>Llocs</a:t>
            </a:r>
            <a:r>
              <a:rPr lang="es-ES" sz="1100" b="1" strike="noStrike" spc="-1" baseline="0">
                <a:solidFill>
                  <a:srgbClr val="000000"/>
                </a:solidFill>
                <a:latin typeface="Arial" panose="020B0604020202020204" pitchFamily="34" charset="0"/>
                <a:cs typeface="Arial" panose="020B0604020202020204" pitchFamily="34" charset="0"/>
              </a:rPr>
              <a:t> de treball per unitat administrativa ocupats </a:t>
            </a:r>
          </a:p>
          <a:p>
            <a:pPr>
              <a:defRPr lang="es-ES" sz="1100" b="1" strike="noStrike" spc="-1">
                <a:solidFill>
                  <a:srgbClr val="000000"/>
                </a:solidFill>
                <a:latin typeface="Arial" panose="020B0604020202020204" pitchFamily="34" charset="0"/>
                <a:cs typeface="Arial" panose="020B0604020202020204" pitchFamily="34" charset="0"/>
              </a:defRPr>
            </a:pPr>
            <a:r>
              <a:rPr lang="es-ES" sz="1100" b="1" strike="noStrike" spc="-1" baseline="0">
                <a:solidFill>
                  <a:srgbClr val="000000"/>
                </a:solidFill>
                <a:latin typeface="Arial" panose="020B0604020202020204" pitchFamily="34" charset="0"/>
                <a:cs typeface="Arial" panose="020B0604020202020204" pitchFamily="34" charset="0"/>
              </a:rPr>
              <a:t>a 31 de desembre </a:t>
            </a:r>
            <a:endParaRPr lang="es-ES" sz="1100" b="1" strike="noStrike" spc="-1">
              <a:solidFill>
                <a:srgbClr val="000000"/>
              </a:solidFill>
              <a:latin typeface="Arial" panose="020B0604020202020204" pitchFamily="34" charset="0"/>
              <a:cs typeface="Arial" panose="020B0604020202020204" pitchFamily="34" charset="0"/>
            </a:endParaRPr>
          </a:p>
        </c:rich>
      </c:tx>
      <c:overlay val="0"/>
    </c:title>
    <c:autoTitleDeleted val="0"/>
    <c:plotArea>
      <c:layout/>
      <c:lineChart>
        <c:grouping val="stacked"/>
        <c:varyColors val="0"/>
        <c:ser>
          <c:idx val="0"/>
          <c:order val="0"/>
          <c:tx>
            <c:strRef>
              <c:f>Areas!$A$2</c:f>
              <c:strCache>
                <c:ptCount val="1"/>
                <c:pt idx="0">
                  <c:v>Gabinet de  Relacions Institucionals, Comunicació i Participació</c:v>
                </c:pt>
              </c:strCache>
            </c:strRef>
          </c:tx>
          <c:spPr>
            <a:ln w="28440">
              <a:solidFill>
                <a:srgbClr val="903836"/>
              </a:solidFill>
              <a:round/>
            </a:ln>
          </c:spPr>
          <c:marker>
            <c:symbol val="diamond"/>
            <c:size val="5"/>
            <c:spPr>
              <a:solidFill>
                <a:srgbClr val="903836"/>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Areas!$B$2:$F$2</c:f>
              <c:numCache>
                <c:formatCode>General</c:formatCode>
                <c:ptCount val="5"/>
                <c:pt idx="0">
                  <c:v>1</c:v>
                </c:pt>
                <c:pt idx="1">
                  <c:v>2</c:v>
                </c:pt>
                <c:pt idx="2">
                  <c:v>3</c:v>
                </c:pt>
                <c:pt idx="3">
                  <c:v>3</c:v>
                </c:pt>
                <c:pt idx="4">
                  <c:v>3</c:v>
                </c:pt>
              </c:numCache>
            </c:numRef>
          </c:val>
          <c:smooth val="0"/>
          <c:extLst>
            <c:ext xmlns:c16="http://schemas.microsoft.com/office/drawing/2014/chart" uri="{C3380CC4-5D6E-409C-BE32-E72D297353CC}">
              <c16:uniqueId val="{00000000-98BE-44E7-89E3-46DE7FC6EEAF}"/>
            </c:ext>
          </c:extLst>
        </c:ser>
        <c:ser>
          <c:idx val="1"/>
          <c:order val="1"/>
          <c:tx>
            <c:strRef>
              <c:f>Areas!$A$3</c:f>
              <c:strCache>
                <c:ptCount val="1"/>
                <c:pt idx="0">
                  <c:v>Administració, Recursos Humans i Gestió Econòmica</c:v>
                </c:pt>
              </c:strCache>
            </c:strRef>
          </c:tx>
          <c:spPr>
            <a:ln w="28440">
              <a:solidFill>
                <a:srgbClr val="AA433F"/>
              </a:solidFill>
              <a:round/>
            </a:ln>
          </c:spPr>
          <c:marker>
            <c:symbol val="square"/>
            <c:size val="5"/>
            <c:spPr>
              <a:solidFill>
                <a:srgbClr val="AA433F"/>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Areas!$B$3:$F$3</c:f>
              <c:numCache>
                <c:formatCode>General</c:formatCode>
                <c:ptCount val="5"/>
                <c:pt idx="0">
                  <c:v>3</c:v>
                </c:pt>
                <c:pt idx="1">
                  <c:v>6</c:v>
                </c:pt>
                <c:pt idx="2">
                  <c:v>7</c:v>
                </c:pt>
                <c:pt idx="3">
                  <c:v>6</c:v>
                </c:pt>
                <c:pt idx="4">
                  <c:v>6</c:v>
                </c:pt>
              </c:numCache>
            </c:numRef>
          </c:val>
          <c:smooth val="0"/>
          <c:extLst>
            <c:ext xmlns:c16="http://schemas.microsoft.com/office/drawing/2014/chart" uri="{C3380CC4-5D6E-409C-BE32-E72D297353CC}">
              <c16:uniqueId val="{00000001-98BE-44E7-89E3-46DE7FC6EEAF}"/>
            </c:ext>
          </c:extLst>
        </c:ser>
        <c:ser>
          <c:idx val="2"/>
          <c:order val="2"/>
          <c:tx>
            <c:strRef>
              <c:f>Areas!$A$4</c:f>
              <c:strCache>
                <c:ptCount val="1"/>
                <c:pt idx="0">
                  <c:v>Direcció d´Anàlisi i Investigació</c:v>
                </c:pt>
              </c:strCache>
            </c:strRef>
          </c:tx>
          <c:spPr>
            <a:ln w="28440">
              <a:solidFill>
                <a:srgbClr val="BE4B48"/>
              </a:solidFill>
              <a:round/>
            </a:ln>
          </c:spPr>
          <c:marker>
            <c:symbol val="square"/>
            <c:size val="5"/>
            <c:spPr>
              <a:solidFill>
                <a:srgbClr val="BE4B48"/>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Areas!$B$4:$F$4</c:f>
              <c:numCache>
                <c:formatCode>General</c:formatCode>
                <c:ptCount val="5"/>
                <c:pt idx="0">
                  <c:v>2</c:v>
                </c:pt>
                <c:pt idx="1">
                  <c:v>10</c:v>
                </c:pt>
                <c:pt idx="2">
                  <c:v>11</c:v>
                </c:pt>
                <c:pt idx="3">
                  <c:v>13</c:v>
                </c:pt>
                <c:pt idx="4">
                  <c:v>11</c:v>
                </c:pt>
              </c:numCache>
            </c:numRef>
          </c:val>
          <c:smooth val="0"/>
          <c:extLst>
            <c:ext xmlns:c16="http://schemas.microsoft.com/office/drawing/2014/chart" uri="{C3380CC4-5D6E-409C-BE32-E72D297353CC}">
              <c16:uniqueId val="{00000002-98BE-44E7-89E3-46DE7FC6EEAF}"/>
            </c:ext>
          </c:extLst>
        </c:ser>
        <c:ser>
          <c:idx val="3"/>
          <c:order val="3"/>
          <c:tx>
            <c:strRef>
              <c:f>Areas!$A$5</c:f>
              <c:strCache>
                <c:ptCount val="1"/>
                <c:pt idx="0">
                  <c:v>Direcció de Prevenció, Formacin i Documentació</c:v>
                </c:pt>
              </c:strCache>
            </c:strRef>
          </c:tx>
          <c:spPr>
            <a:ln w="28440">
              <a:solidFill>
                <a:srgbClr val="CC8F8E"/>
              </a:solidFill>
              <a:round/>
            </a:ln>
          </c:spPr>
          <c:marker>
            <c:symbol val="x"/>
            <c:size val="5"/>
            <c:spPr>
              <a:solidFill>
                <a:srgbClr val="CC8F8E"/>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Areas!$B$5:$F$5</c:f>
              <c:numCache>
                <c:formatCode>General</c:formatCode>
                <c:ptCount val="5"/>
                <c:pt idx="0">
                  <c:v>0</c:v>
                </c:pt>
                <c:pt idx="1">
                  <c:v>2</c:v>
                </c:pt>
                <c:pt idx="2">
                  <c:v>6</c:v>
                </c:pt>
                <c:pt idx="3">
                  <c:v>8</c:v>
                </c:pt>
                <c:pt idx="4">
                  <c:v>9</c:v>
                </c:pt>
              </c:numCache>
            </c:numRef>
          </c:val>
          <c:smooth val="0"/>
          <c:extLst>
            <c:ext xmlns:c16="http://schemas.microsoft.com/office/drawing/2014/chart" uri="{C3380CC4-5D6E-409C-BE32-E72D297353CC}">
              <c16:uniqueId val="{00000003-98BE-44E7-89E3-46DE7FC6EEAF}"/>
            </c:ext>
          </c:extLst>
        </c:ser>
        <c:ser>
          <c:idx val="4"/>
          <c:order val="4"/>
          <c:tx>
            <c:strRef>
              <c:f>Areas!$A$6</c:f>
              <c:strCache>
                <c:ptCount val="1"/>
                <c:pt idx="0">
                  <c:v>Direcció d´ Assumptes Jurídics</c:v>
                </c:pt>
              </c:strCache>
            </c:strRef>
          </c:tx>
          <c:spPr>
            <a:ln w="28440">
              <a:solidFill>
                <a:srgbClr val="DCB7B6"/>
              </a:solidFill>
              <a:round/>
            </a:ln>
          </c:spPr>
          <c:marker>
            <c:symbol val="square"/>
            <c:size val="5"/>
            <c:spPr>
              <a:solidFill>
                <a:srgbClr val="DCB7B6"/>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Areas!$B$6:$F$6</c:f>
              <c:numCache>
                <c:formatCode>General</c:formatCode>
                <c:ptCount val="5"/>
                <c:pt idx="0">
                  <c:v>1</c:v>
                </c:pt>
                <c:pt idx="1">
                  <c:v>4</c:v>
                </c:pt>
                <c:pt idx="2">
                  <c:v>4</c:v>
                </c:pt>
                <c:pt idx="3">
                  <c:v>6</c:v>
                </c:pt>
                <c:pt idx="4">
                  <c:v>7</c:v>
                </c:pt>
              </c:numCache>
            </c:numRef>
          </c:val>
          <c:smooth val="0"/>
          <c:extLst>
            <c:ext xmlns:c16="http://schemas.microsoft.com/office/drawing/2014/chart" uri="{C3380CC4-5D6E-409C-BE32-E72D297353CC}">
              <c16:uniqueId val="{00000004-98BE-44E7-89E3-46DE7FC6EEAF}"/>
            </c:ext>
          </c:extLst>
        </c:ser>
        <c:dLbls>
          <c:showLegendKey val="0"/>
          <c:showVal val="0"/>
          <c:showCatName val="0"/>
          <c:showSerName val="0"/>
          <c:showPercent val="0"/>
          <c:showBubbleSize val="0"/>
        </c:dLbls>
        <c:hiLowLines>
          <c:spPr>
            <a:ln>
              <a:noFill/>
            </a:ln>
          </c:spPr>
        </c:hiLowLines>
        <c:marker val="1"/>
        <c:smooth val="0"/>
        <c:axId val="196653824"/>
        <c:axId val="196655360"/>
      </c:lineChart>
      <c:catAx>
        <c:axId val="196653824"/>
        <c:scaling>
          <c:orientation val="minMax"/>
        </c:scaling>
        <c:delete val="0"/>
        <c:axPos val="b"/>
        <c:numFmt formatCode="General" sourceLinked="1"/>
        <c:majorTickMark val="none"/>
        <c:minorTickMark val="none"/>
        <c:tickLblPos val="low"/>
        <c:spPr>
          <a:ln w="9360">
            <a:solidFill>
              <a:srgbClr val="878787"/>
            </a:solidFill>
            <a:round/>
          </a:ln>
        </c:spPr>
        <c:txPr>
          <a:bodyPr/>
          <a:lstStyle/>
          <a:p>
            <a:pPr>
              <a:defRPr lang="es-ES" sz="1000" b="0" strike="noStrike" spc="-1">
                <a:solidFill>
                  <a:srgbClr val="000000"/>
                </a:solidFill>
                <a:latin typeface="Calibri"/>
              </a:defRPr>
            </a:pPr>
            <a:endParaRPr lang="ca-ES-valencia"/>
          </a:p>
        </c:txPr>
        <c:crossAx val="196655360"/>
        <c:crossesAt val="0"/>
        <c:auto val="1"/>
        <c:lblAlgn val="ctr"/>
        <c:lblOffset val="100"/>
        <c:noMultiLvlLbl val="1"/>
      </c:catAx>
      <c:valAx>
        <c:axId val="196655360"/>
        <c:scaling>
          <c:orientation val="minMax"/>
        </c:scaling>
        <c:delete val="0"/>
        <c:axPos val="l"/>
        <c:majorGridlines>
          <c:spPr>
            <a:ln w="9360">
              <a:solidFill>
                <a:srgbClr val="878787"/>
              </a:solidFill>
              <a:round/>
            </a:ln>
          </c:spPr>
        </c:majorGridlines>
        <c:numFmt formatCode="General" sourceLinked="0"/>
        <c:majorTickMark val="none"/>
        <c:minorTickMark val="none"/>
        <c:tickLblPos val="nextTo"/>
        <c:spPr>
          <a:ln w="9360">
            <a:solidFill>
              <a:srgbClr val="878787"/>
            </a:solidFill>
            <a:round/>
          </a:ln>
        </c:spPr>
        <c:txPr>
          <a:bodyPr/>
          <a:lstStyle/>
          <a:p>
            <a:pPr>
              <a:defRPr lang="es-ES" sz="1000" b="0" strike="noStrike" spc="-1">
                <a:solidFill>
                  <a:srgbClr val="000000"/>
                </a:solidFill>
                <a:latin typeface="Calibri"/>
              </a:defRPr>
            </a:pPr>
            <a:endParaRPr lang="ca-ES-valencia"/>
          </a:p>
        </c:txPr>
        <c:crossAx val="196653824"/>
        <c:crosses val="min"/>
        <c:crossBetween val="midCat"/>
      </c:valAx>
      <c:spPr>
        <a:solidFill>
          <a:srgbClr val="FFFFFF"/>
        </a:solidFill>
        <a:ln>
          <a:noFill/>
        </a:ln>
      </c:spPr>
    </c:plotArea>
    <c:legend>
      <c:legendPos val="r"/>
      <c:layout>
        <c:manualLayout>
          <c:xMode val="edge"/>
          <c:yMode val="edge"/>
          <c:x val="0.64550021851689987"/>
          <c:y val="0.21591267157935154"/>
          <c:w val="0.34038877489796371"/>
          <c:h val="0.75113094939565672"/>
        </c:manualLayout>
      </c:layout>
      <c:overlay val="0"/>
      <c:spPr>
        <a:noFill/>
        <a:ln>
          <a:noFill/>
        </a:ln>
      </c:spPr>
      <c:txPr>
        <a:bodyPr/>
        <a:lstStyle/>
        <a:p>
          <a:pPr>
            <a:defRPr lang="es-ES" sz="1000" b="0" strike="noStrike" spc="-1">
              <a:solidFill>
                <a:srgbClr val="000000"/>
              </a:solidFill>
              <a:latin typeface="Calibri"/>
            </a:defRPr>
          </a:pPr>
          <a:endParaRPr lang="ca-ES-valencia"/>
        </a:p>
      </c:txPr>
    </c:legend>
    <c:plotVisOnly val="0"/>
    <c:dispBlanksAs val="gap"/>
    <c:showDLblsOverMax val="1"/>
  </c:chart>
  <c:spPr>
    <a:solidFill>
      <a:srgbClr val="FFFFFF"/>
    </a:solidFill>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600" b="1" i="0" u="none" strike="noStrike" kern="1200" cap="all" baseline="0">
                <a:solidFill>
                  <a:schemeClr val="tx1">
                    <a:lumMod val="65000"/>
                    <a:lumOff val="35000"/>
                  </a:schemeClr>
                </a:solidFill>
                <a:latin typeface="+mn-lt"/>
                <a:ea typeface="+mn-ea"/>
                <a:cs typeface="+mn-cs"/>
              </a:defRPr>
            </a:pPr>
            <a:r>
              <a:rPr lang="en-US" sz="1100" cap="none" baseline="0">
                <a:solidFill>
                  <a:sysClr val="windowText" lastClr="000000"/>
                </a:solidFill>
                <a:latin typeface="Arial" panose="020B0604020202020204" pitchFamily="34" charset="0"/>
                <a:cs typeface="Arial" panose="020B0604020202020204" pitchFamily="34" charset="0"/>
              </a:rPr>
              <a:t>Ocupación de llocs de treball per gènere</a:t>
            </a:r>
          </a:p>
        </c:rich>
      </c:tx>
      <c:layout>
        <c:manualLayout>
          <c:xMode val="edge"/>
          <c:yMode val="edge"/>
          <c:x val="0.15842293906810037"/>
          <c:y val="3.6900369003690037E-2"/>
        </c:manualLayout>
      </c:layout>
      <c:overlay val="0"/>
      <c:spPr>
        <a:noFill/>
        <a:ln>
          <a:noFill/>
        </a:ln>
        <a:effectLst/>
      </c:spPr>
      <c:txPr>
        <a:bodyPr rot="0" spcFirstLastPara="1" vertOverflow="ellipsis" vert="horz" wrap="square" anchor="ctr" anchorCtr="1"/>
        <a:lstStyle/>
        <a:p>
          <a:pPr algn="ctr">
            <a:defRPr sz="1600" b="1" i="0" u="none" strike="noStrike" kern="1200" cap="all" baseline="0">
              <a:solidFill>
                <a:schemeClr val="tx1">
                  <a:lumMod val="65000"/>
                  <a:lumOff val="35000"/>
                </a:schemeClr>
              </a:solidFill>
              <a:latin typeface="+mn-lt"/>
              <a:ea typeface="+mn-ea"/>
              <a:cs typeface="+mn-cs"/>
            </a:defRPr>
          </a:pPr>
          <a:endParaRPr lang="ca-ES-valencia"/>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43C-4477-891E-93859B55A53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43C-4477-891E-93859B55A53D}"/>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FDD6FED2-07F8-4EC3-B697-8CCE2B431D5D}" type="CATEGORYNAME">
                      <a:rPr lang="en-US"/>
                      <a:pPr>
                        <a:defRPr/>
                      </a:pPr>
                      <a:t>[NOMBRE DE CATEGORÍA]</a:t>
                    </a:fld>
                    <a:r>
                      <a:rPr lang="en-US" baseline="0"/>
                      <a:t> </a:t>
                    </a:r>
                    <a:fld id="{59FD7D92-ABD9-49BD-A6DF-C9A547CCD8DB}" type="PERCENTAGE">
                      <a:rPr lang="en-US" baseline="0"/>
                      <a:pPr>
                        <a:defRPr/>
                      </a:pPr>
                      <a:t>[PORCENTAJE]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ca-ES-valencia"/>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43C-4477-891E-93859B55A53D}"/>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bg1">
                            <a:lumMod val="50000"/>
                          </a:schemeClr>
                        </a:solidFill>
                        <a:latin typeface="+mn-lt"/>
                        <a:ea typeface="+mn-ea"/>
                        <a:cs typeface="+mn-cs"/>
                      </a:defRPr>
                    </a:pPr>
                    <a:fld id="{01875F18-DF13-4561-9C01-B49674CEB7F0}" type="CATEGORYNAME">
                      <a:rPr lang="en-US">
                        <a:solidFill>
                          <a:schemeClr val="bg1">
                            <a:lumMod val="50000"/>
                          </a:schemeClr>
                        </a:solidFill>
                      </a:rPr>
                      <a:pPr>
                        <a:defRPr>
                          <a:solidFill>
                            <a:schemeClr val="bg1">
                              <a:lumMod val="50000"/>
                            </a:schemeClr>
                          </a:solidFill>
                        </a:defRPr>
                      </a:pPr>
                      <a:t>[NOMBRE DE CATEGORÍA]</a:t>
                    </a:fld>
                    <a:r>
                      <a:rPr lang="en-US" baseline="0">
                        <a:solidFill>
                          <a:schemeClr val="bg1">
                            <a:lumMod val="50000"/>
                          </a:schemeClr>
                        </a:solidFill>
                      </a:rPr>
                      <a:t> </a:t>
                    </a:r>
                    <a:fld id="{F59ECE64-A7EB-4B78-80AD-A418BCF273EB}" type="PERCENTAGE">
                      <a:rPr lang="en-US" baseline="0">
                        <a:solidFill>
                          <a:schemeClr val="bg1">
                            <a:lumMod val="50000"/>
                          </a:schemeClr>
                        </a:solidFill>
                      </a:rPr>
                      <a:pPr>
                        <a:defRPr>
                          <a:solidFill>
                            <a:schemeClr val="bg1">
                              <a:lumMod val="50000"/>
                            </a:schemeClr>
                          </a:solidFill>
                        </a:defRPr>
                      </a:pPr>
                      <a:t>[PORCENTAJE]</a:t>
                    </a:fld>
                    <a:endParaRPr lang="en-US" baseline="0">
                      <a:solidFill>
                        <a:schemeClr val="bg1">
                          <a:lumMod val="50000"/>
                        </a:schemeClr>
                      </a:solidFill>
                    </a:endParaRPr>
                  </a:p>
                </c:rich>
              </c:tx>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bg1">
                          <a:lumMod val="50000"/>
                        </a:schemeClr>
                      </a:solidFill>
                      <a:latin typeface="+mn-lt"/>
                      <a:ea typeface="+mn-ea"/>
                      <a:cs typeface="+mn-cs"/>
                    </a:defRPr>
                  </a:pPr>
                  <a:endParaRPr lang="ca-ES-valencia"/>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43C-4477-891E-93859B55A53D}"/>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'Genero-edad'!$K$10:$K$11</c:f>
              <c:strCache>
                <c:ptCount val="2"/>
                <c:pt idx="0">
                  <c:v>Home </c:v>
                </c:pt>
                <c:pt idx="1">
                  <c:v>Dona</c:v>
                </c:pt>
              </c:strCache>
            </c:strRef>
          </c:cat>
          <c:val>
            <c:numRef>
              <c:f>'Genero-edad'!$L$10:$L$11</c:f>
              <c:numCache>
                <c:formatCode>General</c:formatCode>
                <c:ptCount val="2"/>
                <c:pt idx="0">
                  <c:v>13</c:v>
                </c:pt>
                <c:pt idx="1">
                  <c:v>24</c:v>
                </c:pt>
              </c:numCache>
            </c:numRef>
          </c:val>
          <c:extLst>
            <c:ext xmlns:c16="http://schemas.microsoft.com/office/drawing/2014/chart" uri="{C3380CC4-5D6E-409C-BE32-E72D297353CC}">
              <c16:uniqueId val="{00000004-E43C-4477-891E-93859B55A53D}"/>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Nº de mencions en mitjans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a-ES-valencia"/>
        </a:p>
      </c:txPr>
    </c:title>
    <c:autoTitleDeleted val="0"/>
    <c:plotArea>
      <c:layout/>
      <c:lineChart>
        <c:grouping val="stacked"/>
        <c:varyColors val="0"/>
        <c:ser>
          <c:idx val="0"/>
          <c:order val="0"/>
          <c:tx>
            <c:strRef>
              <c:f>'Menciones en medios por meses'!$B$1</c:f>
              <c:strCache>
                <c:ptCount val="1"/>
                <c:pt idx="0">
                  <c:v>N.º de mencions</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ca-ES-valenci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'Menciones en medios por meses'!$A$2:$A$13</c:f>
              <c:strCache>
                <c:ptCount val="12"/>
                <c:pt idx="0">
                  <c:v>Gener</c:v>
                </c:pt>
                <c:pt idx="1">
                  <c:v>Febrer</c:v>
                </c:pt>
                <c:pt idx="2">
                  <c:v>Març</c:v>
                </c:pt>
                <c:pt idx="3">
                  <c:v>Abril</c:v>
                </c:pt>
                <c:pt idx="4">
                  <c:v>Maig</c:v>
                </c:pt>
                <c:pt idx="5">
                  <c:v>Juny</c:v>
                </c:pt>
                <c:pt idx="6">
                  <c:v>Juliol</c:v>
                </c:pt>
                <c:pt idx="7">
                  <c:v>Agost</c:v>
                </c:pt>
                <c:pt idx="8">
                  <c:v>Setembre</c:v>
                </c:pt>
                <c:pt idx="9">
                  <c:v>Octubre</c:v>
                </c:pt>
                <c:pt idx="10">
                  <c:v>Novembre</c:v>
                </c:pt>
                <c:pt idx="11">
                  <c:v>Desembre</c:v>
                </c:pt>
              </c:strCache>
            </c:strRef>
          </c:cat>
          <c:val>
            <c:numRef>
              <c:f>'Menciones en medios por meses'!$B$2:$B$13</c:f>
              <c:numCache>
                <c:formatCode>General</c:formatCode>
                <c:ptCount val="12"/>
                <c:pt idx="0">
                  <c:v>30</c:v>
                </c:pt>
                <c:pt idx="1">
                  <c:v>175</c:v>
                </c:pt>
                <c:pt idx="2">
                  <c:v>150</c:v>
                </c:pt>
                <c:pt idx="3">
                  <c:v>89</c:v>
                </c:pt>
                <c:pt idx="4">
                  <c:v>85</c:v>
                </c:pt>
                <c:pt idx="5">
                  <c:v>127</c:v>
                </c:pt>
                <c:pt idx="6">
                  <c:v>93</c:v>
                </c:pt>
                <c:pt idx="7">
                  <c:v>29</c:v>
                </c:pt>
                <c:pt idx="8">
                  <c:v>50</c:v>
                </c:pt>
                <c:pt idx="9">
                  <c:v>50</c:v>
                </c:pt>
                <c:pt idx="10">
                  <c:v>82</c:v>
                </c:pt>
                <c:pt idx="11">
                  <c:v>42</c:v>
                </c:pt>
              </c:numCache>
            </c:numRef>
          </c:val>
          <c:smooth val="0"/>
          <c:extLst>
            <c:ext xmlns:c16="http://schemas.microsoft.com/office/drawing/2014/chart" uri="{C3380CC4-5D6E-409C-BE32-E72D297353CC}">
              <c16:uniqueId val="{00000000-FA16-4BFE-B790-98C14FABA6D7}"/>
            </c:ext>
          </c:extLst>
        </c:ser>
        <c:dLbls>
          <c:dLblPos val="ctr"/>
          <c:showLegendKey val="0"/>
          <c:showVal val="1"/>
          <c:showCatName val="0"/>
          <c:showSerName val="0"/>
          <c:showPercent val="0"/>
          <c:showBubbleSize val="0"/>
        </c:dLbls>
        <c:marker val="1"/>
        <c:smooth val="0"/>
        <c:axId val="170728359"/>
        <c:axId val="1913537351"/>
      </c:lineChart>
      <c:catAx>
        <c:axId val="1707283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ca-ES-valencia"/>
          </a:p>
        </c:txPr>
        <c:crossAx val="1913537351"/>
        <c:crosses val="autoZero"/>
        <c:auto val="1"/>
        <c:lblAlgn val="ctr"/>
        <c:lblOffset val="100"/>
        <c:noMultiLvlLbl val="0"/>
      </c:catAx>
      <c:valAx>
        <c:axId val="191353735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70728359"/>
        <c:crosses val="autoZero"/>
        <c:crossBetween val="between"/>
      </c:valAx>
      <c:spPr>
        <a:noFill/>
        <a:ln>
          <a:noFill/>
        </a:ln>
        <a:effectLst/>
      </c:spPr>
    </c:plotArea>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ca-ES-valencia"/>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hPercent val="40"/>
      <c:rotY val="30"/>
      <c:depthPercent val="100"/>
      <c:rAngAx val="1"/>
    </c:view3D>
    <c:floor>
      <c:thickness val="0"/>
      <c:spPr>
        <a:solidFill>
          <a:sysClr val="window" lastClr="FFFFFF">
            <a:lumMod val="85000"/>
          </a:sysClr>
        </a:solidFill>
        <a:ln>
          <a:noFill/>
        </a:ln>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rgbClr val="B5540B"/>
            </a:solidFill>
            <a:ln>
              <a:noFill/>
            </a:ln>
            <a:effectLst>
              <a:outerShdw blurRad="57150" dist="19050" dir="5400000" algn="ctr" rotWithShape="0">
                <a:srgbClr val="000000">
                  <a:alpha val="63000"/>
                </a:srgbClr>
              </a:outerShdw>
            </a:effectLst>
            <a:sp3d/>
          </c:spPr>
          <c:invertIfNegative val="0"/>
          <c:dPt>
            <c:idx val="0"/>
            <c:invertIfNegative val="0"/>
            <c:bubble3D val="0"/>
            <c:spPr>
              <a:solidFill>
                <a:srgbClr val="BCA6A2"/>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664-4EFA-9E8F-1C18D605B3BE}"/>
              </c:ext>
            </c:extLst>
          </c:dPt>
          <c:dPt>
            <c:idx val="1"/>
            <c:invertIfNegative val="0"/>
            <c:bubble3D val="0"/>
            <c:spPr>
              <a:solidFill>
                <a:srgbClr val="9D2235"/>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664-4EFA-9E8F-1C18D605B3BE}"/>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Hoja1!$J$6:$J$7</c:f>
              <c:strCache>
                <c:ptCount val="2"/>
                <c:pt idx="0">
                  <c:v>Sol·licituds en tràmit</c:v>
                </c:pt>
                <c:pt idx="1">
                  <c:v>Sol·licituds resoltes</c:v>
                </c:pt>
              </c:strCache>
            </c:strRef>
          </c:cat>
          <c:val>
            <c:numRef>
              <c:f>Hoja1!$K$6:$K$7</c:f>
              <c:numCache>
                <c:formatCode>General</c:formatCode>
                <c:ptCount val="2"/>
                <c:pt idx="0">
                  <c:v>4</c:v>
                </c:pt>
                <c:pt idx="1">
                  <c:v>37</c:v>
                </c:pt>
              </c:numCache>
            </c:numRef>
          </c:val>
          <c:extLst>
            <c:ext xmlns:c16="http://schemas.microsoft.com/office/drawing/2014/chart" uri="{C3380CC4-5D6E-409C-BE32-E72D297353CC}">
              <c16:uniqueId val="{00000004-2664-4EFA-9E8F-1C18D605B3BE}"/>
            </c:ext>
          </c:extLst>
        </c:ser>
        <c:dLbls>
          <c:showLegendKey val="0"/>
          <c:showVal val="0"/>
          <c:showCatName val="0"/>
          <c:showSerName val="0"/>
          <c:showPercent val="0"/>
          <c:showBubbleSize val="0"/>
        </c:dLbls>
        <c:gapWidth val="75"/>
        <c:shape val="cylinder"/>
        <c:axId val="1290816000"/>
        <c:axId val="1"/>
        <c:axId val="0"/>
      </c:bar3DChart>
      <c:catAx>
        <c:axId val="1290816000"/>
        <c:scaling>
          <c:orientation val="minMax"/>
        </c:scaling>
        <c:delete val="1"/>
        <c:axPos val="b"/>
        <c:numFmt formatCode="General" sourceLinked="1"/>
        <c:majorTickMark val="none"/>
        <c:minorTickMark val="none"/>
        <c:tickLblPos val="nextTo"/>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290816000"/>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showDLblsOverMax val="0"/>
  </c:chart>
  <c:spPr>
    <a:gradFill>
      <a:gsLst>
        <a:gs pos="0">
          <a:srgbClr val="A5A5A5">
            <a:lumMod val="0"/>
            <a:lumOff val="100000"/>
          </a:srgbClr>
        </a:gs>
        <a:gs pos="35000">
          <a:srgbClr val="A5A5A5">
            <a:lumMod val="0"/>
            <a:lumOff val="100000"/>
          </a:srgbClr>
        </a:gs>
        <a:gs pos="100000">
          <a:srgbClr val="A5A5A5">
            <a:lumMod val="100000"/>
          </a:srgb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hPercent val="40"/>
      <c:rotY val="30"/>
      <c:depthPercent val="100"/>
      <c:rAngAx val="1"/>
    </c:view3D>
    <c:floor>
      <c:thickness val="0"/>
      <c:spPr>
        <a:solidFill>
          <a:schemeClr val="bg1">
            <a:lumMod val="85000"/>
          </a:schemeClr>
        </a:solidFill>
        <a:ln>
          <a:noFill/>
        </a:ln>
        <a:effectLst>
          <a:outerShdw blurRad="50800" dist="50800" dir="5400000" algn="ctr" rotWithShape="0">
            <a:schemeClr val="tx1">
              <a:lumMod val="50000"/>
              <a:lumOff val="50000"/>
            </a:schemeClr>
          </a:outerShdw>
        </a:effectLst>
        <a:scene3d>
          <a:camera prst="orthographicFront"/>
          <a:lightRig rig="threePt" dir="t"/>
        </a:scene3d>
        <a:sp3d/>
      </c:spPr>
    </c:floor>
    <c:side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sp3d/>
      </c:spPr>
    </c:sideWall>
    <c:back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a:noFill/>
            </a:ln>
            <a:effectLst>
              <a:outerShdw blurRad="50800" dist="38100" dir="2700000" algn="tl" rotWithShape="0">
                <a:schemeClr val="tx1">
                  <a:alpha val="40000"/>
                </a:schemeClr>
              </a:outerShdw>
            </a:effectLst>
            <a:sp3d>
              <a:contourClr>
                <a:srgbClr val="EABAC2"/>
              </a:contourClr>
            </a:sp3d>
          </c:spPr>
          <c:invertIfNegative val="0"/>
          <c:dPt>
            <c:idx val="0"/>
            <c:invertIfNegative val="0"/>
            <c:bubble3D val="0"/>
            <c:spPr>
              <a:solidFill>
                <a:schemeClr val="accent1"/>
              </a:solidFill>
              <a:ln w="6350">
                <a:noFill/>
              </a:ln>
              <a:effectLst>
                <a:outerShdw blurRad="50800" dist="38100" dir="2700000" algn="tl" rotWithShape="0">
                  <a:schemeClr val="tx1">
                    <a:alpha val="40000"/>
                  </a:schemeClr>
                </a:outerShdw>
              </a:effectLst>
              <a:sp3d>
                <a:contourClr>
                  <a:srgbClr val="666666"/>
                </a:contourClr>
              </a:sp3d>
            </c:spPr>
            <c:extLst>
              <c:ext xmlns:c16="http://schemas.microsoft.com/office/drawing/2014/chart" uri="{C3380CC4-5D6E-409C-BE32-E72D297353CC}">
                <c16:uniqueId val="{00000001-FAB5-4349-A602-A27521B6D671}"/>
              </c:ext>
            </c:extLst>
          </c:dPt>
          <c:dPt>
            <c:idx val="1"/>
            <c:invertIfNegative val="0"/>
            <c:bubble3D val="0"/>
            <c:spPr>
              <a:solidFill>
                <a:srgbClr val="5B6770"/>
              </a:solidFill>
              <a:ln w="6350">
                <a:noFill/>
              </a:ln>
              <a:effectLst>
                <a:outerShdw blurRad="50800" dist="38100" dir="2700000" algn="tl" rotWithShape="0">
                  <a:schemeClr val="tx1">
                    <a:alpha val="40000"/>
                  </a:schemeClr>
                </a:outerShdw>
              </a:effectLst>
              <a:sp3d>
                <a:contourClr>
                  <a:srgbClr val="EABAC2"/>
                </a:contourClr>
              </a:sp3d>
            </c:spPr>
            <c:extLst>
              <c:ext xmlns:c16="http://schemas.microsoft.com/office/drawing/2014/chart" uri="{C3380CC4-5D6E-409C-BE32-E72D297353CC}">
                <c16:uniqueId val="{00000003-FAB5-4349-A602-A27521B6D671}"/>
              </c:ext>
            </c:extLst>
          </c:dPt>
          <c:dLbls>
            <c:dLbl>
              <c:idx val="0"/>
              <c:layout>
                <c:manualLayout>
                  <c:x val="2.287008113176288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B5-4349-A602-A27521B6D671}"/>
                </c:ext>
              </c:extLst>
            </c:dLbl>
            <c:dLbl>
              <c:idx val="1"/>
              <c:layout>
                <c:manualLayout>
                  <c:x val="2.032896100601145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B5-4349-A602-A27521B6D671}"/>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Hoja1!$N$126:$N$127</c:f>
              <c:strCache>
                <c:ptCount val="2"/>
                <c:pt idx="0">
                  <c:v>Resolucions estimatòries</c:v>
                </c:pt>
                <c:pt idx="1">
                  <c:v>Expedients en tramitació</c:v>
                </c:pt>
              </c:strCache>
            </c:strRef>
          </c:cat>
          <c:val>
            <c:numRef>
              <c:f>Hoja1!$O$126:$O$127</c:f>
              <c:numCache>
                <c:formatCode>General</c:formatCode>
                <c:ptCount val="2"/>
                <c:pt idx="0">
                  <c:v>26</c:v>
                </c:pt>
                <c:pt idx="1">
                  <c:v>4</c:v>
                </c:pt>
              </c:numCache>
            </c:numRef>
          </c:val>
          <c:extLst>
            <c:ext xmlns:c16="http://schemas.microsoft.com/office/drawing/2014/chart" uri="{C3380CC4-5D6E-409C-BE32-E72D297353CC}">
              <c16:uniqueId val="{00000004-FAB5-4349-A602-A27521B6D671}"/>
            </c:ext>
          </c:extLst>
        </c:ser>
        <c:dLbls>
          <c:showLegendKey val="0"/>
          <c:showVal val="0"/>
          <c:showCatName val="0"/>
          <c:showSerName val="0"/>
          <c:showPercent val="0"/>
          <c:showBubbleSize val="0"/>
        </c:dLbls>
        <c:gapWidth val="75"/>
        <c:shape val="cylinder"/>
        <c:axId val="1290816000"/>
        <c:axId val="1"/>
        <c:axId val="0"/>
      </c:bar3DChart>
      <c:catAx>
        <c:axId val="1290816000"/>
        <c:scaling>
          <c:orientation val="minMax"/>
        </c:scaling>
        <c:delete val="1"/>
        <c:axPos val="b"/>
        <c:numFmt formatCode="General" sourceLinked="1"/>
        <c:majorTickMark val="none"/>
        <c:minorTickMark val="none"/>
        <c:tickLblPos val="nextTo"/>
        <c:crossAx val="1"/>
        <c:crossesAt val="0"/>
        <c:auto val="1"/>
        <c:lblAlgn val="ctr"/>
        <c:lblOffset val="100"/>
        <c:noMultiLvlLbl val="0"/>
      </c:catAx>
      <c:valAx>
        <c:axId val="1"/>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crossAx val="1290816000"/>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plosion val="9"/>
          <c:dPt>
            <c:idx val="0"/>
            <c:bubble3D val="0"/>
            <c:spPr>
              <a:solidFill>
                <a:srgbClr val="613D35"/>
              </a:solidFill>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1-26C0-4B8D-B0B7-0DF6DC0727F6}"/>
              </c:ext>
            </c:extLst>
          </c:dPt>
          <c:dPt>
            <c:idx val="1"/>
            <c:bubble3D val="0"/>
            <c:spPr>
              <a:solidFill>
                <a:srgbClr val="C6C6C6"/>
              </a:solidFill>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3-26C0-4B8D-B0B7-0DF6DC0727F6}"/>
              </c:ext>
            </c:extLst>
          </c:dPt>
          <c:dPt>
            <c:idx val="2"/>
            <c:bubble3D val="0"/>
            <c:spPr>
              <a:solidFill>
                <a:srgbClr val="EABAC2"/>
              </a:solidFill>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5-26C0-4B8D-B0B7-0DF6DC0727F6}"/>
              </c:ext>
            </c:extLst>
          </c:dPt>
          <c:dPt>
            <c:idx val="3"/>
            <c:bubble3D val="0"/>
            <c:spPr>
              <a:solidFill>
                <a:srgbClr val="9D2235"/>
              </a:solidFill>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7-26C0-4B8D-B0B7-0DF6DC0727F6}"/>
              </c:ext>
            </c:extLst>
          </c:dPt>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ca-ES-valenci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Hoja1!$L$32:$L$35</c:f>
              <c:strCache>
                <c:ptCount val="4"/>
                <c:pt idx="0">
                  <c:v>Remissió fiscalia</c:v>
                </c:pt>
                <c:pt idx="1">
                  <c:v>Bústia denúncies</c:v>
                </c:pt>
                <c:pt idx="2">
                  <c:v>Correu electrònic</c:v>
                </c:pt>
                <c:pt idx="3">
                  <c:v>Registre Agència</c:v>
                </c:pt>
              </c:strCache>
            </c:strRef>
          </c:cat>
          <c:val>
            <c:numRef>
              <c:f>Hoja1!$N$32:$N$35</c:f>
              <c:numCache>
                <c:formatCode>General</c:formatCode>
                <c:ptCount val="4"/>
                <c:pt idx="0">
                  <c:v>2</c:v>
                </c:pt>
                <c:pt idx="1">
                  <c:v>5</c:v>
                </c:pt>
                <c:pt idx="2">
                  <c:v>9</c:v>
                </c:pt>
                <c:pt idx="3">
                  <c:v>25</c:v>
                </c:pt>
              </c:numCache>
            </c:numRef>
          </c:val>
          <c:extLst>
            <c:ext xmlns:c16="http://schemas.microsoft.com/office/drawing/2014/chart" uri="{C3380CC4-5D6E-409C-BE32-E72D297353CC}">
              <c16:uniqueId val="{00000008-26C0-4B8D-B0B7-0DF6DC0727F6}"/>
            </c:ext>
          </c:extLst>
        </c:ser>
        <c:dLbls>
          <c:showLegendKey val="0"/>
          <c:showVal val="0"/>
          <c:showCatName val="0"/>
          <c:showSerName val="0"/>
          <c:showPercent val="1"/>
          <c:showBubbleSize val="0"/>
          <c:showLeaderLines val="1"/>
        </c:dLbls>
        <c:firstSliceAng val="61"/>
        <c:holeSize val="50"/>
      </c:doughnutChart>
      <c:spPr>
        <a:noFill/>
        <a:ln>
          <a:noFill/>
        </a:ln>
        <a:effectLst/>
      </c:spPr>
    </c:plotArea>
    <c:legend>
      <c:legendPos val="r"/>
      <c:overlay val="0"/>
      <c:spPr>
        <a:solidFill>
          <a:schemeClr val="bg1">
            <a:lumMod val="95000"/>
          </a:schemeClr>
        </a:solidFill>
        <a:ln>
          <a:solidFill>
            <a:schemeClr val="bg2">
              <a:lumMod val="50000"/>
            </a:schemeClr>
          </a:solidFill>
        </a:ln>
        <a:effectLst/>
      </c:spPr>
      <c:txPr>
        <a:bodyPr rot="0" spcFirstLastPara="1" vertOverflow="ellipsis" vert="horz" wrap="square" anchor="ctr" anchorCtr="1"/>
        <a:lstStyle/>
        <a:p>
          <a:pPr rtl="0">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rgbClr val="A5A5A5">
            <a:lumMod val="0"/>
            <a:lumOff val="100000"/>
          </a:srgbClr>
        </a:gs>
        <a:gs pos="35000">
          <a:srgbClr val="A5A5A5">
            <a:lumMod val="0"/>
            <a:lumOff val="100000"/>
          </a:srgbClr>
        </a:gs>
        <a:gs pos="100000">
          <a:srgbClr val="A5A5A5">
            <a:lumMod val="100000"/>
          </a:srgbClr>
        </a:gs>
      </a:gsLst>
      <a:path path="circle">
        <a:fillToRect l="50000" t="-80000" r="50000" b="180000"/>
      </a:path>
    </a:gra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ca-ES-valencia"/>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5"/>
      <c:depthPercent val="100"/>
      <c:rAngAx val="1"/>
    </c:view3D>
    <c:floor>
      <c:thickness val="0"/>
      <c:spPr>
        <a:solidFill>
          <a:schemeClr val="bg2">
            <a:alpha val="72000"/>
          </a:schemeClr>
        </a:solidFill>
        <a:ln>
          <a:noFill/>
        </a:ln>
        <a:effectLst>
          <a:outerShdw blurRad="50800" dist="38100" dir="5400000" algn="ctr" rotWithShape="0">
            <a:srgbClr val="000000">
              <a:alpha val="43137"/>
            </a:srgbClr>
          </a:outerShdw>
        </a:effectLst>
        <a:scene3d>
          <a:camera prst="orthographicFront"/>
          <a:lightRig rig="threePt" dir="t"/>
        </a:scene3d>
        <a:sp3d/>
      </c:spPr>
    </c:floor>
    <c:sideWall>
      <c:thickness val="0"/>
      <c:spPr>
        <a:solidFill>
          <a:srgbClr val="F2F2F2">
            <a:alpha val="75000"/>
          </a:srgbClr>
        </a:solidFill>
        <a:ln>
          <a:noFill/>
        </a:ln>
        <a:effectLst>
          <a:outerShdw blurRad="50800" dist="38100" algn="l" rotWithShape="0">
            <a:prstClr val="black">
              <a:alpha val="40000"/>
            </a:prstClr>
          </a:outerShdw>
        </a:effectLst>
        <a:sp3d/>
      </c:spPr>
    </c:sideWall>
    <c:back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outerShdw blurRad="50800" dist="38100" algn="l" rotWithShape="0">
            <a:prstClr val="black">
              <a:alpha val="40000"/>
            </a:prstClr>
          </a:outerShdw>
        </a:effectLst>
        <a:sp3d/>
      </c:spPr>
    </c:backWall>
    <c:plotArea>
      <c:layout>
        <c:manualLayout>
          <c:layoutTarget val="inner"/>
          <c:xMode val="edge"/>
          <c:yMode val="edge"/>
          <c:x val="5.943085606773283E-2"/>
          <c:y val="0"/>
          <c:w val="0.93936748616676913"/>
          <c:h val="0.55784516297164977"/>
        </c:manualLayout>
      </c:layout>
      <c:bar3DChart>
        <c:barDir val="col"/>
        <c:grouping val="clustered"/>
        <c:varyColors val="0"/>
        <c:ser>
          <c:idx val="0"/>
          <c:order val="0"/>
          <c:spPr>
            <a:solidFill>
              <a:srgbClr val="9D2235"/>
            </a:solidFill>
            <a:ln>
              <a:noFill/>
            </a:ln>
            <a:effectLst>
              <a:outerShdw blurRad="50800" dist="38100" dir="10800000" algn="r" rotWithShape="0">
                <a:prstClr val="black">
                  <a:alpha val="14000"/>
                </a:prstClr>
              </a:outerShdw>
            </a:effectLst>
            <a:sp3d/>
          </c:spPr>
          <c:invertIfNegative val="0"/>
          <c:dPt>
            <c:idx val="0"/>
            <c:invertIfNegative val="0"/>
            <c:bubble3D val="0"/>
            <c:spPr>
              <a:solidFill>
                <a:schemeClr val="accent1"/>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1-EC04-47C1-BB59-F9F722EDA0EC}"/>
              </c:ext>
            </c:extLst>
          </c:dPt>
          <c:dPt>
            <c:idx val="1"/>
            <c:invertIfNegative val="0"/>
            <c:bubble3D val="0"/>
            <c:spPr>
              <a:solidFill>
                <a:schemeClr val="accent1">
                  <a:lumMod val="60000"/>
                  <a:lumOff val="40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3-EC04-47C1-BB59-F9F722EDA0EC}"/>
              </c:ext>
            </c:extLst>
          </c:dPt>
          <c:dPt>
            <c:idx val="2"/>
            <c:invertIfNegative val="0"/>
            <c:bubble3D val="0"/>
            <c:spPr>
              <a:solidFill>
                <a:schemeClr val="accent1">
                  <a:lumMod val="40000"/>
                  <a:lumOff val="60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5-EC04-47C1-BB59-F9F722EDA0EC}"/>
              </c:ext>
            </c:extLst>
          </c:dPt>
          <c:dPt>
            <c:idx val="3"/>
            <c:invertIfNegative val="0"/>
            <c:bubble3D val="0"/>
            <c:spPr>
              <a:solidFill>
                <a:srgbClr val="BBA7A1"/>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7-EC04-47C1-BB59-F9F722EDA0EC}"/>
              </c:ext>
            </c:extLst>
          </c:dPt>
          <c:dPt>
            <c:idx val="4"/>
            <c:invertIfNegative val="0"/>
            <c:bubble3D val="0"/>
            <c:spPr>
              <a:solidFill>
                <a:schemeClr val="bg2">
                  <a:lumMod val="50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9-EC04-47C1-BB59-F9F722EDA0EC}"/>
              </c:ext>
            </c:extLst>
          </c:dPt>
          <c:dPt>
            <c:idx val="5"/>
            <c:invertIfNegative val="0"/>
            <c:bubble3D val="0"/>
            <c:spPr>
              <a:solidFill>
                <a:srgbClr val="B5540B"/>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B-EC04-47C1-BB59-F9F722EDA0EC}"/>
              </c:ext>
            </c:extLst>
          </c:dPt>
          <c:dPt>
            <c:idx val="6"/>
            <c:invertIfNegative val="0"/>
            <c:bubble3D val="0"/>
            <c:spPr>
              <a:solidFill>
                <a:schemeClr val="accent4">
                  <a:lumMod val="75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D-EC04-47C1-BB59-F9F722EDA0EC}"/>
              </c:ext>
            </c:extLst>
          </c:dPt>
          <c:dPt>
            <c:idx val="7"/>
            <c:invertIfNegative val="0"/>
            <c:bubble3D val="0"/>
            <c:spPr>
              <a:solidFill>
                <a:srgbClr val="C17F78"/>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F-EC04-47C1-BB59-F9F722EDA0EC}"/>
              </c:ext>
            </c:extLst>
          </c:dPt>
          <c:dPt>
            <c:idx val="8"/>
            <c:invertIfNegative val="0"/>
            <c:bubble3D val="0"/>
            <c:spPr>
              <a:solidFill>
                <a:schemeClr val="accent6">
                  <a:lumMod val="60000"/>
                  <a:lumOff val="40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11-EC04-47C1-BB59-F9F722EDA0EC}"/>
              </c:ext>
            </c:extLst>
          </c:dPt>
          <c:dPt>
            <c:idx val="9"/>
            <c:invertIfNegative val="0"/>
            <c:bubble3D val="0"/>
            <c:spPr>
              <a:solidFill>
                <a:schemeClr val="tx1">
                  <a:lumMod val="65000"/>
                  <a:lumOff val="35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13-EC04-47C1-BB59-F9F722EDA0EC}"/>
              </c:ext>
            </c:extLst>
          </c:dPt>
          <c:dLbls>
            <c:dLbl>
              <c:idx val="0"/>
              <c:layout>
                <c:manualLayout>
                  <c:x val="5.1397552988476326E-3"/>
                  <c:y val="0.253692053812260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04-47C1-BB59-F9F722EDA0EC}"/>
                </c:ext>
              </c:extLst>
            </c:dLbl>
            <c:dLbl>
              <c:idx val="1"/>
              <c:layout>
                <c:manualLayout>
                  <c:x val="3.6152760663844393E-3"/>
                  <c:y val="0.10655020187974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04-47C1-BB59-F9F722EDA0EC}"/>
                </c:ext>
              </c:extLst>
            </c:dLbl>
            <c:dLbl>
              <c:idx val="2"/>
              <c:layout>
                <c:manualLayout>
                  <c:x val="3.6152760663843782E-3"/>
                  <c:y val="6.2223218125059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04-47C1-BB59-F9F722EDA0EC}"/>
                </c:ext>
              </c:extLst>
            </c:dLbl>
            <c:dLbl>
              <c:idx val="3"/>
              <c:layout>
                <c:manualLayout>
                  <c:x val="5.4229796911450462E-3"/>
                  <c:y val="5.90079411616880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04-47C1-BB59-F9F722EDA0EC}"/>
                </c:ext>
              </c:extLst>
            </c:dLbl>
            <c:dLbl>
              <c:idx val="4"/>
              <c:layout>
                <c:manualLayout>
                  <c:x val="5.4229796911450462E-3"/>
                  <c:y val="3.7707254826405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04-47C1-BB59-F9F722EDA0EC}"/>
                </c:ext>
              </c:extLst>
            </c:dLbl>
            <c:dLbl>
              <c:idx val="5"/>
              <c:layout>
                <c:manualLayout>
                  <c:x val="7.2306579898770125E-3"/>
                  <c:y val="3.53669274418496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C04-47C1-BB59-F9F722EDA0EC}"/>
                </c:ext>
              </c:extLst>
            </c:dLbl>
            <c:dLbl>
              <c:idx val="6"/>
              <c:layout>
                <c:manualLayout>
                  <c:x val="5.4229796911450462E-3"/>
                  <c:y val="3.86289303258929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C04-47C1-BB59-F9F722EDA0EC}"/>
                </c:ext>
              </c:extLst>
            </c:dLbl>
            <c:dLbl>
              <c:idx val="7"/>
              <c:layout>
                <c:manualLayout>
                  <c:x val="7.230683315905654E-3"/>
                  <c:y val="4.17027332413752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C04-47C1-BB59-F9F722EDA0EC}"/>
                </c:ext>
              </c:extLst>
            </c:dLbl>
            <c:dLbl>
              <c:idx val="8"/>
              <c:layout>
                <c:manualLayout>
                  <c:x val="5.4229934924078091E-3"/>
                  <c:y val="3.8582102663835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C04-47C1-BB59-F9F722EDA0EC}"/>
                </c:ext>
              </c:extLst>
            </c:dLbl>
            <c:dLbl>
              <c:idx val="9"/>
              <c:layout>
                <c:manualLayout>
                  <c:x val="5.4229934924076763E-3"/>
                  <c:y val="3.5366927441849633E-2"/>
                </c:manualLayout>
              </c:layout>
              <c:tx>
                <c:rich>
                  <a:bodyPr/>
                  <a:lstStyle/>
                  <a:p>
                    <a:r>
                      <a:rPr lang="en-US" baseline="0"/>
                      <a:t> </a:t>
                    </a:r>
                    <a:fld id="{B3BD708A-47B4-4BC5-B298-BD38CB25C4D9}" type="VALUE">
                      <a:rPr lang="en-US" baseline="0"/>
                      <a:pPr/>
                      <a:t>[VALOR]</a:t>
                    </a:fld>
                    <a:endParaRPr lang="en-US" baseline="0"/>
                  </a:p>
                </c:rich>
              </c:tx>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EC04-47C1-BB59-F9F722EDA0E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Hoja1!$L$59:$L$68</c:f>
              <c:strCache>
                <c:ptCount val="10"/>
                <c:pt idx="0">
                  <c:v>Ajuntaments</c:v>
                </c:pt>
                <c:pt idx="1">
                  <c:v>Soc. mercantils Admin. Local</c:v>
                </c:pt>
                <c:pt idx="2">
                  <c:v>Empreses contractistes GVA</c:v>
                </c:pt>
                <c:pt idx="3">
                  <c:v>Admin. GVA</c:v>
                </c:pt>
                <c:pt idx="4">
                  <c:v>Fundacions S.P. GVA</c:v>
                </c:pt>
                <c:pt idx="5">
                  <c:v>Sector públic instrumental GVA</c:v>
                </c:pt>
                <c:pt idx="6">
                  <c:v>Entitats dret públic GVA</c:v>
                </c:pt>
                <c:pt idx="7">
                  <c:v>Empresa Pública GVA</c:v>
                </c:pt>
                <c:pt idx="8">
                  <c:v>Corporacions de dret públic</c:v>
                </c:pt>
                <c:pt idx="9">
                  <c:v>Altres</c:v>
                </c:pt>
              </c:strCache>
            </c:strRef>
          </c:cat>
          <c:val>
            <c:numRef>
              <c:f>Hoja1!$M$59:$M$68</c:f>
              <c:numCache>
                <c:formatCode>General</c:formatCode>
                <c:ptCount val="10"/>
                <c:pt idx="0">
                  <c:v>21</c:v>
                </c:pt>
                <c:pt idx="1">
                  <c:v>8</c:v>
                </c:pt>
                <c:pt idx="2">
                  <c:v>3</c:v>
                </c:pt>
                <c:pt idx="3">
                  <c:v>3</c:v>
                </c:pt>
                <c:pt idx="4">
                  <c:v>1</c:v>
                </c:pt>
                <c:pt idx="5">
                  <c:v>1</c:v>
                </c:pt>
                <c:pt idx="6">
                  <c:v>1</c:v>
                </c:pt>
                <c:pt idx="7">
                  <c:v>1</c:v>
                </c:pt>
                <c:pt idx="8">
                  <c:v>1</c:v>
                </c:pt>
                <c:pt idx="9">
                  <c:v>1</c:v>
                </c:pt>
              </c:numCache>
            </c:numRef>
          </c:val>
          <c:shape val="cylinder"/>
          <c:extLst>
            <c:ext xmlns:c16="http://schemas.microsoft.com/office/drawing/2014/chart" uri="{C3380CC4-5D6E-409C-BE32-E72D297353CC}">
              <c16:uniqueId val="{00000014-EC04-47C1-BB59-F9F722EDA0EC}"/>
            </c:ext>
          </c:extLst>
        </c:ser>
        <c:dLbls>
          <c:showLegendKey val="0"/>
          <c:showVal val="0"/>
          <c:showCatName val="0"/>
          <c:showSerName val="0"/>
          <c:showPercent val="0"/>
          <c:showBubbleSize val="0"/>
        </c:dLbls>
        <c:gapWidth val="150"/>
        <c:shape val="box"/>
        <c:axId val="1262437407"/>
        <c:axId val="1262689343"/>
        <c:axId val="0"/>
      </c:bar3DChart>
      <c:catAx>
        <c:axId val="126243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9D2235"/>
                </a:solidFill>
                <a:latin typeface="Arial" panose="020B0604020202020204" pitchFamily="34" charset="0"/>
                <a:ea typeface="+mn-ea"/>
                <a:cs typeface="Arial" panose="020B0604020202020204" pitchFamily="34" charset="0"/>
              </a:defRPr>
            </a:pPr>
            <a:endParaRPr lang="ca-ES-valencia"/>
          </a:p>
        </c:txPr>
        <c:crossAx val="1262689343"/>
        <c:crosses val="autoZero"/>
        <c:auto val="1"/>
        <c:lblAlgn val="ctr"/>
        <c:lblOffset val="100"/>
        <c:noMultiLvlLbl val="0"/>
      </c:catAx>
      <c:valAx>
        <c:axId val="1262689343"/>
        <c:scaling>
          <c:orientation val="minMax"/>
          <c:min val="0"/>
        </c:scaling>
        <c:delete val="1"/>
        <c:axPos val="l"/>
        <c:majorGridlines>
          <c:spPr>
            <a:ln w="9525" cap="flat" cmpd="sng" algn="ctr">
              <a:noFill/>
              <a:round/>
            </a:ln>
            <a:effectLst/>
          </c:spPr>
        </c:majorGridlines>
        <c:numFmt formatCode="General" sourceLinked="1"/>
        <c:majorTickMark val="none"/>
        <c:minorTickMark val="none"/>
        <c:tickLblPos val="nextTo"/>
        <c:crossAx val="1262437407"/>
        <c:crosses val="autoZero"/>
        <c:crossBetween val="between"/>
        <c:majorUnit val="1"/>
      </c:valAx>
      <c:spPr>
        <a:gradFill>
          <a:gsLst>
            <a:gs pos="0">
              <a:schemeClr val="accent6">
                <a:lumMod val="5000"/>
                <a:lumOff val="95000"/>
              </a:schemeClr>
            </a:gs>
            <a:gs pos="74000">
              <a:schemeClr val="bg1">
                <a:lumMod val="95000"/>
              </a:schemeClr>
            </a:gs>
            <a:gs pos="83000">
              <a:schemeClr val="bg1">
                <a:lumMod val="85000"/>
              </a:schemeClr>
            </a:gs>
            <a:gs pos="100000">
              <a:schemeClr val="bg1">
                <a:lumMod val="85000"/>
              </a:schemeClr>
            </a:gs>
          </a:gsLst>
          <a:lin ang="5400000" scaled="1"/>
        </a:gradFill>
        <a:ln w="6350">
          <a:solidFill>
            <a:srgbClr val="B3B3B3"/>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w="9525">
              <a:noFill/>
            </a:ln>
            <a:effectLst>
              <a:outerShdw blurRad="50800" dist="165100" dir="2700000" algn="tl" rotWithShape="0">
                <a:prstClr val="black">
                  <a:alpha val="40000"/>
                </a:prstClr>
              </a:outerShdw>
            </a:effectLst>
          </c:spPr>
          <c:explosion val="15"/>
          <c:dPt>
            <c:idx val="0"/>
            <c:bubble3D val="0"/>
            <c:spPr>
              <a:solidFill>
                <a:srgbClr val="9D2235"/>
              </a:solidFill>
              <a:ln w="9525">
                <a:noFill/>
              </a:ln>
              <a:effectLst>
                <a:outerShdw blurRad="50800" dist="165100" dir="2700000" algn="tl" rotWithShape="0">
                  <a:prstClr val="black">
                    <a:alpha val="40000"/>
                  </a:prstClr>
                </a:outerShdw>
              </a:effectLst>
              <a:sp3d>
                <a:contourClr>
                  <a:schemeClr val="tx1"/>
                </a:contourClr>
              </a:sp3d>
            </c:spPr>
            <c:extLst>
              <c:ext xmlns:c16="http://schemas.microsoft.com/office/drawing/2014/chart" uri="{C3380CC4-5D6E-409C-BE32-E72D297353CC}">
                <c16:uniqueId val="{00000001-BDB8-47A9-A775-DE207D919E42}"/>
              </c:ext>
            </c:extLst>
          </c:dPt>
          <c:dPt>
            <c:idx val="1"/>
            <c:bubble3D val="0"/>
            <c:spPr>
              <a:solidFill>
                <a:srgbClr val="EABAC2"/>
              </a:solidFill>
              <a:ln w="9525">
                <a:noFill/>
              </a:ln>
              <a:effectLst>
                <a:outerShdw blurRad="50800" dist="165100" dir="2700000" algn="tl" rotWithShape="0">
                  <a:prstClr val="black">
                    <a:alpha val="40000"/>
                  </a:prstClr>
                </a:outerShdw>
              </a:effectLst>
              <a:sp3d>
                <a:contourClr>
                  <a:schemeClr val="tx1"/>
                </a:contourClr>
              </a:sp3d>
            </c:spPr>
            <c:extLst>
              <c:ext xmlns:c16="http://schemas.microsoft.com/office/drawing/2014/chart" uri="{C3380CC4-5D6E-409C-BE32-E72D297353CC}">
                <c16:uniqueId val="{00000003-BDB8-47A9-A775-DE207D919E42}"/>
              </c:ext>
            </c:extLst>
          </c:dPt>
          <c:dPt>
            <c:idx val="2"/>
            <c:bubble3D val="0"/>
            <c:spPr>
              <a:solidFill>
                <a:srgbClr val="666666"/>
              </a:solidFill>
              <a:ln w="9525">
                <a:noFill/>
              </a:ln>
              <a:effectLst>
                <a:outerShdw blurRad="50800" dist="165100" dir="2700000" algn="tl" rotWithShape="0">
                  <a:prstClr val="black">
                    <a:alpha val="40000"/>
                  </a:prstClr>
                </a:outerShdw>
              </a:effectLst>
              <a:sp3d>
                <a:contourClr>
                  <a:schemeClr val="tx1"/>
                </a:contourClr>
              </a:sp3d>
            </c:spPr>
            <c:extLst>
              <c:ext xmlns:c16="http://schemas.microsoft.com/office/drawing/2014/chart" uri="{C3380CC4-5D6E-409C-BE32-E72D297353CC}">
                <c16:uniqueId val="{00000005-BDB8-47A9-A775-DE207D919E42}"/>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ca-ES-valenci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Hoja1!$L$87:$L$89</c:f>
              <c:strCache>
                <c:ptCount val="3"/>
                <c:pt idx="0">
                  <c:v>Alacant</c:v>
                </c:pt>
                <c:pt idx="1">
                  <c:v>Castelló</c:v>
                </c:pt>
                <c:pt idx="2">
                  <c:v>València</c:v>
                </c:pt>
              </c:strCache>
            </c:strRef>
          </c:cat>
          <c:val>
            <c:numRef>
              <c:f>Hoja1!$N$87:$N$89</c:f>
              <c:numCache>
                <c:formatCode>General</c:formatCode>
                <c:ptCount val="3"/>
                <c:pt idx="0">
                  <c:v>18</c:v>
                </c:pt>
                <c:pt idx="1">
                  <c:v>5</c:v>
                </c:pt>
                <c:pt idx="2">
                  <c:v>18</c:v>
                </c:pt>
              </c:numCache>
            </c:numRef>
          </c:val>
          <c:extLst>
            <c:ext xmlns:c16="http://schemas.microsoft.com/office/drawing/2014/chart" uri="{C3380CC4-5D6E-409C-BE32-E72D297353CC}">
              <c16:uniqueId val="{00000006-BDB8-47A9-A775-DE207D919E42}"/>
            </c:ext>
          </c:extLst>
        </c:ser>
        <c:dLbls>
          <c:showLegendKey val="0"/>
          <c:showVal val="0"/>
          <c:showCatName val="0"/>
          <c:showSerName val="0"/>
          <c:showPercent val="1"/>
          <c:showBubbleSize val="0"/>
          <c:showLeaderLines val="1"/>
        </c:dLbls>
      </c:pie3DChart>
      <c:spPr>
        <a:noFill/>
        <a:ln>
          <a:noFill/>
        </a:ln>
        <a:effectLst>
          <a:glow>
            <a:schemeClr val="accent1">
              <a:alpha val="40000"/>
            </a:schemeClr>
          </a:glow>
        </a:effectLst>
      </c:spPr>
    </c:plotArea>
    <c:legend>
      <c:legendPos val="r"/>
      <c:layout>
        <c:manualLayout>
          <c:xMode val="edge"/>
          <c:yMode val="edge"/>
          <c:x val="0.77959603790864929"/>
          <c:y val="0.44852233426663757"/>
          <c:w val="0.14457380327516473"/>
          <c:h val="0.2258352354951951"/>
        </c:manualLayout>
      </c:layout>
      <c:overlay val="0"/>
      <c:spPr>
        <a:solidFill>
          <a:schemeClr val="bg1">
            <a:lumMod val="95000"/>
          </a:schemeClr>
        </a:solid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a:noFill/>
        </a:ln>
        <a:effectLst/>
        <a:sp3d/>
      </c:spPr>
    </c:floor>
    <c:sideWall>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a:noFill/>
        </a:ln>
        <a:effectLst/>
        <a:sp3d/>
      </c:spPr>
    </c:sideWall>
    <c:backWall>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Pt>
            <c:idx val="0"/>
            <c:invertIfNegative val="0"/>
            <c:bubble3D val="0"/>
            <c:spPr>
              <a:solidFill>
                <a:schemeClr val="bg2">
                  <a:lumMod val="50000"/>
                </a:schemeClr>
              </a:solidFill>
              <a:ln>
                <a:noFill/>
              </a:ln>
              <a:effectLst/>
              <a:sp3d/>
            </c:spPr>
            <c:extLst>
              <c:ext xmlns:c16="http://schemas.microsoft.com/office/drawing/2014/chart" uri="{C3380CC4-5D6E-409C-BE32-E72D297353CC}">
                <c16:uniqueId val="{00000001-EF51-43AB-A258-82A1317116FD}"/>
              </c:ext>
            </c:extLst>
          </c:dPt>
          <c:dPt>
            <c:idx val="1"/>
            <c:invertIfNegative val="0"/>
            <c:bubble3D val="0"/>
            <c:spPr>
              <a:solidFill>
                <a:schemeClr val="bg2">
                  <a:lumMod val="75000"/>
                </a:schemeClr>
              </a:solidFill>
              <a:ln>
                <a:noFill/>
              </a:ln>
              <a:effectLst/>
              <a:sp3d/>
            </c:spPr>
            <c:extLst>
              <c:ext xmlns:c16="http://schemas.microsoft.com/office/drawing/2014/chart" uri="{C3380CC4-5D6E-409C-BE32-E72D297353CC}">
                <c16:uniqueId val="{00000003-EF51-43AB-A258-82A1317116FD}"/>
              </c:ext>
            </c:extLst>
          </c:dPt>
          <c:dPt>
            <c:idx val="2"/>
            <c:invertIfNegative val="0"/>
            <c:bubble3D val="0"/>
            <c:spPr>
              <a:solidFill>
                <a:schemeClr val="accent4">
                  <a:lumMod val="50000"/>
                </a:schemeClr>
              </a:solidFill>
              <a:ln>
                <a:noFill/>
              </a:ln>
              <a:effectLst/>
              <a:sp3d/>
            </c:spPr>
            <c:extLst>
              <c:ext xmlns:c16="http://schemas.microsoft.com/office/drawing/2014/chart" uri="{C3380CC4-5D6E-409C-BE32-E72D297353CC}">
                <c16:uniqueId val="{00000005-EF51-43AB-A258-82A1317116FD}"/>
              </c:ext>
            </c:extLst>
          </c:dPt>
          <c:dPt>
            <c:idx val="3"/>
            <c:invertIfNegative val="0"/>
            <c:bubble3D val="0"/>
            <c:spPr>
              <a:solidFill>
                <a:schemeClr val="accent4">
                  <a:lumMod val="75000"/>
                </a:schemeClr>
              </a:solidFill>
              <a:ln>
                <a:noFill/>
              </a:ln>
              <a:effectLst/>
              <a:sp3d/>
            </c:spPr>
            <c:extLst>
              <c:ext xmlns:c16="http://schemas.microsoft.com/office/drawing/2014/chart" uri="{C3380CC4-5D6E-409C-BE32-E72D297353CC}">
                <c16:uniqueId val="{00000007-EF51-43AB-A258-82A1317116FD}"/>
              </c:ext>
            </c:extLst>
          </c:dPt>
          <c:dPt>
            <c:idx val="4"/>
            <c:invertIfNegative val="0"/>
            <c:bubble3D val="0"/>
            <c:spPr>
              <a:solidFill>
                <a:schemeClr val="accent4">
                  <a:lumMod val="60000"/>
                  <a:lumOff val="40000"/>
                </a:schemeClr>
              </a:solidFill>
              <a:ln>
                <a:noFill/>
              </a:ln>
              <a:effectLst/>
              <a:sp3d/>
            </c:spPr>
            <c:extLst>
              <c:ext xmlns:c16="http://schemas.microsoft.com/office/drawing/2014/chart" uri="{C3380CC4-5D6E-409C-BE32-E72D297353CC}">
                <c16:uniqueId val="{00000009-EF51-43AB-A258-82A1317116FD}"/>
              </c:ext>
            </c:extLst>
          </c:dPt>
          <c:dPt>
            <c:idx val="5"/>
            <c:invertIfNegative val="0"/>
            <c:bubble3D val="0"/>
            <c:spPr>
              <a:solidFill>
                <a:schemeClr val="accent1"/>
              </a:solidFill>
              <a:ln>
                <a:noFill/>
              </a:ln>
              <a:effectLst/>
              <a:sp3d/>
            </c:spPr>
            <c:extLst>
              <c:ext xmlns:c16="http://schemas.microsoft.com/office/drawing/2014/chart" uri="{C3380CC4-5D6E-409C-BE32-E72D297353CC}">
                <c16:uniqueId val="{0000000B-EF51-43AB-A258-82A1317116FD}"/>
              </c:ext>
            </c:extLst>
          </c:dPt>
          <c:dPt>
            <c:idx val="6"/>
            <c:invertIfNegative val="0"/>
            <c:bubble3D val="0"/>
            <c:spPr>
              <a:solidFill>
                <a:srgbClr val="C42A44"/>
              </a:solidFill>
              <a:ln>
                <a:noFill/>
              </a:ln>
              <a:effectLst/>
              <a:sp3d/>
            </c:spPr>
            <c:extLst>
              <c:ext xmlns:c16="http://schemas.microsoft.com/office/drawing/2014/chart" uri="{C3380CC4-5D6E-409C-BE32-E72D297353CC}">
                <c16:uniqueId val="{0000000D-EF51-43AB-A258-82A1317116FD}"/>
              </c:ext>
            </c:extLst>
          </c:dPt>
          <c:dPt>
            <c:idx val="7"/>
            <c:invertIfNegative val="0"/>
            <c:bubble3D val="0"/>
            <c:spPr>
              <a:solidFill>
                <a:schemeClr val="accent1">
                  <a:lumMod val="60000"/>
                  <a:lumOff val="40000"/>
                </a:schemeClr>
              </a:solidFill>
              <a:ln>
                <a:noFill/>
              </a:ln>
              <a:effectLst/>
              <a:sp3d/>
            </c:spPr>
            <c:extLst>
              <c:ext xmlns:c16="http://schemas.microsoft.com/office/drawing/2014/chart" uri="{C3380CC4-5D6E-409C-BE32-E72D297353CC}">
                <c16:uniqueId val="{0000000F-EF51-43AB-A258-82A1317116FD}"/>
              </c:ext>
            </c:extLst>
          </c:dPt>
          <c:dPt>
            <c:idx val="8"/>
            <c:invertIfNegative val="0"/>
            <c:bubble3D val="0"/>
            <c:spPr>
              <a:solidFill>
                <a:schemeClr val="accent1">
                  <a:lumMod val="40000"/>
                  <a:lumOff val="60000"/>
                </a:schemeClr>
              </a:solidFill>
              <a:ln>
                <a:noFill/>
              </a:ln>
              <a:effectLst/>
              <a:sp3d/>
            </c:spPr>
            <c:extLst>
              <c:ext xmlns:c16="http://schemas.microsoft.com/office/drawing/2014/chart" uri="{C3380CC4-5D6E-409C-BE32-E72D297353CC}">
                <c16:uniqueId val="{00000011-EF51-43AB-A258-82A1317116FD}"/>
              </c:ext>
            </c:extLst>
          </c:dPt>
          <c:dLbls>
            <c:dLbl>
              <c:idx val="0"/>
              <c:layout>
                <c:manualLayout>
                  <c:x val="-0.29797979797979812"/>
                  <c:y val="-1.6975112544026657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51-43AB-A258-82A1317116FD}"/>
                </c:ext>
              </c:extLst>
            </c:dLbl>
            <c:dLbl>
              <c:idx val="1"/>
              <c:layout>
                <c:manualLayout>
                  <c:x val="-0.28451178451178449"/>
                  <c:y val="-4.62962962962954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F51-43AB-A258-82A1317116FD}"/>
                </c:ext>
              </c:extLst>
            </c:dLbl>
            <c:dLbl>
              <c:idx val="2"/>
              <c:layout>
                <c:manualLayout>
                  <c:x val="-0.22222222222222221"/>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F51-43AB-A258-82A1317116FD}"/>
                </c:ext>
              </c:extLst>
            </c:dLbl>
            <c:dLbl>
              <c:idx val="3"/>
              <c:layout>
                <c:manualLayout>
                  <c:x val="-0.1599326599326599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F51-43AB-A258-82A1317116FD}"/>
                </c:ext>
              </c:extLst>
            </c:dLbl>
            <c:dLbl>
              <c:idx val="4"/>
              <c:layout>
                <c:manualLayout>
                  <c:x val="-8.8888888888888989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F51-43AB-A258-82A1317116FD}"/>
                </c:ext>
              </c:extLst>
            </c:dLbl>
            <c:dLbl>
              <c:idx val="5"/>
              <c:layout>
                <c:manualLayout>
                  <c:x val="-6.6666666666666763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F51-43AB-A258-82A1317116FD}"/>
                </c:ext>
              </c:extLst>
            </c:dLbl>
            <c:dLbl>
              <c:idx val="6"/>
              <c:layout>
                <c:manualLayout>
                  <c:x val="-6.6666666666666763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F51-43AB-A258-82A1317116FD}"/>
                </c:ext>
              </c:extLst>
            </c:dLbl>
            <c:dLbl>
              <c:idx val="7"/>
              <c:layout>
                <c:manualLayout>
                  <c:x val="-6.6666666666666763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F51-43AB-A258-82A1317116FD}"/>
                </c:ext>
              </c:extLst>
            </c:dLbl>
            <c:dLbl>
              <c:idx val="8"/>
              <c:layout>
                <c:manualLayout>
                  <c:x val="-4.1666666666666664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F51-43AB-A258-82A1317116F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Hoja1!$M$168:$M$176</c:f>
              <c:strCache>
                <c:ptCount val="9"/>
                <c:pt idx="0">
                  <c:v>Contractació administrativa</c:v>
                </c:pt>
                <c:pt idx="1">
                  <c:v>Accés funció pública i selecció personal</c:v>
                </c:pt>
                <c:pt idx="2">
                  <c:v>Gestió de personal (provisió, retribucions, etc.)</c:v>
                </c:pt>
                <c:pt idx="3">
                  <c:v>Funcionament serveis públics policía local</c:v>
                </c:pt>
                <c:pt idx="4">
                  <c:v>Subvencions</c:v>
                </c:pt>
                <c:pt idx="5">
                  <c:v>Urbanisme</c:v>
                </c:pt>
                <c:pt idx="6">
                  <c:v>Fora de l'àmbit de la'Agència</c:v>
                </c:pt>
                <c:pt idx="7">
                  <c:v>Funcionament de serveis socials</c:v>
                </c:pt>
                <c:pt idx="8">
                  <c:v>Funcionament servei de salut</c:v>
                </c:pt>
              </c:strCache>
            </c:strRef>
          </c:cat>
          <c:val>
            <c:numRef>
              <c:f>Hoja1!$N$168:$N$176</c:f>
              <c:numCache>
                <c:formatCode>General</c:formatCode>
                <c:ptCount val="9"/>
                <c:pt idx="0">
                  <c:v>10</c:v>
                </c:pt>
                <c:pt idx="1">
                  <c:v>9</c:v>
                </c:pt>
                <c:pt idx="2">
                  <c:v>7</c:v>
                </c:pt>
                <c:pt idx="3">
                  <c:v>5</c:v>
                </c:pt>
                <c:pt idx="4">
                  <c:v>3</c:v>
                </c:pt>
                <c:pt idx="5">
                  <c:v>2</c:v>
                </c:pt>
                <c:pt idx="6">
                  <c:v>2</c:v>
                </c:pt>
                <c:pt idx="7">
                  <c:v>2</c:v>
                </c:pt>
                <c:pt idx="8">
                  <c:v>1</c:v>
                </c:pt>
              </c:numCache>
            </c:numRef>
          </c:val>
          <c:shape val="cylinder"/>
          <c:extLst>
            <c:ext xmlns:c16="http://schemas.microsoft.com/office/drawing/2014/chart" uri="{C3380CC4-5D6E-409C-BE32-E72D297353CC}">
              <c16:uniqueId val="{00000012-EF51-43AB-A258-82A1317116FD}"/>
            </c:ext>
          </c:extLst>
        </c:ser>
        <c:dLbls>
          <c:showLegendKey val="0"/>
          <c:showVal val="0"/>
          <c:showCatName val="0"/>
          <c:showSerName val="0"/>
          <c:showPercent val="0"/>
          <c:showBubbleSize val="0"/>
        </c:dLbls>
        <c:gapWidth val="87"/>
        <c:shape val="box"/>
        <c:axId val="1506807999"/>
        <c:axId val="1506808415"/>
        <c:axId val="0"/>
      </c:bar3DChart>
      <c:catAx>
        <c:axId val="150680799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a-ES-valencia"/>
          </a:p>
        </c:txPr>
        <c:crossAx val="1506808415"/>
        <c:crosses val="autoZero"/>
        <c:auto val="1"/>
        <c:lblAlgn val="ctr"/>
        <c:lblOffset val="100"/>
        <c:noMultiLvlLbl val="0"/>
      </c:catAx>
      <c:valAx>
        <c:axId val="15068084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a-ES-valencia"/>
          </a:p>
        </c:txPr>
        <c:crossAx val="15068079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ACA77B-C738-4674-B5BD-0D77F1F48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139207</Words>
  <Characters>730837</Characters>
  <Application>Microsoft Office Word</Application>
  <DocSecurity>0</DocSecurity>
  <Lines>13050</Lines>
  <Paragraphs>3866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866178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2022-03-25T11:01:00Z</dcterms:created>
  <dcterms:modified xsi:type="dcterms:W3CDTF">2022-06-28T10:34:00Z</dcterms:modified>
</cp:coreProperties>
</file>